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png" ContentType="image/png"/>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Default Extension="jpeg" ContentType="image/jpeg"/>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rPr>
          <w:rFonts w:ascii="Times New Roman"/>
          <w:sz w:val="20"/>
        </w:rPr>
      </w:pPr>
    </w:p>
    <w:p>
      <w:pPr>
        <w:spacing w:before="194"/>
        <w:ind w:left="2086" w:right="2426" w:firstLine="0"/>
        <w:jc w:val="center"/>
        <w:rPr>
          <w:sz w:val="28"/>
        </w:rPr>
      </w:pPr>
      <w:r>
        <w:rPr/>
        <w:drawing>
          <wp:anchor distT="0" distB="0" distL="0" distR="0" allowOverlap="1" layoutInCell="1" locked="0" behindDoc="0" simplePos="0" relativeHeight="1048">
            <wp:simplePos x="0" y="0"/>
            <wp:positionH relativeFrom="page">
              <wp:posOffset>859155</wp:posOffset>
            </wp:positionH>
            <wp:positionV relativeFrom="paragraph">
              <wp:posOffset>-38204</wp:posOffset>
            </wp:positionV>
            <wp:extent cx="892175" cy="787400"/>
            <wp:effectExtent l="0" t="0" r="0" b="0"/>
            <wp:wrapNone/>
            <wp:docPr id="1" name="image1.png" descr=""/>
            <wp:cNvGraphicFramePr>
              <a:graphicFrameLocks noChangeAspect="1"/>
            </wp:cNvGraphicFramePr>
            <a:graphic>
              <a:graphicData uri="http://schemas.openxmlformats.org/drawingml/2006/picture">
                <pic:pic>
                  <pic:nvPicPr>
                    <pic:cNvPr id="2" name="image1.png"/>
                    <pic:cNvPicPr/>
                  </pic:nvPicPr>
                  <pic:blipFill>
                    <a:blip r:embed="rId5" cstate="print"/>
                    <a:stretch>
                      <a:fillRect/>
                    </a:stretch>
                  </pic:blipFill>
                  <pic:spPr>
                    <a:xfrm>
                      <a:off x="0" y="0"/>
                      <a:ext cx="892175" cy="787400"/>
                    </a:xfrm>
                    <a:prstGeom prst="rect">
                      <a:avLst/>
                    </a:prstGeom>
                  </pic:spPr>
                </pic:pic>
              </a:graphicData>
            </a:graphic>
          </wp:anchor>
        </w:drawing>
      </w:r>
      <w:r>
        <w:rPr/>
        <w:drawing>
          <wp:anchor distT="0" distB="0" distL="0" distR="0" allowOverlap="1" layoutInCell="1" locked="0" behindDoc="0" simplePos="0" relativeHeight="1072">
            <wp:simplePos x="0" y="0"/>
            <wp:positionH relativeFrom="page">
              <wp:posOffset>6440170</wp:posOffset>
            </wp:positionH>
            <wp:positionV relativeFrom="paragraph">
              <wp:posOffset>-146789</wp:posOffset>
            </wp:positionV>
            <wp:extent cx="695959" cy="902334"/>
            <wp:effectExtent l="0" t="0" r="0" b="0"/>
            <wp:wrapNone/>
            <wp:docPr id="3" name="image2.png" descr=""/>
            <wp:cNvGraphicFramePr>
              <a:graphicFrameLocks noChangeAspect="1"/>
            </wp:cNvGraphicFramePr>
            <a:graphic>
              <a:graphicData uri="http://schemas.openxmlformats.org/drawingml/2006/picture">
                <pic:pic>
                  <pic:nvPicPr>
                    <pic:cNvPr id="4" name="image2.png"/>
                    <pic:cNvPicPr/>
                  </pic:nvPicPr>
                  <pic:blipFill>
                    <a:blip r:embed="rId6" cstate="print"/>
                    <a:stretch>
                      <a:fillRect/>
                    </a:stretch>
                  </pic:blipFill>
                  <pic:spPr>
                    <a:xfrm>
                      <a:off x="0" y="0"/>
                      <a:ext cx="695959" cy="902334"/>
                    </a:xfrm>
                    <a:prstGeom prst="rect">
                      <a:avLst/>
                    </a:prstGeom>
                  </pic:spPr>
                </pic:pic>
              </a:graphicData>
            </a:graphic>
          </wp:anchor>
        </w:drawing>
      </w:r>
      <w:r>
        <w:rPr>
          <w:sz w:val="28"/>
        </w:rPr>
        <w:t>Universidad Autónoma del Estado de México Facultad de Planeación Urbana y Regional Maestría en Estudios de la Ciudad</w:t>
      </w:r>
    </w:p>
    <w:p>
      <w:pPr>
        <w:pStyle w:val="BodyText"/>
        <w:rPr>
          <w:sz w:val="20"/>
        </w:rPr>
      </w:pPr>
    </w:p>
    <w:p>
      <w:pPr>
        <w:pStyle w:val="BodyText"/>
        <w:spacing w:before="11"/>
        <w:rPr>
          <w:sz w:val="21"/>
        </w:rPr>
      </w:pPr>
      <w:r>
        <w:rPr/>
        <w:drawing>
          <wp:anchor distT="0" distB="0" distL="0" distR="0" allowOverlap="1" layoutInCell="1" locked="0" behindDoc="0" simplePos="0" relativeHeight="0">
            <wp:simplePos x="0" y="0"/>
            <wp:positionH relativeFrom="page">
              <wp:posOffset>3247389</wp:posOffset>
            </wp:positionH>
            <wp:positionV relativeFrom="paragraph">
              <wp:posOffset>185219</wp:posOffset>
            </wp:positionV>
            <wp:extent cx="1205686" cy="718566"/>
            <wp:effectExtent l="0" t="0" r="0" b="0"/>
            <wp:wrapTopAndBottom/>
            <wp:docPr id="5" name="image3.png" descr=""/>
            <wp:cNvGraphicFramePr>
              <a:graphicFrameLocks noChangeAspect="1"/>
            </wp:cNvGraphicFramePr>
            <a:graphic>
              <a:graphicData uri="http://schemas.openxmlformats.org/drawingml/2006/picture">
                <pic:pic>
                  <pic:nvPicPr>
                    <pic:cNvPr id="6" name="image3.png"/>
                    <pic:cNvPicPr/>
                  </pic:nvPicPr>
                  <pic:blipFill>
                    <a:blip r:embed="rId7" cstate="print"/>
                    <a:stretch>
                      <a:fillRect/>
                    </a:stretch>
                  </pic:blipFill>
                  <pic:spPr>
                    <a:xfrm>
                      <a:off x="0" y="0"/>
                      <a:ext cx="1205686" cy="718566"/>
                    </a:xfrm>
                    <a:prstGeom prst="rect">
                      <a:avLst/>
                    </a:prstGeom>
                  </pic:spPr>
                </pic:pic>
              </a:graphicData>
            </a:graphic>
          </wp:anchor>
        </w:drawing>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8"/>
        <w:rPr>
          <w:sz w:val="25"/>
        </w:rPr>
      </w:pPr>
    </w:p>
    <w:p>
      <w:pPr>
        <w:pStyle w:val="Heading3"/>
        <w:spacing w:line="360" w:lineRule="auto" w:before="58"/>
        <w:ind w:left="486" w:right="827"/>
        <w:jc w:val="center"/>
      </w:pPr>
      <w:r>
        <w:rPr/>
        <w:t>Estructuración metropolitana de Toluca. Los impactos de la desurbanización en el territorio en el periodo 1990 a 2010</w:t>
      </w:r>
    </w:p>
    <w:p>
      <w:pPr>
        <w:spacing w:before="9"/>
        <w:ind w:left="2048" w:right="0" w:firstLine="0"/>
        <w:jc w:val="left"/>
        <w:rPr>
          <w:sz w:val="28"/>
        </w:rPr>
      </w:pPr>
      <w:r>
        <w:rPr>
          <w:sz w:val="28"/>
        </w:rPr>
        <w:t>L. en Pl. T. Marce Darinka Camacho Ramírez</w:t>
      </w:r>
    </w:p>
    <w:p>
      <w:pPr>
        <w:pStyle w:val="BodyText"/>
        <w:rPr>
          <w:sz w:val="28"/>
        </w:rPr>
      </w:pPr>
    </w:p>
    <w:p>
      <w:pPr>
        <w:pStyle w:val="BodyText"/>
        <w:rPr>
          <w:sz w:val="28"/>
        </w:rPr>
      </w:pPr>
    </w:p>
    <w:p>
      <w:pPr>
        <w:pStyle w:val="BodyText"/>
        <w:rPr>
          <w:sz w:val="28"/>
        </w:rPr>
      </w:pPr>
    </w:p>
    <w:p>
      <w:pPr>
        <w:pStyle w:val="BodyText"/>
        <w:rPr>
          <w:sz w:val="28"/>
        </w:rPr>
      </w:pPr>
    </w:p>
    <w:p>
      <w:pPr>
        <w:spacing w:line="568" w:lineRule="auto" w:before="236"/>
        <w:ind w:left="462" w:right="3330" w:firstLine="0"/>
        <w:jc w:val="left"/>
        <w:rPr>
          <w:sz w:val="28"/>
        </w:rPr>
      </w:pPr>
      <w:r>
        <w:rPr>
          <w:sz w:val="28"/>
        </w:rPr>
        <w:t>Directora de tesis: Mtra. Guadalupe Hoyos Castillo Tutores adjuntos</w:t>
      </w:r>
    </w:p>
    <w:p>
      <w:pPr>
        <w:spacing w:before="15"/>
        <w:ind w:left="462" w:right="5494" w:firstLine="0"/>
        <w:jc w:val="left"/>
        <w:rPr>
          <w:sz w:val="28"/>
        </w:rPr>
      </w:pPr>
      <w:r>
        <w:rPr>
          <w:sz w:val="28"/>
        </w:rPr>
        <w:t>Dra. Rosa María Sánchez Nájera Mtro. Jorque Tapia Quevedo Mtro. Roberto Franco Ayala</w:t>
      </w:r>
    </w:p>
    <w:p>
      <w:pPr>
        <w:pStyle w:val="BodyText"/>
        <w:rPr>
          <w:sz w:val="28"/>
        </w:rPr>
      </w:pPr>
    </w:p>
    <w:p>
      <w:pPr>
        <w:pStyle w:val="BodyText"/>
        <w:rPr>
          <w:sz w:val="28"/>
        </w:rPr>
      </w:pPr>
    </w:p>
    <w:p>
      <w:pPr>
        <w:pStyle w:val="BodyText"/>
        <w:spacing w:before="6"/>
        <w:rPr>
          <w:sz w:val="34"/>
        </w:rPr>
      </w:pPr>
    </w:p>
    <w:p>
      <w:pPr>
        <w:spacing w:before="0"/>
        <w:ind w:left="5325" w:right="0" w:firstLine="0"/>
        <w:jc w:val="left"/>
        <w:rPr>
          <w:sz w:val="24"/>
        </w:rPr>
      </w:pPr>
      <w:r>
        <w:rPr>
          <w:sz w:val="28"/>
        </w:rPr>
        <w:t>Toluca, México, Marzo de 2015</w:t>
      </w:r>
      <w:r>
        <w:rPr>
          <w:sz w:val="24"/>
        </w:rPr>
        <w:t>.</w:t>
      </w:r>
    </w:p>
    <w:p>
      <w:pPr>
        <w:spacing w:after="0"/>
        <w:jc w:val="left"/>
        <w:rPr>
          <w:sz w:val="24"/>
        </w:rPr>
        <w:sectPr>
          <w:type w:val="continuous"/>
          <w:pgSz w:w="12240" w:h="15840"/>
          <w:pgMar w:top="1500" w:bottom="280" w:left="1240" w:right="900"/>
        </w:sectPr>
      </w:pPr>
    </w:p>
    <w:p>
      <w:pPr>
        <w:pStyle w:val="Heading5"/>
        <w:spacing w:before="54"/>
        <w:ind w:left="133" w:right="146"/>
        <w:jc w:val="center"/>
      </w:pPr>
      <w:r>
        <w:rPr/>
        <w:t>Resumen</w:t>
      </w:r>
    </w:p>
    <w:p>
      <w:pPr>
        <w:pStyle w:val="BodyText"/>
        <w:spacing w:before="11"/>
        <w:rPr>
          <w:b/>
          <w:sz w:val="27"/>
        </w:rPr>
      </w:pPr>
    </w:p>
    <w:p>
      <w:pPr>
        <w:pStyle w:val="BodyText"/>
        <w:ind w:left="102" w:right="114"/>
        <w:jc w:val="both"/>
      </w:pPr>
      <w:r>
        <w:rPr/>
        <w:t>La tesis tiene como objetivo identificar el cumplimiento de las teorías y conceptualizaciones en los procesos metropolitanos de México, en particular en la ciudad de Toluca. En la literatura especializada se identifican dos tendencias explicativas de la estructuración de las metrópolis; por un lado, los cambios en el funcionamiento de la ciudad individual que desde la teoría del ciclo de vida urbano diario, indica que la estructuración metropolitana ha dejado la fase  suburbanización para dinamizar procesos de desurbanización, y la segunda, desde el ciclo de vida del sistema urbano que examina la estructuración del conjunto de las ciudades, la discusión contemporánea sostiene que se ha concluido el proceso de contraurbanización y se organiza la ciudad difusa, es decir la transformación general del territorio. En el caso de estudio, ambas explicaciones de carácter evolutivo del proceso de urbanización parecen estar presentes, sin embargo, se opta por avanzar en la investigación de la estructuración de la zona metropolitana en lo individual; se parte de suponer que es probable la presencia  de la</w:t>
      </w:r>
      <w:r>
        <w:rPr>
          <w:spacing w:val="-6"/>
        </w:rPr>
        <w:t> </w:t>
      </w:r>
      <w:r>
        <w:rPr/>
        <w:t>desurbanización.</w:t>
      </w:r>
    </w:p>
    <w:p>
      <w:pPr>
        <w:pStyle w:val="BodyText"/>
        <w:spacing w:before="4"/>
      </w:pPr>
    </w:p>
    <w:p>
      <w:pPr>
        <w:pStyle w:val="BodyText"/>
        <w:spacing w:before="1"/>
        <w:ind w:left="102" w:right="112"/>
        <w:jc w:val="both"/>
      </w:pPr>
      <w:r>
        <w:rPr/>
        <w:t>En la Zona Metropolitana de Toluca, se examinan los cambios de su estructura y organización territorial, para el periodo comprendido de 1990 a 2010. Frente a la carencia de casos de referencia que midan los cambios en la actual estructura territorial metropolitana en México, se plantea una metodológica para medir el ciclo de vida urbano e identificar la fase de urbanización. Se concibe la división en tres ámbitos de funcionamiento del conjunto metropolitano (ciudad central y dos contornos), selecciona dimensiones explicativas de la estructuración contemporánea y mide los cambios de los patrones en las variables de población, vivienda, empleo urbano, vehículos y relaciones funcionales origen-destino, con ello se verifica la espacialidad.</w:t>
      </w:r>
    </w:p>
    <w:p>
      <w:pPr>
        <w:pStyle w:val="BodyText"/>
        <w:spacing w:before="2"/>
      </w:pPr>
    </w:p>
    <w:p>
      <w:pPr>
        <w:pStyle w:val="BodyText"/>
        <w:ind w:left="102" w:right="116"/>
        <w:jc w:val="both"/>
      </w:pPr>
      <w:r>
        <w:rPr/>
        <w:t>Entre los hallazgos destaca la yuxtaposición de dos fases del ciclo de vida urbano diario: la suburbanización se encuentra en una etapa madura, resultado de la desconcentración de población y vivienda en el contorno intermedio, mientras la fase de la desurbanización, se presenta también producto de la desconcentración de población y del empleo urbano. La transformación metropolitana, tiene  un patrón de desconcentración en los asentamientos externos, con ligero cambio relativo y de la concentración en la ciudad central, hacia los contornos primero y segundo. Por tanto, el caso de estudio se encuentra parcialmente en la fase de desuburbanización, es decir que existen dinámicas externas generando organización propia. Con esta dinámica se refuerza el cambio de escala, actualmente el funcionamiento diario de las relaciones funcionales de la ZMT son de mayor amplitud que sobrepasan a la entidad mexiquense. -No corresponde con las delimitaciones oficiales, ni académicas que se conocen de la ciudad-.</w:t>
      </w:r>
    </w:p>
    <w:p>
      <w:pPr>
        <w:spacing w:after="0"/>
        <w:jc w:val="both"/>
        <w:sectPr>
          <w:pgSz w:w="12240" w:h="15840"/>
          <w:pgMar w:top="1360" w:bottom="280" w:left="1600" w:right="1580"/>
        </w:sectPr>
      </w:pPr>
    </w:p>
    <w:p>
      <w:pPr>
        <w:pStyle w:val="Heading5"/>
        <w:spacing w:before="54"/>
        <w:ind w:left="128" w:right="106"/>
        <w:jc w:val="center"/>
      </w:pPr>
      <w:r>
        <w:rPr/>
        <w:t>Dedicatorias.</w:t>
      </w:r>
    </w:p>
    <w:p>
      <w:pPr>
        <w:pStyle w:val="BodyText"/>
        <w:rPr>
          <w:b/>
          <w:sz w:val="21"/>
        </w:rPr>
      </w:pPr>
    </w:p>
    <w:p>
      <w:pPr>
        <w:pStyle w:val="BodyText"/>
        <w:spacing w:before="1"/>
        <w:ind w:left="128" w:right="107"/>
        <w:jc w:val="center"/>
      </w:pPr>
      <w:r>
        <w:rPr/>
        <w:t>Principalmente doy  gracias a dios por todo.</w:t>
      </w:r>
    </w:p>
    <w:p>
      <w:pPr>
        <w:pStyle w:val="BodyText"/>
        <w:rPr>
          <w:sz w:val="21"/>
        </w:rPr>
      </w:pPr>
    </w:p>
    <w:p>
      <w:pPr>
        <w:pStyle w:val="BodyText"/>
        <w:spacing w:before="1"/>
        <w:ind w:left="128" w:right="109"/>
        <w:jc w:val="center"/>
      </w:pPr>
      <w:r>
        <w:rPr/>
        <w:t>A mi hijo y mi esposo</w:t>
      </w:r>
    </w:p>
    <w:p>
      <w:pPr>
        <w:pStyle w:val="BodyText"/>
        <w:spacing w:before="10"/>
        <w:rPr>
          <w:sz w:val="20"/>
        </w:rPr>
      </w:pPr>
    </w:p>
    <w:p>
      <w:pPr>
        <w:pStyle w:val="BodyText"/>
        <w:spacing w:line="276" w:lineRule="auto"/>
        <w:ind w:left="128" w:right="115"/>
        <w:jc w:val="center"/>
      </w:pPr>
      <w:r>
        <w:rPr/>
        <w:t>Les dedico con mucho cariño este trabajo, en el que siempre estuvieron conmigo, les doy las gracias a ambos por su apoyo por entender y ser pacientes todo este tiempo, fueron y son mi aliciente más grande los amo a ambos.</w:t>
      </w:r>
    </w:p>
    <w:p>
      <w:pPr>
        <w:spacing w:before="197"/>
        <w:ind w:left="128" w:right="108" w:firstLine="0"/>
        <w:jc w:val="center"/>
        <w:rPr>
          <w:i/>
          <w:sz w:val="24"/>
        </w:rPr>
      </w:pPr>
      <w:r>
        <w:rPr>
          <w:i/>
          <w:sz w:val="24"/>
        </w:rPr>
        <w:t>A mis padres</w:t>
      </w:r>
    </w:p>
    <w:p>
      <w:pPr>
        <w:pStyle w:val="BodyText"/>
        <w:spacing w:before="3"/>
        <w:rPr>
          <w:i/>
          <w:sz w:val="21"/>
        </w:rPr>
      </w:pPr>
    </w:p>
    <w:p>
      <w:pPr>
        <w:pStyle w:val="BodyText"/>
        <w:spacing w:line="276" w:lineRule="auto"/>
        <w:ind w:left="128" w:right="108"/>
        <w:jc w:val="center"/>
      </w:pPr>
      <w:r>
        <w:rPr/>
        <w:t>El culminar esta etapa es también gracias a ustedes por siempre estar a mi lado, apoyándome y ayudándome en esta etapa de estudiante y madre, demostrándome como siempre su amor.</w:t>
      </w:r>
    </w:p>
    <w:p>
      <w:pPr>
        <w:spacing w:before="200"/>
        <w:ind w:left="128" w:right="114" w:firstLine="0"/>
        <w:jc w:val="center"/>
        <w:rPr>
          <w:i/>
          <w:sz w:val="24"/>
        </w:rPr>
      </w:pPr>
      <w:r>
        <w:rPr>
          <w:i/>
          <w:sz w:val="24"/>
        </w:rPr>
        <w:t>A mi hermano y su familia</w:t>
      </w:r>
    </w:p>
    <w:p>
      <w:pPr>
        <w:pStyle w:val="BodyText"/>
        <w:rPr>
          <w:i/>
          <w:sz w:val="21"/>
        </w:rPr>
      </w:pPr>
    </w:p>
    <w:p>
      <w:pPr>
        <w:pStyle w:val="BodyText"/>
        <w:spacing w:line="278" w:lineRule="auto" w:before="1"/>
        <w:ind w:left="128" w:right="109"/>
        <w:jc w:val="center"/>
      </w:pPr>
      <w:r>
        <w:rPr/>
        <w:t>Estoy feliz de contar con ustedes como familia por estar conmigo, fueron también un gran apoyo en este tiempo.</w:t>
      </w:r>
    </w:p>
    <w:p>
      <w:pPr>
        <w:spacing w:before="194"/>
        <w:ind w:left="128" w:right="109" w:firstLine="0"/>
        <w:jc w:val="center"/>
        <w:rPr>
          <w:sz w:val="24"/>
        </w:rPr>
      </w:pPr>
      <w:r>
        <w:rPr>
          <w:i/>
          <w:sz w:val="24"/>
        </w:rPr>
        <w:t>A mi directora de Tesis</w:t>
      </w:r>
      <w:r>
        <w:rPr>
          <w:sz w:val="24"/>
        </w:rPr>
        <w:t>.</w:t>
      </w:r>
    </w:p>
    <w:p>
      <w:pPr>
        <w:pStyle w:val="BodyText"/>
        <w:spacing w:before="3"/>
        <w:rPr>
          <w:sz w:val="21"/>
        </w:rPr>
      </w:pPr>
    </w:p>
    <w:p>
      <w:pPr>
        <w:pStyle w:val="BodyText"/>
        <w:spacing w:line="276" w:lineRule="auto"/>
        <w:ind w:left="115" w:right="100" w:hanging="1"/>
        <w:jc w:val="center"/>
      </w:pPr>
      <w:r>
        <w:rPr/>
        <w:t>Este trabajo es producto del esfuerzo, trabajo de dirección y orientación, además de muchas horas invertidas en correcciones y explicaciones de usted por lo que le doy las gracias tanto por las enseñanzas como por su amistad que me ha brindado.</w:t>
      </w:r>
    </w:p>
    <w:p>
      <w:pPr>
        <w:spacing w:before="200"/>
        <w:ind w:left="128" w:right="107" w:firstLine="0"/>
        <w:jc w:val="center"/>
        <w:rPr>
          <w:i/>
          <w:sz w:val="24"/>
        </w:rPr>
      </w:pPr>
      <w:r>
        <w:rPr>
          <w:i/>
          <w:sz w:val="24"/>
        </w:rPr>
        <w:t>A los tutores adjuntos.</w:t>
      </w:r>
    </w:p>
    <w:p>
      <w:pPr>
        <w:pStyle w:val="BodyText"/>
        <w:spacing w:before="3"/>
        <w:rPr>
          <w:i/>
          <w:sz w:val="21"/>
        </w:rPr>
      </w:pPr>
    </w:p>
    <w:p>
      <w:pPr>
        <w:pStyle w:val="BodyText"/>
        <w:spacing w:line="276" w:lineRule="auto"/>
        <w:ind w:left="128" w:right="104"/>
        <w:jc w:val="center"/>
      </w:pPr>
      <w:r>
        <w:rPr/>
        <w:t>Gracias por fortalecer con sus comentarios y sugerencias este documento, además de su apoyo y colaboración en este ciclo.</w:t>
      </w:r>
    </w:p>
    <w:p>
      <w:pPr>
        <w:spacing w:after="0" w:line="276" w:lineRule="auto"/>
        <w:jc w:val="center"/>
        <w:sectPr>
          <w:pgSz w:w="12240" w:h="15840"/>
          <w:pgMar w:top="1360" w:bottom="280" w:left="1620" w:right="1640"/>
        </w:sectPr>
      </w:pPr>
    </w:p>
    <w:p>
      <w:pPr>
        <w:pStyle w:val="Heading5"/>
        <w:spacing w:before="54"/>
        <w:ind w:left="4213" w:right="4173"/>
        <w:jc w:val="center"/>
      </w:pPr>
      <w:r>
        <w:rPr/>
        <w:t>Índice</w:t>
      </w:r>
    </w:p>
    <w:p>
      <w:pPr>
        <w:pStyle w:val="BodyText"/>
        <w:spacing w:before="5"/>
        <w:rPr>
          <w:b/>
          <w:sz w:val="14"/>
        </w:rPr>
      </w:pPr>
    </w:p>
    <w:tbl>
      <w:tblPr>
        <w:tblW w:w="0" w:type="auto"/>
        <w:jc w:val="left"/>
        <w:tblInd w:w="103"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7922"/>
        <w:gridCol w:w="994"/>
      </w:tblGrid>
      <w:tr>
        <w:trPr>
          <w:trHeight w:val="300" w:hRule="exact"/>
        </w:trPr>
        <w:tc>
          <w:tcPr>
            <w:tcW w:w="7922" w:type="dxa"/>
          </w:tcPr>
          <w:p>
            <w:pPr/>
          </w:p>
        </w:tc>
        <w:tc>
          <w:tcPr>
            <w:tcW w:w="994" w:type="dxa"/>
          </w:tcPr>
          <w:p>
            <w:pPr>
              <w:pStyle w:val="TableParagraph"/>
              <w:spacing w:line="226" w:lineRule="exact"/>
              <w:ind w:left="0" w:right="198"/>
              <w:jc w:val="right"/>
              <w:rPr>
                <w:sz w:val="22"/>
              </w:rPr>
            </w:pPr>
            <w:r>
              <w:rPr>
                <w:sz w:val="22"/>
              </w:rPr>
              <w:t>Pág.</w:t>
            </w:r>
          </w:p>
        </w:tc>
      </w:tr>
      <w:tr>
        <w:trPr>
          <w:trHeight w:val="486" w:hRule="exact"/>
        </w:trPr>
        <w:tc>
          <w:tcPr>
            <w:tcW w:w="7922" w:type="dxa"/>
          </w:tcPr>
          <w:p>
            <w:pPr>
              <w:pStyle w:val="TableParagraph"/>
              <w:spacing w:before="51"/>
              <w:ind w:left="200" w:right="633"/>
              <w:rPr>
                <w:sz w:val="22"/>
              </w:rPr>
            </w:pPr>
            <w:r>
              <w:rPr>
                <w:sz w:val="22"/>
              </w:rPr>
              <w:t>Introducción. Planteamiento de la investigación.</w:t>
            </w:r>
          </w:p>
        </w:tc>
        <w:tc>
          <w:tcPr>
            <w:tcW w:w="994" w:type="dxa"/>
          </w:tcPr>
          <w:p>
            <w:pPr>
              <w:pStyle w:val="TableParagraph"/>
              <w:spacing w:before="51"/>
              <w:ind w:left="0" w:right="201"/>
              <w:jc w:val="right"/>
              <w:rPr>
                <w:sz w:val="22"/>
              </w:rPr>
            </w:pPr>
            <w:r>
              <w:rPr>
                <w:w w:val="100"/>
                <w:sz w:val="22"/>
              </w:rPr>
              <w:t>1</w:t>
            </w:r>
          </w:p>
        </w:tc>
      </w:tr>
      <w:tr>
        <w:trPr>
          <w:trHeight w:val="865" w:hRule="exact"/>
        </w:trPr>
        <w:tc>
          <w:tcPr>
            <w:tcW w:w="7922" w:type="dxa"/>
          </w:tcPr>
          <w:p>
            <w:pPr>
              <w:pStyle w:val="TableParagraph"/>
              <w:spacing w:line="360" w:lineRule="auto" w:before="158"/>
              <w:ind w:left="200" w:right="633"/>
              <w:rPr>
                <w:sz w:val="22"/>
              </w:rPr>
            </w:pPr>
            <w:r>
              <w:rPr>
                <w:sz w:val="22"/>
              </w:rPr>
              <w:t>Capítulo I. Construcción teórica conceptual del proceso de configuración de las metrópolis</w:t>
            </w:r>
          </w:p>
        </w:tc>
        <w:tc>
          <w:tcPr>
            <w:tcW w:w="994" w:type="dxa"/>
          </w:tcPr>
          <w:p>
            <w:pPr>
              <w:pStyle w:val="TableParagraph"/>
              <w:ind w:left="0"/>
              <w:rPr>
                <w:b/>
                <w:sz w:val="22"/>
              </w:rPr>
            </w:pPr>
          </w:p>
          <w:p>
            <w:pPr>
              <w:pStyle w:val="TableParagraph"/>
              <w:spacing w:before="8"/>
              <w:ind w:left="0"/>
              <w:rPr>
                <w:b/>
                <w:sz w:val="24"/>
              </w:rPr>
            </w:pPr>
          </w:p>
          <w:p>
            <w:pPr>
              <w:pStyle w:val="TableParagraph"/>
              <w:spacing w:before="1"/>
              <w:ind w:left="0" w:right="201"/>
              <w:jc w:val="right"/>
              <w:rPr>
                <w:sz w:val="22"/>
              </w:rPr>
            </w:pPr>
            <w:r>
              <w:rPr>
                <w:sz w:val="22"/>
              </w:rPr>
              <w:t>14</w:t>
            </w:r>
          </w:p>
        </w:tc>
      </w:tr>
      <w:tr>
        <w:trPr>
          <w:trHeight w:val="386" w:hRule="exact"/>
        </w:trPr>
        <w:tc>
          <w:tcPr>
            <w:tcW w:w="7922" w:type="dxa"/>
          </w:tcPr>
          <w:p>
            <w:pPr>
              <w:pStyle w:val="TableParagraph"/>
              <w:spacing w:before="51"/>
              <w:ind w:left="624" w:right="633"/>
              <w:rPr>
                <w:sz w:val="22"/>
              </w:rPr>
            </w:pPr>
            <w:r>
              <w:rPr>
                <w:sz w:val="22"/>
              </w:rPr>
              <w:t>1.1. Teorías de la evolución urbana</w:t>
            </w:r>
          </w:p>
        </w:tc>
        <w:tc>
          <w:tcPr>
            <w:tcW w:w="994" w:type="dxa"/>
          </w:tcPr>
          <w:p>
            <w:pPr>
              <w:pStyle w:val="TableParagraph"/>
              <w:spacing w:before="51"/>
              <w:ind w:left="0" w:right="201"/>
              <w:jc w:val="right"/>
              <w:rPr>
                <w:sz w:val="22"/>
              </w:rPr>
            </w:pPr>
            <w:r>
              <w:rPr>
                <w:sz w:val="22"/>
              </w:rPr>
              <w:t>15</w:t>
            </w:r>
          </w:p>
        </w:tc>
      </w:tr>
      <w:tr>
        <w:trPr>
          <w:trHeight w:val="386" w:hRule="exact"/>
        </w:trPr>
        <w:tc>
          <w:tcPr>
            <w:tcW w:w="7922" w:type="dxa"/>
          </w:tcPr>
          <w:p>
            <w:pPr>
              <w:pStyle w:val="TableParagraph"/>
              <w:spacing w:before="59"/>
              <w:ind w:left="1191" w:right="633"/>
              <w:rPr>
                <w:sz w:val="22"/>
              </w:rPr>
            </w:pPr>
            <w:r>
              <w:rPr>
                <w:sz w:val="22"/>
              </w:rPr>
              <w:t>1.1.a. El “ciclo de urbanización”</w:t>
            </w:r>
          </w:p>
        </w:tc>
        <w:tc>
          <w:tcPr>
            <w:tcW w:w="994" w:type="dxa"/>
          </w:tcPr>
          <w:p>
            <w:pPr>
              <w:pStyle w:val="TableParagraph"/>
              <w:spacing w:before="59"/>
              <w:ind w:left="0" w:right="201"/>
              <w:jc w:val="right"/>
              <w:rPr>
                <w:sz w:val="22"/>
              </w:rPr>
            </w:pPr>
            <w:r>
              <w:rPr>
                <w:sz w:val="22"/>
              </w:rPr>
              <w:t>16</w:t>
            </w:r>
          </w:p>
        </w:tc>
      </w:tr>
      <w:tr>
        <w:trPr>
          <w:trHeight w:val="472" w:hRule="exact"/>
        </w:trPr>
        <w:tc>
          <w:tcPr>
            <w:tcW w:w="7922" w:type="dxa"/>
          </w:tcPr>
          <w:p>
            <w:pPr>
              <w:pStyle w:val="TableParagraph"/>
              <w:spacing w:before="51"/>
              <w:ind w:left="1191" w:right="633"/>
              <w:rPr>
                <w:sz w:val="22"/>
              </w:rPr>
            </w:pPr>
            <w:r>
              <w:rPr>
                <w:sz w:val="22"/>
              </w:rPr>
              <w:t>1.1.b. Las "etapas del crecimiento metropolitano</w:t>
            </w:r>
          </w:p>
        </w:tc>
        <w:tc>
          <w:tcPr>
            <w:tcW w:w="994" w:type="dxa"/>
          </w:tcPr>
          <w:p>
            <w:pPr>
              <w:pStyle w:val="TableParagraph"/>
              <w:spacing w:before="51"/>
              <w:ind w:left="0" w:right="201"/>
              <w:jc w:val="right"/>
              <w:rPr>
                <w:sz w:val="22"/>
              </w:rPr>
            </w:pPr>
            <w:r>
              <w:rPr>
                <w:sz w:val="22"/>
              </w:rPr>
              <w:t>20</w:t>
            </w:r>
          </w:p>
        </w:tc>
      </w:tr>
      <w:tr>
        <w:trPr>
          <w:trHeight w:val="485" w:hRule="exact"/>
        </w:trPr>
        <w:tc>
          <w:tcPr>
            <w:tcW w:w="7922" w:type="dxa"/>
          </w:tcPr>
          <w:p>
            <w:pPr>
              <w:pStyle w:val="TableParagraph"/>
              <w:spacing w:before="144"/>
              <w:ind w:left="624" w:right="633"/>
              <w:rPr>
                <w:sz w:val="22"/>
              </w:rPr>
            </w:pPr>
            <w:r>
              <w:rPr>
                <w:sz w:val="22"/>
              </w:rPr>
              <w:t>1.2. El debate empírico de la urbanización de las metrópolis</w:t>
            </w:r>
          </w:p>
        </w:tc>
        <w:tc>
          <w:tcPr>
            <w:tcW w:w="994" w:type="dxa"/>
          </w:tcPr>
          <w:p>
            <w:pPr>
              <w:pStyle w:val="TableParagraph"/>
              <w:spacing w:before="144"/>
              <w:ind w:left="0" w:right="201"/>
              <w:jc w:val="right"/>
              <w:rPr>
                <w:sz w:val="22"/>
              </w:rPr>
            </w:pPr>
            <w:r>
              <w:rPr>
                <w:sz w:val="22"/>
              </w:rPr>
              <w:t>22</w:t>
            </w:r>
          </w:p>
        </w:tc>
      </w:tr>
      <w:tr>
        <w:trPr>
          <w:trHeight w:val="772" w:hRule="exact"/>
        </w:trPr>
        <w:tc>
          <w:tcPr>
            <w:tcW w:w="7922" w:type="dxa"/>
          </w:tcPr>
          <w:p>
            <w:pPr>
              <w:pStyle w:val="TableParagraph"/>
              <w:spacing w:line="360" w:lineRule="auto" w:before="65"/>
              <w:ind w:left="1191" w:right="718"/>
              <w:rPr>
                <w:sz w:val="22"/>
              </w:rPr>
            </w:pPr>
            <w:r>
              <w:rPr>
                <w:sz w:val="22"/>
              </w:rPr>
              <w:t>1.2.a. Concentración y suburbanización, siglo XV a mediados del XX</w:t>
            </w:r>
          </w:p>
        </w:tc>
        <w:tc>
          <w:tcPr>
            <w:tcW w:w="994" w:type="dxa"/>
          </w:tcPr>
          <w:p>
            <w:pPr>
              <w:pStyle w:val="TableParagraph"/>
              <w:spacing w:before="65"/>
              <w:ind w:left="0" w:right="201"/>
              <w:jc w:val="right"/>
              <w:rPr>
                <w:sz w:val="22"/>
              </w:rPr>
            </w:pPr>
            <w:r>
              <w:rPr>
                <w:sz w:val="22"/>
              </w:rPr>
              <w:t>22</w:t>
            </w:r>
          </w:p>
        </w:tc>
      </w:tr>
      <w:tr>
        <w:trPr>
          <w:trHeight w:val="379" w:hRule="exact"/>
        </w:trPr>
        <w:tc>
          <w:tcPr>
            <w:tcW w:w="7922" w:type="dxa"/>
          </w:tcPr>
          <w:p>
            <w:pPr>
              <w:pStyle w:val="TableParagraph"/>
              <w:spacing w:before="51"/>
              <w:ind w:left="1191" w:right="633"/>
              <w:rPr>
                <w:sz w:val="22"/>
              </w:rPr>
            </w:pPr>
            <w:r>
              <w:rPr>
                <w:sz w:val="22"/>
              </w:rPr>
              <w:t>1.2.b. Desurbanización, años setenta del siglo XX</w:t>
            </w:r>
          </w:p>
        </w:tc>
        <w:tc>
          <w:tcPr>
            <w:tcW w:w="994" w:type="dxa"/>
          </w:tcPr>
          <w:p>
            <w:pPr>
              <w:pStyle w:val="TableParagraph"/>
              <w:spacing w:before="51"/>
              <w:ind w:left="0" w:right="201"/>
              <w:jc w:val="right"/>
              <w:rPr>
                <w:sz w:val="22"/>
              </w:rPr>
            </w:pPr>
            <w:r>
              <w:rPr>
                <w:sz w:val="22"/>
              </w:rPr>
              <w:t>28</w:t>
            </w:r>
          </w:p>
        </w:tc>
      </w:tr>
      <w:tr>
        <w:trPr>
          <w:trHeight w:val="468" w:hRule="exact"/>
        </w:trPr>
        <w:tc>
          <w:tcPr>
            <w:tcW w:w="7922" w:type="dxa"/>
          </w:tcPr>
          <w:p>
            <w:pPr>
              <w:pStyle w:val="TableParagraph"/>
              <w:spacing w:before="51"/>
              <w:ind w:left="1191" w:right="633"/>
              <w:rPr>
                <w:sz w:val="22"/>
              </w:rPr>
            </w:pPr>
            <w:r>
              <w:rPr>
                <w:sz w:val="22"/>
              </w:rPr>
              <w:t>1.2 y estructura policéntrica, principios del siglo XXI</w:t>
            </w:r>
          </w:p>
        </w:tc>
        <w:tc>
          <w:tcPr>
            <w:tcW w:w="994" w:type="dxa"/>
          </w:tcPr>
          <w:p>
            <w:pPr>
              <w:pStyle w:val="TableParagraph"/>
              <w:spacing w:before="51"/>
              <w:ind w:left="0" w:right="201"/>
              <w:jc w:val="right"/>
              <w:rPr>
                <w:sz w:val="22"/>
              </w:rPr>
            </w:pPr>
            <w:r>
              <w:rPr>
                <w:sz w:val="22"/>
              </w:rPr>
              <w:t>32</w:t>
            </w:r>
          </w:p>
        </w:tc>
      </w:tr>
      <w:tr>
        <w:trPr>
          <w:trHeight w:val="1001" w:hRule="exact"/>
        </w:trPr>
        <w:tc>
          <w:tcPr>
            <w:tcW w:w="7922" w:type="dxa"/>
          </w:tcPr>
          <w:p>
            <w:pPr>
              <w:pStyle w:val="TableParagraph"/>
              <w:spacing w:line="360" w:lineRule="auto" w:before="140"/>
              <w:ind w:left="1191" w:right="1651" w:hanging="567"/>
              <w:rPr>
                <w:sz w:val="22"/>
              </w:rPr>
            </w:pPr>
            <w:r>
              <w:rPr>
                <w:sz w:val="22"/>
              </w:rPr>
              <w:t>1.3. Conclusión. Esquema conceptual que acompaña a la investigación</w:t>
            </w:r>
          </w:p>
        </w:tc>
        <w:tc>
          <w:tcPr>
            <w:tcW w:w="994" w:type="dxa"/>
          </w:tcPr>
          <w:p>
            <w:pPr>
              <w:pStyle w:val="TableParagraph"/>
              <w:spacing w:before="140"/>
              <w:ind w:left="0" w:right="201"/>
              <w:jc w:val="right"/>
              <w:rPr>
                <w:sz w:val="22"/>
              </w:rPr>
            </w:pPr>
            <w:r>
              <w:rPr>
                <w:sz w:val="22"/>
              </w:rPr>
              <w:t>37</w:t>
            </w:r>
          </w:p>
        </w:tc>
      </w:tr>
      <w:tr>
        <w:trPr>
          <w:trHeight w:val="707" w:hRule="exact"/>
        </w:trPr>
        <w:tc>
          <w:tcPr>
            <w:tcW w:w="7922" w:type="dxa"/>
          </w:tcPr>
          <w:p>
            <w:pPr>
              <w:pStyle w:val="TableParagraph"/>
              <w:spacing w:before="9"/>
              <w:ind w:left="0"/>
              <w:rPr>
                <w:b/>
                <w:sz w:val="17"/>
              </w:rPr>
            </w:pPr>
          </w:p>
          <w:p>
            <w:pPr>
              <w:pStyle w:val="TableParagraph"/>
              <w:spacing w:before="1"/>
              <w:ind w:left="200" w:right="633"/>
              <w:rPr>
                <w:sz w:val="22"/>
              </w:rPr>
            </w:pPr>
            <w:r>
              <w:rPr>
                <w:sz w:val="22"/>
              </w:rPr>
              <w:t>Capítulo II. Metodologías y medición de la evolución de las metrópolis</w:t>
            </w:r>
          </w:p>
        </w:tc>
        <w:tc>
          <w:tcPr>
            <w:tcW w:w="994" w:type="dxa"/>
          </w:tcPr>
          <w:p>
            <w:pPr>
              <w:pStyle w:val="TableParagraph"/>
              <w:spacing w:before="9"/>
              <w:ind w:left="0"/>
              <w:rPr>
                <w:b/>
                <w:sz w:val="17"/>
              </w:rPr>
            </w:pPr>
          </w:p>
          <w:p>
            <w:pPr>
              <w:pStyle w:val="TableParagraph"/>
              <w:spacing w:before="1"/>
              <w:ind w:left="0" w:right="201"/>
              <w:jc w:val="right"/>
              <w:rPr>
                <w:sz w:val="22"/>
              </w:rPr>
            </w:pPr>
            <w:r>
              <w:rPr>
                <w:sz w:val="22"/>
              </w:rPr>
              <w:t>40</w:t>
            </w:r>
          </w:p>
        </w:tc>
      </w:tr>
      <w:tr>
        <w:trPr>
          <w:trHeight w:val="743" w:hRule="exact"/>
        </w:trPr>
        <w:tc>
          <w:tcPr>
            <w:tcW w:w="7922" w:type="dxa"/>
          </w:tcPr>
          <w:p>
            <w:pPr>
              <w:pStyle w:val="TableParagraph"/>
              <w:spacing w:before="7"/>
              <w:ind w:left="0"/>
              <w:rPr>
                <w:b/>
                <w:sz w:val="19"/>
              </w:rPr>
            </w:pPr>
          </w:p>
          <w:p>
            <w:pPr>
              <w:pStyle w:val="TableParagraph"/>
              <w:ind w:left="624" w:right="1077"/>
              <w:rPr>
                <w:sz w:val="22"/>
              </w:rPr>
            </w:pPr>
            <w:r>
              <w:rPr>
                <w:sz w:val="22"/>
              </w:rPr>
              <w:t>2.1. Zonas y regiones metropolitanas, según cambio de modelo económico</w:t>
            </w:r>
          </w:p>
        </w:tc>
        <w:tc>
          <w:tcPr>
            <w:tcW w:w="994" w:type="dxa"/>
          </w:tcPr>
          <w:p>
            <w:pPr>
              <w:pStyle w:val="TableParagraph"/>
              <w:spacing w:before="7"/>
              <w:ind w:left="0"/>
              <w:rPr>
                <w:b/>
                <w:sz w:val="19"/>
              </w:rPr>
            </w:pPr>
          </w:p>
          <w:p>
            <w:pPr>
              <w:pStyle w:val="TableParagraph"/>
              <w:ind w:left="0" w:right="201"/>
              <w:jc w:val="right"/>
              <w:rPr>
                <w:sz w:val="22"/>
              </w:rPr>
            </w:pPr>
            <w:r>
              <w:rPr>
                <w:sz w:val="22"/>
              </w:rPr>
              <w:t>41</w:t>
            </w:r>
          </w:p>
        </w:tc>
      </w:tr>
      <w:tr>
        <w:trPr>
          <w:trHeight w:val="317" w:hRule="exact"/>
        </w:trPr>
        <w:tc>
          <w:tcPr>
            <w:tcW w:w="7922" w:type="dxa"/>
          </w:tcPr>
          <w:p>
            <w:pPr>
              <w:pStyle w:val="TableParagraph"/>
              <w:spacing w:line="242" w:lineRule="exact"/>
              <w:ind w:left="624" w:right="633"/>
              <w:rPr>
                <w:sz w:val="22"/>
              </w:rPr>
            </w:pPr>
            <w:r>
              <w:rPr>
                <w:sz w:val="22"/>
              </w:rPr>
              <w:t>2.2. Casos de reorganización de zonas y regiones urbanas</w:t>
            </w:r>
          </w:p>
        </w:tc>
        <w:tc>
          <w:tcPr>
            <w:tcW w:w="994" w:type="dxa"/>
          </w:tcPr>
          <w:p>
            <w:pPr>
              <w:pStyle w:val="TableParagraph"/>
              <w:spacing w:line="242" w:lineRule="exact"/>
              <w:ind w:left="0" w:right="201"/>
              <w:jc w:val="right"/>
              <w:rPr>
                <w:sz w:val="22"/>
              </w:rPr>
            </w:pPr>
            <w:r>
              <w:rPr>
                <w:sz w:val="22"/>
              </w:rPr>
              <w:t>46</w:t>
            </w:r>
          </w:p>
        </w:tc>
      </w:tr>
      <w:tr>
        <w:trPr>
          <w:trHeight w:val="713" w:hRule="exact"/>
        </w:trPr>
        <w:tc>
          <w:tcPr>
            <w:tcW w:w="7922" w:type="dxa"/>
          </w:tcPr>
          <w:p>
            <w:pPr>
              <w:pStyle w:val="TableParagraph"/>
              <w:spacing w:before="51"/>
              <w:ind w:left="624"/>
              <w:rPr>
                <w:sz w:val="22"/>
              </w:rPr>
            </w:pPr>
            <w:r>
              <w:rPr>
                <w:sz w:val="22"/>
              </w:rPr>
              <w:t>2.3. Conclusión. La metodología de la desurbanización metropolitana</w:t>
            </w:r>
          </w:p>
        </w:tc>
        <w:tc>
          <w:tcPr>
            <w:tcW w:w="994" w:type="dxa"/>
          </w:tcPr>
          <w:p>
            <w:pPr>
              <w:pStyle w:val="TableParagraph"/>
              <w:spacing w:before="51"/>
              <w:ind w:left="0" w:right="201"/>
              <w:jc w:val="right"/>
              <w:rPr>
                <w:sz w:val="22"/>
              </w:rPr>
            </w:pPr>
            <w:r>
              <w:rPr>
                <w:sz w:val="22"/>
              </w:rPr>
              <w:t>50</w:t>
            </w:r>
          </w:p>
        </w:tc>
      </w:tr>
      <w:tr>
        <w:trPr>
          <w:trHeight w:val="1238" w:hRule="exact"/>
        </w:trPr>
        <w:tc>
          <w:tcPr>
            <w:tcW w:w="7922" w:type="dxa"/>
          </w:tcPr>
          <w:p>
            <w:pPr>
              <w:pStyle w:val="TableParagraph"/>
              <w:ind w:left="0"/>
              <w:rPr>
                <w:b/>
                <w:sz w:val="22"/>
              </w:rPr>
            </w:pPr>
          </w:p>
          <w:p>
            <w:pPr>
              <w:pStyle w:val="TableParagraph"/>
              <w:spacing w:line="360" w:lineRule="auto" w:before="132"/>
              <w:ind w:left="200" w:right="780"/>
              <w:rPr>
                <w:sz w:val="22"/>
              </w:rPr>
            </w:pPr>
            <w:r>
              <w:rPr>
                <w:sz w:val="22"/>
              </w:rPr>
              <w:t>Capítulo III. Comprensión y conceptualización de la metropolización en México y ciudad de Toluca</w:t>
            </w:r>
          </w:p>
        </w:tc>
        <w:tc>
          <w:tcPr>
            <w:tcW w:w="994" w:type="dxa"/>
          </w:tcPr>
          <w:p>
            <w:pPr>
              <w:pStyle w:val="TableParagraph"/>
              <w:ind w:left="0"/>
              <w:rPr>
                <w:b/>
                <w:sz w:val="22"/>
              </w:rPr>
            </w:pPr>
          </w:p>
          <w:p>
            <w:pPr>
              <w:pStyle w:val="TableParagraph"/>
              <w:spacing w:before="132"/>
              <w:ind w:left="0" w:right="201"/>
              <w:jc w:val="right"/>
              <w:rPr>
                <w:sz w:val="22"/>
              </w:rPr>
            </w:pPr>
            <w:r>
              <w:rPr>
                <w:sz w:val="22"/>
              </w:rPr>
              <w:t>55</w:t>
            </w:r>
          </w:p>
        </w:tc>
      </w:tr>
      <w:tr>
        <w:trPr>
          <w:trHeight w:val="526" w:hRule="exact"/>
        </w:trPr>
        <w:tc>
          <w:tcPr>
            <w:tcW w:w="7922" w:type="dxa"/>
          </w:tcPr>
          <w:p>
            <w:pPr>
              <w:pStyle w:val="TableParagraph"/>
              <w:spacing w:before="2"/>
              <w:ind w:left="0"/>
              <w:rPr>
                <w:b/>
                <w:sz w:val="17"/>
              </w:rPr>
            </w:pPr>
          </w:p>
          <w:p>
            <w:pPr>
              <w:pStyle w:val="TableParagraph"/>
              <w:ind w:left="624" w:right="633"/>
              <w:rPr>
                <w:sz w:val="22"/>
              </w:rPr>
            </w:pPr>
            <w:r>
              <w:rPr>
                <w:sz w:val="22"/>
              </w:rPr>
              <w:t>3.1. Corrientes y perspectivas en las últimas décadas del siglo XX</w:t>
            </w:r>
          </w:p>
        </w:tc>
        <w:tc>
          <w:tcPr>
            <w:tcW w:w="994" w:type="dxa"/>
          </w:tcPr>
          <w:p>
            <w:pPr>
              <w:pStyle w:val="TableParagraph"/>
              <w:spacing w:before="2"/>
              <w:ind w:left="0"/>
              <w:rPr>
                <w:b/>
                <w:sz w:val="17"/>
              </w:rPr>
            </w:pPr>
          </w:p>
          <w:p>
            <w:pPr>
              <w:pStyle w:val="TableParagraph"/>
              <w:ind w:left="0" w:right="201"/>
              <w:jc w:val="right"/>
              <w:rPr>
                <w:sz w:val="22"/>
              </w:rPr>
            </w:pPr>
            <w:r>
              <w:rPr>
                <w:sz w:val="22"/>
              </w:rPr>
              <w:t>56</w:t>
            </w:r>
          </w:p>
        </w:tc>
      </w:tr>
      <w:tr>
        <w:trPr>
          <w:trHeight w:val="379" w:hRule="exact"/>
        </w:trPr>
        <w:tc>
          <w:tcPr>
            <w:tcW w:w="7922" w:type="dxa"/>
          </w:tcPr>
          <w:p>
            <w:pPr>
              <w:pStyle w:val="TableParagraph"/>
              <w:spacing w:before="52"/>
              <w:ind w:left="624" w:right="633"/>
              <w:rPr>
                <w:sz w:val="22"/>
              </w:rPr>
            </w:pPr>
            <w:r>
              <w:rPr>
                <w:sz w:val="22"/>
              </w:rPr>
              <w:t>3.2. Construcción conceptual y empírica a inicios del siglo XXI</w:t>
            </w:r>
          </w:p>
        </w:tc>
        <w:tc>
          <w:tcPr>
            <w:tcW w:w="994" w:type="dxa"/>
          </w:tcPr>
          <w:p>
            <w:pPr>
              <w:pStyle w:val="TableParagraph"/>
              <w:spacing w:before="52"/>
              <w:ind w:left="0" w:right="201"/>
              <w:jc w:val="right"/>
              <w:rPr>
                <w:sz w:val="22"/>
              </w:rPr>
            </w:pPr>
            <w:r>
              <w:rPr>
                <w:sz w:val="22"/>
              </w:rPr>
              <w:t>63</w:t>
            </w:r>
          </w:p>
        </w:tc>
      </w:tr>
      <w:tr>
        <w:trPr>
          <w:trHeight w:val="379" w:hRule="exact"/>
        </w:trPr>
        <w:tc>
          <w:tcPr>
            <w:tcW w:w="7922" w:type="dxa"/>
          </w:tcPr>
          <w:p>
            <w:pPr>
              <w:pStyle w:val="TableParagraph"/>
              <w:spacing w:before="51"/>
              <w:ind w:left="624" w:right="633"/>
              <w:rPr>
                <w:sz w:val="22"/>
              </w:rPr>
            </w:pPr>
            <w:r>
              <w:rPr>
                <w:sz w:val="22"/>
              </w:rPr>
              <w:t>3.3. Las variables presentes</w:t>
            </w:r>
          </w:p>
        </w:tc>
        <w:tc>
          <w:tcPr>
            <w:tcW w:w="994" w:type="dxa"/>
          </w:tcPr>
          <w:p>
            <w:pPr>
              <w:pStyle w:val="TableParagraph"/>
              <w:spacing w:before="51"/>
              <w:ind w:left="0" w:right="201"/>
              <w:jc w:val="right"/>
              <w:rPr>
                <w:sz w:val="22"/>
              </w:rPr>
            </w:pPr>
            <w:r>
              <w:rPr>
                <w:sz w:val="22"/>
              </w:rPr>
              <w:t>67</w:t>
            </w:r>
          </w:p>
        </w:tc>
      </w:tr>
      <w:tr>
        <w:trPr>
          <w:trHeight w:val="300" w:hRule="exact"/>
        </w:trPr>
        <w:tc>
          <w:tcPr>
            <w:tcW w:w="7922" w:type="dxa"/>
          </w:tcPr>
          <w:p>
            <w:pPr>
              <w:pStyle w:val="TableParagraph"/>
              <w:spacing w:before="51"/>
              <w:ind w:left="624" w:right="633"/>
              <w:rPr>
                <w:sz w:val="22"/>
              </w:rPr>
            </w:pPr>
            <w:r>
              <w:rPr>
                <w:sz w:val="22"/>
              </w:rPr>
              <w:t>3.4 Conclusión. Metodología para el estudio de la desurbanización</w:t>
            </w:r>
          </w:p>
        </w:tc>
        <w:tc>
          <w:tcPr>
            <w:tcW w:w="994" w:type="dxa"/>
          </w:tcPr>
          <w:p>
            <w:pPr>
              <w:pStyle w:val="TableParagraph"/>
              <w:spacing w:before="51"/>
              <w:ind w:left="0" w:right="201"/>
              <w:jc w:val="right"/>
              <w:rPr>
                <w:sz w:val="22"/>
              </w:rPr>
            </w:pPr>
            <w:r>
              <w:rPr>
                <w:sz w:val="22"/>
              </w:rPr>
              <w:t>71</w:t>
            </w:r>
          </w:p>
        </w:tc>
      </w:tr>
    </w:tbl>
    <w:p>
      <w:pPr>
        <w:spacing w:after="0"/>
        <w:jc w:val="right"/>
        <w:rPr>
          <w:sz w:val="22"/>
        </w:rPr>
        <w:sectPr>
          <w:pgSz w:w="12240" w:h="15840"/>
          <w:pgMar w:top="1360" w:bottom="280" w:left="1540" w:right="1580"/>
        </w:sectPr>
      </w:pPr>
    </w:p>
    <w:tbl>
      <w:tblPr>
        <w:tblW w:w="0" w:type="auto"/>
        <w:jc w:val="left"/>
        <w:tblInd w:w="102"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8074"/>
        <w:gridCol w:w="982"/>
      </w:tblGrid>
      <w:tr>
        <w:trPr>
          <w:trHeight w:val="301" w:hRule="exact"/>
        </w:trPr>
        <w:tc>
          <w:tcPr>
            <w:tcW w:w="8074" w:type="dxa"/>
          </w:tcPr>
          <w:p>
            <w:pPr/>
          </w:p>
        </w:tc>
        <w:tc>
          <w:tcPr>
            <w:tcW w:w="982" w:type="dxa"/>
          </w:tcPr>
          <w:p>
            <w:pPr>
              <w:pStyle w:val="TableParagraph"/>
              <w:spacing w:line="226" w:lineRule="exact"/>
              <w:ind w:left="0" w:right="198"/>
              <w:jc w:val="right"/>
              <w:rPr>
                <w:sz w:val="22"/>
              </w:rPr>
            </w:pPr>
            <w:r>
              <w:rPr>
                <w:sz w:val="22"/>
              </w:rPr>
              <w:t>Pág.</w:t>
            </w:r>
          </w:p>
        </w:tc>
      </w:tr>
      <w:tr>
        <w:trPr>
          <w:trHeight w:val="969" w:hRule="exact"/>
        </w:trPr>
        <w:tc>
          <w:tcPr>
            <w:tcW w:w="8074" w:type="dxa"/>
          </w:tcPr>
          <w:p>
            <w:pPr>
              <w:pStyle w:val="TableParagraph"/>
              <w:spacing w:line="360" w:lineRule="auto" w:before="53"/>
              <w:ind w:left="200" w:right="461"/>
              <w:rPr>
                <w:sz w:val="22"/>
              </w:rPr>
            </w:pPr>
            <w:r>
              <w:rPr>
                <w:sz w:val="22"/>
              </w:rPr>
              <w:t>Capítulo IV. Zona Metropolitana de Toluca. Transición y transformación de su configuración, 1990 – 2010</w:t>
            </w:r>
          </w:p>
        </w:tc>
        <w:tc>
          <w:tcPr>
            <w:tcW w:w="982" w:type="dxa"/>
          </w:tcPr>
          <w:p>
            <w:pPr>
              <w:pStyle w:val="TableParagraph"/>
              <w:ind w:left="0"/>
              <w:rPr>
                <w:b/>
                <w:sz w:val="22"/>
              </w:rPr>
            </w:pPr>
          </w:p>
          <w:p>
            <w:pPr>
              <w:pStyle w:val="TableParagraph"/>
              <w:spacing w:before="179"/>
              <w:ind w:left="0" w:right="201"/>
              <w:jc w:val="right"/>
              <w:rPr>
                <w:sz w:val="22"/>
              </w:rPr>
            </w:pPr>
            <w:r>
              <w:rPr>
                <w:sz w:val="22"/>
              </w:rPr>
              <w:t>74</w:t>
            </w:r>
          </w:p>
        </w:tc>
      </w:tr>
      <w:tr>
        <w:trPr>
          <w:trHeight w:val="704" w:hRule="exact"/>
        </w:trPr>
        <w:tc>
          <w:tcPr>
            <w:tcW w:w="8074" w:type="dxa"/>
          </w:tcPr>
          <w:p>
            <w:pPr>
              <w:pStyle w:val="TableParagraph"/>
              <w:spacing w:before="7"/>
              <w:ind w:left="0"/>
              <w:rPr>
                <w:b/>
                <w:sz w:val="22"/>
              </w:rPr>
            </w:pPr>
          </w:p>
          <w:p>
            <w:pPr>
              <w:pStyle w:val="TableParagraph"/>
              <w:ind w:left="766" w:right="461"/>
              <w:rPr>
                <w:sz w:val="22"/>
              </w:rPr>
            </w:pPr>
            <w:r>
              <w:rPr>
                <w:sz w:val="22"/>
              </w:rPr>
              <w:t>4.1. Criterios metodológicos</w:t>
            </w:r>
          </w:p>
        </w:tc>
        <w:tc>
          <w:tcPr>
            <w:tcW w:w="982" w:type="dxa"/>
          </w:tcPr>
          <w:p>
            <w:pPr>
              <w:pStyle w:val="TableParagraph"/>
              <w:spacing w:before="7"/>
              <w:ind w:left="0"/>
              <w:rPr>
                <w:b/>
                <w:sz w:val="22"/>
              </w:rPr>
            </w:pPr>
          </w:p>
          <w:p>
            <w:pPr>
              <w:pStyle w:val="TableParagraph"/>
              <w:ind w:left="0" w:right="201"/>
              <w:jc w:val="right"/>
              <w:rPr>
                <w:sz w:val="22"/>
              </w:rPr>
            </w:pPr>
            <w:r>
              <w:rPr>
                <w:sz w:val="22"/>
              </w:rPr>
              <w:t>75</w:t>
            </w:r>
          </w:p>
        </w:tc>
      </w:tr>
      <w:tr>
        <w:trPr>
          <w:trHeight w:val="886" w:hRule="exact"/>
        </w:trPr>
        <w:tc>
          <w:tcPr>
            <w:tcW w:w="8074" w:type="dxa"/>
          </w:tcPr>
          <w:p>
            <w:pPr>
              <w:pStyle w:val="TableParagraph"/>
              <w:spacing w:line="360" w:lineRule="auto" w:before="168"/>
              <w:ind w:left="766" w:right="1064"/>
              <w:rPr>
                <w:sz w:val="22"/>
              </w:rPr>
            </w:pPr>
            <w:r>
              <w:rPr>
                <w:sz w:val="22"/>
              </w:rPr>
              <w:t>4.2. Estructura interna metropolitana de la ZMT. Evolución de la suburbanización y surgimiento de la desurbanización</w:t>
            </w:r>
          </w:p>
        </w:tc>
        <w:tc>
          <w:tcPr>
            <w:tcW w:w="982" w:type="dxa"/>
          </w:tcPr>
          <w:p>
            <w:pPr>
              <w:pStyle w:val="TableParagraph"/>
              <w:spacing w:before="168"/>
              <w:ind w:left="0" w:right="201"/>
              <w:jc w:val="right"/>
              <w:rPr>
                <w:sz w:val="22"/>
              </w:rPr>
            </w:pPr>
            <w:r>
              <w:rPr>
                <w:sz w:val="22"/>
              </w:rPr>
              <w:t>81</w:t>
            </w:r>
          </w:p>
        </w:tc>
      </w:tr>
      <w:tr>
        <w:trPr>
          <w:trHeight w:val="848" w:hRule="exact"/>
        </w:trPr>
        <w:tc>
          <w:tcPr>
            <w:tcW w:w="8074" w:type="dxa"/>
          </w:tcPr>
          <w:p>
            <w:pPr>
              <w:pStyle w:val="TableParagraph"/>
              <w:spacing w:line="360" w:lineRule="auto" w:before="62"/>
              <w:ind w:left="1332" w:right="2026"/>
              <w:rPr>
                <w:sz w:val="22"/>
              </w:rPr>
            </w:pPr>
            <w:r>
              <w:rPr>
                <w:sz w:val="22"/>
              </w:rPr>
              <w:t>4.2.1. Concentración urbana y maduración de la suburbanización, finales del siglo XX</w:t>
            </w:r>
          </w:p>
        </w:tc>
        <w:tc>
          <w:tcPr>
            <w:tcW w:w="982" w:type="dxa"/>
          </w:tcPr>
          <w:p>
            <w:pPr>
              <w:pStyle w:val="TableParagraph"/>
              <w:spacing w:before="62"/>
              <w:ind w:left="0" w:right="201"/>
              <w:jc w:val="right"/>
              <w:rPr>
                <w:sz w:val="22"/>
              </w:rPr>
            </w:pPr>
            <w:r>
              <w:rPr>
                <w:sz w:val="22"/>
              </w:rPr>
              <w:t>81</w:t>
            </w:r>
          </w:p>
        </w:tc>
      </w:tr>
      <w:tr>
        <w:trPr>
          <w:trHeight w:val="498" w:hRule="exact"/>
        </w:trPr>
        <w:tc>
          <w:tcPr>
            <w:tcW w:w="8074" w:type="dxa"/>
          </w:tcPr>
          <w:p>
            <w:pPr>
              <w:pStyle w:val="TableParagraph"/>
              <w:spacing w:before="130"/>
              <w:ind w:left="766" w:right="461"/>
              <w:rPr>
                <w:sz w:val="22"/>
              </w:rPr>
            </w:pPr>
            <w:r>
              <w:rPr>
                <w:sz w:val="22"/>
              </w:rPr>
              <w:t>4.3. Interrelaciones funcionales de la ZMT</w:t>
            </w:r>
          </w:p>
        </w:tc>
        <w:tc>
          <w:tcPr>
            <w:tcW w:w="982" w:type="dxa"/>
          </w:tcPr>
          <w:p>
            <w:pPr>
              <w:pStyle w:val="TableParagraph"/>
              <w:spacing w:before="130"/>
              <w:ind w:left="0" w:right="201"/>
              <w:jc w:val="right"/>
              <w:rPr>
                <w:sz w:val="22"/>
              </w:rPr>
            </w:pPr>
            <w:r>
              <w:rPr>
                <w:sz w:val="22"/>
              </w:rPr>
              <w:t>104</w:t>
            </w:r>
          </w:p>
        </w:tc>
      </w:tr>
      <w:tr>
        <w:trPr>
          <w:trHeight w:val="800" w:hRule="exact"/>
        </w:trPr>
        <w:tc>
          <w:tcPr>
            <w:tcW w:w="8074" w:type="dxa"/>
          </w:tcPr>
          <w:p>
            <w:pPr>
              <w:pStyle w:val="TableParagraph"/>
              <w:spacing w:line="360" w:lineRule="auto" w:before="92"/>
              <w:ind w:left="1332" w:right="595"/>
              <w:rPr>
                <w:sz w:val="22"/>
              </w:rPr>
            </w:pPr>
            <w:r>
              <w:rPr>
                <w:sz w:val="22"/>
              </w:rPr>
              <w:t>4.3.1. Movimientos de población residencia – trabajo y alcance funcional de la ZMT en la actualidad</w:t>
            </w:r>
          </w:p>
        </w:tc>
        <w:tc>
          <w:tcPr>
            <w:tcW w:w="982" w:type="dxa"/>
          </w:tcPr>
          <w:p>
            <w:pPr>
              <w:pStyle w:val="TableParagraph"/>
              <w:spacing w:before="92"/>
              <w:ind w:left="0" w:right="201"/>
              <w:jc w:val="right"/>
              <w:rPr>
                <w:sz w:val="22"/>
              </w:rPr>
            </w:pPr>
            <w:r>
              <w:rPr>
                <w:sz w:val="22"/>
              </w:rPr>
              <w:t>105</w:t>
            </w:r>
          </w:p>
        </w:tc>
      </w:tr>
      <w:tr>
        <w:trPr>
          <w:trHeight w:val="461" w:hRule="exact"/>
        </w:trPr>
        <w:tc>
          <w:tcPr>
            <w:tcW w:w="8074" w:type="dxa"/>
          </w:tcPr>
          <w:p>
            <w:pPr>
              <w:pStyle w:val="TableParagraph"/>
              <w:spacing w:before="53"/>
              <w:ind w:left="766" w:right="461"/>
              <w:rPr>
                <w:sz w:val="22"/>
              </w:rPr>
            </w:pPr>
            <w:r>
              <w:rPr>
                <w:sz w:val="22"/>
              </w:rPr>
              <w:t>4.4 Impactos en la estructura territorial</w:t>
            </w:r>
          </w:p>
        </w:tc>
        <w:tc>
          <w:tcPr>
            <w:tcW w:w="982" w:type="dxa"/>
          </w:tcPr>
          <w:p>
            <w:pPr>
              <w:pStyle w:val="TableParagraph"/>
              <w:spacing w:before="53"/>
              <w:ind w:left="0" w:right="201"/>
              <w:jc w:val="right"/>
              <w:rPr>
                <w:sz w:val="22"/>
              </w:rPr>
            </w:pPr>
            <w:r>
              <w:rPr>
                <w:sz w:val="22"/>
              </w:rPr>
              <w:t>118</w:t>
            </w:r>
          </w:p>
        </w:tc>
      </w:tr>
      <w:tr>
        <w:trPr>
          <w:trHeight w:val="540" w:hRule="exact"/>
        </w:trPr>
        <w:tc>
          <w:tcPr>
            <w:tcW w:w="8074" w:type="dxa"/>
          </w:tcPr>
          <w:p>
            <w:pPr>
              <w:pStyle w:val="TableParagraph"/>
              <w:spacing w:before="132"/>
              <w:ind w:left="1332" w:right="461"/>
              <w:rPr>
                <w:sz w:val="22"/>
              </w:rPr>
            </w:pPr>
            <w:r>
              <w:rPr>
                <w:sz w:val="22"/>
              </w:rPr>
              <w:t>4.4.1 impactos en el uso de suelo del siglo XX</w:t>
            </w:r>
          </w:p>
        </w:tc>
        <w:tc>
          <w:tcPr>
            <w:tcW w:w="982" w:type="dxa"/>
          </w:tcPr>
          <w:p>
            <w:pPr>
              <w:pStyle w:val="TableParagraph"/>
              <w:spacing w:before="132"/>
              <w:ind w:left="0" w:right="201"/>
              <w:jc w:val="right"/>
              <w:rPr>
                <w:sz w:val="22"/>
              </w:rPr>
            </w:pPr>
            <w:r>
              <w:rPr>
                <w:sz w:val="22"/>
              </w:rPr>
              <w:t>118</w:t>
            </w:r>
          </w:p>
        </w:tc>
      </w:tr>
      <w:tr>
        <w:trPr>
          <w:trHeight w:val="541" w:hRule="exact"/>
        </w:trPr>
        <w:tc>
          <w:tcPr>
            <w:tcW w:w="8074" w:type="dxa"/>
          </w:tcPr>
          <w:p>
            <w:pPr>
              <w:pStyle w:val="TableParagraph"/>
              <w:spacing w:before="132"/>
              <w:ind w:left="1332" w:right="461"/>
              <w:rPr>
                <w:sz w:val="22"/>
              </w:rPr>
            </w:pPr>
            <w:r>
              <w:rPr>
                <w:sz w:val="22"/>
              </w:rPr>
              <w:t>4.4.2 Impactos en el uso de suelo del siglo XXI</w:t>
            </w:r>
          </w:p>
        </w:tc>
        <w:tc>
          <w:tcPr>
            <w:tcW w:w="982" w:type="dxa"/>
          </w:tcPr>
          <w:p>
            <w:pPr>
              <w:pStyle w:val="TableParagraph"/>
              <w:spacing w:before="132"/>
              <w:ind w:left="0" w:right="201"/>
              <w:jc w:val="right"/>
              <w:rPr>
                <w:sz w:val="22"/>
              </w:rPr>
            </w:pPr>
            <w:r>
              <w:rPr>
                <w:sz w:val="22"/>
              </w:rPr>
              <w:t>122</w:t>
            </w:r>
          </w:p>
        </w:tc>
      </w:tr>
      <w:tr>
        <w:trPr>
          <w:trHeight w:val="616" w:hRule="exact"/>
        </w:trPr>
        <w:tc>
          <w:tcPr>
            <w:tcW w:w="8074" w:type="dxa"/>
          </w:tcPr>
          <w:p>
            <w:pPr>
              <w:pStyle w:val="TableParagraph"/>
              <w:spacing w:before="133"/>
              <w:ind w:left="766" w:right="461"/>
              <w:rPr>
                <w:sz w:val="22"/>
              </w:rPr>
            </w:pPr>
            <w:r>
              <w:rPr>
                <w:sz w:val="22"/>
              </w:rPr>
              <w:t>4.5 Conclusión. Cambio y funcionamiento metropolitano</w:t>
            </w:r>
          </w:p>
        </w:tc>
        <w:tc>
          <w:tcPr>
            <w:tcW w:w="982" w:type="dxa"/>
          </w:tcPr>
          <w:p>
            <w:pPr>
              <w:pStyle w:val="TableParagraph"/>
              <w:spacing w:before="133"/>
              <w:ind w:left="0" w:right="201"/>
              <w:jc w:val="right"/>
              <w:rPr>
                <w:sz w:val="22"/>
              </w:rPr>
            </w:pPr>
            <w:r>
              <w:rPr>
                <w:sz w:val="22"/>
              </w:rPr>
              <w:t>125</w:t>
            </w:r>
          </w:p>
        </w:tc>
      </w:tr>
      <w:tr>
        <w:trPr>
          <w:trHeight w:val="1114" w:hRule="exact"/>
        </w:trPr>
        <w:tc>
          <w:tcPr>
            <w:tcW w:w="8074" w:type="dxa"/>
          </w:tcPr>
          <w:p>
            <w:pPr>
              <w:pStyle w:val="TableParagraph"/>
              <w:spacing w:before="11"/>
              <w:ind w:left="0"/>
              <w:rPr>
                <w:b/>
                <w:sz w:val="17"/>
              </w:rPr>
            </w:pPr>
          </w:p>
          <w:p>
            <w:pPr>
              <w:pStyle w:val="TableParagraph"/>
              <w:spacing w:line="360" w:lineRule="auto"/>
              <w:ind w:left="341" w:right="461"/>
              <w:rPr>
                <w:sz w:val="22"/>
              </w:rPr>
            </w:pPr>
            <w:r>
              <w:rPr>
                <w:sz w:val="22"/>
              </w:rPr>
              <w:t>Capítulo V. Análisis de resultados y discusión sobre la desurbanización de la ZMT</w:t>
            </w:r>
          </w:p>
        </w:tc>
        <w:tc>
          <w:tcPr>
            <w:tcW w:w="982" w:type="dxa"/>
          </w:tcPr>
          <w:p>
            <w:pPr>
              <w:pStyle w:val="TableParagraph"/>
              <w:ind w:left="0"/>
              <w:rPr>
                <w:b/>
                <w:sz w:val="22"/>
              </w:rPr>
            </w:pPr>
          </w:p>
          <w:p>
            <w:pPr>
              <w:pStyle w:val="TableParagraph"/>
              <w:spacing w:before="11"/>
              <w:ind w:left="0"/>
              <w:rPr>
                <w:b/>
                <w:sz w:val="28"/>
              </w:rPr>
            </w:pPr>
          </w:p>
          <w:p>
            <w:pPr>
              <w:pStyle w:val="TableParagraph"/>
              <w:ind w:left="0" w:right="201"/>
              <w:jc w:val="right"/>
              <w:rPr>
                <w:sz w:val="22"/>
              </w:rPr>
            </w:pPr>
            <w:r>
              <w:rPr>
                <w:sz w:val="22"/>
              </w:rPr>
              <w:t>129</w:t>
            </w:r>
          </w:p>
        </w:tc>
      </w:tr>
      <w:tr>
        <w:trPr>
          <w:trHeight w:val="620" w:hRule="exact"/>
        </w:trPr>
        <w:tc>
          <w:tcPr>
            <w:tcW w:w="8074" w:type="dxa"/>
          </w:tcPr>
          <w:p>
            <w:pPr>
              <w:pStyle w:val="TableParagraph"/>
              <w:spacing w:before="10"/>
              <w:ind w:left="0"/>
              <w:rPr>
                <w:b/>
                <w:sz w:val="21"/>
              </w:rPr>
            </w:pPr>
          </w:p>
          <w:p>
            <w:pPr>
              <w:pStyle w:val="TableParagraph"/>
              <w:ind w:left="766" w:right="461"/>
              <w:rPr>
                <w:sz w:val="22"/>
              </w:rPr>
            </w:pPr>
            <w:r>
              <w:rPr>
                <w:sz w:val="22"/>
              </w:rPr>
              <w:t>5.1. La hipótesis de la desurbanización</w:t>
            </w:r>
          </w:p>
        </w:tc>
        <w:tc>
          <w:tcPr>
            <w:tcW w:w="982" w:type="dxa"/>
          </w:tcPr>
          <w:p>
            <w:pPr>
              <w:pStyle w:val="TableParagraph"/>
              <w:spacing w:before="10"/>
              <w:ind w:left="0"/>
              <w:rPr>
                <w:b/>
                <w:sz w:val="21"/>
              </w:rPr>
            </w:pPr>
          </w:p>
          <w:p>
            <w:pPr>
              <w:pStyle w:val="TableParagraph"/>
              <w:ind w:left="0" w:right="201"/>
              <w:jc w:val="right"/>
              <w:rPr>
                <w:sz w:val="22"/>
              </w:rPr>
            </w:pPr>
            <w:r>
              <w:rPr>
                <w:sz w:val="22"/>
              </w:rPr>
              <w:t>130</w:t>
            </w:r>
          </w:p>
        </w:tc>
      </w:tr>
      <w:tr>
        <w:trPr>
          <w:trHeight w:val="632" w:hRule="exact"/>
        </w:trPr>
        <w:tc>
          <w:tcPr>
            <w:tcW w:w="8074" w:type="dxa"/>
          </w:tcPr>
          <w:p>
            <w:pPr>
              <w:pStyle w:val="TableParagraph"/>
              <w:spacing w:before="92"/>
              <w:ind w:left="766" w:right="461"/>
              <w:rPr>
                <w:sz w:val="22"/>
              </w:rPr>
            </w:pPr>
            <w:r>
              <w:rPr>
                <w:sz w:val="22"/>
              </w:rPr>
              <w:t>5.2. El cambio de escala por la amplitud de funcionamiento</w:t>
            </w:r>
          </w:p>
        </w:tc>
        <w:tc>
          <w:tcPr>
            <w:tcW w:w="982" w:type="dxa"/>
          </w:tcPr>
          <w:p>
            <w:pPr>
              <w:pStyle w:val="TableParagraph"/>
              <w:spacing w:before="92"/>
              <w:ind w:left="0" w:right="201"/>
              <w:jc w:val="right"/>
              <w:rPr>
                <w:sz w:val="22"/>
              </w:rPr>
            </w:pPr>
            <w:r>
              <w:rPr>
                <w:sz w:val="22"/>
              </w:rPr>
              <w:t>135</w:t>
            </w:r>
          </w:p>
        </w:tc>
      </w:tr>
      <w:tr>
        <w:trPr>
          <w:trHeight w:val="779" w:hRule="exact"/>
        </w:trPr>
        <w:tc>
          <w:tcPr>
            <w:tcW w:w="8074" w:type="dxa"/>
          </w:tcPr>
          <w:p>
            <w:pPr>
              <w:pStyle w:val="TableParagraph"/>
              <w:spacing w:before="11"/>
              <w:ind w:left="0"/>
              <w:rPr>
                <w:b/>
                <w:sz w:val="22"/>
              </w:rPr>
            </w:pPr>
          </w:p>
          <w:p>
            <w:pPr>
              <w:pStyle w:val="TableParagraph"/>
              <w:ind w:left="341" w:right="461"/>
              <w:rPr>
                <w:sz w:val="22"/>
              </w:rPr>
            </w:pPr>
            <w:r>
              <w:rPr>
                <w:sz w:val="22"/>
              </w:rPr>
              <w:t>Capítulo VI. Conclusiones generales y líneas de investigación</w:t>
            </w:r>
          </w:p>
        </w:tc>
        <w:tc>
          <w:tcPr>
            <w:tcW w:w="982" w:type="dxa"/>
          </w:tcPr>
          <w:p>
            <w:pPr>
              <w:pStyle w:val="TableParagraph"/>
              <w:spacing w:before="11"/>
              <w:ind w:left="0"/>
              <w:rPr>
                <w:b/>
                <w:sz w:val="22"/>
              </w:rPr>
            </w:pPr>
          </w:p>
          <w:p>
            <w:pPr>
              <w:pStyle w:val="TableParagraph"/>
              <w:ind w:left="0" w:right="201"/>
              <w:jc w:val="right"/>
              <w:rPr>
                <w:sz w:val="22"/>
              </w:rPr>
            </w:pPr>
            <w:r>
              <w:rPr>
                <w:sz w:val="22"/>
              </w:rPr>
              <w:t>140</w:t>
            </w:r>
          </w:p>
        </w:tc>
      </w:tr>
      <w:tr>
        <w:trPr>
          <w:trHeight w:val="655" w:hRule="exact"/>
        </w:trPr>
        <w:tc>
          <w:tcPr>
            <w:tcW w:w="8074" w:type="dxa"/>
          </w:tcPr>
          <w:p>
            <w:pPr>
              <w:pStyle w:val="TableParagraph"/>
              <w:spacing w:before="9"/>
              <w:ind w:left="0"/>
              <w:rPr>
                <w:b/>
                <w:sz w:val="20"/>
              </w:rPr>
            </w:pPr>
          </w:p>
          <w:p>
            <w:pPr>
              <w:pStyle w:val="TableParagraph"/>
              <w:ind w:left="766" w:right="461"/>
              <w:rPr>
                <w:sz w:val="22"/>
              </w:rPr>
            </w:pPr>
            <w:r>
              <w:rPr>
                <w:sz w:val="22"/>
              </w:rPr>
              <w:t>6.1 Reflexiones generales y propuesta metodológica</w:t>
            </w:r>
          </w:p>
        </w:tc>
        <w:tc>
          <w:tcPr>
            <w:tcW w:w="982" w:type="dxa"/>
          </w:tcPr>
          <w:p>
            <w:pPr>
              <w:pStyle w:val="TableParagraph"/>
              <w:spacing w:before="9"/>
              <w:ind w:left="0"/>
              <w:rPr>
                <w:b/>
                <w:sz w:val="20"/>
              </w:rPr>
            </w:pPr>
          </w:p>
          <w:p>
            <w:pPr>
              <w:pStyle w:val="TableParagraph"/>
              <w:ind w:left="0" w:right="201"/>
              <w:jc w:val="right"/>
              <w:rPr>
                <w:sz w:val="22"/>
              </w:rPr>
            </w:pPr>
            <w:r>
              <w:rPr>
                <w:sz w:val="22"/>
              </w:rPr>
              <w:t>141</w:t>
            </w:r>
          </w:p>
        </w:tc>
      </w:tr>
      <w:tr>
        <w:trPr>
          <w:trHeight w:val="558" w:hRule="exact"/>
        </w:trPr>
        <w:tc>
          <w:tcPr>
            <w:tcW w:w="8074" w:type="dxa"/>
          </w:tcPr>
          <w:p>
            <w:pPr>
              <w:pStyle w:val="TableParagraph"/>
              <w:spacing w:before="140"/>
              <w:ind w:left="766" w:right="461"/>
              <w:rPr>
                <w:sz w:val="22"/>
              </w:rPr>
            </w:pPr>
            <w:r>
              <w:rPr>
                <w:sz w:val="22"/>
              </w:rPr>
              <w:t>6.2 Impactos del proceso de expansión</w:t>
            </w:r>
          </w:p>
        </w:tc>
        <w:tc>
          <w:tcPr>
            <w:tcW w:w="982" w:type="dxa"/>
          </w:tcPr>
          <w:p>
            <w:pPr>
              <w:pStyle w:val="TableParagraph"/>
              <w:spacing w:before="140"/>
              <w:ind w:left="0" w:right="201"/>
              <w:jc w:val="right"/>
              <w:rPr>
                <w:sz w:val="22"/>
              </w:rPr>
            </w:pPr>
            <w:r>
              <w:rPr>
                <w:sz w:val="22"/>
              </w:rPr>
              <w:t>144</w:t>
            </w:r>
          </w:p>
        </w:tc>
      </w:tr>
      <w:tr>
        <w:trPr>
          <w:trHeight w:val="515" w:hRule="exact"/>
        </w:trPr>
        <w:tc>
          <w:tcPr>
            <w:tcW w:w="8074" w:type="dxa"/>
          </w:tcPr>
          <w:p>
            <w:pPr>
              <w:pStyle w:val="TableParagraph"/>
              <w:spacing w:before="141"/>
              <w:ind w:left="766" w:right="461"/>
              <w:rPr>
                <w:sz w:val="22"/>
              </w:rPr>
            </w:pPr>
            <w:r>
              <w:rPr>
                <w:sz w:val="22"/>
              </w:rPr>
              <w:t>6.3 Líneas de investigación.</w:t>
            </w:r>
          </w:p>
        </w:tc>
        <w:tc>
          <w:tcPr>
            <w:tcW w:w="982" w:type="dxa"/>
          </w:tcPr>
          <w:p>
            <w:pPr>
              <w:pStyle w:val="TableParagraph"/>
              <w:spacing w:before="141"/>
              <w:ind w:left="0" w:right="201"/>
              <w:jc w:val="right"/>
              <w:rPr>
                <w:sz w:val="22"/>
              </w:rPr>
            </w:pPr>
            <w:r>
              <w:rPr>
                <w:sz w:val="22"/>
              </w:rPr>
              <w:t>146</w:t>
            </w:r>
          </w:p>
        </w:tc>
      </w:tr>
      <w:tr>
        <w:trPr>
          <w:trHeight w:val="346" w:hRule="exact"/>
        </w:trPr>
        <w:tc>
          <w:tcPr>
            <w:tcW w:w="8074" w:type="dxa"/>
          </w:tcPr>
          <w:p>
            <w:pPr>
              <w:pStyle w:val="TableParagraph"/>
              <w:spacing w:before="97"/>
              <w:ind w:left="341" w:right="461"/>
              <w:rPr>
                <w:sz w:val="22"/>
              </w:rPr>
            </w:pPr>
            <w:r>
              <w:rPr>
                <w:sz w:val="22"/>
              </w:rPr>
              <w:t>Bibliografía.</w:t>
            </w:r>
          </w:p>
        </w:tc>
        <w:tc>
          <w:tcPr>
            <w:tcW w:w="982" w:type="dxa"/>
          </w:tcPr>
          <w:p>
            <w:pPr>
              <w:pStyle w:val="TableParagraph"/>
              <w:spacing w:before="97"/>
              <w:ind w:left="0" w:right="201"/>
              <w:jc w:val="right"/>
              <w:rPr>
                <w:sz w:val="22"/>
              </w:rPr>
            </w:pPr>
            <w:r>
              <w:rPr>
                <w:sz w:val="22"/>
              </w:rPr>
              <w:t>148</w:t>
            </w:r>
          </w:p>
        </w:tc>
      </w:tr>
    </w:tbl>
    <w:p>
      <w:pPr>
        <w:spacing w:after="0"/>
        <w:jc w:val="right"/>
        <w:rPr>
          <w:sz w:val="22"/>
        </w:rPr>
        <w:sectPr>
          <w:pgSz w:w="12240" w:h="15840"/>
          <w:pgMar w:top="1440" w:bottom="280" w:left="1400" w:right="1580"/>
        </w:sectPr>
      </w:pPr>
    </w:p>
    <w:tbl>
      <w:tblPr>
        <w:tblW w:w="0" w:type="auto"/>
        <w:jc w:val="left"/>
        <w:tblInd w:w="103"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6955"/>
        <w:gridCol w:w="1960"/>
      </w:tblGrid>
      <w:tr>
        <w:trPr>
          <w:trHeight w:val="301" w:hRule="exact"/>
        </w:trPr>
        <w:tc>
          <w:tcPr>
            <w:tcW w:w="6955" w:type="dxa"/>
          </w:tcPr>
          <w:p>
            <w:pPr/>
          </w:p>
        </w:tc>
        <w:tc>
          <w:tcPr>
            <w:tcW w:w="1960" w:type="dxa"/>
          </w:tcPr>
          <w:p>
            <w:pPr>
              <w:pStyle w:val="TableParagraph"/>
              <w:spacing w:line="226" w:lineRule="exact"/>
              <w:ind w:left="0" w:right="198"/>
              <w:jc w:val="right"/>
              <w:rPr>
                <w:sz w:val="22"/>
              </w:rPr>
            </w:pPr>
            <w:r>
              <w:rPr>
                <w:sz w:val="22"/>
              </w:rPr>
              <w:t>Pág.</w:t>
            </w:r>
          </w:p>
        </w:tc>
      </w:tr>
      <w:tr>
        <w:trPr>
          <w:trHeight w:val="574" w:hRule="exact"/>
        </w:trPr>
        <w:tc>
          <w:tcPr>
            <w:tcW w:w="6955" w:type="dxa"/>
          </w:tcPr>
          <w:p>
            <w:pPr>
              <w:pStyle w:val="TableParagraph"/>
              <w:spacing w:before="53"/>
              <w:ind w:left="200"/>
              <w:rPr>
                <w:sz w:val="22"/>
              </w:rPr>
            </w:pPr>
            <w:r>
              <w:rPr>
                <w:sz w:val="22"/>
              </w:rPr>
              <w:t>Anexos</w:t>
            </w:r>
          </w:p>
        </w:tc>
        <w:tc>
          <w:tcPr>
            <w:tcW w:w="1960" w:type="dxa"/>
          </w:tcPr>
          <w:p>
            <w:pPr>
              <w:pStyle w:val="TableParagraph"/>
              <w:spacing w:before="53"/>
              <w:ind w:left="0" w:right="201"/>
              <w:jc w:val="right"/>
              <w:rPr>
                <w:sz w:val="22"/>
              </w:rPr>
            </w:pPr>
            <w:r>
              <w:rPr>
                <w:sz w:val="22"/>
              </w:rPr>
              <w:t>153</w:t>
            </w:r>
          </w:p>
        </w:tc>
      </w:tr>
      <w:tr>
        <w:trPr>
          <w:trHeight w:val="668" w:hRule="exact"/>
        </w:trPr>
        <w:tc>
          <w:tcPr>
            <w:tcW w:w="6955" w:type="dxa"/>
          </w:tcPr>
          <w:p>
            <w:pPr>
              <w:pStyle w:val="TableParagraph"/>
              <w:spacing w:before="3"/>
              <w:ind w:left="0"/>
              <w:rPr>
                <w:b/>
                <w:sz w:val="21"/>
              </w:rPr>
            </w:pPr>
          </w:p>
          <w:p>
            <w:pPr>
              <w:pStyle w:val="TableParagraph"/>
              <w:ind w:left="624"/>
              <w:rPr>
                <w:sz w:val="22"/>
              </w:rPr>
            </w:pPr>
            <w:r>
              <w:rPr>
                <w:sz w:val="22"/>
              </w:rPr>
              <w:t>Anexos de variables de localización del capítulo IV</w:t>
            </w:r>
          </w:p>
        </w:tc>
        <w:tc>
          <w:tcPr>
            <w:tcW w:w="1960" w:type="dxa"/>
          </w:tcPr>
          <w:p>
            <w:pPr>
              <w:pStyle w:val="TableParagraph"/>
              <w:spacing w:before="3"/>
              <w:ind w:left="0"/>
              <w:rPr>
                <w:b/>
                <w:sz w:val="21"/>
              </w:rPr>
            </w:pPr>
          </w:p>
          <w:p>
            <w:pPr>
              <w:pStyle w:val="TableParagraph"/>
              <w:ind w:left="0" w:right="201"/>
              <w:jc w:val="right"/>
              <w:rPr>
                <w:sz w:val="22"/>
              </w:rPr>
            </w:pPr>
            <w:r>
              <w:rPr>
                <w:sz w:val="22"/>
              </w:rPr>
              <w:t>154</w:t>
            </w:r>
          </w:p>
        </w:tc>
      </w:tr>
      <w:tr>
        <w:trPr>
          <w:trHeight w:val="521" w:hRule="exact"/>
        </w:trPr>
        <w:tc>
          <w:tcPr>
            <w:tcW w:w="6955" w:type="dxa"/>
          </w:tcPr>
          <w:p>
            <w:pPr>
              <w:pStyle w:val="TableParagraph"/>
              <w:spacing w:before="147"/>
              <w:ind w:left="624"/>
              <w:rPr>
                <w:sz w:val="22"/>
              </w:rPr>
            </w:pPr>
            <w:r>
              <w:rPr>
                <w:sz w:val="22"/>
              </w:rPr>
              <w:t>Anexos de relaciones funcionales del capítulo IV</w:t>
            </w:r>
          </w:p>
        </w:tc>
        <w:tc>
          <w:tcPr>
            <w:tcW w:w="1960" w:type="dxa"/>
          </w:tcPr>
          <w:p>
            <w:pPr>
              <w:pStyle w:val="TableParagraph"/>
              <w:spacing w:before="147"/>
              <w:ind w:left="0" w:right="201"/>
              <w:jc w:val="right"/>
              <w:rPr>
                <w:sz w:val="22"/>
              </w:rPr>
            </w:pPr>
            <w:r>
              <w:rPr>
                <w:sz w:val="22"/>
              </w:rPr>
              <w:t>164</w:t>
            </w:r>
          </w:p>
        </w:tc>
      </w:tr>
      <w:tr>
        <w:trPr>
          <w:trHeight w:val="348" w:hRule="exact"/>
        </w:trPr>
        <w:tc>
          <w:tcPr>
            <w:tcW w:w="6955" w:type="dxa"/>
          </w:tcPr>
          <w:p>
            <w:pPr>
              <w:pStyle w:val="TableParagraph"/>
              <w:spacing w:before="97"/>
              <w:ind w:left="624"/>
              <w:rPr>
                <w:sz w:val="22"/>
              </w:rPr>
            </w:pPr>
            <w:r>
              <w:rPr>
                <w:sz w:val="22"/>
              </w:rPr>
              <w:t>Anexo de impactos del capítulo IV</w:t>
            </w:r>
          </w:p>
        </w:tc>
        <w:tc>
          <w:tcPr>
            <w:tcW w:w="1960" w:type="dxa"/>
          </w:tcPr>
          <w:p>
            <w:pPr>
              <w:pStyle w:val="TableParagraph"/>
              <w:spacing w:before="99"/>
              <w:ind w:left="0" w:right="201"/>
              <w:jc w:val="right"/>
              <w:rPr>
                <w:sz w:val="22"/>
              </w:rPr>
            </w:pPr>
            <w:r>
              <w:rPr>
                <w:sz w:val="22"/>
              </w:rPr>
              <w:t>173</w:t>
            </w:r>
          </w:p>
        </w:tc>
      </w:tr>
    </w:tbl>
    <w:p>
      <w:pPr>
        <w:spacing w:after="0"/>
        <w:jc w:val="right"/>
        <w:rPr>
          <w:sz w:val="22"/>
        </w:rPr>
        <w:sectPr>
          <w:pgSz w:w="12240" w:h="15840"/>
          <w:pgMar w:top="1440" w:bottom="280" w:left="1540" w:right="1580"/>
        </w:sect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Heading1"/>
        <w:spacing w:line="360" w:lineRule="auto" w:before="190"/>
        <w:ind w:left="3181" w:right="1241" w:hanging="1923"/>
      </w:pPr>
      <w:r>
        <w:rPr/>
        <w:t>Introducción. Planteamiento de la investigación</w:t>
      </w:r>
    </w:p>
    <w:p>
      <w:pPr>
        <w:spacing w:after="0" w:line="360" w:lineRule="auto"/>
        <w:sectPr>
          <w:footerReference w:type="default" r:id="rId8"/>
          <w:pgSz w:w="12240" w:h="15840"/>
          <w:pgMar w:footer="659" w:header="0" w:top="1500" w:bottom="840" w:left="1660" w:right="1660"/>
          <w:pgNumType w:start="1"/>
        </w:sectPr>
      </w:pPr>
    </w:p>
    <w:p>
      <w:pPr>
        <w:pStyle w:val="Heading3"/>
        <w:ind w:left="890" w:right="894"/>
        <w:jc w:val="center"/>
      </w:pPr>
      <w:r>
        <w:rPr/>
        <w:t>Introducción. Planteamiento de la investigación</w:t>
      </w:r>
    </w:p>
    <w:p>
      <w:pPr>
        <w:pStyle w:val="BodyText"/>
        <w:spacing w:before="10"/>
        <w:rPr>
          <w:b/>
          <w:sz w:val="40"/>
        </w:rPr>
      </w:pPr>
    </w:p>
    <w:p>
      <w:pPr>
        <w:pStyle w:val="BodyText"/>
        <w:spacing w:line="360" w:lineRule="auto"/>
        <w:ind w:left="122" w:right="118"/>
        <w:jc w:val="both"/>
      </w:pPr>
      <w:r>
        <w:rPr/>
        <w:t>La investigación de tesis, se sitúa en el marco de una discusión actual, sobre el cambio de organización y funcionamiento de la urbanización, en el surgimiento de teorías contemporáneas y conceptualizaciones sobre los cambios en la estructura metropolitana. Se acepta que el proceso de urbanización por concentración sede paso al de urbanización por desconcentración, que los movimientos migratorios ahora son contrarios a los tradicionales, en las ciudades principales es importante la expulsión de población y de actividades económicas desde las ciudades centrales y desde la ciudad primada, situación que les atribuía, hasta la primera mitad del siglo XX, la primacía y el dominio en la evolución urbana. Este hecho, la descentralización urbana que presenta múltiples procesos y diversas explicaciones, es una tendencia en todo nivel de desarrollo económico y trayectoria urbana. Tal proceso llama la atención analítica también en</w:t>
      </w:r>
      <w:r>
        <w:rPr>
          <w:spacing w:val="-26"/>
        </w:rPr>
        <w:t> </w:t>
      </w:r>
      <w:r>
        <w:rPr/>
        <w:t>México.</w:t>
      </w:r>
    </w:p>
    <w:p>
      <w:pPr>
        <w:pStyle w:val="BodyText"/>
        <w:spacing w:before="10"/>
      </w:pPr>
    </w:p>
    <w:p>
      <w:pPr>
        <w:pStyle w:val="BodyText"/>
        <w:spacing w:line="360" w:lineRule="auto"/>
        <w:ind w:left="122" w:right="116"/>
        <w:jc w:val="both"/>
      </w:pPr>
      <w:r>
        <w:rPr/>
        <w:t>En México, la configuración de la metropolización del proceso urbano nacional presenta importantes cambios en los últimos años. La tesis busca indagar la tendencia internacional en un caso de estudio, para ello se elige la Zona Metropolitana de Toluca (ZMT), ciudad capital del Estado de México, situada a 60 kilómetros de la ciudad de México, en la parte poniente de la región centro, es la quinta ciudad más grande del sistema urbano nacional. Tiene múltiples nominaciones  y  asignaciones  de  unidades  administrativas,  aquí  se  opta    por</w:t>
      </w:r>
    </w:p>
    <w:p>
      <w:pPr>
        <w:pStyle w:val="BodyText"/>
        <w:spacing w:line="328" w:lineRule="auto" w:before="5"/>
        <w:ind w:left="122" w:right="127"/>
        <w:jc w:val="both"/>
      </w:pPr>
      <w:r>
        <w:rPr/>
        <w:t>considerar un total de 22 municipios que conjuntan alrededor de dos millones de habitantes en 2010, como indica el Gobierno del Estado de México 2005</w:t>
      </w:r>
      <w:r>
        <w:rPr>
          <w:position w:val="11"/>
          <w:sz w:val="16"/>
        </w:rPr>
        <w:t>1</w:t>
      </w:r>
      <w:r>
        <w:rPr/>
        <w:t>.</w:t>
      </w:r>
    </w:p>
    <w:p>
      <w:pPr>
        <w:pStyle w:val="BodyText"/>
        <w:spacing w:before="7"/>
        <w:rPr>
          <w:sz w:val="26"/>
        </w:rPr>
      </w:pPr>
    </w:p>
    <w:p>
      <w:pPr>
        <w:pStyle w:val="BodyText"/>
        <w:spacing w:line="360" w:lineRule="auto" w:before="1"/>
        <w:ind w:left="122" w:right="122"/>
        <w:jc w:val="both"/>
      </w:pPr>
      <w:r>
        <w:rPr/>
        <w:t>La investigación identifica el emplazamiento en el territorio del funcionamiento metropolitano diario, para ello se basa en la “teoría del ciclo de vida urbano” que</w:t>
      </w:r>
    </w:p>
    <w:p>
      <w:pPr>
        <w:pStyle w:val="BodyText"/>
        <w:spacing w:before="5"/>
        <w:rPr>
          <w:sz w:val="17"/>
        </w:rPr>
      </w:pPr>
      <w:r>
        <w:rPr/>
        <w:pict>
          <v:line style="position:absolute;mso-position-horizontal-relative:page;mso-position-vertical-relative:paragraph;z-index:1096;mso-wrap-distance-left:0;mso-wrap-distance-right:0" from="85.103996pt,12.353924pt" to="229.123996pt,12.353924pt" stroked="true" strokeweight=".71997pt" strokecolor="#000000">
            <w10:wrap type="topAndBottom"/>
          </v:line>
        </w:pict>
      </w:r>
    </w:p>
    <w:p>
      <w:pPr>
        <w:spacing w:before="39"/>
        <w:ind w:left="518" w:right="514" w:firstLine="0"/>
        <w:jc w:val="both"/>
        <w:rPr>
          <w:sz w:val="18"/>
        </w:rPr>
      </w:pPr>
      <w:r>
        <w:rPr>
          <w:position w:val="9"/>
          <w:sz w:val="12"/>
        </w:rPr>
        <w:t>1 </w:t>
      </w:r>
      <w:r>
        <w:rPr>
          <w:sz w:val="18"/>
        </w:rPr>
        <w:t>Zona Metropolitana de Toluca, en el Plan Regional de Desarrollo Urbano del Valle de Toluca  (2005) (Sic), se integra de 22 municipios (Toluca, Metepec, Lerma, San Mateo Atenco, Ocoyoacac, Xonacatlán, Zinacantepec, Almoloya de Juárez, Temoaya, Tenango del Valle, Santiago Tianguistenco,   Xalatlaco,   Almoloya   del   Rio,   Santa   Cruz   Atizapán,   Capulhuac,   </w:t>
      </w:r>
      <w:r>
        <w:rPr>
          <w:spacing w:val="30"/>
          <w:sz w:val="18"/>
        </w:rPr>
        <w:t> </w:t>
      </w:r>
      <w:r>
        <w:rPr>
          <w:sz w:val="18"/>
        </w:rPr>
        <w:t>Calimaya,</w:t>
      </w:r>
    </w:p>
    <w:p>
      <w:pPr>
        <w:spacing w:line="206" w:lineRule="exact" w:before="3"/>
        <w:ind w:left="518" w:right="514" w:firstLine="0"/>
        <w:jc w:val="both"/>
        <w:rPr>
          <w:sz w:val="18"/>
        </w:rPr>
      </w:pPr>
      <w:r>
        <w:rPr>
          <w:sz w:val="18"/>
        </w:rPr>
        <w:t>Chapultepec, Mexicaltzingo, Otzolotepec, Santa María Rayón, San Antonio la Isla y Texcalyacac) con una superficie de 2,669Km</w:t>
      </w:r>
      <w:r>
        <w:rPr>
          <w:position w:val="9"/>
          <w:sz w:val="12"/>
        </w:rPr>
        <w:t>2 </w:t>
      </w:r>
      <w:r>
        <w:rPr>
          <w:sz w:val="18"/>
        </w:rPr>
        <w:t>y población total en 2010 de 2’172,035 habitantes (SDU, PRDUVT, 2005).</w:t>
      </w:r>
    </w:p>
    <w:p>
      <w:pPr>
        <w:spacing w:after="0" w:line="206" w:lineRule="exact"/>
        <w:jc w:val="both"/>
        <w:rPr>
          <w:sz w:val="18"/>
        </w:rPr>
        <w:sectPr>
          <w:pgSz w:w="12240" w:h="15840"/>
          <w:pgMar w:header="0" w:footer="659" w:top="1380" w:bottom="840" w:left="1580" w:right="1580"/>
        </w:sectPr>
      </w:pPr>
    </w:p>
    <w:p>
      <w:pPr>
        <w:pStyle w:val="BodyText"/>
        <w:spacing w:line="360" w:lineRule="auto" w:before="54"/>
        <w:ind w:left="102" w:right="117"/>
        <w:jc w:val="both"/>
      </w:pPr>
      <w:r>
        <w:rPr/>
        <w:t>caracteriza y define fases de evolución, -a saber, urbanización, suburbanización, desurbanización y reurbanización-, según los estudios más recientes la Zona Metropolitana de Toluca se encuentra entre la fase de suburbanización y la de desurbanización, sin embargo aquí se plantea el supuesto analítico de que se encuentra en la fase de desconcentración, descentralización y redistribución de procesos metropolitanos, así que se propone comprobar empíricamente la desurbanización, para ello se marca un trayecto temporal de las últimas dos décadas censales.</w:t>
      </w:r>
    </w:p>
    <w:p>
      <w:pPr>
        <w:pStyle w:val="BodyText"/>
        <w:spacing w:before="5"/>
      </w:pPr>
    </w:p>
    <w:p>
      <w:pPr>
        <w:pStyle w:val="BodyText"/>
        <w:spacing w:line="360" w:lineRule="auto"/>
        <w:ind w:left="102" w:right="117"/>
        <w:jc w:val="both"/>
      </w:pPr>
      <w:r>
        <w:rPr/>
        <w:t>Entendiendo </w:t>
      </w:r>
      <w:r>
        <w:rPr>
          <w:i/>
        </w:rPr>
        <w:t>las etapas del ciclo de vida urbano </w:t>
      </w:r>
      <w:r>
        <w:rPr/>
        <w:t>con el sustento de las explicaciones teóricas de Dematteis (1998), Pacione (2005) y Zárate (2012) de suburbanizacion como la migración de población de la ciudad central y de otros espacios pertenecientes al sistema urbano y a áreas no metropolitanas a la periferia inmediata de la ciudad central, por lo que la tasa de crecimiento en esta franja será mayor que en la cuidad central, en la tercera fase de desurbanización, son los centros de población menores, en jerarquía y tamaño que reportan mayor crecimiento, forma la periferia externa y más alejada, con características dominantes rurales, los cuáles son los lugares hacia donde la población comienza a desconcentrarse, allí el crecimiento urbano externo es resultado del decremento principalmente de la ciudad central y en parte de la periferia inmediata.</w:t>
      </w:r>
    </w:p>
    <w:p>
      <w:pPr>
        <w:pStyle w:val="BodyText"/>
        <w:spacing w:before="7"/>
      </w:pPr>
    </w:p>
    <w:p>
      <w:pPr>
        <w:pStyle w:val="BodyText"/>
        <w:spacing w:line="360" w:lineRule="auto"/>
        <w:ind w:left="102" w:right="114"/>
        <w:jc w:val="both"/>
      </w:pPr>
      <w:r>
        <w:rPr/>
        <w:t>Este proceso de desconcentración de las metrópolis, aparece primero en el contexto de Norteamérica en donde el suburbio se convierte en el modelo de urbanización, desde 1920 y mayor auge en la década de 1960. Se trata de la primera desconcentración masiva hacia la periferia externa, quedó registrado como un estilo de vida del proceso de industrialización. En cambio en Europa, se presentó en la década de 1970, es decir que la salida de población comenzó en el periodo postindustrial, así lo señalan Nogués y Salas (2009: 26-27) en ambos casos la implementación de medios de transporte y la infraestructura  contribuyeron al rápido aumento en estos espacios primero el de tipo habitacional en la periferia</w:t>
      </w:r>
      <w:r>
        <w:rPr>
          <w:spacing w:val="-12"/>
        </w:rPr>
        <w:t> </w:t>
      </w:r>
      <w:r>
        <w:rPr/>
        <w:t>inmediata.</w:t>
      </w:r>
    </w:p>
    <w:p>
      <w:pPr>
        <w:spacing w:after="0" w:line="360" w:lineRule="auto"/>
        <w:jc w:val="both"/>
        <w:sectPr>
          <w:pgSz w:w="12240" w:h="15840"/>
          <w:pgMar w:header="0" w:footer="659" w:top="1360" w:bottom="840" w:left="1600" w:right="1580"/>
        </w:sectPr>
      </w:pPr>
    </w:p>
    <w:p>
      <w:pPr>
        <w:pStyle w:val="BodyText"/>
        <w:spacing w:line="360" w:lineRule="auto" w:before="54"/>
        <w:ind w:left="102" w:right="121"/>
        <w:jc w:val="both"/>
      </w:pPr>
      <w:r>
        <w:rPr/>
        <w:t>Es decir, que la descentralización de la población o surgimiento del crecimiento urbano periférico es producto de la industrialización, en un caso y en otro caso, producto de desindustrialización, ocurre en cualquier entorno económico productivo, en cambio es indispensable la difusión de las comunicaciones.</w:t>
      </w:r>
    </w:p>
    <w:p>
      <w:pPr>
        <w:pStyle w:val="BodyText"/>
        <w:spacing w:before="7"/>
      </w:pPr>
    </w:p>
    <w:p>
      <w:pPr>
        <w:pStyle w:val="BodyText"/>
        <w:spacing w:line="360" w:lineRule="auto"/>
        <w:ind w:left="102" w:right="115"/>
        <w:jc w:val="both"/>
      </w:pPr>
      <w:r>
        <w:rPr/>
        <w:t>Montejano (2010: 12-14), describe que el proceso metropolitano en Estados Unidos, manifestaba crecimiento desmedido de los suburbios y expansión en el funcionamiento metropolitano, a causa de las actividades económicas, el uso exclusivo habitacional en el suburbio y, el déficit de equipamiento en la ciudad central; la megalópolis concentra población, equipamiento, industria, comercio, cultura y centros financieros. Esa configuración de la distribución de la población, propició aumento en el funcionamiento diario de la ciudad, alta dependencia del automóvil para matizar los traslados además de favorecer la expansión de las zonas urbanas, lo que conforma la tercera corona de la ciudad, llamada también de comunidades</w:t>
      </w:r>
      <w:r>
        <w:rPr>
          <w:spacing w:val="-9"/>
        </w:rPr>
        <w:t> </w:t>
      </w:r>
      <w:r>
        <w:rPr/>
        <w:t>exurbanas.</w:t>
      </w:r>
    </w:p>
    <w:p>
      <w:pPr>
        <w:pStyle w:val="BodyText"/>
        <w:spacing w:before="10"/>
      </w:pPr>
    </w:p>
    <w:p>
      <w:pPr>
        <w:pStyle w:val="BodyText"/>
        <w:spacing w:line="360" w:lineRule="auto"/>
        <w:ind w:left="102" w:right="118"/>
        <w:jc w:val="both"/>
      </w:pPr>
      <w:r>
        <w:rPr/>
        <w:t>Dematteis (1998: 20-21) describe que posteriormente en las décadas de 1970 y 1980 la expansión creciente en la periferia externa, con la urbanización hacia espacios fuera de la ciudad central y los suburbios, propicia la disminución de la diferencia entre campo y ciudad, decrece el centro y, se ralentiza la dinámica en las coronas suburbanas; dinamizando la del anillo externo (que habían mantenido dependencia económica y social) situación que se incrementa a medida que el proceso de suburbanización pasa al de desurbanización, esta etapa se presenta inicialmente en Europa noroccidental y después en la Europa mediterránea. De forma paralela a este cambio se manifiesta la contraurbanización o crecimiento paulatino de los centros urbanos menores y rurales en comparación con las ciudades grandes y medias, de los (sub) sistemas urbanos y territoriales.</w:t>
      </w:r>
    </w:p>
    <w:p>
      <w:pPr>
        <w:pStyle w:val="BodyText"/>
        <w:spacing w:before="10"/>
      </w:pPr>
    </w:p>
    <w:p>
      <w:pPr>
        <w:pStyle w:val="BodyText"/>
        <w:spacing w:line="360" w:lineRule="auto"/>
        <w:ind w:left="102" w:right="117"/>
        <w:jc w:val="both"/>
      </w:pPr>
      <w:r>
        <w:rPr/>
        <w:t>Los cambios en la estructura de las ciudades, de la segunda mitad del siglo XX en Europa, se explican desde los cambios económicos que reconfigura las relaciones territoriales, y se sugiere el modelo de c</w:t>
      </w:r>
      <w:r>
        <w:rPr>
          <w:i/>
        </w:rPr>
        <w:t>iudad difusa</w:t>
      </w:r>
      <w:r>
        <w:rPr/>
        <w:t>, la cual presentó expansión  de  las  áreas  periurbanas  por  la  urbanización  dispersa,  sin  límites  o </w:t>
      </w:r>
      <w:r>
        <w:rPr>
          <w:spacing w:val="4"/>
        </w:rPr>
        <w:t> </w:t>
      </w:r>
      <w:r>
        <w:rPr/>
        <w:t>barreras</w:t>
      </w:r>
    </w:p>
    <w:p>
      <w:pPr>
        <w:spacing w:after="0" w:line="360" w:lineRule="auto"/>
        <w:jc w:val="both"/>
        <w:sectPr>
          <w:pgSz w:w="12240" w:h="15840"/>
          <w:pgMar w:header="0" w:footer="659" w:top="1360" w:bottom="840" w:left="1600" w:right="1580"/>
        </w:sectPr>
      </w:pPr>
    </w:p>
    <w:p>
      <w:pPr>
        <w:pStyle w:val="BodyText"/>
        <w:spacing w:line="352" w:lineRule="auto" w:before="54"/>
        <w:ind w:left="122" w:right="118"/>
        <w:jc w:val="both"/>
      </w:pPr>
      <w:r>
        <w:rPr/>
        <w:t>socioeconómicos y físicas, el concepto de ciudad difusa connota el caso socio productivo del Veneto</w:t>
      </w:r>
      <w:r>
        <w:rPr>
          <w:position w:val="11"/>
          <w:sz w:val="16"/>
        </w:rPr>
        <w:t>2</w:t>
      </w:r>
      <w:r>
        <w:rPr/>
        <w:t>, el cual se forma por la transformación económica  resultado de la llegada de pequeñas y medianas industrias consolidándose como un distrito industrial y comienza a crecer, mientras que otras ciudades medianas  en  1990  decrecen  articulando  su  red  urbana  entre  espacios  agrarios,  así </w:t>
      </w:r>
      <w:r>
        <w:rPr>
          <w:spacing w:val="27"/>
        </w:rPr>
        <w:t> </w:t>
      </w:r>
      <w:r>
        <w:rPr/>
        <w:t>se</w:t>
      </w:r>
    </w:p>
    <w:p>
      <w:pPr>
        <w:pStyle w:val="BodyText"/>
        <w:spacing w:line="360" w:lineRule="auto" w:before="13"/>
        <w:ind w:left="122" w:right="118"/>
        <w:jc w:val="both"/>
      </w:pPr>
      <w:r>
        <w:rPr/>
        <w:t>identificó un doble proceso, por un lado, el de desdensificación urbana y por otro, el de densificación del espacio agrario (Martin,</w:t>
      </w:r>
      <w:r>
        <w:rPr>
          <w:spacing w:val="-16"/>
        </w:rPr>
        <w:t> </w:t>
      </w:r>
      <w:r>
        <w:rPr/>
        <w:t>2004:49-53).</w:t>
      </w:r>
    </w:p>
    <w:p>
      <w:pPr>
        <w:pStyle w:val="BodyText"/>
        <w:spacing w:before="7"/>
      </w:pPr>
    </w:p>
    <w:p>
      <w:pPr>
        <w:pStyle w:val="BodyText"/>
        <w:spacing w:line="360" w:lineRule="auto"/>
        <w:ind w:left="122" w:right="119"/>
        <w:jc w:val="both"/>
      </w:pPr>
      <w:r>
        <w:rPr/>
        <w:t>Se trata del cambio profundo estructural de las estructuras territoriales, que han dado lugar a distintos conceptos, además de los que ofrece la teoría del ciclo de vida. Así periurbanización (Entrena, 2005: 66-67), dispersión urbana (Giampino, 2010: 29), </w:t>
      </w:r>
      <w:r>
        <w:rPr>
          <w:i/>
        </w:rPr>
        <w:t>edge city </w:t>
      </w:r>
      <w:r>
        <w:rPr/>
        <w:t>o ciudades en el borde (de Garreau, 1992 en Montejano, 2010: 20), al poseer oficinas, comercio, vivienda, gobierno, seguridad, cultura y religión en lugar de vivienda únicamente y, el </w:t>
      </w:r>
      <w:r>
        <w:rPr>
          <w:i/>
        </w:rPr>
        <w:t>post suburbio (</w:t>
      </w:r>
      <w:r>
        <w:rPr/>
        <w:t>Rufí, 2003: 84) que sugiere un espacio que ha superado su configuración acercándose a ser una ciudad.</w:t>
      </w:r>
    </w:p>
    <w:p>
      <w:pPr>
        <w:pStyle w:val="BodyText"/>
        <w:spacing w:before="7"/>
      </w:pPr>
    </w:p>
    <w:p>
      <w:pPr>
        <w:pStyle w:val="BodyText"/>
        <w:spacing w:line="360" w:lineRule="auto"/>
        <w:ind w:left="122" w:right="115"/>
        <w:jc w:val="both"/>
      </w:pPr>
      <w:r>
        <w:rPr/>
        <w:t>Dado que los cambios espaciales se conjuntan, hay estudios especializados en las realidades urbanas actuales que indican que se está arribando a la tercera generación de la metropolización, esto es la reorganización de la ciudad-región, transformación que será nítida y generalizada en el siglo XXI, mientras que aquella expansión metropolitana con dispersión de mayor distancia </w:t>
      </w:r>
      <w:r>
        <w:rPr>
          <w:spacing w:val="2"/>
        </w:rPr>
        <w:t>sin </w:t>
      </w:r>
      <w:r>
        <w:rPr/>
        <w:t>contacto con la ciudad principal, corresponde a la segunda generación, y la primera generación, es aquella que formó la zona metropolitana con su suburbanización cercana (Precedo,</w:t>
      </w:r>
      <w:r>
        <w:rPr>
          <w:spacing w:val="-4"/>
        </w:rPr>
        <w:t> </w:t>
      </w:r>
      <w:r>
        <w:rPr/>
        <w:t>2005).</w:t>
      </w:r>
    </w:p>
    <w:p>
      <w:pPr>
        <w:pStyle w:val="BodyText"/>
        <w:spacing w:before="10"/>
      </w:pPr>
    </w:p>
    <w:p>
      <w:pPr>
        <w:pStyle w:val="BodyText"/>
        <w:spacing w:line="360" w:lineRule="auto"/>
        <w:ind w:left="122" w:right="116"/>
        <w:jc w:val="both"/>
      </w:pPr>
      <w:r>
        <w:rPr/>
        <w:t>Para el contexto urbano de mayor desarrollo, en suma dos procesos conforman el actual territorio, la urbanización en forma desconcentrada deja el viejo estilo altamente centralizado por los recurso, ahora éstos se encuentra redistribuidos y reorganizados  en  asentamientos  también  menores  y  distantes  del  viejo </w:t>
      </w:r>
      <w:r>
        <w:rPr>
          <w:spacing w:val="52"/>
        </w:rPr>
        <w:t> </w:t>
      </w:r>
      <w:r>
        <w:rPr/>
        <w:t>polo,</w:t>
      </w:r>
    </w:p>
    <w:p>
      <w:pPr>
        <w:pStyle w:val="BodyText"/>
        <w:rPr>
          <w:sz w:val="20"/>
        </w:rPr>
      </w:pPr>
    </w:p>
    <w:p>
      <w:pPr>
        <w:pStyle w:val="BodyText"/>
        <w:spacing w:before="10"/>
        <w:rPr>
          <w:sz w:val="12"/>
        </w:rPr>
      </w:pPr>
      <w:r>
        <w:rPr/>
        <w:pict>
          <v:line style="position:absolute;mso-position-horizontal-relative:page;mso-position-vertical-relative:paragraph;z-index:1120;mso-wrap-distance-left:0;mso-wrap-distance-right:0" from="85.103996pt,9.730873pt" to="229.123996pt,9.730873pt" stroked="true" strokeweight=".72003pt" strokecolor="#000000">
            <w10:wrap type="topAndBottom"/>
          </v:line>
        </w:pict>
      </w:r>
    </w:p>
    <w:p>
      <w:pPr>
        <w:spacing w:before="36"/>
        <w:ind w:left="122" w:right="76" w:firstLine="0"/>
        <w:jc w:val="left"/>
        <w:rPr>
          <w:sz w:val="20"/>
        </w:rPr>
      </w:pPr>
      <w:r>
        <w:rPr>
          <w:position w:val="10"/>
          <w:sz w:val="13"/>
        </w:rPr>
        <w:t>2 </w:t>
      </w:r>
      <w:r>
        <w:rPr>
          <w:sz w:val="20"/>
        </w:rPr>
        <w:t>Región del nor-este de Italia integrada por las provincias de Venecia, Padua, Treviso, Verona, Vicenza, Rovigo y Belluno (Indovina, 1996 en Martin, 2004).</w:t>
      </w:r>
    </w:p>
    <w:p>
      <w:pPr>
        <w:spacing w:after="0"/>
        <w:jc w:val="left"/>
        <w:rPr>
          <w:sz w:val="20"/>
        </w:rPr>
        <w:sectPr>
          <w:pgSz w:w="12240" w:h="15840"/>
          <w:pgMar w:header="0" w:footer="659" w:top="1360" w:bottom="840" w:left="1580" w:right="1580"/>
        </w:sectPr>
      </w:pPr>
    </w:p>
    <w:p>
      <w:pPr>
        <w:pStyle w:val="BodyText"/>
        <w:spacing w:line="360" w:lineRule="auto" w:before="54"/>
        <w:ind w:left="102" w:right="118"/>
        <w:jc w:val="both"/>
      </w:pPr>
      <w:r>
        <w:rPr/>
        <w:t>desde allí surgen opciones de vida que permiten organización social - productiva. En este territorio se atraviesan y yuxtaponen los cambios internos,  desurbanización metropolitana y el cambio en el sistema de asentamientos, la contraurbanización del sistema</w:t>
      </w:r>
      <w:r>
        <w:rPr>
          <w:spacing w:val="-12"/>
        </w:rPr>
        <w:t> </w:t>
      </w:r>
      <w:r>
        <w:rPr/>
        <w:t>urbano.</w:t>
      </w:r>
    </w:p>
    <w:p>
      <w:pPr>
        <w:pStyle w:val="BodyText"/>
        <w:spacing w:before="7"/>
      </w:pPr>
    </w:p>
    <w:p>
      <w:pPr>
        <w:pStyle w:val="BodyText"/>
        <w:spacing w:line="360" w:lineRule="auto"/>
        <w:ind w:left="102" w:right="117"/>
        <w:jc w:val="both"/>
      </w:pPr>
      <w:r>
        <w:rPr/>
        <w:t>Por otra parte, en el contexto latinoamericano, se expone el proceso de urbanización como una consecuencia asociada a los cambios económicos, considerando que fue el siglo XX el periodo de urbanización por concentración en las ciudades, medido en el crecimiento demográfico, en el Producto Interno Bruto (PIB,) en el crecimiento nacional y la oferta de mejores condiciones sociales, que sólo se presentaban en las capitales, realidad contrastante con las áreas de dispersión y atraso rural, alcanzando el máximo crecimiento en 1970, cuando el proceso entra en crisis (Hoyos, 2009: 116-117). Cuervo (2010:16-22), coincide con la influencia de las decisiones económicas en lo urbano, sostiene que los modelos urbanos contemporáneos son resultado de las acciones que promueve la política economía neoliberal que aumenta los índices de violencia y delincuencia, de elevada pobreza, de exclusión social, las desigualdades intra-metropolitanas y la polarización social.</w:t>
      </w:r>
    </w:p>
    <w:p>
      <w:pPr>
        <w:pStyle w:val="BodyText"/>
        <w:spacing w:before="7"/>
      </w:pPr>
    </w:p>
    <w:p>
      <w:pPr>
        <w:pStyle w:val="BodyText"/>
        <w:spacing w:line="360" w:lineRule="auto"/>
        <w:ind w:left="102" w:right="117"/>
        <w:jc w:val="both"/>
      </w:pPr>
      <w:r>
        <w:rPr/>
        <w:t>Los cambios más recientes en México, examinados por Sobrino (2006), bajo la concepción evolutiva del </w:t>
      </w:r>
      <w:r>
        <w:rPr>
          <w:i/>
        </w:rPr>
        <w:t>metropolitanismo, </w:t>
      </w:r>
      <w:r>
        <w:rPr/>
        <w:t>que explica las transformaciones de ocho de las zonas metropolitanas del país, contemplando las </w:t>
      </w:r>
      <w:r>
        <w:rPr>
          <w:i/>
        </w:rPr>
        <w:t>4 </w:t>
      </w:r>
      <w:r>
        <w:rPr/>
        <w:t>etapas: la primera es de urbanización o concentración, la segunda, de suburbanización o desconcentración, la tercera, de desurbanización y, finalmente la de reurbanización, refiere a su vez el cambio de ciudad monocéntrica a policéntrica que explica el patrón de las densidades, de la relocalización del empleo que forma subcentros. La desconcentración de población y los viajes por empleo en  las zonas metropolitanas por medio de la división de anillos define la fase del proceso de dispersión de población y la división funcional de las zonas metropolitanas en México, las cuales se estructuran por una ciudad central que concentra empleo, y residencia para migrantes en las dos últimas décadas del siglo XX, mientras los anillo externos son lugares con viviendas que aminoran las condiciones y costos a</w:t>
      </w:r>
    </w:p>
    <w:p>
      <w:pPr>
        <w:spacing w:after="0" w:line="360" w:lineRule="auto"/>
        <w:jc w:val="both"/>
        <w:sectPr>
          <w:pgSz w:w="12240" w:h="15840"/>
          <w:pgMar w:header="0" w:footer="659" w:top="1360" w:bottom="840" w:left="1600" w:right="1580"/>
        </w:sectPr>
      </w:pPr>
    </w:p>
    <w:p>
      <w:pPr>
        <w:pStyle w:val="BodyText"/>
        <w:spacing w:line="360" w:lineRule="auto" w:before="54"/>
        <w:ind w:left="102" w:right="117"/>
        <w:jc w:val="both"/>
      </w:pPr>
      <w:r>
        <w:rPr/>
        <w:t>medida que aumenta la distancia del centro, y funcionalmente se dividen en tres tipos a</w:t>
      </w:r>
      <w:r>
        <w:rPr>
          <w:i/>
        </w:rPr>
        <w:t>) </w:t>
      </w:r>
      <w:r>
        <w:rPr/>
        <w:t>monocéntricas; </w:t>
      </w:r>
      <w:r>
        <w:rPr>
          <w:i/>
        </w:rPr>
        <w:t>b) </w:t>
      </w:r>
      <w:r>
        <w:rPr/>
        <w:t>intermedias, y </w:t>
      </w:r>
      <w:r>
        <w:rPr>
          <w:i/>
        </w:rPr>
        <w:t>c) </w:t>
      </w:r>
      <w:r>
        <w:rPr/>
        <w:t>policéntricas.</w:t>
      </w:r>
    </w:p>
    <w:p>
      <w:pPr>
        <w:pStyle w:val="BodyText"/>
        <w:spacing w:before="10"/>
      </w:pPr>
    </w:p>
    <w:p>
      <w:pPr>
        <w:pStyle w:val="BodyText"/>
        <w:spacing w:line="360" w:lineRule="auto"/>
        <w:ind w:left="102" w:right="117"/>
        <w:jc w:val="both"/>
      </w:pPr>
      <w:r>
        <w:rPr/>
        <w:t>La situación metropolitana actual de Toluca, presentada bajo rigor de análisis, generalmente aparece cuando se examina el comportamiento de la capital de México con su proceso de desconcentración y expansión metropolitana. Cardoso, (2013: 135-136) señala a la Zona Metropolitana de Toluca como lugar receptor de los flujos expulsados de la Zona Metropolitana del Valle de México y se convierte en dinámica por la desindustrialización o desconcentración económica y demográfica. Hoyos (2012a: 317-319), destaca que la ciudad de Toluca presentó un aumento poblacional superior al estatal, sólo hasta después de la mitad del  siglo XX, la concentración demográfica en pocos municipios, en la década del setenta, cuando se modificó el patrón externo por la actividad</w:t>
      </w:r>
      <w:r>
        <w:rPr>
          <w:spacing w:val="-30"/>
        </w:rPr>
        <w:t> </w:t>
      </w:r>
      <w:r>
        <w:rPr/>
        <w:t>industrial.</w:t>
      </w:r>
    </w:p>
    <w:p>
      <w:pPr>
        <w:pStyle w:val="BodyText"/>
        <w:spacing w:before="10"/>
      </w:pPr>
    </w:p>
    <w:p>
      <w:pPr>
        <w:pStyle w:val="BodyText"/>
        <w:spacing w:line="360" w:lineRule="auto"/>
        <w:ind w:left="102" w:right="119"/>
        <w:jc w:val="both"/>
      </w:pPr>
      <w:r>
        <w:rPr/>
        <w:t>Las ciudades mexicanas han presentado diversos cambios a nivel territorial en los últimos años, derivado de los procesos de las actividades económicas y el cambio de modelo y por la desconcentración de la vivienda cuyo dinamismo está presente en la franja rural urbana, desde allí existe relación funcional.</w:t>
      </w:r>
    </w:p>
    <w:p>
      <w:pPr>
        <w:pStyle w:val="BodyText"/>
        <w:spacing w:before="8"/>
      </w:pPr>
    </w:p>
    <w:p>
      <w:pPr>
        <w:pStyle w:val="BodyText"/>
        <w:spacing w:line="360" w:lineRule="auto"/>
        <w:ind w:left="102" w:right="116"/>
        <w:jc w:val="both"/>
      </w:pPr>
      <w:r>
        <w:rPr/>
        <w:t>La dinámica urbana que se presenta en el país en el siglo XXI, direcciona a una configuración predominantemente urbana como lo dice ONU-HÁBITAT-SEDESOL (2011: 17), ya que las ciudades mexicanas en los últimos treinta años son  espacios que conjuntan desarrollo económico y crecimiento demográfico, en consecuencia se manifiesta expansión territorial; que se caracteriza por multifuncionalidad desconcentrada en varios núcleos de actividades con tendencia a la terciarización la relocalización de vivienda, infraestructura y lugares de empleo cada vez a mayores distancias alejadas del centro, propiciando la creciente dependencia del automóvil favoreciendo la expansión del tejido urbano de forma discontinua y dispersa (Montejano, 2010, Cardoso, 2013 y Entrena 2005, entre otros).</w:t>
      </w:r>
    </w:p>
    <w:p>
      <w:pPr>
        <w:pStyle w:val="BodyText"/>
        <w:spacing w:before="7"/>
      </w:pPr>
    </w:p>
    <w:p>
      <w:pPr>
        <w:pStyle w:val="BodyText"/>
        <w:spacing w:line="360" w:lineRule="auto"/>
        <w:ind w:left="102" w:right="125"/>
        <w:jc w:val="both"/>
      </w:pPr>
      <w:r>
        <w:rPr/>
        <w:t>Esta tendencia de crecimiento en las ciudades ha traído consigo efectos negativos del modelo de crecimiento urbano en México Topelson, (2012), entre los cuales se</w:t>
      </w:r>
    </w:p>
    <w:p>
      <w:pPr>
        <w:spacing w:after="0" w:line="360" w:lineRule="auto"/>
        <w:jc w:val="both"/>
        <w:sectPr>
          <w:pgSz w:w="12240" w:h="15840"/>
          <w:pgMar w:header="0" w:footer="659" w:top="1360" w:bottom="840" w:left="1600" w:right="1580"/>
        </w:sectPr>
      </w:pPr>
    </w:p>
    <w:p>
      <w:pPr>
        <w:pStyle w:val="BodyText"/>
        <w:spacing w:line="360" w:lineRule="auto" w:before="54"/>
        <w:ind w:left="102" w:right="116"/>
        <w:jc w:val="both"/>
      </w:pPr>
      <w:r>
        <w:rPr/>
        <w:t>tiene una desarticulación de la vivienda con el desarrollo urbano, con un déficit de los espacios para satisfacer las necesidades de empleo o de servicios, con lo que se disminuye la calidad de vida de la población e incrementan las áreas con marginación.</w:t>
      </w:r>
    </w:p>
    <w:p>
      <w:pPr>
        <w:pStyle w:val="BodyText"/>
        <w:spacing w:before="7"/>
      </w:pPr>
    </w:p>
    <w:p>
      <w:pPr>
        <w:pStyle w:val="BodyText"/>
        <w:spacing w:line="360" w:lineRule="auto"/>
        <w:ind w:left="102" w:right="117"/>
        <w:jc w:val="both"/>
      </w:pPr>
      <w:r>
        <w:rPr/>
        <w:t>La particularidad de Latino América y México es la escasa fundamentación analítica, que por consiguiente es necesario aportar en la línea de investigación de la estructuración metropolitana. Conviene destacar, que en el caso mexicano, en  la región centro, predomina como objeto de estudio la zona Metropolitana del Valle de México, dejando de lado en la investigación la particularidad de la configuración de los espacios, sin explicar los cambios de los subsistemas urbanos y otros tipos de subcentros</w:t>
      </w:r>
      <w:r>
        <w:rPr>
          <w:spacing w:val="-11"/>
        </w:rPr>
        <w:t> </w:t>
      </w:r>
      <w:r>
        <w:rPr/>
        <w:t>urbanos.</w:t>
      </w:r>
    </w:p>
    <w:p>
      <w:pPr>
        <w:pStyle w:val="BodyText"/>
        <w:spacing w:before="7"/>
      </w:pPr>
    </w:p>
    <w:p>
      <w:pPr>
        <w:pStyle w:val="BodyText"/>
        <w:spacing w:line="360" w:lineRule="auto"/>
        <w:ind w:left="102" w:right="121"/>
        <w:jc w:val="both"/>
      </w:pPr>
      <w:r>
        <w:rPr/>
        <w:t>Por tanto, el grado de avance del conocimiento de la realidad metropolitana en otros contextos, implica reformulación conceptual del proceso de metropolización y de la estructura territorial en la ZMT, indagar si tales transformaciones simultáneas se interrelacionan, clarificar en qué fase se encuentra, conociendo que la suburbanización propia arrancó en los noventa, en últimos decenio el área central dejó de ser el centro primado, surgieron núcleos con actividad en la periferia, pero todavía no existe consenso ni precisión analítica. Por ello se busca avanzar en el estudio desde la suburbanización hacia la fase de desurbanización o, explorar alguna explicación a las trasformaciones en periferia distante de la ciudad central, para ello se debe revisar el proceso desde 1990 hasta 2010.</w:t>
      </w:r>
    </w:p>
    <w:p>
      <w:pPr>
        <w:pStyle w:val="BodyText"/>
        <w:spacing w:before="10"/>
      </w:pPr>
    </w:p>
    <w:p>
      <w:pPr>
        <w:pStyle w:val="BodyText"/>
        <w:spacing w:line="360" w:lineRule="auto"/>
        <w:ind w:left="102" w:right="117"/>
        <w:jc w:val="both"/>
      </w:pPr>
      <w:r>
        <w:rPr/>
        <w:t>Los estudios de la ciudad desde una perspectiva que contemple la urbanización por desconcentración y en ello, las transformaciones de la estructura urbana apenas se han puesto en la mesa de discusión y análisis en la realidad mexicana, la explicación de las transformaciones de las coronas externas –metropolitanas, regionales- de mayor número de ciudades mexicanas principales, es una línea de investigación carente de consenso y de metodologías.</w:t>
      </w:r>
    </w:p>
    <w:p>
      <w:pPr>
        <w:pStyle w:val="BodyText"/>
        <w:spacing w:before="7"/>
      </w:pPr>
    </w:p>
    <w:p>
      <w:pPr>
        <w:pStyle w:val="BodyText"/>
        <w:spacing w:line="360" w:lineRule="auto"/>
        <w:ind w:left="102" w:right="117"/>
        <w:jc w:val="both"/>
      </w:pPr>
      <w:r>
        <w:rPr/>
        <w:t>Esta investigación parte de la hipótesis de trabajo que el proceso de desurbanización  está presente  en  la  Zona Metropolitana de Toluca,  y es  lo que</w:t>
      </w:r>
    </w:p>
    <w:p>
      <w:pPr>
        <w:spacing w:after="0" w:line="360" w:lineRule="auto"/>
        <w:jc w:val="both"/>
        <w:sectPr>
          <w:pgSz w:w="12240" w:h="15840"/>
          <w:pgMar w:header="0" w:footer="659" w:top="1360" w:bottom="840" w:left="1600" w:right="1580"/>
        </w:sectPr>
      </w:pPr>
    </w:p>
    <w:p>
      <w:pPr>
        <w:pStyle w:val="BodyText"/>
        <w:spacing w:line="360" w:lineRule="auto" w:before="54"/>
        <w:ind w:left="102" w:right="118"/>
        <w:jc w:val="both"/>
      </w:pPr>
      <w:r>
        <w:rPr/>
        <w:t>explica los cambios de la estructura territorial, que se manifiesten con mayor dinamismo en la franja intermedia y externa de localidades urbanas y rurales propiciando el incremento de la interrelación entre los asentamientos urbanos de mayor distancia.</w:t>
      </w:r>
    </w:p>
    <w:p>
      <w:pPr>
        <w:pStyle w:val="BodyText"/>
        <w:spacing w:before="7"/>
      </w:pPr>
    </w:p>
    <w:p>
      <w:pPr>
        <w:pStyle w:val="BodyText"/>
        <w:ind w:left="102"/>
        <w:jc w:val="both"/>
      </w:pPr>
      <w:r>
        <w:rPr/>
        <w:t>Para la comprobación del supuesto se busca responder a tres preguntas que son:</w:t>
      </w:r>
    </w:p>
    <w:p>
      <w:pPr>
        <w:pStyle w:val="BodyText"/>
      </w:pPr>
    </w:p>
    <w:p>
      <w:pPr>
        <w:pStyle w:val="BodyText"/>
        <w:spacing w:line="360" w:lineRule="auto" w:before="141"/>
        <w:ind w:left="102" w:right="122"/>
        <w:jc w:val="both"/>
      </w:pPr>
      <w:r>
        <w:rPr/>
        <w:t>¿Cuáles han sido los cambios en la estructura territorial de la Zona Metropolitana de Toluca en las dos últimas décadas? ¿Cómo se comporta el proceso de desurbanización? ¿Cuáles son los impactos por causa del proceso de desurbanización?</w:t>
      </w:r>
    </w:p>
    <w:p>
      <w:pPr>
        <w:pStyle w:val="BodyText"/>
        <w:spacing w:before="7"/>
      </w:pPr>
    </w:p>
    <w:p>
      <w:pPr>
        <w:pStyle w:val="BodyText"/>
        <w:spacing w:line="360" w:lineRule="auto"/>
        <w:ind w:left="102" w:right="127"/>
        <w:jc w:val="both"/>
      </w:pPr>
      <w:r>
        <w:rPr/>
        <w:t>A partir de estas preguntas se plantea el objetivo general de la tesis que consiste en:</w:t>
      </w:r>
    </w:p>
    <w:p>
      <w:pPr>
        <w:pStyle w:val="BodyText"/>
        <w:spacing w:before="7"/>
      </w:pPr>
    </w:p>
    <w:p>
      <w:pPr>
        <w:pStyle w:val="BodyText"/>
        <w:spacing w:line="360" w:lineRule="auto"/>
        <w:ind w:left="102" w:right="124"/>
        <w:jc w:val="both"/>
      </w:pPr>
      <w:r>
        <w:rPr/>
        <w:t>Analizar y definir el proceso de desurbanizacion metropolitana de la ciudad de Toluca, identificando las características de los cambios y de las interrelaciones de la actual estructura urbana en el periodo de 1990 a 2010.</w:t>
      </w:r>
    </w:p>
    <w:p>
      <w:pPr>
        <w:pStyle w:val="BodyText"/>
        <w:spacing w:before="10"/>
      </w:pPr>
    </w:p>
    <w:p>
      <w:pPr>
        <w:pStyle w:val="BodyText"/>
        <w:spacing w:line="360" w:lineRule="auto"/>
        <w:ind w:left="102" w:right="117"/>
        <w:jc w:val="both"/>
      </w:pPr>
      <w:r>
        <w:rPr/>
        <w:t>Para la elaboración de la investigación, se proponen los siguientes objetivos particulares:</w:t>
      </w:r>
    </w:p>
    <w:p>
      <w:pPr>
        <w:pStyle w:val="BodyText"/>
        <w:spacing w:before="7"/>
      </w:pPr>
    </w:p>
    <w:p>
      <w:pPr>
        <w:pStyle w:val="BodyText"/>
        <w:spacing w:line="360" w:lineRule="auto"/>
        <w:ind w:left="102" w:right="127"/>
        <w:jc w:val="both"/>
      </w:pPr>
      <w:r>
        <w:rPr/>
        <w:t>Elaborar un marco conceptual y teórico para el estudio de la desurbanización metropolitana;</w:t>
      </w:r>
    </w:p>
    <w:p>
      <w:pPr>
        <w:pStyle w:val="BodyText"/>
        <w:spacing w:before="7"/>
      </w:pPr>
    </w:p>
    <w:p>
      <w:pPr>
        <w:pStyle w:val="BodyText"/>
        <w:spacing w:line="360" w:lineRule="auto"/>
        <w:ind w:left="102" w:right="118"/>
        <w:jc w:val="both"/>
      </w:pPr>
      <w:r>
        <w:rPr/>
        <w:t>Generar una metodología de análisis aplicada a las zonas metropolitanas integrando factores económicos y sociales del crecimiento urbano funcional externo, teniendo de referencia el contexto analítico internacional y el mexicano;</w:t>
      </w:r>
    </w:p>
    <w:p>
      <w:pPr>
        <w:pStyle w:val="BodyText"/>
        <w:spacing w:before="8"/>
      </w:pPr>
    </w:p>
    <w:p>
      <w:pPr>
        <w:pStyle w:val="BodyText"/>
        <w:spacing w:line="360" w:lineRule="auto"/>
        <w:ind w:left="102" w:right="117"/>
        <w:jc w:val="both"/>
      </w:pPr>
      <w:r>
        <w:rPr/>
        <w:t>Caracterizar el funcionamiento de la zona metropolitana de Toluca, para identificar la fase del ciclo de vida de la estructura urbana y presentar el grado de desurbanización, en las últimas dos décadas.</w:t>
      </w:r>
    </w:p>
    <w:p>
      <w:pPr>
        <w:spacing w:after="0" w:line="360" w:lineRule="auto"/>
        <w:jc w:val="both"/>
        <w:sectPr>
          <w:pgSz w:w="12240" w:h="15840"/>
          <w:pgMar w:header="0" w:footer="659" w:top="1360" w:bottom="840" w:left="1600" w:right="1580"/>
        </w:sectPr>
      </w:pPr>
    </w:p>
    <w:p>
      <w:pPr>
        <w:pStyle w:val="BodyText"/>
        <w:spacing w:line="360" w:lineRule="auto" w:before="54"/>
        <w:ind w:left="102" w:right="126"/>
        <w:jc w:val="both"/>
      </w:pPr>
      <w:r>
        <w:rPr/>
        <w:t>Presentar resultados de la estructura metropolitana actual y discutir la hipótesis de la desurbanización e impactos de la Zona Metropolitana de Toluca.</w:t>
      </w:r>
    </w:p>
    <w:p>
      <w:pPr>
        <w:pStyle w:val="BodyText"/>
        <w:spacing w:before="7"/>
      </w:pPr>
    </w:p>
    <w:p>
      <w:pPr>
        <w:pStyle w:val="BodyText"/>
        <w:spacing w:line="360" w:lineRule="auto"/>
        <w:ind w:left="102" w:right="119"/>
        <w:jc w:val="both"/>
      </w:pPr>
      <w:r>
        <w:rPr/>
        <w:t>El documento de tesis de investigación se estructura de cinco capítulos y un apartado de conclusiones generales (Esquema 1):</w:t>
      </w:r>
    </w:p>
    <w:p>
      <w:pPr>
        <w:pStyle w:val="BodyText"/>
        <w:spacing w:before="7"/>
      </w:pPr>
    </w:p>
    <w:p>
      <w:pPr>
        <w:pStyle w:val="BodyText"/>
        <w:spacing w:line="360" w:lineRule="auto"/>
        <w:ind w:left="102" w:right="116"/>
        <w:jc w:val="both"/>
      </w:pPr>
      <w:r>
        <w:rPr/>
        <w:t>El primer capítulo se titula “Construcción teórica conceptual del proceso de configuración de la metrópolis”, con base en la teoría del ciclo de vida urbano, se divide en dos subcapítulos y las conclusiones que abordan cronológicamente el proceso de expansión metropolitana, particularmente enfocado en procesos de crecimiento urbano externo. Se realizó según método hipotético deductivo, mediante la revisión de literatura especializada del proceso de suburbanización, desconcentración y desurbanización, donde se abordan los antecedentes históricos, la conceptualización de dichos procesos y los factores que lo representan.</w:t>
      </w:r>
    </w:p>
    <w:p>
      <w:pPr>
        <w:pStyle w:val="BodyText"/>
        <w:spacing w:before="7"/>
      </w:pPr>
    </w:p>
    <w:p>
      <w:pPr>
        <w:pStyle w:val="BodyText"/>
        <w:spacing w:line="360" w:lineRule="auto"/>
        <w:ind w:left="102" w:right="118"/>
        <w:jc w:val="both"/>
      </w:pPr>
      <w:r>
        <w:rPr/>
        <w:t>El segundo capítulo denominado “Metodologías y medición de la evolución de las metrópolis, se compone de dos subcapítulos más conclusiones”, es un apartado  de referencia para la investigación dado que examina metodologías y mediciones en contextos urbanos más desarrollados, para identificar dimensiones y  cualidades empíricas con base en el ciclo de vida urbano. Se aborda un primer nivel de complejidad de las dimensiones y factores causales del funcionamiento urbano territorial de las metrópolis. Se usa el método comparativo, al seleccionar y comparar de los casos de referencia seleccionando aquellos que explican y miden los cambios en la estructura</w:t>
      </w:r>
      <w:r>
        <w:rPr>
          <w:spacing w:val="-10"/>
        </w:rPr>
        <w:t> </w:t>
      </w:r>
      <w:r>
        <w:rPr/>
        <w:t>urbana.</w:t>
      </w:r>
    </w:p>
    <w:p>
      <w:pPr>
        <w:pStyle w:val="BodyText"/>
        <w:spacing w:before="7"/>
      </w:pPr>
    </w:p>
    <w:p>
      <w:pPr>
        <w:pStyle w:val="BodyText"/>
        <w:spacing w:line="360" w:lineRule="auto"/>
        <w:ind w:left="102" w:right="118"/>
        <w:jc w:val="both"/>
      </w:pPr>
      <w:r>
        <w:rPr/>
        <w:t>El tercer capítulo denominado “Comprensión y conceptualización de la metropolización en México y ciudad de Toluca”, contiene casos de referencia  sobre las transformaciones de la metropolización en el contexto mexicano, se subdivide en tres partes más conclusiones, primero identifica la base conceptual sobre las transformaciones territoriales de algunos investigaciones, se sigue un orden cronológico de los procesos de finales del siglo XX y los que surgen con  </w:t>
      </w:r>
      <w:r>
        <w:rPr>
          <w:spacing w:val="55"/>
        </w:rPr>
        <w:t> </w:t>
      </w:r>
      <w:r>
        <w:rPr/>
        <w:t>el</w:t>
      </w:r>
    </w:p>
    <w:p>
      <w:pPr>
        <w:spacing w:after="0" w:line="360" w:lineRule="auto"/>
        <w:jc w:val="both"/>
        <w:sectPr>
          <w:footerReference w:type="default" r:id="rId9"/>
          <w:pgSz w:w="12240" w:h="15840"/>
          <w:pgMar w:footer="659" w:header="0" w:top="1360" w:bottom="840" w:left="1600" w:right="1580"/>
        </w:sectPr>
      </w:pPr>
    </w:p>
    <w:p>
      <w:pPr>
        <w:pStyle w:val="BodyText"/>
        <w:spacing w:line="360" w:lineRule="auto" w:before="54"/>
        <w:ind w:left="102" w:right="121"/>
        <w:jc w:val="both"/>
      </w:pPr>
      <w:r>
        <w:rPr/>
        <w:t>siglo XXI. Los capítulos segundo y tercero permiten optar por una metodología, misma que se aplica en la investigación para el caso de la ZMT.</w:t>
      </w:r>
    </w:p>
    <w:p>
      <w:pPr>
        <w:pStyle w:val="BodyText"/>
        <w:spacing w:before="9"/>
      </w:pPr>
    </w:p>
    <w:p>
      <w:pPr>
        <w:spacing w:before="0"/>
        <w:ind w:left="125" w:right="146" w:firstLine="0"/>
        <w:jc w:val="center"/>
        <w:rPr>
          <w:sz w:val="20"/>
        </w:rPr>
      </w:pPr>
      <w:r>
        <w:rPr>
          <w:color w:val="6F2F9F"/>
          <w:sz w:val="20"/>
        </w:rPr>
        <w:t>E</w:t>
      </w:r>
      <w:r>
        <w:rPr>
          <w:sz w:val="20"/>
        </w:rPr>
        <w:t>squema 1. Planteamiento y procedimiento de investigación</w:t>
      </w:r>
    </w:p>
    <w:p>
      <w:pPr>
        <w:pStyle w:val="BodyText"/>
        <w:rPr>
          <w:sz w:val="14"/>
        </w:rPr>
      </w:pPr>
      <w:r>
        <w:rPr/>
        <w:drawing>
          <wp:anchor distT="0" distB="0" distL="0" distR="0" allowOverlap="1" layoutInCell="1" locked="0" behindDoc="0" simplePos="0" relativeHeight="1144">
            <wp:simplePos x="0" y="0"/>
            <wp:positionH relativeFrom="page">
              <wp:posOffset>1253489</wp:posOffset>
            </wp:positionH>
            <wp:positionV relativeFrom="paragraph">
              <wp:posOffset>127010</wp:posOffset>
            </wp:positionV>
            <wp:extent cx="5277228" cy="5846064"/>
            <wp:effectExtent l="0" t="0" r="0" b="0"/>
            <wp:wrapTopAndBottom/>
            <wp:docPr id="7" name="image6.jpeg" descr=""/>
            <wp:cNvGraphicFramePr>
              <a:graphicFrameLocks noChangeAspect="1"/>
            </wp:cNvGraphicFramePr>
            <a:graphic>
              <a:graphicData uri="http://schemas.openxmlformats.org/drawingml/2006/picture">
                <pic:pic>
                  <pic:nvPicPr>
                    <pic:cNvPr id="8" name="image6.jpeg"/>
                    <pic:cNvPicPr/>
                  </pic:nvPicPr>
                  <pic:blipFill>
                    <a:blip r:embed="rId11" cstate="print"/>
                    <a:stretch>
                      <a:fillRect/>
                    </a:stretch>
                  </pic:blipFill>
                  <pic:spPr>
                    <a:xfrm>
                      <a:off x="0" y="0"/>
                      <a:ext cx="5277228" cy="5846064"/>
                    </a:xfrm>
                    <a:prstGeom prst="rect">
                      <a:avLst/>
                    </a:prstGeom>
                  </pic:spPr>
                </pic:pic>
              </a:graphicData>
            </a:graphic>
          </wp:anchor>
        </w:drawing>
      </w:r>
    </w:p>
    <w:p>
      <w:pPr>
        <w:spacing w:before="152"/>
        <w:ind w:left="127" w:right="146" w:firstLine="0"/>
        <w:jc w:val="center"/>
        <w:rPr>
          <w:sz w:val="20"/>
        </w:rPr>
      </w:pPr>
      <w:r>
        <w:rPr>
          <w:sz w:val="20"/>
        </w:rPr>
        <w:t>Fuente elaboración propia</w:t>
      </w:r>
    </w:p>
    <w:p>
      <w:pPr>
        <w:pStyle w:val="BodyText"/>
        <w:spacing w:before="1"/>
      </w:pPr>
    </w:p>
    <w:p>
      <w:pPr>
        <w:pStyle w:val="BodyText"/>
        <w:spacing w:line="360" w:lineRule="auto"/>
        <w:ind w:left="102" w:right="116"/>
        <w:jc w:val="both"/>
      </w:pPr>
      <w:r>
        <w:rPr/>
        <w:t>Los capítulos, segundo y tercero, o de casos de estudio se realizaron utilizando el método comparativo, destacando particularidades y características del fenómeno, identificados en casos de estudio, para posteriormente extraer las variables explicativas (Esquema 1). La realización de la investigación inicia con la revisión</w:t>
      </w:r>
    </w:p>
    <w:p>
      <w:pPr>
        <w:spacing w:after="0" w:line="360" w:lineRule="auto"/>
        <w:jc w:val="both"/>
        <w:sectPr>
          <w:footerReference w:type="default" r:id="rId10"/>
          <w:pgSz w:w="12240" w:h="15840"/>
          <w:pgMar w:footer="659" w:header="0" w:top="1360" w:bottom="840" w:left="1600" w:right="1580"/>
          <w:pgNumType w:start="11"/>
        </w:sectPr>
      </w:pPr>
    </w:p>
    <w:p>
      <w:pPr>
        <w:pStyle w:val="BodyText"/>
        <w:spacing w:line="360" w:lineRule="auto" w:before="54"/>
        <w:ind w:left="102" w:right="122"/>
        <w:jc w:val="both"/>
      </w:pPr>
      <w:r>
        <w:rPr/>
        <w:t>de bibliografía especializada que abordan las teorías del ciclo de vida urbano en la escala de ciudades o en el sistema urbano. Aquellos que midan la expansión urbana, desconcentración y descentralización y las relaciones funcionales siguiendo la evolución de la ciudad, en particular el tercero selecciona variables que exponen cambios. Ambos capítulos sirven para desarrollar y optar por la metodología que se aplica en esta investigación y selección de variables para el caso de la ZMT.</w:t>
      </w:r>
    </w:p>
    <w:p>
      <w:pPr>
        <w:pStyle w:val="BodyText"/>
        <w:spacing w:before="7"/>
      </w:pPr>
    </w:p>
    <w:p>
      <w:pPr>
        <w:pStyle w:val="BodyText"/>
        <w:spacing w:line="360" w:lineRule="auto"/>
        <w:ind w:left="102" w:right="118"/>
        <w:jc w:val="both"/>
      </w:pPr>
      <w:r>
        <w:rPr/>
        <w:t>El cuarto capítulo, denominado “Zona Metropolitana de Toluca. Transición y transformación de su configuración, 1990 -2010”, presenta la ZMT, siguiendo el funcionamiento se delimita la estructura metropolitana en tres ámbitos de análisis, (ciudad central, periferia cercana y municipios externos) para caracterizar el comportamiento cuantitativo de las variaciones demográficas, económicas y territoriales, de 1990 al 2000 del siglo XX y de 2000 al 2010 del presente siglo XXI, al mismo tiempo se examina cómo se estructura el funcionalmente de los flujos de población desde la ciudad y hacia la ciudad, además de los impactos en  el territorio medidos con los cambios en  los usos de suelo.</w:t>
      </w:r>
    </w:p>
    <w:p>
      <w:pPr>
        <w:pStyle w:val="BodyText"/>
        <w:spacing w:before="10"/>
      </w:pPr>
    </w:p>
    <w:p>
      <w:pPr>
        <w:pStyle w:val="BodyText"/>
        <w:spacing w:line="360" w:lineRule="auto"/>
        <w:ind w:left="102" w:right="115"/>
        <w:jc w:val="both"/>
      </w:pPr>
      <w:r>
        <w:rPr/>
        <w:t>Para la medición en el cuarto capítulo, se usó información estadística secundaria, del INEGI, como los censos de población y los conteos de población, los vehículos de motor registrados y el Sistema de Integración Territorial, ITER. Para medir las relaciones funcionales se usó información del grupo interinstitucional CONAPO- INEGI-SEDESOL y también la encuesta origen-destino del Gobierno del Estado de México de la Junta de Caminos del Estado de México, 2007. Se utilizó el método funcionalista para la división de los ámbitos, en el análisis de las variables sus relaciones entre ellas que definen el funcionamiento metropolitano y los cambios.</w:t>
      </w:r>
    </w:p>
    <w:p>
      <w:pPr>
        <w:pStyle w:val="BodyText"/>
        <w:spacing w:before="8"/>
      </w:pPr>
    </w:p>
    <w:p>
      <w:pPr>
        <w:pStyle w:val="BodyText"/>
        <w:spacing w:line="360" w:lineRule="auto"/>
        <w:ind w:left="102" w:right="117"/>
        <w:jc w:val="both"/>
      </w:pPr>
      <w:r>
        <w:rPr/>
        <w:t>El quinto capítulo titulado “Análisis de resultados y discusión sobre la desurbanización de la ZMT”, contiene los principales hallazgos del proceso de expansión en la zona de estudio, se estructura de dos subcapítulos, El primero se enfoca a la discusión del cumplimiento de la hipótesis, contrastando los resultados y la teoría, el segundo subcapítulo aborda los resultados de los flujos de población</w:t>
      </w:r>
    </w:p>
    <w:p>
      <w:pPr>
        <w:spacing w:after="0" w:line="360" w:lineRule="auto"/>
        <w:jc w:val="both"/>
        <w:sectPr>
          <w:pgSz w:w="12240" w:h="15840"/>
          <w:pgMar w:header="0" w:footer="659" w:top="1360" w:bottom="840" w:left="1600" w:right="1580"/>
        </w:sectPr>
      </w:pPr>
    </w:p>
    <w:p>
      <w:pPr>
        <w:pStyle w:val="BodyText"/>
        <w:spacing w:line="360" w:lineRule="auto" w:before="54"/>
        <w:ind w:left="102" w:right="118"/>
        <w:jc w:val="both"/>
      </w:pPr>
      <w:r>
        <w:rPr/>
        <w:t>en la ZMT, desde las variaciones hasta la amplitud de escala de los desplazamientos.</w:t>
      </w:r>
    </w:p>
    <w:p>
      <w:pPr>
        <w:pStyle w:val="BodyText"/>
        <w:spacing w:before="7"/>
      </w:pPr>
    </w:p>
    <w:p>
      <w:pPr>
        <w:pStyle w:val="BodyText"/>
        <w:spacing w:line="360" w:lineRule="auto"/>
        <w:ind w:left="102" w:right="116"/>
        <w:jc w:val="both"/>
      </w:pPr>
      <w:r>
        <w:rPr/>
        <w:t>Las conclusiones generales, presentan las características de la zona metropolitana, y propuesta metodológica para examinar el proceso de expansión, los impactos del proceso de expansión metropolitano, contiene también las posibles líneas de investigación que pueden derivar de estos resultados encontrados en la zona de estudio.</w:t>
      </w:r>
    </w:p>
    <w:p>
      <w:pPr>
        <w:pStyle w:val="BodyText"/>
        <w:spacing w:before="8"/>
      </w:pPr>
    </w:p>
    <w:p>
      <w:pPr>
        <w:pStyle w:val="BodyText"/>
        <w:spacing w:line="360" w:lineRule="auto"/>
        <w:ind w:left="102" w:right="115"/>
        <w:jc w:val="both"/>
      </w:pPr>
      <w:r>
        <w:rPr/>
        <w:t>En la bibliografía especializada para la ZMT, son muy escasos los estudios de la trasformación de la estructura metropolitana, de propuestas metodológicas y de seguimientos de la construcción científica. Esta investigación busca ofrecer una aportación académica al ámbito científico que permita ampliar las miradas del proceso territorial en la escala de una ciudad individual, no solo en los cambios del sistema urbano del centro de México. Con el estudio de la estructuración funcional de la Zona Metropolitana de Toluca, se contribuye en la fundamentación de procesos de suburbanización muy avanzados y en el inicio de la desurbanización mediante una alternativa metodológica complementaria a las ya existentes en el medio mexiquense, en suma se trata de actualizar el conocimiento sobre el funcionamiento de la ciudad actual al tiempo que corregir metodologías cada vez menos útiles.</w:t>
      </w:r>
    </w:p>
    <w:p>
      <w:pPr>
        <w:spacing w:after="0" w:line="360" w:lineRule="auto"/>
        <w:jc w:val="both"/>
        <w:sectPr>
          <w:pgSz w:w="12240" w:h="15840"/>
          <w:pgMar w:header="0" w:footer="659" w:top="1360" w:bottom="840" w:left="1600" w:right="158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2"/>
        <w:rPr>
          <w:sz w:val="28"/>
        </w:rPr>
      </w:pPr>
    </w:p>
    <w:p>
      <w:pPr>
        <w:pStyle w:val="Heading1"/>
        <w:spacing w:line="360" w:lineRule="auto"/>
        <w:jc w:val="center"/>
      </w:pPr>
      <w:r>
        <w:rPr/>
        <w:t>Capítulo I. Construcción teórica conceptual del proceso de configuración de las metrópolis</w:t>
      </w:r>
    </w:p>
    <w:p>
      <w:pPr>
        <w:spacing w:after="0" w:line="360" w:lineRule="auto"/>
        <w:jc w:val="center"/>
        <w:sectPr>
          <w:pgSz w:w="12240" w:h="15840"/>
          <w:pgMar w:header="0" w:footer="659" w:top="1500" w:bottom="840" w:left="1660" w:right="1660"/>
        </w:sectPr>
      </w:pPr>
    </w:p>
    <w:p>
      <w:pPr>
        <w:spacing w:line="360" w:lineRule="auto" w:before="33"/>
        <w:ind w:left="129" w:right="146" w:firstLine="0"/>
        <w:jc w:val="center"/>
        <w:rPr>
          <w:b/>
          <w:sz w:val="40"/>
        </w:rPr>
      </w:pPr>
      <w:r>
        <w:rPr>
          <w:b/>
          <w:sz w:val="40"/>
        </w:rPr>
        <w:t>Capítulo I. Construcción teórica conceptual del proceso de configuración de las metrópolis</w:t>
      </w:r>
    </w:p>
    <w:p>
      <w:pPr>
        <w:pStyle w:val="BodyText"/>
        <w:spacing w:line="360" w:lineRule="auto" w:before="290"/>
        <w:ind w:left="102" w:right="116"/>
        <w:jc w:val="both"/>
      </w:pPr>
      <w:r>
        <w:rPr/>
        <w:t>El objetivo del capítulo es realizar el análisis teórico - conceptual dirigido a identificar las particularidades explicativas y descriptivas de cada momento y tipo de la fenomenología de las metrópolis, distinguiendo los factores a los que se atribuyen los actuales cambios en las mismas.</w:t>
      </w:r>
    </w:p>
    <w:p>
      <w:pPr>
        <w:pStyle w:val="BodyText"/>
        <w:spacing w:before="7"/>
      </w:pPr>
    </w:p>
    <w:p>
      <w:pPr>
        <w:pStyle w:val="BodyText"/>
        <w:spacing w:line="360" w:lineRule="auto"/>
        <w:ind w:left="102" w:right="121"/>
        <w:jc w:val="both"/>
      </w:pPr>
      <w:r>
        <w:rPr/>
        <w:t>El capítulo se estructura por tres subcapítulos comenzando con la base teórica, aborda las teorías de la evolución urbana, en ella se abordan dos, la primera corresponde al “ciclo de vida urbana” y la segunda explica las “etapas del desarrollo urbano”. El segundo subcapítulo describe los procesos de urbanización de una metrópolis y se subdivide en tres periodos de tiempo, el primero considera la descripción del proceso de concentración a desconcentración, el segundo describe las trasformaciones en la periferia externa y el tercer período las configuraciones actuales que se señalan los sistemas y redes que configuran las estructuras policéntricas metropolitanas. El tercer subcapítulo destaca y recupera las conceptualizaciones que se abordaron para esta investigación.</w:t>
      </w:r>
    </w:p>
    <w:p>
      <w:pPr>
        <w:pStyle w:val="BodyText"/>
        <w:spacing w:before="6"/>
      </w:pPr>
    </w:p>
    <w:p>
      <w:pPr>
        <w:pStyle w:val="Heading4"/>
        <w:numPr>
          <w:ilvl w:val="1"/>
          <w:numId w:val="1"/>
        </w:numPr>
        <w:tabs>
          <w:tab w:pos="649" w:val="left" w:leader="none"/>
        </w:tabs>
        <w:spacing w:line="240" w:lineRule="auto" w:before="0" w:after="0"/>
        <w:ind w:left="102" w:right="0" w:firstLine="0"/>
        <w:jc w:val="both"/>
      </w:pPr>
      <w:r>
        <w:rPr/>
        <w:t>Teorías de la evolución</w:t>
      </w:r>
      <w:r>
        <w:rPr>
          <w:spacing w:val="-19"/>
        </w:rPr>
        <w:t> </w:t>
      </w:r>
      <w:r>
        <w:rPr/>
        <w:t>urbana</w:t>
      </w:r>
    </w:p>
    <w:p>
      <w:pPr>
        <w:pStyle w:val="BodyText"/>
        <w:spacing w:before="8"/>
        <w:rPr>
          <w:b/>
          <w:sz w:val="38"/>
        </w:rPr>
      </w:pPr>
    </w:p>
    <w:p>
      <w:pPr>
        <w:pStyle w:val="BodyText"/>
        <w:spacing w:line="360" w:lineRule="auto"/>
        <w:ind w:left="102" w:right="116"/>
        <w:jc w:val="both"/>
      </w:pPr>
      <w:r>
        <w:rPr/>
        <w:t>La propuesta teórica de análisis que comprende los cambios como un proceso evolutivo, es decir que se compone de fases con declive y desconcentración vinculando el desarrollo urbano con el económico, ha sido planteado primero por Hall (1981) y replanteada por Van de Berg (1982, 1987), A nivel de una ciudad individual, se hacen tres distinciones, primero espacial (se distingue el centro y anillos periféricos), segundo, la diferenciación demográfica y, tercera, el estadio de desarrollo urbano, identifican cuatro fases en los ciclos espaciales: urbanización, suburbanización, desurbanización y reurbanización (Cfr. Ferras, 2007:15-17).    En</w:t>
      </w:r>
    </w:p>
    <w:p>
      <w:pPr>
        <w:spacing w:after="0" w:line="360" w:lineRule="auto"/>
        <w:jc w:val="both"/>
        <w:sectPr>
          <w:pgSz w:w="12240" w:h="15840"/>
          <w:pgMar w:header="0" w:footer="659" w:top="1380" w:bottom="840" w:left="1600" w:right="1580"/>
        </w:sectPr>
      </w:pPr>
    </w:p>
    <w:p>
      <w:pPr>
        <w:pStyle w:val="BodyText"/>
        <w:spacing w:line="360" w:lineRule="auto" w:before="54"/>
        <w:ind w:left="102" w:right="105"/>
        <w:jc w:val="both"/>
      </w:pPr>
      <w:r>
        <w:rPr/>
        <w:t>la aplicación del sistema urbano, se consideran tres ciudades que van evolucionando cada una según el comportamiento general.</w:t>
      </w:r>
    </w:p>
    <w:p>
      <w:pPr>
        <w:pStyle w:val="BodyText"/>
        <w:spacing w:before="7"/>
      </w:pPr>
    </w:p>
    <w:p>
      <w:pPr>
        <w:pStyle w:val="BodyText"/>
        <w:spacing w:line="360" w:lineRule="auto"/>
        <w:ind w:left="102" w:right="100"/>
        <w:jc w:val="both"/>
      </w:pPr>
      <w:r>
        <w:rPr/>
        <w:t>Por lo que la teoría de la evolución ha sido utilizada para explicar el  funcionamiento y evolución del sistema urbano en conjunto y también se ha aplicado para examinar la madurez del funcionamiento de una metrópolis. Primero se expone la aplicación al sistema urbano y luego el comportamiento metropolitano.</w:t>
      </w:r>
    </w:p>
    <w:p>
      <w:pPr>
        <w:pStyle w:val="BodyText"/>
        <w:spacing w:before="8"/>
      </w:pPr>
    </w:p>
    <w:p>
      <w:pPr>
        <w:pStyle w:val="Heading5"/>
        <w:numPr>
          <w:ilvl w:val="2"/>
          <w:numId w:val="1"/>
        </w:numPr>
        <w:tabs>
          <w:tab w:pos="771" w:val="left" w:leader="none"/>
        </w:tabs>
        <w:spacing w:line="240" w:lineRule="auto" w:before="0" w:after="0"/>
        <w:ind w:left="770" w:right="0" w:hanging="668"/>
        <w:jc w:val="both"/>
      </w:pPr>
      <w:r>
        <w:rPr/>
        <w:t>El “ciclo de</w:t>
      </w:r>
      <w:r>
        <w:rPr>
          <w:spacing w:val="-5"/>
        </w:rPr>
        <w:t> </w:t>
      </w:r>
      <w:r>
        <w:rPr/>
        <w:t>urbanización”</w:t>
      </w:r>
    </w:p>
    <w:p>
      <w:pPr>
        <w:pStyle w:val="BodyText"/>
        <w:rPr>
          <w:b/>
        </w:rPr>
      </w:pPr>
    </w:p>
    <w:p>
      <w:pPr>
        <w:pStyle w:val="BodyText"/>
        <w:spacing w:line="360" w:lineRule="auto" w:before="141"/>
        <w:ind w:left="102" w:right="98"/>
        <w:jc w:val="both"/>
      </w:pPr>
      <w:r>
        <w:rPr/>
        <w:t>La teoría del ciclo de urbanización, supone un sistema teórico de ciudades  formado por tres tamaños: la ciudad primada, la intermedia y la pequeña, todos ellas evolucionan hacia su madurez al tiempo que opera la redistribución del proceso urbano general, cada una de ellas alcanza su máximo de dinamismo y luego se presentan procesos que propician expulsión, mismo que se ubican en otras ciudades. Se presenta ascenso y descenso, es decir, dinamismo absoluto, alta concentración y centralización que son los mecanismos centrípetos, aquí se presentan las fases de urbanización y suburbanización y; luego el cambio hacia la pérdida relativa, desconcentración, descentralización y distribución que son los mecanismos centrípetos, se presentan las fases de desurbanización y reurbanización. Teóricamente después de los cambios propios de la ciudad primada se presentarán en la ciudad intermedia y luego en la pequeña. Tales mecanismos, pasan por cada ciudad, hasta que el sistema urbano en conjunto es maduro, ello se califica como ciclo urbano porque comienza nuevamente el siguiente ciclo (Pacione,</w:t>
      </w:r>
      <w:r>
        <w:rPr>
          <w:spacing w:val="-6"/>
        </w:rPr>
        <w:t> </w:t>
      </w:r>
      <w:r>
        <w:rPr/>
        <w:t>2005).</w:t>
      </w:r>
    </w:p>
    <w:p>
      <w:pPr>
        <w:pStyle w:val="BodyText"/>
        <w:spacing w:before="8"/>
      </w:pPr>
    </w:p>
    <w:p>
      <w:pPr>
        <w:pStyle w:val="BodyText"/>
        <w:spacing w:line="360" w:lineRule="auto"/>
        <w:ind w:left="102" w:right="99"/>
        <w:jc w:val="both"/>
      </w:pPr>
      <w:r>
        <w:rPr/>
        <w:t>El modelo de evolución urbana de Hall (1984) que explica las transformaciones en la ciudad primada , en otras ciudades del sistema y en áreas no metropolitanas  por los movimientos migratorios de la población, se divide en cinco etapas: en la primera, la ciudad central o principal tiene primacía, es la primera fase de ésta, existe una formación jerárquica del sistema urbano y se presenta centralidad, la periferia</w:t>
      </w:r>
      <w:r>
        <w:rPr>
          <w:spacing w:val="49"/>
        </w:rPr>
        <w:t> </w:t>
      </w:r>
      <w:r>
        <w:rPr/>
        <w:t>se</w:t>
      </w:r>
      <w:r>
        <w:rPr>
          <w:spacing w:val="49"/>
        </w:rPr>
        <w:t> </w:t>
      </w:r>
      <w:r>
        <w:rPr/>
        <w:t>caracteriza</w:t>
      </w:r>
      <w:r>
        <w:rPr>
          <w:spacing w:val="49"/>
        </w:rPr>
        <w:t> </w:t>
      </w:r>
      <w:r>
        <w:rPr/>
        <w:t>por</w:t>
      </w:r>
      <w:r>
        <w:rPr>
          <w:spacing w:val="48"/>
        </w:rPr>
        <w:t> </w:t>
      </w:r>
      <w:r>
        <w:rPr/>
        <w:t>bajos</w:t>
      </w:r>
      <w:r>
        <w:rPr>
          <w:spacing w:val="49"/>
        </w:rPr>
        <w:t> </w:t>
      </w:r>
      <w:r>
        <w:rPr/>
        <w:t>índices</w:t>
      </w:r>
      <w:r>
        <w:rPr>
          <w:spacing w:val="49"/>
        </w:rPr>
        <w:t> </w:t>
      </w:r>
      <w:r>
        <w:rPr/>
        <w:t>y</w:t>
      </w:r>
      <w:r>
        <w:rPr>
          <w:spacing w:val="46"/>
        </w:rPr>
        <w:t> </w:t>
      </w:r>
      <w:r>
        <w:rPr/>
        <w:t>la</w:t>
      </w:r>
      <w:r>
        <w:rPr>
          <w:spacing w:val="49"/>
        </w:rPr>
        <w:t> </w:t>
      </w:r>
      <w:r>
        <w:rPr/>
        <w:t>ciudad</w:t>
      </w:r>
      <w:r>
        <w:rPr>
          <w:spacing w:val="49"/>
        </w:rPr>
        <w:t> </w:t>
      </w:r>
      <w:r>
        <w:rPr/>
        <w:t>principal</w:t>
      </w:r>
      <w:r>
        <w:rPr>
          <w:spacing w:val="48"/>
        </w:rPr>
        <w:t> </w:t>
      </w:r>
      <w:r>
        <w:rPr/>
        <w:t>altos</w:t>
      </w:r>
      <w:r>
        <w:rPr>
          <w:spacing w:val="49"/>
        </w:rPr>
        <w:t> </w:t>
      </w:r>
      <w:r>
        <w:rPr/>
        <w:t>índices</w:t>
      </w:r>
      <w:r>
        <w:rPr>
          <w:spacing w:val="49"/>
        </w:rPr>
        <w:t> </w:t>
      </w:r>
      <w:r>
        <w:rPr/>
        <w:t>de</w:t>
      </w:r>
    </w:p>
    <w:p>
      <w:pPr>
        <w:spacing w:after="0" w:line="360" w:lineRule="auto"/>
        <w:jc w:val="both"/>
        <w:sectPr>
          <w:pgSz w:w="12240" w:h="15840"/>
          <w:pgMar w:header="0" w:footer="659" w:top="1360" w:bottom="840" w:left="1600" w:right="1600"/>
        </w:sectPr>
      </w:pPr>
    </w:p>
    <w:p>
      <w:pPr>
        <w:pStyle w:val="BodyText"/>
        <w:spacing w:line="360" w:lineRule="auto" w:before="54"/>
        <w:ind w:left="102" w:right="99"/>
        <w:jc w:val="both"/>
      </w:pPr>
      <w:r>
        <w:rPr/>
        <w:t>crecimiento por los movimientos de población que provienen de las áreas no metropolitanas y de las ciudades menores, pertenecientes al sistema (Ver esquema 2).</w:t>
      </w:r>
    </w:p>
    <w:p>
      <w:pPr>
        <w:pStyle w:val="BodyText"/>
        <w:spacing w:before="9"/>
      </w:pPr>
    </w:p>
    <w:p>
      <w:pPr>
        <w:spacing w:before="0"/>
        <w:ind w:left="89" w:right="92" w:firstLine="0"/>
        <w:jc w:val="center"/>
        <w:rPr>
          <w:sz w:val="20"/>
        </w:rPr>
      </w:pPr>
      <w:r>
        <w:rPr/>
        <w:drawing>
          <wp:anchor distT="0" distB="0" distL="0" distR="0" allowOverlap="1" layoutInCell="1" locked="0" behindDoc="0" simplePos="0" relativeHeight="1168">
            <wp:simplePos x="0" y="0"/>
            <wp:positionH relativeFrom="page">
              <wp:posOffset>1466850</wp:posOffset>
            </wp:positionH>
            <wp:positionV relativeFrom="paragraph">
              <wp:posOffset>219835</wp:posOffset>
            </wp:positionV>
            <wp:extent cx="4892498" cy="5850731"/>
            <wp:effectExtent l="0" t="0" r="0" b="0"/>
            <wp:wrapTopAndBottom/>
            <wp:docPr id="9" name="image7.jpeg" descr=""/>
            <wp:cNvGraphicFramePr>
              <a:graphicFrameLocks noChangeAspect="1"/>
            </wp:cNvGraphicFramePr>
            <a:graphic>
              <a:graphicData uri="http://schemas.openxmlformats.org/drawingml/2006/picture">
                <pic:pic>
                  <pic:nvPicPr>
                    <pic:cNvPr id="10" name="image7.jpeg"/>
                    <pic:cNvPicPr/>
                  </pic:nvPicPr>
                  <pic:blipFill>
                    <a:blip r:embed="rId12" cstate="print"/>
                    <a:stretch>
                      <a:fillRect/>
                    </a:stretch>
                  </pic:blipFill>
                  <pic:spPr>
                    <a:xfrm>
                      <a:off x="0" y="0"/>
                      <a:ext cx="4892498" cy="5850731"/>
                    </a:xfrm>
                    <a:prstGeom prst="rect">
                      <a:avLst/>
                    </a:prstGeom>
                  </pic:spPr>
                </pic:pic>
              </a:graphicData>
            </a:graphic>
          </wp:anchor>
        </w:drawing>
      </w:r>
      <w:r>
        <w:rPr>
          <w:sz w:val="20"/>
        </w:rPr>
        <w:t>Esquema 2. Modelo de evolución urbana</w:t>
      </w:r>
    </w:p>
    <w:p>
      <w:pPr>
        <w:spacing w:before="0"/>
        <w:ind w:left="89" w:right="89" w:firstLine="0"/>
        <w:jc w:val="center"/>
        <w:rPr>
          <w:sz w:val="20"/>
        </w:rPr>
      </w:pPr>
      <w:r>
        <w:rPr>
          <w:sz w:val="20"/>
        </w:rPr>
        <w:t>Fuente: tomado de Zarate, 2012: 27</w:t>
      </w:r>
    </w:p>
    <w:p>
      <w:pPr>
        <w:pStyle w:val="BodyText"/>
        <w:spacing w:before="1"/>
        <w:rPr>
          <w:sz w:val="20"/>
        </w:rPr>
      </w:pPr>
    </w:p>
    <w:p>
      <w:pPr>
        <w:pStyle w:val="BodyText"/>
        <w:spacing w:line="360" w:lineRule="auto"/>
        <w:ind w:left="102" w:right="106"/>
        <w:jc w:val="both"/>
      </w:pPr>
      <w:r>
        <w:rPr/>
        <w:t>En la segunda fase de la ciudad principal, el sistema continua manteniendo primacía, con alto índice de crecimiento en la ciudad central y bajo crecimiento en la periferia, proveniente de áreas no metropolitanas y de otras ciudades   menores</w:t>
      </w:r>
    </w:p>
    <w:p>
      <w:pPr>
        <w:spacing w:after="0" w:line="360" w:lineRule="auto"/>
        <w:jc w:val="both"/>
        <w:sectPr>
          <w:pgSz w:w="12240" w:h="15840"/>
          <w:pgMar w:header="0" w:footer="659" w:top="1360" w:bottom="840" w:left="1600" w:right="1600"/>
        </w:sectPr>
      </w:pPr>
    </w:p>
    <w:p>
      <w:pPr>
        <w:pStyle w:val="BodyText"/>
        <w:spacing w:line="360" w:lineRule="auto" w:before="54"/>
        <w:ind w:left="122" w:right="126"/>
        <w:jc w:val="both"/>
      </w:pPr>
      <w:r>
        <w:rPr/>
        <w:t>del sistema, en ésta etapa los movimientos son en el centro y hacia la ciudad primada.</w:t>
      </w:r>
    </w:p>
    <w:p>
      <w:pPr>
        <w:pStyle w:val="BodyText"/>
        <w:spacing w:before="7"/>
      </w:pPr>
    </w:p>
    <w:p>
      <w:pPr>
        <w:pStyle w:val="BodyText"/>
        <w:spacing w:line="360" w:lineRule="auto"/>
        <w:ind w:left="122" w:right="120"/>
        <w:jc w:val="both"/>
      </w:pPr>
      <w:r>
        <w:rPr/>
        <w:t>En la tercera, la ciudad primada comienza el descenso de primacía con altos índices de crecimiento en la periferia, y el centro bajos índices de crecimiento, son movimientos de población provenientes de las áreas no metropolitanas y de otras ciudades del sistema. En la cuarta, continúa el descenso de la primacía y son también bajos los índices de crecimiento en la periferia, los movimientos se dirigen a otras ciudades del sistema. Luego la ciudad primera presenta altos índices de descenso en la ciudad central y bajos índices de crecimiento en su periferia, se invierte el crecimiento en ciudades no metropolitanas, lo mismo pasa en las ciudades pequeñas del sistema, prefieren residir en áreas no metropolitanas, son las periferias las que continúan su crecimiento aunque ha disminuido la dinámica. (Cfr. Zárate, 2012: 26-29).</w:t>
      </w:r>
    </w:p>
    <w:p>
      <w:pPr>
        <w:pStyle w:val="BodyText"/>
        <w:spacing w:before="7"/>
      </w:pPr>
    </w:p>
    <w:p>
      <w:pPr>
        <w:pStyle w:val="BodyText"/>
        <w:spacing w:line="350" w:lineRule="auto"/>
        <w:ind w:left="122" w:right="118"/>
        <w:jc w:val="both"/>
      </w:pPr>
      <w:r>
        <w:rPr/>
        <w:t>Los cambios de la estructura territorial actual, se expresan en la expansión física y funcional. Zárate, (2012: 22) lo explica primero como proceso de dispersión de las ciudades donde los factores son el modelo económico de acumulación</w:t>
      </w:r>
      <w:r>
        <w:rPr>
          <w:position w:val="11"/>
          <w:sz w:val="16"/>
        </w:rPr>
        <w:t>3</w:t>
      </w:r>
      <w:r>
        <w:rPr/>
        <w:t>, los sociales</w:t>
      </w:r>
      <w:r>
        <w:rPr>
          <w:position w:val="11"/>
          <w:sz w:val="16"/>
        </w:rPr>
        <w:t>4</w:t>
      </w:r>
      <w:r>
        <w:rPr/>
        <w:t>, culturales</w:t>
      </w:r>
      <w:r>
        <w:rPr>
          <w:position w:val="11"/>
          <w:sz w:val="16"/>
        </w:rPr>
        <w:t>5</w:t>
      </w:r>
      <w:r>
        <w:rPr/>
        <w:t>, políticos</w:t>
      </w:r>
      <w:r>
        <w:rPr>
          <w:position w:val="11"/>
          <w:sz w:val="16"/>
        </w:rPr>
        <w:t>6 </w:t>
      </w:r>
      <w:r>
        <w:rPr/>
        <w:t>y tecnológicos</w:t>
      </w:r>
      <w:r>
        <w:rPr>
          <w:position w:val="11"/>
          <w:sz w:val="16"/>
        </w:rPr>
        <w:t>7</w:t>
      </w:r>
      <w:r>
        <w:rPr/>
        <w:t>. Todo ello producto de las variaciones demográficas, las cuales teóricamente se explican por medio de fases, que no tienen un comportamiento homogéneo ni temporalidad exacta, dependen de cada parte interna de las metrópolis (área central, área metropolitana y aglomeración total).</w:t>
      </w:r>
    </w:p>
    <w:p>
      <w:pPr>
        <w:pStyle w:val="BodyText"/>
        <w:rPr>
          <w:sz w:val="20"/>
        </w:rPr>
      </w:pPr>
    </w:p>
    <w:p>
      <w:pPr>
        <w:pStyle w:val="BodyText"/>
        <w:rPr>
          <w:sz w:val="20"/>
        </w:rPr>
      </w:pPr>
    </w:p>
    <w:p>
      <w:pPr>
        <w:pStyle w:val="BodyText"/>
        <w:spacing w:before="2"/>
        <w:rPr>
          <w:sz w:val="22"/>
        </w:rPr>
      </w:pPr>
      <w:r>
        <w:rPr/>
        <w:pict>
          <v:line style="position:absolute;mso-position-horizontal-relative:page;mso-position-vertical-relative:paragraph;z-index:1192;mso-wrap-distance-left:0;mso-wrap-distance-right:0" from="85.103996pt,15.092134pt" to="229.123996pt,15.092134pt" stroked="true" strokeweight=".71997pt" strokecolor="#000000">
            <w10:wrap type="topAndBottom"/>
          </v:line>
        </w:pict>
      </w:r>
    </w:p>
    <w:p>
      <w:pPr>
        <w:spacing w:line="240" w:lineRule="auto" w:before="39"/>
        <w:ind w:left="122" w:right="116" w:firstLine="0"/>
        <w:jc w:val="both"/>
        <w:rPr>
          <w:sz w:val="18"/>
        </w:rPr>
      </w:pPr>
      <w:r>
        <w:rPr>
          <w:position w:val="9"/>
          <w:sz w:val="12"/>
        </w:rPr>
        <w:t>3 </w:t>
      </w:r>
      <w:r>
        <w:rPr>
          <w:sz w:val="18"/>
        </w:rPr>
        <w:t>El modelo de acumulación descentraliza los centros de trabajo a países en vías de desarrollo, un ejemplo es la ciudad industrial, la cual pasa a ser una ciudad de elaboración, procesamiento y comercialización de la información, dicho modelo de acumulación cambia al capitalismo flexible en el que cambia la relación entre capital y trabajo (Zárate, 2012:23).</w:t>
      </w:r>
    </w:p>
    <w:p>
      <w:pPr>
        <w:spacing w:line="206" w:lineRule="exact" w:before="3"/>
        <w:ind w:left="122" w:right="119" w:firstLine="0"/>
        <w:jc w:val="both"/>
        <w:rPr>
          <w:sz w:val="18"/>
        </w:rPr>
      </w:pPr>
      <w:r>
        <w:rPr>
          <w:position w:val="9"/>
          <w:sz w:val="12"/>
        </w:rPr>
        <w:t>4 </w:t>
      </w:r>
      <w:r>
        <w:rPr>
          <w:sz w:val="18"/>
        </w:rPr>
        <w:t>Los cambios sociales se deben a las diferencias en las condiciones laborales (empleados y desempleados), por cualificación profesional o carencia de ella y de ambos la polarización de la sociedad. También la mujer</w:t>
      </w:r>
    </w:p>
    <w:p>
      <w:pPr>
        <w:spacing w:line="189" w:lineRule="exact" w:before="0"/>
        <w:ind w:left="122" w:right="0" w:firstLine="0"/>
        <w:jc w:val="both"/>
        <w:rPr>
          <w:sz w:val="18"/>
        </w:rPr>
      </w:pPr>
      <w:r>
        <w:rPr>
          <w:sz w:val="18"/>
        </w:rPr>
        <w:t>trabajadora aplaza la formación de familia y, está el aumento de población vieja (Zárate, 2012:23).</w:t>
      </w:r>
    </w:p>
    <w:p>
      <w:pPr>
        <w:spacing w:line="206" w:lineRule="exact" w:before="20"/>
        <w:ind w:left="122" w:right="130" w:firstLine="0"/>
        <w:jc w:val="both"/>
        <w:rPr>
          <w:sz w:val="18"/>
        </w:rPr>
      </w:pPr>
      <w:r>
        <w:rPr>
          <w:position w:val="9"/>
          <w:sz w:val="12"/>
        </w:rPr>
        <w:t>5 </w:t>
      </w:r>
      <w:r>
        <w:rPr>
          <w:sz w:val="18"/>
        </w:rPr>
        <w:t>El cambio cultural se observa en el aumento del consumismo y apego a los bienes materiales, también al aumento de la demanda de vivienda, y el de multifuncionales cerrados (Zárate, 2012:24).</w:t>
      </w:r>
    </w:p>
    <w:p>
      <w:pPr>
        <w:spacing w:line="203" w:lineRule="exact" w:before="0"/>
        <w:ind w:left="122" w:right="0" w:firstLine="0"/>
        <w:jc w:val="both"/>
        <w:rPr>
          <w:sz w:val="18"/>
        </w:rPr>
      </w:pPr>
      <w:r>
        <w:rPr>
          <w:position w:val="9"/>
          <w:sz w:val="12"/>
        </w:rPr>
        <w:t>6  </w:t>
      </w:r>
      <w:r>
        <w:rPr>
          <w:sz w:val="18"/>
        </w:rPr>
        <w:t>En lo político, el cambio del apoyo público al del sector social y se implementa la política de austeridad</w:t>
      </w:r>
    </w:p>
    <w:p>
      <w:pPr>
        <w:spacing w:line="190" w:lineRule="exact" w:before="2"/>
        <w:ind w:left="122" w:right="0" w:firstLine="0"/>
        <w:jc w:val="both"/>
        <w:rPr>
          <w:sz w:val="18"/>
        </w:rPr>
      </w:pPr>
      <w:r>
        <w:rPr>
          <w:sz w:val="18"/>
        </w:rPr>
        <w:t>(Zárate, 2012:25).</w:t>
      </w:r>
    </w:p>
    <w:p>
      <w:pPr>
        <w:spacing w:line="206" w:lineRule="exact" w:before="20"/>
        <w:ind w:left="122" w:right="122" w:firstLine="0"/>
        <w:jc w:val="both"/>
        <w:rPr>
          <w:sz w:val="18"/>
        </w:rPr>
      </w:pPr>
      <w:r>
        <w:rPr>
          <w:position w:val="9"/>
          <w:sz w:val="12"/>
        </w:rPr>
        <w:t>7 </w:t>
      </w:r>
      <w:r>
        <w:rPr>
          <w:sz w:val="18"/>
        </w:rPr>
        <w:t>La intercomunicación sin estar frente a frente cambia la lógica de organización extendiendo las relaciones a distancia, ello es posible por las telecomunicaciones además de las mejoras en el transporte y el automóvil (Zárate, 2012:23).</w:t>
      </w:r>
    </w:p>
    <w:p>
      <w:pPr>
        <w:spacing w:after="0" w:line="206" w:lineRule="exact"/>
        <w:jc w:val="both"/>
        <w:rPr>
          <w:sz w:val="18"/>
        </w:rPr>
        <w:sectPr>
          <w:pgSz w:w="12240" w:h="15840"/>
          <w:pgMar w:header="0" w:footer="659" w:top="1360" w:bottom="840" w:left="1580" w:right="1580"/>
        </w:sectPr>
      </w:pPr>
    </w:p>
    <w:p>
      <w:pPr>
        <w:spacing w:before="53"/>
        <w:ind w:left="2325" w:right="296" w:firstLine="0"/>
        <w:jc w:val="left"/>
        <w:rPr>
          <w:sz w:val="20"/>
        </w:rPr>
      </w:pPr>
      <w:r>
        <w:rPr>
          <w:sz w:val="20"/>
        </w:rPr>
        <w:t>Esquema 3. Etapas de la urbanización diferencial</w:t>
      </w:r>
    </w:p>
    <w:p>
      <w:pPr>
        <w:pStyle w:val="BodyText"/>
        <w:ind w:left="1827"/>
        <w:rPr>
          <w:sz w:val="20"/>
        </w:rPr>
      </w:pPr>
      <w:r>
        <w:rPr>
          <w:sz w:val="20"/>
        </w:rPr>
        <w:pict>
          <v:group style="width:243.2pt;height:352.3pt;mso-position-horizontal-relative:char;mso-position-vertical-relative:line" coordorigin="0,0" coordsize="4864,7046">
            <v:line style="position:absolute" from="10,10" to="4854,10" stroked="true" strokeweight=".48pt" strokecolor="#000000"/>
            <v:line style="position:absolute" from="5,5" to="5,7040" stroked="true" strokeweight=".48pt" strokecolor="#000000"/>
            <v:line style="position:absolute" from="10,7036" to="4854,7036" stroked="true" strokeweight=".48001pt" strokecolor="#000000"/>
            <v:line style="position:absolute" from="4859,5" to="4859,7040" stroked="true" strokeweight=".48001pt" strokecolor="#000000"/>
            <v:shape style="position:absolute;left:165;top:15;width:4518;height:6895" type="#_x0000_t75" stroked="false">
              <v:imagedata r:id="rId13" o:title=""/>
            </v:shape>
          </v:group>
        </w:pict>
      </w:r>
      <w:r>
        <w:rPr>
          <w:sz w:val="20"/>
        </w:rPr>
      </w:r>
    </w:p>
    <w:p>
      <w:pPr>
        <w:spacing w:line="191" w:lineRule="exact" w:before="0"/>
        <w:ind w:left="2980" w:right="296" w:firstLine="0"/>
        <w:jc w:val="left"/>
        <w:rPr>
          <w:sz w:val="20"/>
        </w:rPr>
      </w:pPr>
      <w:r>
        <w:rPr>
          <w:sz w:val="20"/>
        </w:rPr>
        <w:t>Fuente: Tomado de Pacione, 2005</w:t>
      </w:r>
    </w:p>
    <w:p>
      <w:pPr>
        <w:pStyle w:val="BodyText"/>
        <w:rPr>
          <w:sz w:val="20"/>
        </w:rPr>
      </w:pPr>
    </w:p>
    <w:p>
      <w:pPr>
        <w:pStyle w:val="BodyText"/>
        <w:spacing w:line="360" w:lineRule="auto" w:before="167"/>
        <w:ind w:left="102" w:right="115"/>
        <w:jc w:val="both"/>
      </w:pPr>
      <w:r>
        <w:rPr/>
        <w:t>La curva logística del crecimiento de la urbanización que sostiene un crecimiento de bajo a alto nivel como un proceso unidireccional actualmente pierde significado. En un gran número de países con niveles avanzados de urbanización actuales decrecieron entre 1965 y 1990. No obstante que puede tratarse de un sub conteo estadístico de las áreas urbanas, esto es ahora bien reconocido como procesos que indican la redistribución de población lo cual implica, el rápido crecimiento relativo de lugares urbanos pequeños o el decline absoluto de las grandes ciudades. El cambio en la incidencia del fuerte crecimiento de población fuera de las grandes ciudades en un sistema urbano nacional ha sido denominado “polarización inversa” (</w:t>
      </w:r>
      <w:r>
        <w:rPr>
          <w:i/>
        </w:rPr>
        <w:t>polarization reversa) </w:t>
      </w:r>
      <w:r>
        <w:rPr/>
        <w:t>o, más comúnmente “contraurbanización” (</w:t>
      </w:r>
      <w:r>
        <w:rPr>
          <w:i/>
        </w:rPr>
        <w:t>counterurbanisation</w:t>
      </w:r>
      <w:r>
        <w:rPr/>
        <w:t>). Geyer y Kontuly (1993) han incorporado estos conceptos en la </w:t>
      </w:r>
      <w:r>
        <w:rPr>
          <w:b/>
        </w:rPr>
        <w:t>teoría de la urbanización diferencial </w:t>
      </w:r>
      <w:r>
        <w:rPr/>
        <w:t>la cual</w:t>
      </w:r>
    </w:p>
    <w:p>
      <w:pPr>
        <w:spacing w:after="0" w:line="360" w:lineRule="auto"/>
        <w:jc w:val="both"/>
        <w:sectPr>
          <w:pgSz w:w="12240" w:h="15840"/>
          <w:pgMar w:header="0" w:footer="659" w:top="1360" w:bottom="840" w:left="1600" w:right="1580"/>
        </w:sectPr>
      </w:pPr>
    </w:p>
    <w:p>
      <w:pPr>
        <w:pStyle w:val="BodyText"/>
        <w:spacing w:line="360" w:lineRule="auto" w:before="54"/>
        <w:ind w:left="102" w:right="115"/>
        <w:jc w:val="both"/>
      </w:pPr>
      <w:r>
        <w:rPr/>
        <w:t>postula que ciudades grandes, intermedias y pequeñas van atravesando periodos sucesivos de lento y rápido crecimiento en un </w:t>
      </w:r>
      <w:r>
        <w:rPr>
          <w:b/>
          <w:i/>
        </w:rPr>
        <w:t>ciclo de urbanización </w:t>
      </w:r>
      <w:r>
        <w:rPr/>
        <w:t>(Cfr. Pacione, 2005:</w:t>
      </w:r>
      <w:r>
        <w:rPr>
          <w:spacing w:val="-8"/>
        </w:rPr>
        <w:t> </w:t>
      </w:r>
      <w:r>
        <w:rPr/>
        <w:t>82).</w:t>
      </w:r>
    </w:p>
    <w:p>
      <w:pPr>
        <w:pStyle w:val="BodyText"/>
        <w:spacing w:before="10"/>
      </w:pPr>
    </w:p>
    <w:p>
      <w:pPr>
        <w:pStyle w:val="BodyText"/>
        <w:spacing w:line="360" w:lineRule="auto"/>
        <w:ind w:left="102" w:right="118"/>
        <w:jc w:val="both"/>
      </w:pPr>
      <w:r>
        <w:rPr/>
        <w:t>Según la lectura de Pacione (2005: 79) a la teoría, el cambio de dirección de los patrones de crecimiento, es decir, cuando los procesos salen de la ciudad primada hacia la ciudad intermedia se denomina polarización inversa (</w:t>
      </w:r>
      <w:r>
        <w:rPr>
          <w:i/>
        </w:rPr>
        <w:t>counterurbanization  </w:t>
      </w:r>
      <w:r>
        <w:rPr/>
        <w:t>o desurbanización), con lo cual la segunda ciudad estará entrando a su fase avanzada. Cuando la migración hacia la ciudad primada casi se detiene, la segunda entra a su fase avanzada o desurbanización, con ello será la ciudad pequeña la que entrará a su fase madura, que con el tiempo tenderá a expulsar procesos, mismos que conlleva la fase de reurbanización, se trata del retorno a la ciudad primada, las tasas de crecimiento empezarán a ser positivas (Pacione, 2005:83).</w:t>
      </w:r>
    </w:p>
    <w:p>
      <w:pPr>
        <w:pStyle w:val="BodyText"/>
        <w:spacing w:before="7"/>
      </w:pPr>
    </w:p>
    <w:p>
      <w:pPr>
        <w:pStyle w:val="BodyText"/>
        <w:spacing w:line="360" w:lineRule="auto"/>
        <w:ind w:left="102" w:right="125"/>
        <w:jc w:val="both"/>
      </w:pPr>
      <w:r>
        <w:rPr/>
        <w:t>De manera que las cuatro fases de evolución del sistema urbano, transcurren por: urbanización, suburbanización, contraurbanziación y reurbanización.</w:t>
      </w:r>
    </w:p>
    <w:p>
      <w:pPr>
        <w:pStyle w:val="BodyText"/>
        <w:spacing w:before="8"/>
      </w:pPr>
    </w:p>
    <w:p>
      <w:pPr>
        <w:pStyle w:val="Heading5"/>
        <w:numPr>
          <w:ilvl w:val="2"/>
          <w:numId w:val="1"/>
        </w:numPr>
        <w:tabs>
          <w:tab w:pos="783" w:val="left" w:leader="none"/>
        </w:tabs>
        <w:spacing w:line="240" w:lineRule="auto" w:before="0" w:after="0"/>
        <w:ind w:left="782" w:right="0" w:hanging="680"/>
        <w:jc w:val="both"/>
      </w:pPr>
      <w:r>
        <w:rPr/>
        <w:t>Las "etapas del crecimiento</w:t>
      </w:r>
      <w:r>
        <w:rPr>
          <w:spacing w:val="-14"/>
        </w:rPr>
        <w:t> </w:t>
      </w:r>
      <w:r>
        <w:rPr/>
        <w:t>metropolitano”</w:t>
      </w:r>
    </w:p>
    <w:p>
      <w:pPr>
        <w:pStyle w:val="BodyText"/>
        <w:rPr>
          <w:b/>
        </w:rPr>
      </w:pPr>
    </w:p>
    <w:p>
      <w:pPr>
        <w:pStyle w:val="BodyText"/>
        <w:spacing w:line="360" w:lineRule="auto" w:before="141"/>
        <w:ind w:left="102" w:right="116"/>
        <w:jc w:val="both"/>
      </w:pPr>
      <w:r>
        <w:rPr/>
        <w:t>El comportamiento de las trasformaciones de una metrópolis, se explica por una serie de cambios internos y externos. De acuerdo con Pacione (2005:81-83) en la lectura que hace de la propuesta de Hall y recuperación de Van de Berg, teóricamente se considera el funcionamiento dividido en centro principal y anillo, cuyos cambios explican el conjunto metropolitano. Existe una fase inicial conocida como urbanización, cuando la ciudad principal tiene el dominio en el sistema urbano el crecimiento del centro se da a costa de los espacios rurales.</w:t>
      </w:r>
    </w:p>
    <w:p>
      <w:pPr>
        <w:spacing w:after="0" w:line="360" w:lineRule="auto"/>
        <w:jc w:val="both"/>
        <w:sectPr>
          <w:footerReference w:type="default" r:id="rId14"/>
          <w:pgSz w:w="12240" w:h="15840"/>
          <w:pgMar w:footer="659" w:header="0" w:top="1360" w:bottom="840" w:left="1600" w:right="1580"/>
        </w:sectPr>
      </w:pPr>
    </w:p>
    <w:p>
      <w:pPr>
        <w:spacing w:before="53"/>
        <w:ind w:left="1609" w:right="1241" w:firstLine="0"/>
        <w:jc w:val="left"/>
        <w:rPr>
          <w:sz w:val="20"/>
        </w:rPr>
      </w:pPr>
      <w:r>
        <w:rPr>
          <w:sz w:val="20"/>
        </w:rPr>
        <w:t>Esquema 4. Representación de las etapas del desarrollo urbano</w:t>
      </w:r>
    </w:p>
    <w:p>
      <w:pPr>
        <w:pStyle w:val="BodyText"/>
        <w:spacing w:before="6"/>
        <w:rPr>
          <w:sz w:val="16"/>
        </w:rPr>
      </w:pPr>
      <w:r>
        <w:rPr/>
        <w:pict>
          <v:group style="position:absolute;margin-left:143.050003pt;margin-top:11.450881pt;width:346.55pt;height:552.35pt;mso-position-horizontal-relative:page;mso-position-vertical-relative:paragraph;z-index:1240;mso-wrap-distance-left:0;mso-wrap-distance-right:0" coordorigin="2861,229" coordsize="6931,11047">
            <v:line style="position:absolute" from="2871,239" to="9782,239" stroked="true" strokeweight=".48pt" strokecolor="#000000"/>
            <v:line style="position:absolute" from="2871,6635" to="9782,6635" stroked="true" strokeweight=".47998pt" strokecolor="#000000"/>
            <v:line style="position:absolute" from="2866,234" to="2866,11271" stroked="true" strokeweight=".48001pt" strokecolor="#000000"/>
            <v:line style="position:absolute" from="2871,11266" to="9782,11266" stroked="true" strokeweight=".47998pt" strokecolor="#000000"/>
            <v:line style="position:absolute" from="9787,234" to="9787,11271" stroked="true" strokeweight=".48001pt" strokecolor="#000000"/>
            <v:shape style="position:absolute;left:3369;top:474;width:5908;height:5792" type="#_x0000_t75" stroked="false">
              <v:imagedata r:id="rId16" o:title=""/>
            </v:shape>
            <v:shape style="position:absolute;left:3097;top:6640;width:6455;height:4491" type="#_x0000_t75" stroked="false">
              <v:imagedata r:id="rId17" o:title=""/>
            </v:shape>
            <w10:wrap type="topAndBottom"/>
          </v:group>
        </w:pict>
      </w:r>
    </w:p>
    <w:p>
      <w:pPr>
        <w:spacing w:line="193" w:lineRule="exact" w:before="0"/>
        <w:ind w:left="2920" w:right="1241" w:firstLine="0"/>
        <w:jc w:val="left"/>
        <w:rPr>
          <w:sz w:val="20"/>
        </w:rPr>
      </w:pPr>
      <w:r>
        <w:rPr>
          <w:sz w:val="20"/>
        </w:rPr>
        <w:t>Fuente: Tomado de Pacione, 2005</w:t>
      </w:r>
    </w:p>
    <w:p>
      <w:pPr>
        <w:spacing w:after="0" w:line="193" w:lineRule="exact"/>
        <w:jc w:val="left"/>
        <w:rPr>
          <w:sz w:val="20"/>
        </w:rPr>
        <w:sectPr>
          <w:footerReference w:type="default" r:id="rId15"/>
          <w:pgSz w:w="12240" w:h="15840"/>
          <w:pgMar w:footer="659" w:header="0" w:top="1360" w:bottom="840" w:left="1660" w:right="1660"/>
          <w:pgNumType w:start="21"/>
        </w:sectPr>
      </w:pPr>
    </w:p>
    <w:p>
      <w:pPr>
        <w:pStyle w:val="BodyText"/>
        <w:spacing w:line="352" w:lineRule="auto" w:before="54"/>
        <w:ind w:left="122" w:right="117"/>
        <w:jc w:val="both"/>
      </w:pPr>
      <w:r>
        <w:rPr/>
        <w:t>La siguiente fase de rápido crecimiento, cuya característica es la presencia de suburbanización, que es cuando el anillo urbano</w:t>
      </w:r>
      <w:r>
        <w:rPr>
          <w:position w:val="11"/>
          <w:sz w:val="16"/>
        </w:rPr>
        <w:t>8 </w:t>
      </w:r>
      <w:r>
        <w:rPr/>
        <w:t>de las afueras crece a costa del centro generando una conurbación física, manteniendo un modelo monocéntrico. Posterior a ello, en la siguiente fase, la pérdida de población del centro es mayor a las ganancias de la misma en el anillo urbano y de la ciudad</w:t>
      </w:r>
      <w:r>
        <w:rPr>
          <w:spacing w:val="56"/>
        </w:rPr>
        <w:t> </w:t>
      </w:r>
      <w:r>
        <w:rPr/>
        <w:t>en su conjunto,</w:t>
      </w:r>
    </w:p>
    <w:p>
      <w:pPr>
        <w:pStyle w:val="BodyText"/>
        <w:spacing w:line="360" w:lineRule="auto" w:before="13"/>
        <w:ind w:left="122" w:right="117"/>
        <w:jc w:val="both"/>
      </w:pPr>
      <w:r>
        <w:rPr/>
        <w:t>estadio que se califica como desurbanización, se explica porque una vez alcanzado el crecimiento máximo, se generan deseconomías, y se propicia la descentralización intra regional, donde la ciudad primada tiene un carácter megalopolitano y multicéntrica con dominio espacial y económico.</w:t>
      </w:r>
    </w:p>
    <w:p>
      <w:pPr>
        <w:pStyle w:val="BodyText"/>
        <w:spacing w:before="8"/>
      </w:pPr>
    </w:p>
    <w:p>
      <w:pPr>
        <w:pStyle w:val="BodyText"/>
        <w:spacing w:line="360" w:lineRule="auto"/>
        <w:ind w:left="122" w:right="126"/>
        <w:jc w:val="both"/>
      </w:pPr>
      <w:r>
        <w:rPr/>
        <w:t>Las etapas de evolución de una metrópolis, es la corriente de evolución más aplicada en los estudios urbanos, en particular en México, se encuentra presente, dicha bibliografía se revisará en capítulos posteriores.</w:t>
      </w:r>
    </w:p>
    <w:p>
      <w:pPr>
        <w:pStyle w:val="BodyText"/>
        <w:spacing w:before="6"/>
      </w:pPr>
    </w:p>
    <w:p>
      <w:pPr>
        <w:pStyle w:val="Heading4"/>
        <w:numPr>
          <w:ilvl w:val="1"/>
          <w:numId w:val="1"/>
        </w:numPr>
        <w:tabs>
          <w:tab w:pos="669" w:val="left" w:leader="none"/>
        </w:tabs>
        <w:spacing w:line="240" w:lineRule="auto" w:before="0" w:after="0"/>
        <w:ind w:left="668" w:right="0" w:hanging="546"/>
        <w:jc w:val="both"/>
      </w:pPr>
      <w:r>
        <w:rPr/>
        <w:t>El debate empírico de la urbanización de las</w:t>
      </w:r>
      <w:r>
        <w:rPr>
          <w:spacing w:val="-27"/>
        </w:rPr>
        <w:t> </w:t>
      </w:r>
      <w:r>
        <w:rPr/>
        <w:t>metrópolis</w:t>
      </w:r>
    </w:p>
    <w:p>
      <w:pPr>
        <w:pStyle w:val="BodyText"/>
        <w:spacing w:before="5"/>
        <w:rPr>
          <w:b/>
          <w:sz w:val="38"/>
        </w:rPr>
      </w:pPr>
    </w:p>
    <w:p>
      <w:pPr>
        <w:pStyle w:val="BodyText"/>
        <w:spacing w:line="360" w:lineRule="auto"/>
        <w:ind w:left="122" w:right="119"/>
        <w:jc w:val="both"/>
      </w:pPr>
      <w:r>
        <w:rPr/>
        <w:t>Los cambios en la urbanización actual se caracterizan porque deja de ser plenamente centralizada con movimientos centrípetos hacia la ciudad central provenientes de localidades rurales o momento histórico de urbanización por concentración/centralización, para presentar movimientos centrífugos desde la ciudad central hacia la periferia extendida, es decir, el proceso de urbanización por desconcentración/descentralización. Aquí se ubica la línea de la evolución de los asentamientos humanos.</w:t>
      </w:r>
    </w:p>
    <w:p>
      <w:pPr>
        <w:pStyle w:val="BodyText"/>
        <w:spacing w:before="10"/>
      </w:pPr>
    </w:p>
    <w:p>
      <w:pPr>
        <w:pStyle w:val="Heading5"/>
        <w:numPr>
          <w:ilvl w:val="2"/>
          <w:numId w:val="1"/>
        </w:numPr>
        <w:tabs>
          <w:tab w:pos="791" w:val="left" w:leader="none"/>
        </w:tabs>
        <w:spacing w:line="240" w:lineRule="auto" w:before="0" w:after="0"/>
        <w:ind w:left="102" w:right="0" w:firstLine="20"/>
        <w:jc w:val="both"/>
      </w:pPr>
      <w:r>
        <w:rPr/>
        <w:t>Concentración y suburbanización, siglo XV a mediados del</w:t>
      </w:r>
      <w:r>
        <w:rPr>
          <w:spacing w:val="-15"/>
        </w:rPr>
        <w:t> </w:t>
      </w:r>
      <w:r>
        <w:rPr/>
        <w:t>XX</w:t>
      </w:r>
    </w:p>
    <w:p>
      <w:pPr>
        <w:pStyle w:val="BodyText"/>
        <w:rPr>
          <w:b/>
        </w:rPr>
      </w:pPr>
    </w:p>
    <w:p>
      <w:pPr>
        <w:pStyle w:val="BodyText"/>
        <w:spacing w:line="360" w:lineRule="auto" w:before="141"/>
        <w:ind w:left="122" w:right="119"/>
        <w:jc w:val="both"/>
      </w:pPr>
      <w:r>
        <w:rPr/>
        <w:t>La metrópolis nace de una aglomeración que va adquiriendo primacía y jerarquía convirtiéndose en la ciudad central, por lo tanto la morfología de la misma se explica al mismo tiempo por su concentración y expansión sobre coronas periféricas. Tal proceso se explica en general por el desarrollo tecnológico, las mejoras socioeconómicas y necesidades políticas.</w:t>
      </w:r>
    </w:p>
    <w:p>
      <w:pPr>
        <w:pStyle w:val="BodyText"/>
        <w:rPr>
          <w:sz w:val="20"/>
        </w:rPr>
      </w:pPr>
    </w:p>
    <w:p>
      <w:pPr>
        <w:pStyle w:val="BodyText"/>
        <w:rPr>
          <w:sz w:val="16"/>
        </w:rPr>
      </w:pPr>
      <w:r>
        <w:rPr/>
        <w:pict>
          <v:line style="position:absolute;mso-position-horizontal-relative:page;mso-position-vertical-relative:paragraph;z-index:1264;mso-wrap-distance-left:0;mso-wrap-distance-right:0" from="85.103996pt,11.53090pt" to="229.123996pt,11.53090pt" stroked="true" strokeweight=".71997pt" strokecolor="#000000">
            <w10:wrap type="topAndBottom"/>
          </v:line>
        </w:pict>
      </w:r>
    </w:p>
    <w:p>
      <w:pPr>
        <w:spacing w:before="39"/>
        <w:ind w:left="122" w:right="76" w:firstLine="0"/>
        <w:jc w:val="left"/>
        <w:rPr>
          <w:sz w:val="18"/>
        </w:rPr>
      </w:pPr>
      <w:r>
        <w:rPr>
          <w:position w:val="9"/>
          <w:sz w:val="12"/>
        </w:rPr>
        <w:t>8 </w:t>
      </w:r>
      <w:r>
        <w:rPr>
          <w:sz w:val="18"/>
        </w:rPr>
        <w:t>Anillo urbano: cinturón extra radio desde donde se generan viajes diarios a la ciudad central (Pacione 2005)</w:t>
      </w:r>
    </w:p>
    <w:p>
      <w:pPr>
        <w:spacing w:after="0"/>
        <w:jc w:val="left"/>
        <w:rPr>
          <w:sz w:val="18"/>
        </w:rPr>
        <w:sectPr>
          <w:pgSz w:w="12240" w:h="15840"/>
          <w:pgMar w:header="0" w:footer="659" w:top="1360" w:bottom="840" w:left="1580" w:right="1580"/>
        </w:sectPr>
      </w:pPr>
    </w:p>
    <w:p>
      <w:pPr>
        <w:pStyle w:val="BodyText"/>
        <w:spacing w:line="360" w:lineRule="auto" w:before="54"/>
        <w:ind w:left="102" w:right="116"/>
        <w:jc w:val="both"/>
      </w:pPr>
      <w:r>
        <w:rPr/>
        <w:t>La historia, en el contexto europeo, que explica la urbanización  concentrada, según Nogués y Salas (2009: 20-21) se configuró como la ciudad pequeña y restringida, por sus antecedentes de ciudad compacta amurallada de origen medieval de los siglos XIII al XV, allí fue confinado el crecimiento durante cuatro siglos más, hasta las estrategias de los ensanches, las cuales fueron acciones planificadas, orientando el crecimiento de la ciudad y revitalizando el centro, hasta mitad del siglo XIX, donde los núcleos de población se localizaban cercanos a las vías de transporte de mercancías.</w:t>
      </w:r>
    </w:p>
    <w:p>
      <w:pPr>
        <w:pStyle w:val="BodyText"/>
        <w:spacing w:before="8"/>
      </w:pPr>
    </w:p>
    <w:p>
      <w:pPr>
        <w:pStyle w:val="BodyText"/>
        <w:spacing w:line="360" w:lineRule="auto"/>
        <w:ind w:left="102" w:right="118"/>
        <w:jc w:val="both"/>
      </w:pPr>
      <w:r>
        <w:rPr/>
        <w:t>El proceso de expansión de la concentración urbana ya era importante al término del siglo XIX, lo mismo que los intentos por intervenir administrativamente en dicha complejidad funcional. Para entonces son más las acciones de administración y todavía embrionarias la construcciones teóricas.</w:t>
      </w:r>
    </w:p>
    <w:p>
      <w:pPr>
        <w:pStyle w:val="BodyText"/>
        <w:spacing w:before="10"/>
      </w:pPr>
    </w:p>
    <w:p>
      <w:pPr>
        <w:pStyle w:val="BodyText"/>
        <w:spacing w:line="360" w:lineRule="auto"/>
        <w:ind w:left="102" w:right="120"/>
        <w:jc w:val="both"/>
      </w:pPr>
      <w:r>
        <w:rPr/>
        <w:t>La aglomeración de población aumentó hasta unir fronteras administrativas, ello se registró por primera vez en Inglaterra a finales del siglo XIX y principios del XX, a dicho proceso Geddes lo identificó en Londres y lo calificó en 1915 como conurbación, luego sería una constante en el país, con ello Geddes caracteriza las nuevas formas de organización urbano-rural resultado de la dispersión de la población en todas direcciones, dando origen a la expansión que posteriormente genera la integración funcional de un sistema de asentamientos formando  la región urbana, es decir que la conurbación en la región urbana, se manifiesta con el crecimiento de villas y ciudades industriales que se unen para formar una vasta región urbana, cuya secuela de la conurbación central son los suburbios expandiendo la ciudad (Geddes, 2009: 95-107).</w:t>
      </w:r>
    </w:p>
    <w:p>
      <w:pPr>
        <w:pStyle w:val="BodyText"/>
        <w:spacing w:before="10"/>
      </w:pPr>
    </w:p>
    <w:p>
      <w:pPr>
        <w:pStyle w:val="BodyText"/>
        <w:spacing w:line="360" w:lineRule="auto"/>
        <w:ind w:left="102" w:right="120"/>
        <w:jc w:val="both"/>
      </w:pPr>
      <w:r>
        <w:rPr/>
        <w:t>La expansión de la ciudad de Londres reconfiguró la estructura urbana uniendo espacios funcionales, para ello surgió la propuesta para organizar la ciudad, de finales del siglo XIX desde una perspectiva racional, así Ebenezer Howard diseñó la “ciudad jardín”, que consistía en un modelo conformado por viviendas, actividades económicas, oferta de servicios, acompañado de un sistema de transporte  que facilitaría  los  desplazamientos,  su límite estaría  rodeado por   un</w:t>
      </w:r>
    </w:p>
    <w:p>
      <w:pPr>
        <w:spacing w:after="0" w:line="360" w:lineRule="auto"/>
        <w:jc w:val="both"/>
        <w:sectPr>
          <w:pgSz w:w="12240" w:h="15840"/>
          <w:pgMar w:header="0" w:footer="659" w:top="1360" w:bottom="840" w:left="1600" w:right="1580"/>
        </w:sectPr>
      </w:pPr>
    </w:p>
    <w:p>
      <w:pPr>
        <w:pStyle w:val="BodyText"/>
        <w:spacing w:line="360" w:lineRule="auto" w:before="54"/>
        <w:ind w:left="102" w:right="117"/>
        <w:jc w:val="both"/>
      </w:pPr>
      <w:r>
        <w:rPr/>
        <w:t>cinturón verde, con explotaciones agrícolas, instituciones urbanas (reformatorios y casas de convalecencia) que se beneficiarían del ambiente rural, el tamaño de la ciudad jardín dependería de la recepción de población que se tuviera y cuando alcanzará su límite máximo se empezaría otra nueva a corta distancia (Hall, 1996: 97-143).</w:t>
      </w:r>
    </w:p>
    <w:p>
      <w:pPr>
        <w:pStyle w:val="BodyText"/>
        <w:spacing w:before="10"/>
      </w:pPr>
    </w:p>
    <w:p>
      <w:pPr>
        <w:pStyle w:val="BodyText"/>
        <w:spacing w:line="360" w:lineRule="auto"/>
        <w:ind w:left="102" w:right="116"/>
        <w:jc w:val="both"/>
      </w:pPr>
      <w:r>
        <w:rPr/>
        <w:t>El cambio ideológico en la configuración de la ciudad en Estados Unidos, se sustenta en la propuesta de Howard de no centralizar en un solo punto de concentración, de forma conjunta con las propuestas de planificación regional de Geddes, ambas fueron las bases para que la Asociación de Planeación de  América desarrollara algunos planteamientos que contribuirían a la descentralización para evitar la hiperconcentración. Lo anterior fue resultado de la situación de mediados de siglo XIX en la cual la ciudad industrial, era parte del área central, donde solía ser un lugar con condiciones deplorables por la industria y el hacinamiento de la clase obrera (Hall, 1996: 158-165). Se alentó la  distribución de las actividades e infraestructura por todo el territorio de forma planificada, conformando los suburbios de los últimos 25 años del siglo XIX que buscaba mejor calidad de</w:t>
      </w:r>
      <w:r>
        <w:rPr>
          <w:spacing w:val="-10"/>
        </w:rPr>
        <w:t> </w:t>
      </w:r>
      <w:r>
        <w:rPr/>
        <w:t>vida.</w:t>
      </w:r>
    </w:p>
    <w:p>
      <w:pPr>
        <w:pStyle w:val="BodyText"/>
        <w:spacing w:before="7"/>
      </w:pPr>
    </w:p>
    <w:p>
      <w:pPr>
        <w:pStyle w:val="BodyText"/>
        <w:spacing w:line="360" w:lineRule="auto"/>
        <w:ind w:left="102" w:right="125"/>
        <w:jc w:val="both"/>
      </w:pPr>
      <w:r>
        <w:rPr/>
        <w:t>El proceso de urbanización de las realidades inglesas y estadounidenses, reportan importante concentración, siendo significativa la reconfiguración de la estructura urbana por los procesos de suburbanización en curso.</w:t>
      </w:r>
    </w:p>
    <w:p>
      <w:pPr>
        <w:pStyle w:val="BodyText"/>
        <w:spacing w:before="7"/>
      </w:pPr>
    </w:p>
    <w:p>
      <w:pPr>
        <w:pStyle w:val="BodyText"/>
        <w:spacing w:line="360" w:lineRule="auto"/>
        <w:ind w:left="102" w:right="122"/>
        <w:jc w:val="both"/>
      </w:pPr>
      <w:r>
        <w:rPr/>
        <w:t>Giampino (2010: 30) y Nogués y Salas (2009: 27), coinciden en que los cambios más importantes en las metrópolis comenzaron después de la Segunda Guerra Mundial, primero en Estados Unidos, mientras que en el caso europeo inicia en los años sesenta del siglo XX, en ambas realidades destacan, la rápida expansión de la ciudad, el cambio de la densidad de población, el consumo y uso de suelo y cambios en el control gubernamental, todo ello resultado del proceso económico y social, pero generado en dos momentos y condiciones distintas por las diferencias históricas.</w:t>
      </w:r>
    </w:p>
    <w:p>
      <w:pPr>
        <w:spacing w:after="0" w:line="360" w:lineRule="auto"/>
        <w:jc w:val="both"/>
        <w:sectPr>
          <w:pgSz w:w="12240" w:h="15840"/>
          <w:pgMar w:header="0" w:footer="659" w:top="1360" w:bottom="840" w:left="1600" w:right="1580"/>
        </w:sectPr>
      </w:pPr>
    </w:p>
    <w:p>
      <w:pPr>
        <w:pStyle w:val="BodyText"/>
        <w:spacing w:line="360" w:lineRule="auto" w:before="54"/>
        <w:ind w:left="122" w:right="117"/>
        <w:jc w:val="both"/>
      </w:pPr>
      <w:r>
        <w:rPr/>
        <w:t>Tanto Hall (1996) como Rufí (2003) coinciden en que los movimientos de  población a la zona externa de la ciudad se manifestaron en Estados Unidos desde 1920, por los movimientos centrífugos (desplazamientos de salida de la ciudad central hacia espacios alejados) momento en el que surge del suburbio norteamericano, tales desplazamientos aumentaron alrededor de 1950 y será un esquema de movilidad masivo desde los años de1970. Esta intensificación según Entrena (2005) se debió a la situación social y económica generada en “el periodo de entreguerras” (1936 y 1940), propiciando el espacio</w:t>
      </w:r>
      <w:r>
        <w:rPr>
          <w:spacing w:val="-30"/>
        </w:rPr>
        <w:t> </w:t>
      </w:r>
      <w:r>
        <w:rPr/>
        <w:t>metropolitano.</w:t>
      </w:r>
    </w:p>
    <w:p>
      <w:pPr>
        <w:pStyle w:val="BodyText"/>
        <w:spacing w:before="8"/>
      </w:pPr>
    </w:p>
    <w:p>
      <w:pPr>
        <w:pStyle w:val="BodyText"/>
        <w:spacing w:line="360" w:lineRule="auto"/>
        <w:ind w:left="122" w:right="115"/>
        <w:jc w:val="both"/>
      </w:pPr>
      <w:r>
        <w:rPr/>
        <w:t>Entre los factores que conforman el desplazamiento de la población que reconfigura el espacio metropolitano, se pueden identificar, de acuerdo con Hall (1996) y Rufí (2003): a) la infraestructura vial, la construcción del sistema vial como parte del programa de redes de autopistas que sirvió de acceso a nuevos corredores, potencializando los barrios en las afueras; b) la adquisición de propiedad privada del suelo y la vivienda, dice Hall (1996) que el aspecto económico se explica por las hipotecas garantizadas por el gobierno, era un financiamiento amortizable a 30 años para construcción y la venta de casas, Nogués y Salas (2009: 27) afirman que también influyó el bajo costo del suelo y; c) por la zonificación del usos de</w:t>
      </w:r>
      <w:r>
        <w:rPr>
          <w:spacing w:val="-11"/>
        </w:rPr>
        <w:t> </w:t>
      </w:r>
      <w:r>
        <w:rPr/>
        <w:t>suelo.</w:t>
      </w:r>
    </w:p>
    <w:p>
      <w:pPr>
        <w:pStyle w:val="BodyText"/>
        <w:spacing w:before="7"/>
      </w:pPr>
    </w:p>
    <w:p>
      <w:pPr>
        <w:pStyle w:val="BodyText"/>
        <w:spacing w:line="350" w:lineRule="auto"/>
        <w:ind w:left="122" w:right="117"/>
        <w:jc w:val="both"/>
      </w:pPr>
      <w:r>
        <w:rPr/>
        <w:t>Por su parte, Esmaragda y Roca (2012: 119) indican que el factor económico influyó en la dispersión de la urbanización europea, bajo el modelo de producción fordista</w:t>
      </w:r>
      <w:r>
        <w:rPr>
          <w:position w:val="11"/>
          <w:sz w:val="16"/>
        </w:rPr>
        <w:t>9 </w:t>
      </w:r>
      <w:r>
        <w:rPr/>
        <w:t>con el dominio de la industrialización en el centro, pero con la reubicación de  las  industrias  se  manifestó  la  “periferización  y  suburbanización”  de       las</w:t>
      </w:r>
    </w:p>
    <w:p>
      <w:pPr>
        <w:pStyle w:val="BodyText"/>
        <w:spacing w:line="360" w:lineRule="auto" w:before="13"/>
        <w:ind w:left="122" w:right="117"/>
        <w:jc w:val="both"/>
      </w:pPr>
      <w:r>
        <w:rPr/>
        <w:pict>
          <v:line style="position:absolute;mso-position-horizontal-relative:page;mso-position-vertical-relative:paragraph;z-index:1288;mso-wrap-distance-left:0;mso-wrap-distance-right:0" from="85.103996pt,131.215851pt" to="229.123996pt,131.215851pt" stroked="true" strokeweight=".72003pt" strokecolor="#000000">
            <w10:wrap type="topAndBottom"/>
          </v:line>
        </w:pict>
      </w:r>
      <w:r>
        <w:rPr/>
        <w:t>actividades económicas, del empleo y la dispersión de las viviendas. También, Entrena (2005: 74) comenta que en Europa occidental los cambios se atribuyen a dos causas derivadas de la Revolución Francesa, hasta el siglo XIX: i) se cambió los límites físicos ante la carencia de espacio en el centro y los problemas de hacinamiento y; ii) la revolución industrial incrementó la población en ciudades concentradas y compactas.</w:t>
      </w:r>
    </w:p>
    <w:p>
      <w:pPr>
        <w:spacing w:line="237" w:lineRule="auto" w:before="41"/>
        <w:ind w:left="122" w:right="127" w:firstLine="0"/>
        <w:jc w:val="both"/>
        <w:rPr>
          <w:i/>
          <w:sz w:val="18"/>
        </w:rPr>
      </w:pPr>
      <w:r>
        <w:rPr>
          <w:position w:val="9"/>
          <w:sz w:val="12"/>
        </w:rPr>
        <w:t>9 </w:t>
      </w:r>
      <w:r>
        <w:rPr>
          <w:sz w:val="18"/>
        </w:rPr>
        <w:t>El modelo económico fordista se base en la industrialización, proceso de producción industrial en serie, en la organización del trabajo técnico por medio de cadenas de montaje que incrementa el volumen en masa, especialización y mecanización del trabajo, contrato salarial y contrato social ( </w:t>
      </w:r>
      <w:r>
        <w:rPr>
          <w:i/>
          <w:sz w:val="18"/>
        </w:rPr>
        <w:t>Piñero, 2004)</w:t>
      </w:r>
    </w:p>
    <w:p>
      <w:pPr>
        <w:spacing w:after="0" w:line="237" w:lineRule="auto"/>
        <w:jc w:val="both"/>
        <w:rPr>
          <w:sz w:val="18"/>
        </w:rPr>
        <w:sectPr>
          <w:pgSz w:w="12240" w:h="15840"/>
          <w:pgMar w:header="0" w:footer="659" w:top="1360" w:bottom="840" w:left="1580" w:right="1580"/>
        </w:sectPr>
      </w:pPr>
    </w:p>
    <w:p>
      <w:pPr>
        <w:pStyle w:val="BodyText"/>
        <w:spacing w:line="360" w:lineRule="auto" w:before="54"/>
        <w:ind w:left="102" w:right="115"/>
        <w:jc w:val="both"/>
      </w:pPr>
      <w:r>
        <w:rPr/>
        <w:t>El desarrollo urbano, se explica por el desarrollo del factor comunicación. El crecimiento, se acompañó de las estrategias en transporte que se dio en </w:t>
      </w:r>
      <w:r>
        <w:rPr>
          <w:spacing w:val="2"/>
        </w:rPr>
        <w:t>dos </w:t>
      </w:r>
      <w:r>
        <w:rPr/>
        <w:t>momentos: en un primer momento, en el siglo XIX, en el caso estadounidense se fortaleció con la introducción del tranvía, mientras que en el caso europeo fue por el surgimiento de los ferrocarriles, de acuerdo con Nogués y Salas (2009: 27). Según Esmaragda y Roca (2012: 118-119), el segundo momento, en el siglo XX, el crecimiento urbano se alentó por el incremento de carreteras y vehículos (tasa de motorización), la expansión física se localizó primero a lo largo de las vías y posteriormente en 1973 en los espacios intermedios. Se puede señalar que el tranvía, el ferrocarril, las carreteras - el vehículo, fueron detonantes de la  dispersión en ambos</w:t>
      </w:r>
      <w:r>
        <w:rPr>
          <w:spacing w:val="-10"/>
        </w:rPr>
        <w:t> </w:t>
      </w:r>
      <w:r>
        <w:rPr/>
        <w:t>contextos.</w:t>
      </w:r>
    </w:p>
    <w:p>
      <w:pPr>
        <w:pStyle w:val="BodyText"/>
        <w:spacing w:before="7"/>
      </w:pPr>
    </w:p>
    <w:p>
      <w:pPr>
        <w:pStyle w:val="BodyText"/>
        <w:spacing w:line="360" w:lineRule="auto"/>
        <w:ind w:left="102" w:right="116"/>
        <w:jc w:val="both"/>
      </w:pPr>
      <w:r>
        <w:rPr/>
        <w:t>De manera que el suburbio, para la periferia de las ciudades significaba el modelo de urbanización. La suburbanización ha tenido distintos tipos, procesos y explicación según la situación social, económica y tecnológica. Son procesos y acciones externas que propician crecimiento físico, no siempre dotados de empleos y servicios, lo cual genera traslados de la periferia al centro. El uso residencial suburbano, la comunicación terrestre y los medios de transporte, explican la configuración metropolitano, de los suburbios de la primera generación, el espacio metropolitano periférico se convierte en representativo, es un modelo  de crecimiento repetitivo que desconcentra la vivienda acompañada de infraestructura y</w:t>
      </w:r>
      <w:r>
        <w:rPr>
          <w:spacing w:val="-9"/>
        </w:rPr>
        <w:t> </w:t>
      </w:r>
      <w:r>
        <w:rPr/>
        <w:t>conectividad.</w:t>
      </w:r>
    </w:p>
    <w:p>
      <w:pPr>
        <w:pStyle w:val="BodyText"/>
        <w:spacing w:before="5"/>
      </w:pPr>
    </w:p>
    <w:p>
      <w:pPr>
        <w:pStyle w:val="BodyText"/>
        <w:spacing w:line="360" w:lineRule="auto"/>
        <w:ind w:left="102" w:right="125"/>
        <w:jc w:val="both"/>
      </w:pPr>
      <w:r>
        <w:rPr/>
        <w:t>El </w:t>
      </w:r>
      <w:r>
        <w:rPr>
          <w:i/>
        </w:rPr>
        <w:t>urban sprawl</w:t>
      </w:r>
      <w:r>
        <w:rPr/>
        <w:t>, es el concepto que recoge el modelo de crecimiento suburbano estadounidense, que destacan como exponentes, el uso residencial de suelo externo y la comunicación en automóvil.</w:t>
      </w:r>
    </w:p>
    <w:p>
      <w:pPr>
        <w:pStyle w:val="BodyText"/>
        <w:spacing w:before="5"/>
      </w:pPr>
    </w:p>
    <w:p>
      <w:pPr>
        <w:pStyle w:val="BodyText"/>
        <w:spacing w:line="360" w:lineRule="auto"/>
        <w:ind w:left="102" w:right="117"/>
        <w:jc w:val="both"/>
      </w:pPr>
      <w:r>
        <w:rPr/>
        <w:t>El </w:t>
      </w:r>
      <w:r>
        <w:rPr>
          <w:i/>
        </w:rPr>
        <w:t>urban sprawl, </w:t>
      </w:r>
      <w:r>
        <w:rPr/>
        <w:t>modelo estadounidense de crecimiento urbano, hace referencia al crecimiento de la ciudad que se desborda, por la expansión territorial de la ciudad y dinámica y transformación de las actividades económicas, pero serán la diseminación de la residencia de la mano de la inversión inmobiliaria y el uso del automóvil  con  las  vías  y  carreteras  los  que  adquieren  papel  protagónico, </w:t>
      </w:r>
      <w:r>
        <w:rPr>
          <w:spacing w:val="46"/>
        </w:rPr>
        <w:t> </w:t>
      </w:r>
      <w:r>
        <w:rPr/>
        <w:t>tal</w:t>
      </w:r>
    </w:p>
    <w:p>
      <w:pPr>
        <w:spacing w:after="0" w:line="360" w:lineRule="auto"/>
        <w:jc w:val="both"/>
        <w:sectPr>
          <w:pgSz w:w="12240" w:h="15840"/>
          <w:pgMar w:header="0" w:footer="659" w:top="1360" w:bottom="840" w:left="1600" w:right="1580"/>
        </w:sectPr>
      </w:pPr>
    </w:p>
    <w:p>
      <w:pPr>
        <w:pStyle w:val="BodyText"/>
        <w:spacing w:line="360" w:lineRule="auto" w:before="54"/>
        <w:ind w:left="102" w:right="114"/>
        <w:jc w:val="both"/>
      </w:pPr>
      <w:r>
        <w:rPr/>
        <w:t>modelo estadounidense mantiene un crecimiento del centro hacia la periferia con dominio y concentración de condiciones en la ciudad central hasta los años setenta, posteriormente el patrón de comportamiento del </w:t>
      </w:r>
      <w:r>
        <w:rPr>
          <w:i/>
        </w:rPr>
        <w:t>urban sprawl </w:t>
      </w:r>
      <w:r>
        <w:rPr/>
        <w:t>en el territorio tiene el distintivo de poseer altas densidades, polarización social, las migraciones internas y la proliferación de barrios marginales, otro problemas es el de la conectividad, que tiene acceso deficiente, es carente de transporte público, limitada movilidad peatonal y se desvanecen los límites rural-urbano. (Esmaragda y Roca, 2012: 121-</w:t>
      </w:r>
      <w:r>
        <w:rPr>
          <w:spacing w:val="-11"/>
        </w:rPr>
        <w:t> </w:t>
      </w:r>
      <w:r>
        <w:rPr/>
        <w:t>142).</w:t>
      </w:r>
    </w:p>
    <w:p>
      <w:pPr>
        <w:pStyle w:val="BodyText"/>
        <w:spacing w:before="5"/>
      </w:pPr>
    </w:p>
    <w:p>
      <w:pPr>
        <w:pStyle w:val="BodyText"/>
        <w:spacing w:line="360" w:lineRule="auto"/>
        <w:ind w:left="102" w:right="112"/>
        <w:jc w:val="both"/>
      </w:pPr>
      <w:r>
        <w:rPr/>
        <w:pict>
          <v:line style="position:absolute;mso-position-horizontal-relative:page;mso-position-vertical-relative:paragraph;z-index:-301480" from="387.190002pt,12.995831pt" to="390.550002pt,12.995831pt" stroked="true" strokeweight=".84pt" strokecolor="#000000">
            <w10:wrap type="none"/>
          </v:line>
        </w:pict>
      </w:r>
      <w:r>
        <w:rPr/>
        <w:t>El </w:t>
      </w:r>
      <w:r>
        <w:rPr>
          <w:i/>
        </w:rPr>
        <w:t>urban sprawl</w:t>
      </w:r>
      <w:r>
        <w:rPr/>
        <w:t>, se mide con el consumo de tierra, en Estados Unidos ha incrementado en las áreas metropolitanas desde 1950, cuyo máximo fue entre 1970 y 1990, en las áreas metropolitanas de Atlanta y Houston, seguidas de New York y Washington, entre sus características está dado por el incremento de población el cual está por debajo del aumento en el consumo de suelo, siendo Atlanta la que se posiciona como el área metropolitana con mayor </w:t>
      </w:r>
      <w:r>
        <w:rPr>
          <w:i/>
        </w:rPr>
        <w:t>urban sprawl</w:t>
      </w:r>
      <w:r>
        <w:rPr/>
        <w:t>, además donde el automóvil es la forma usual y casi exclusiva de transporte (Esmaragda y Roca, 2012: 120-121).</w:t>
      </w:r>
    </w:p>
    <w:p>
      <w:pPr>
        <w:pStyle w:val="BodyText"/>
        <w:spacing w:before="10"/>
      </w:pPr>
    </w:p>
    <w:p>
      <w:pPr>
        <w:pStyle w:val="BodyText"/>
        <w:spacing w:line="360" w:lineRule="auto"/>
        <w:ind w:left="102" w:right="118"/>
        <w:jc w:val="both"/>
      </w:pPr>
      <w:r>
        <w:rPr/>
        <w:t>Las características de la suburbanización también evolucionan, de acuerdo con Rufí (2003: 84-85) el segundo momento, se llama post-suburbio, por la presencia de elementos económicos, que dibujan cambios sociales, por la descentralización que incorpora a la explicación el consumo de suelo por habitante, señalando que el consumo de suelo no es proporcional al crecimiento demográfico y la situación de la densidad total del espacio urbano (empleo y</w:t>
      </w:r>
      <w:r>
        <w:rPr>
          <w:spacing w:val="-20"/>
        </w:rPr>
        <w:t> </w:t>
      </w:r>
      <w:r>
        <w:rPr/>
        <w:t>residencia).</w:t>
      </w:r>
    </w:p>
    <w:p>
      <w:pPr>
        <w:pStyle w:val="BodyText"/>
        <w:spacing w:before="7"/>
      </w:pPr>
    </w:p>
    <w:p>
      <w:pPr>
        <w:pStyle w:val="BodyText"/>
        <w:spacing w:line="360" w:lineRule="auto"/>
        <w:ind w:left="102" w:right="123"/>
        <w:jc w:val="both"/>
      </w:pPr>
      <w:r>
        <w:rPr/>
        <w:t>En suma, sobre el proceso de formación de espacio metropolitano, se explica la formación y dinámica de la periferia que según la trayectoria de desarrollo urbano de los países en desarrollo, se ha presentado en tiempos distintos y razones históricas propias, se han descrito los casos empíricos de Estados Unidos y de Inglaterra a manera de ejemplo.</w:t>
      </w:r>
    </w:p>
    <w:p>
      <w:pPr>
        <w:pStyle w:val="BodyText"/>
        <w:spacing w:before="7"/>
      </w:pPr>
    </w:p>
    <w:p>
      <w:pPr>
        <w:pStyle w:val="BodyText"/>
        <w:spacing w:line="360" w:lineRule="auto"/>
        <w:ind w:left="102" w:right="125"/>
        <w:jc w:val="both"/>
      </w:pPr>
      <w:r>
        <w:rPr/>
        <w:t>La característica común que presentó el modelo de urbanización hacia mitad del siglo  XX,  fueron  los  desplazamientos  del  éxodo  rural  al  urbano  en  un primer</w:t>
      </w:r>
    </w:p>
    <w:p>
      <w:pPr>
        <w:spacing w:after="0" w:line="360" w:lineRule="auto"/>
        <w:jc w:val="both"/>
        <w:sectPr>
          <w:pgSz w:w="12240" w:h="15840"/>
          <w:pgMar w:header="0" w:footer="659" w:top="1360" w:bottom="840" w:left="1600" w:right="1580"/>
        </w:sectPr>
      </w:pPr>
    </w:p>
    <w:p>
      <w:pPr>
        <w:pStyle w:val="BodyText"/>
        <w:spacing w:line="360" w:lineRule="auto" w:before="54"/>
        <w:ind w:left="122" w:right="119"/>
        <w:jc w:val="both"/>
      </w:pPr>
      <w:r>
        <w:rPr/>
        <w:t>momento que propició alta concentración y dominio absoluto de la ciudad central, en un segundo momento correspondió a la fase de suburbanización, la propagación del suburbio. Los factores fueron, el desarrollo tecnológico que facilitó los desplazamientos en tranvía, tren o vehículo, la infraestructura carretera, la oferta de vivienda, acceso a créditos hipotecarios y distribución de actividades económicas en la periferia.</w:t>
      </w:r>
    </w:p>
    <w:p>
      <w:pPr>
        <w:pStyle w:val="BodyText"/>
        <w:spacing w:before="7"/>
      </w:pPr>
    </w:p>
    <w:p>
      <w:pPr>
        <w:pStyle w:val="Heading5"/>
        <w:numPr>
          <w:ilvl w:val="2"/>
          <w:numId w:val="1"/>
        </w:numPr>
        <w:tabs>
          <w:tab w:pos="803" w:val="left" w:leader="none"/>
        </w:tabs>
        <w:spacing w:line="240" w:lineRule="auto" w:before="0" w:after="0"/>
        <w:ind w:left="802" w:right="0" w:hanging="680"/>
        <w:jc w:val="both"/>
      </w:pPr>
      <w:r>
        <w:rPr/>
        <w:t>Desurbanización, años setenta del siglo</w:t>
      </w:r>
      <w:r>
        <w:rPr>
          <w:spacing w:val="-10"/>
        </w:rPr>
        <w:t> </w:t>
      </w:r>
      <w:r>
        <w:rPr/>
        <w:t>XX</w:t>
      </w:r>
    </w:p>
    <w:p>
      <w:pPr>
        <w:pStyle w:val="BodyText"/>
        <w:rPr>
          <w:b/>
        </w:rPr>
      </w:pPr>
    </w:p>
    <w:p>
      <w:pPr>
        <w:pStyle w:val="BodyText"/>
        <w:spacing w:line="350" w:lineRule="auto" w:before="142"/>
        <w:ind w:left="122" w:right="116"/>
        <w:jc w:val="both"/>
      </w:pPr>
      <w:r>
        <w:rPr/>
        <w:t>La estructura de las metrópolis grandes, en las últimas décadas del siglo XX, han desarrollado la particularidad de aumentos en la salida de población, principalmente de las ciudades más grandes</w:t>
      </w:r>
      <w:r>
        <w:rPr>
          <w:position w:val="11"/>
          <w:sz w:val="16"/>
        </w:rPr>
        <w:t>10</w:t>
      </w:r>
      <w:r>
        <w:rPr/>
        <w:t>, hacia las ciudades medias y pequeñas. El sentido de la migración, deja la forma tradicional que consistía en  la</w:t>
      </w:r>
    </w:p>
    <w:p>
      <w:pPr>
        <w:pStyle w:val="BodyText"/>
        <w:spacing w:line="360" w:lineRule="auto" w:before="13"/>
        <w:ind w:left="122" w:right="117"/>
        <w:jc w:val="both"/>
      </w:pPr>
      <w:r>
        <w:rPr/>
        <w:t>salida de población de espacios menores hacia la ciudad principal, situación que se modifica, actualmente son traslados originados desde las concentraciones mayores hacia las de menor tamaño, este cambio se califica como “contraurbanización” o descentralización del sistema urbano nacional, en la “teoría del ciclo urbano” y como “desurbanización” en la teoría de las “etapas del crecimiento metropolitano”. Ambos procesos han sido empíricamente observados en los años setenta en los contextos urbanos evolucionados y en México en las últimas dos décadas, aunque todavía sin consenso</w:t>
      </w:r>
      <w:r>
        <w:rPr>
          <w:spacing w:val="-22"/>
        </w:rPr>
        <w:t> </w:t>
      </w:r>
      <w:r>
        <w:rPr/>
        <w:t>científico.</w:t>
      </w:r>
    </w:p>
    <w:p>
      <w:pPr>
        <w:pStyle w:val="BodyText"/>
        <w:spacing w:before="10"/>
      </w:pPr>
    </w:p>
    <w:p>
      <w:pPr>
        <w:pStyle w:val="BodyText"/>
        <w:spacing w:line="360" w:lineRule="auto"/>
        <w:ind w:left="122" w:right="120"/>
        <w:jc w:val="both"/>
      </w:pPr>
      <w:r>
        <w:rPr/>
        <w:pict>
          <v:line style="position:absolute;mso-position-horizontal-relative:page;mso-position-vertical-relative:paragraph;z-index:1336;mso-wrap-distance-left:0;mso-wrap-distance-right:0" from="85.103996pt,126.845863pt" to="229.123996pt,126.845863pt" stroked="true" strokeweight=".71997pt" strokecolor="#000000">
            <w10:wrap type="topAndBottom"/>
          </v:line>
        </w:pict>
      </w:r>
      <w:r>
        <w:rPr/>
        <w:t>Los cambios en los patrones de urbanización en Estados Unidos se calificaron de </w:t>
      </w:r>
      <w:r>
        <w:rPr>
          <w:i/>
        </w:rPr>
        <w:t>contraurbanización, por </w:t>
      </w:r>
      <w:r>
        <w:rPr/>
        <w:t>Berry en 1976, al tratarse de un proceso contrario al clásico de urbanización. Berry sustenta en términos numéricos dicho proceso con las diferencias en el número de habitantes entre las áreas metropolitanas y las no metropolitanas, que suponían un cambio en la tendencia estructural hacia la </w:t>
      </w:r>
      <w:r>
        <w:rPr>
          <w:i/>
        </w:rPr>
        <w:t>“desconcentración  acelerada”  </w:t>
      </w:r>
      <w:r>
        <w:rPr/>
        <w:t>de  las  poblaciones  residentes  en  los     </w:t>
      </w:r>
      <w:r>
        <w:rPr>
          <w:spacing w:val="63"/>
        </w:rPr>
        <w:t> </w:t>
      </w:r>
      <w:r>
        <w:rPr/>
        <w:t>centros</w:t>
      </w:r>
    </w:p>
    <w:p>
      <w:pPr>
        <w:spacing w:before="39"/>
        <w:ind w:left="122" w:right="116" w:firstLine="0"/>
        <w:jc w:val="both"/>
        <w:rPr>
          <w:sz w:val="18"/>
        </w:rPr>
      </w:pPr>
      <w:r>
        <w:rPr>
          <w:position w:val="9"/>
          <w:sz w:val="12"/>
        </w:rPr>
        <w:t>10 </w:t>
      </w:r>
      <w:r>
        <w:rPr>
          <w:sz w:val="18"/>
        </w:rPr>
        <w:t>El tamaño de las ciudades es un calificativo que hace referencia a la cantidad de población que concentra un asentamiento humano determinado, magnitud que varía entre los países por los contextos urbanos tan heterogéneos. Por ejemplo las enormes diferencias en los sistemas urbanos de Europa y Asia. En México, se suele tener dos criterios: el que establece el INEGI que sólo distingue localidad urbana de rural a partir de 2,5000 habitantes. En cambio el criterio urbano y demográfico (CONAPO y SEDESOL), suelen presentar como localidades rural - urbanas, de 2,500 hasta 14,999 habitantes, también llamados centros de población, a partir de 15 mil habitantes, son todas urbanas, con distinción: ciudades pequeñas de 15,000 a 99,999, ciudades medias de 100,000 a 999,999 habitantes y, las grandes mayores del millón de</w:t>
      </w:r>
      <w:r>
        <w:rPr>
          <w:spacing w:val="-34"/>
          <w:sz w:val="18"/>
        </w:rPr>
        <w:t> </w:t>
      </w:r>
      <w:r>
        <w:rPr>
          <w:sz w:val="18"/>
        </w:rPr>
        <w:t>habitantes.</w:t>
      </w:r>
    </w:p>
    <w:p>
      <w:pPr>
        <w:spacing w:after="0"/>
        <w:jc w:val="both"/>
        <w:rPr>
          <w:sz w:val="18"/>
        </w:rPr>
        <w:sectPr>
          <w:pgSz w:w="12240" w:h="15840"/>
          <w:pgMar w:header="0" w:footer="659" w:top="1360" w:bottom="840" w:left="1580" w:right="1580"/>
        </w:sectPr>
      </w:pPr>
    </w:p>
    <w:p>
      <w:pPr>
        <w:pStyle w:val="BodyText"/>
        <w:spacing w:line="350" w:lineRule="auto" w:before="54"/>
        <w:ind w:left="122" w:right="117"/>
        <w:jc w:val="both"/>
        <w:rPr>
          <w:i/>
          <w:sz w:val="16"/>
        </w:rPr>
      </w:pPr>
      <w:r>
        <w:rPr/>
        <w:t>metropolitanos que habría dado lugar a la emergencia de una fuerza de contraurbanización (Hoyos, 2011: 66p). El cambio de concentración estructural a desconcentración estructural se suele calificar como desurbanización tal como se ha explicado arriba. Para Ferras (2007: 15), teóricamente se trata de </w:t>
      </w:r>
      <w:r>
        <w:rPr>
          <w:i/>
        </w:rPr>
        <w:t>clean break</w:t>
      </w:r>
      <w:r>
        <w:rPr>
          <w:i/>
          <w:position w:val="11"/>
          <w:sz w:val="16"/>
        </w:rPr>
        <w:t>11</w:t>
      </w:r>
    </w:p>
    <w:p>
      <w:pPr>
        <w:pStyle w:val="BodyText"/>
        <w:spacing w:line="360" w:lineRule="auto"/>
        <w:ind w:left="122" w:right="118"/>
        <w:jc w:val="both"/>
      </w:pPr>
      <w:r>
        <w:rPr/>
        <w:t>o ruptura del pasado, por el declive de la ciudad central que marca el futuro de las áreas metropolitanas, con la constante expulsión demográfica hacia espacios menores que corresponden a los movimientos centrífugos, convirtiéndose en espacios con calidad ambiental, donde se promueve la desconcentración.</w:t>
      </w:r>
    </w:p>
    <w:p>
      <w:pPr>
        <w:pStyle w:val="BodyText"/>
        <w:spacing w:before="8"/>
      </w:pPr>
    </w:p>
    <w:p>
      <w:pPr>
        <w:pStyle w:val="BodyText"/>
        <w:spacing w:line="360" w:lineRule="auto"/>
        <w:ind w:left="122" w:right="115"/>
        <w:jc w:val="both"/>
      </w:pPr>
      <w:r>
        <w:rPr/>
        <w:t>Los cambios en el comportamiento de los movimientos de población urbana propiciaron la reconfiguración urbana presente en el orden internacional. Para Ferras (2007:15-17) atañe al debate teórico actual, que obedecía a una  descripción demográfica, carente de evidencias empíricas, generales o parciales. El surgimiento de las teorías depende del enfoque del contexto en las que nacen, en el ámbito rural y las urbanas, algunas conciben la nueva realidad urbana como “un punto de quiebre con el pasado” por el declive económico y demográfico, reconocida y abordada como contraurbanización. Otra idea posterior, fue la llamada </w:t>
      </w:r>
      <w:r>
        <w:rPr>
          <w:i/>
        </w:rPr>
        <w:t>spillover o </w:t>
      </w:r>
      <w:r>
        <w:rPr/>
        <w:t>derramamiento urbano, considerada, por su creador Gordon (1979) como un proceso en el cual los cambios demográficos eran parte del pasado “una continuación de la suburbanización” la expansión de la ciudad en las periferias rurales. Más recientemente primero con Berry y retomado por Geyer y Kontully, se explicó como contraurbanización y urbanización diferencial, respetivamente.</w:t>
      </w:r>
    </w:p>
    <w:p>
      <w:pPr>
        <w:pStyle w:val="BodyText"/>
        <w:spacing w:before="7"/>
      </w:pPr>
    </w:p>
    <w:p>
      <w:pPr>
        <w:pStyle w:val="BodyText"/>
        <w:spacing w:line="360" w:lineRule="auto"/>
        <w:ind w:left="122" w:right="116"/>
        <w:jc w:val="both"/>
      </w:pPr>
      <w:r>
        <w:rPr/>
        <w:t>Entre las características de la contraurbanización están los movimientos migratorios urbanos que invierten el sentido, por ello se miden los flujos de la población al espacio rural en tanto que los cambios urbano-rural se relacionan con las formas de urbanización difusa.</w:t>
      </w:r>
    </w:p>
    <w:p>
      <w:pPr>
        <w:pStyle w:val="BodyText"/>
        <w:rPr>
          <w:sz w:val="20"/>
        </w:rPr>
      </w:pPr>
    </w:p>
    <w:p>
      <w:pPr>
        <w:pStyle w:val="BodyText"/>
        <w:spacing w:before="9"/>
        <w:rPr>
          <w:sz w:val="16"/>
        </w:rPr>
      </w:pPr>
      <w:r>
        <w:rPr/>
        <w:pict>
          <v:line style="position:absolute;mso-position-horizontal-relative:page;mso-position-vertical-relative:paragraph;z-index:1360;mso-wrap-distance-left:0;mso-wrap-distance-right:0" from="85.103996pt,12.014896pt" to="229.123996pt,12.014896pt" stroked="true" strokeweight=".71997pt" strokecolor="#000000">
            <w10:wrap type="topAndBottom"/>
          </v:line>
        </w:pict>
      </w:r>
    </w:p>
    <w:p>
      <w:pPr>
        <w:spacing w:before="39"/>
        <w:ind w:left="122" w:right="115" w:firstLine="0"/>
        <w:jc w:val="both"/>
        <w:rPr>
          <w:sz w:val="18"/>
        </w:rPr>
      </w:pPr>
      <w:r>
        <w:rPr>
          <w:position w:val="9"/>
          <w:sz w:val="12"/>
        </w:rPr>
        <w:t>11 </w:t>
      </w:r>
      <w:r>
        <w:rPr>
          <w:sz w:val="18"/>
        </w:rPr>
        <w:t>“En proceso de ruptura, significaba poner a prueba las nociones de la jerarquía urbana y de la teoría centro- periferia enraizada en la fase metropolitana, dichas nociones deben sustituirse con el concepto de multipolaridad, vinculando a una estructuración urbana menos jerarquizada, propia de la nueva organización territorial basada en sistemas de ciudades verticales (Arroyo, 2001 en Hoyos, 2011: 66p)”.</w:t>
      </w:r>
    </w:p>
    <w:p>
      <w:pPr>
        <w:spacing w:after="0"/>
        <w:jc w:val="both"/>
        <w:rPr>
          <w:sz w:val="18"/>
        </w:rPr>
        <w:sectPr>
          <w:pgSz w:w="12240" w:h="15840"/>
          <w:pgMar w:header="0" w:footer="659" w:top="1360" w:bottom="840" w:left="1580" w:right="1580"/>
        </w:sectPr>
      </w:pPr>
    </w:p>
    <w:p>
      <w:pPr>
        <w:pStyle w:val="BodyText"/>
        <w:spacing w:line="360" w:lineRule="auto" w:before="54"/>
        <w:ind w:left="102" w:right="115"/>
        <w:jc w:val="both"/>
      </w:pPr>
      <w:r>
        <w:rPr/>
        <w:t>La transición de los espacios periféricos, en el caso Europeo de la segunda mitad del siglo XX se denomina </w:t>
      </w:r>
      <w:r>
        <w:rPr>
          <w:i/>
        </w:rPr>
        <w:t>periurbanización, </w:t>
      </w:r>
      <w:r>
        <w:rPr/>
        <w:t>concepto que explica al proceso que distribuye la población urbana en espacios rurales pero sin trabajar en actividades agrícolas. Después de los años setenta, los centros urbanos mayores presentaban disminución de población mientras que las ciudades medias y pequeñas registraban incrementos demográficos y físicos, que se caracterizaba por la carencia de frontera físicas visibles que delimiten el territorio físico o socialmente, se presenta crecimiento físico con un mayor consumo del suelo para fines urbanos, donde las actividades económicas y la vida urbana se esparcen  (Entrena, 2005</w:t>
      </w:r>
      <w:r>
        <w:rPr>
          <w:spacing w:val="-7"/>
        </w:rPr>
        <w:t> </w:t>
      </w:r>
      <w:r>
        <w:rPr/>
        <w:t>67-68).</w:t>
      </w:r>
    </w:p>
    <w:p>
      <w:pPr>
        <w:pStyle w:val="BodyText"/>
        <w:spacing w:before="7"/>
      </w:pPr>
    </w:p>
    <w:p>
      <w:pPr>
        <w:pStyle w:val="BodyText"/>
        <w:spacing w:line="360" w:lineRule="auto"/>
        <w:ind w:left="102" w:right="118"/>
        <w:jc w:val="both"/>
      </w:pPr>
      <w:r>
        <w:rPr/>
        <w:t>Por su parte Dematteis (1998: 20-21), observó que en las ciudades occidentales de Europa se presentaba una expansión incontrolada hacia la periferia, en los años setenta y ochenta, esto propició el desvanecimiento de la separación entre campo y ciudad con ello se marcó el paso de la suburbanización (el crecimiento poblacional dominante se ubica en la periferia inmediata) a desurbanización (decrece la ciudad central y la periferia aumenta la población, en las periferias alejadas o no metropolitanas). El proceso de desurbanización tiene como particularidad la expansión de las coronas periféricas con una disminución en su ritmo, siendo las coronas urbanas externas las que se dilatan, manifestando una distribución de mayor amplitud del radio de influencia de las grandes</w:t>
      </w:r>
      <w:r>
        <w:rPr>
          <w:spacing w:val="-31"/>
        </w:rPr>
        <w:t> </w:t>
      </w:r>
      <w:r>
        <w:rPr/>
        <w:t>ciudades.</w:t>
      </w:r>
    </w:p>
    <w:p>
      <w:pPr>
        <w:pStyle w:val="BodyText"/>
        <w:spacing w:before="7"/>
      </w:pPr>
    </w:p>
    <w:p>
      <w:pPr>
        <w:pStyle w:val="BodyText"/>
        <w:spacing w:line="360" w:lineRule="auto"/>
        <w:ind w:left="102" w:right="117"/>
        <w:jc w:val="both"/>
      </w:pPr>
      <w:r>
        <w:rPr/>
        <w:t>Para Dematteis (2008), la desurbanización depende de la desconcentración urbana que se presenta con dos dinámicas: 1. Recuperación de la polarización urbana, se manifiesta con la dilatación progresiva de las coronas externas, una ramificación de los sistemas urbanos y reducción de población en los núcleos centrales (el concepto francés periurbanización). 2. Expansión urbana independiente de los campos de polarización de los grandes crecimientos y de la estructura de los asentamientos, originando otras áreas de relativa densificación urbana extensa y compacta (surge el concepto ciudad difusa de Indovina 1991 en Italia).</w:t>
      </w:r>
    </w:p>
    <w:p>
      <w:pPr>
        <w:spacing w:after="0" w:line="360" w:lineRule="auto"/>
        <w:jc w:val="both"/>
        <w:sectPr>
          <w:footerReference w:type="default" r:id="rId18"/>
          <w:pgSz w:w="12240" w:h="15840"/>
          <w:pgMar w:footer="659" w:header="0" w:top="1360" w:bottom="840" w:left="1600" w:right="1580"/>
        </w:sectPr>
      </w:pPr>
    </w:p>
    <w:p>
      <w:pPr>
        <w:pStyle w:val="BodyText"/>
        <w:spacing w:line="360" w:lineRule="auto" w:before="54"/>
        <w:ind w:left="102" w:right="113"/>
        <w:jc w:val="both"/>
      </w:pPr>
      <w:r>
        <w:rPr/>
        <w:t>La morfología de las ciudades se caracterizan, según Giampino (2010), Rufí (2003) y Entrena (2005), por asentamientos dispersos y con baja densidad. En particular Giampino (2010:29), define a la dispersión para un tipo de urbanización la cual es un modelo repetitivo de baja densidad y con fragmentación.  Los  cambios se observan en una realidad de transición rural - urbano, la urbanización del ámbito rural en localidades y pueblos rurales más allá de las metrópolis, procesos presentes en la tercera corona llamada rururbana, y al proceso </w:t>
      </w:r>
      <w:r>
        <w:rPr>
          <w:i/>
        </w:rPr>
        <w:t>rururbanización, </w:t>
      </w:r>
      <w:r>
        <w:rPr/>
        <w:t>Rufí</w:t>
      </w:r>
      <w:r>
        <w:rPr>
          <w:spacing w:val="-7"/>
        </w:rPr>
        <w:t> </w:t>
      </w:r>
      <w:r>
        <w:rPr/>
        <w:t>(2003,).</w:t>
      </w:r>
    </w:p>
    <w:p>
      <w:pPr>
        <w:pStyle w:val="BodyText"/>
        <w:spacing w:before="10"/>
      </w:pPr>
    </w:p>
    <w:p>
      <w:pPr>
        <w:pStyle w:val="BodyText"/>
        <w:spacing w:line="360" w:lineRule="auto"/>
        <w:ind w:left="102" w:right="121"/>
        <w:jc w:val="both"/>
      </w:pPr>
      <w:r>
        <w:rPr/>
        <w:t>Para Entrena (2005), la intensidad del crecimiento y expansión de las áreas metropolitanas, se explican nuevamente producto de los cambios económicos y tecnológicos que permitieron la integración funcional y física de los espacios, por  lo que el espacio periurbano, tiene mezcla de actividades, ahora son multifuncionales y en constante cambio que progresan hacia una relación  en redes.</w:t>
      </w:r>
    </w:p>
    <w:p>
      <w:pPr>
        <w:pStyle w:val="BodyText"/>
        <w:spacing w:before="10"/>
      </w:pPr>
    </w:p>
    <w:p>
      <w:pPr>
        <w:pStyle w:val="BodyText"/>
        <w:spacing w:line="360" w:lineRule="auto"/>
        <w:ind w:left="102" w:right="116"/>
        <w:jc w:val="both"/>
      </w:pPr>
      <w:r>
        <w:rPr/>
        <w:t>El periurbano se caracteriza por: a) dos tipos de paisajes: uno, de baja densidad y otro organizado en red, compuestos por aglomerados o asentamientos continuos con alta o media densidad y mezcla de usos de suelo y; b) modificaciones del territorio, con dominio de un solo uso de suelo, a la par se densifica y transforma la red vial (prolongación) factor condicionante en la extensión de lo urbano, configurando formaciones lineales, en la segunda y tercer corona metropolitana, allí hay usos desagregados principalmente residenciales (industriales o de almacenamiento) en los cuales las arterias importantes marcaron una lógica auto organizativa al permitir la comunicación y movilidad, los enclaves o nodos estratégicos con alta accesibilidad o de importancia metropolitana (Entrena, 2005: 66).</w:t>
      </w:r>
    </w:p>
    <w:p>
      <w:pPr>
        <w:pStyle w:val="BodyText"/>
        <w:spacing w:before="10"/>
      </w:pPr>
    </w:p>
    <w:p>
      <w:pPr>
        <w:pStyle w:val="BodyText"/>
        <w:spacing w:line="360" w:lineRule="auto"/>
        <w:ind w:left="102" w:right="125"/>
        <w:jc w:val="both"/>
      </w:pPr>
      <w:r>
        <w:rPr/>
        <w:t>La desurbanización, en el caso particular de una metrópolis, es la fase </w:t>
      </w:r>
      <w:r>
        <w:rPr>
          <w:spacing w:val="-2"/>
        </w:rPr>
        <w:t>que </w:t>
      </w:r>
      <w:r>
        <w:rPr/>
        <w:t>teóricamente se espera que suceda después de la suburbanización, una vez que se observa organización y configuración de tejidos externos con procesos y actividades    económicas    cada    vez    más    autónomos    que    no </w:t>
      </w:r>
      <w:r>
        <w:rPr>
          <w:spacing w:val="52"/>
        </w:rPr>
        <w:t> </w:t>
      </w:r>
      <w:r>
        <w:rPr/>
        <w:t>dependen</w:t>
      </w:r>
    </w:p>
    <w:p>
      <w:pPr>
        <w:spacing w:after="0" w:line="360" w:lineRule="auto"/>
        <w:jc w:val="both"/>
        <w:sectPr>
          <w:footerReference w:type="default" r:id="rId19"/>
          <w:pgSz w:w="12240" w:h="15840"/>
          <w:pgMar w:footer="659" w:header="0" w:top="1360" w:bottom="840" w:left="1600" w:right="1580"/>
          <w:pgNumType w:start="31"/>
        </w:sectPr>
      </w:pPr>
    </w:p>
    <w:p>
      <w:pPr>
        <w:pStyle w:val="BodyText"/>
        <w:spacing w:line="360" w:lineRule="auto" w:before="54"/>
        <w:ind w:left="102" w:right="121"/>
        <w:jc w:val="both"/>
      </w:pPr>
      <w:r>
        <w:rPr/>
        <w:t>significativamente de los centros de polarización, ello indica que se trata de una estructura urbana nueva, descentralizada, desconcentrada y auto organizada.</w:t>
      </w:r>
    </w:p>
    <w:p>
      <w:pPr>
        <w:pStyle w:val="BodyText"/>
        <w:spacing w:before="7"/>
      </w:pPr>
    </w:p>
    <w:p>
      <w:pPr>
        <w:pStyle w:val="BodyText"/>
        <w:spacing w:line="360" w:lineRule="auto"/>
        <w:ind w:left="102" w:right="116"/>
        <w:jc w:val="both"/>
      </w:pPr>
      <w:r>
        <w:rPr/>
        <w:t>La desurbanización, es la fase que interesa examinar en esta investigación, sobre todo que el ciclo de urbanización y las etapas del desarrollo urbano, recuperan de procesos empíricos de mayor trayectoria. Es de esperar que la realidad urbana se encuentre transitando en estas etapas. El decrecimiento en la ciudad central –y en la ciudad primada-, crecimiento de las periferias –suburbanización- metropolitanas y la transformación del espacio rural por opciones mixtas urbanas y la dinámica de localidades urbanas y ciudades pequeñas -desurbanización-, todo ello son etapas que son necesario corroborar empíricamente.</w:t>
      </w:r>
    </w:p>
    <w:p>
      <w:pPr>
        <w:pStyle w:val="BodyText"/>
        <w:spacing w:before="10"/>
      </w:pPr>
    </w:p>
    <w:p>
      <w:pPr>
        <w:pStyle w:val="Heading5"/>
        <w:numPr>
          <w:ilvl w:val="2"/>
          <w:numId w:val="1"/>
        </w:numPr>
        <w:tabs>
          <w:tab w:pos="774" w:val="left" w:leader="none"/>
        </w:tabs>
        <w:spacing w:line="360" w:lineRule="auto" w:before="0" w:after="0"/>
        <w:ind w:left="102" w:right="118" w:firstLine="0"/>
        <w:jc w:val="both"/>
      </w:pPr>
      <w:r>
        <w:rPr/>
        <w:t>Sistemas y redes urbanas y estructura policéntrica, principios del siglo XXI</w:t>
      </w:r>
    </w:p>
    <w:p>
      <w:pPr>
        <w:pStyle w:val="BodyText"/>
        <w:spacing w:before="7"/>
        <w:rPr>
          <w:b/>
        </w:rPr>
      </w:pPr>
    </w:p>
    <w:p>
      <w:pPr>
        <w:pStyle w:val="BodyText"/>
        <w:spacing w:line="360" w:lineRule="auto"/>
        <w:ind w:left="102" w:right="118"/>
        <w:jc w:val="both"/>
      </w:pPr>
      <w:r>
        <w:rPr/>
        <w:t>La urbanización por desconcentración, descentralización y auto organización genera distintos dinamismos urbanos, ciudades de diferente tamaño, localidades menores y subcentros metropolitanos, generan la multiplicidad de nodos, así la jerarquía del sistema urbano, cambia a una organización poli céntrica, cuyo funcionamiento es cada vez más horizontal.</w:t>
      </w:r>
    </w:p>
    <w:p>
      <w:pPr>
        <w:pStyle w:val="BodyText"/>
        <w:spacing w:before="7"/>
      </w:pPr>
    </w:p>
    <w:p>
      <w:pPr>
        <w:pStyle w:val="BodyText"/>
        <w:spacing w:line="360" w:lineRule="auto"/>
        <w:ind w:left="102" w:right="116"/>
        <w:jc w:val="both"/>
      </w:pPr>
      <w:r>
        <w:rPr/>
        <w:t>Se ha dicho arriba que la nueva estructura territorial es consecuencia del creciente proceso de desurbanización, de contraurbanización y periurbanización ya que se explica por la mayor desconcentración económica. Tal descentralización, difusión y distribución del desarrollo, se ha presentado en contados espacios de los contextos territoriales con mayor nivel de desarrollo que han configurado red de ciudades, las cuales no necesitan estar cercanas, pues la tecnología, una vez más, facilita la formación de redes y de los nuevos sistemas</w:t>
      </w:r>
      <w:r>
        <w:rPr>
          <w:spacing w:val="-26"/>
        </w:rPr>
        <w:t> </w:t>
      </w:r>
      <w:r>
        <w:rPr/>
        <w:t>económicos.</w:t>
      </w:r>
    </w:p>
    <w:p>
      <w:pPr>
        <w:pStyle w:val="BodyText"/>
        <w:spacing w:before="7"/>
      </w:pPr>
    </w:p>
    <w:p>
      <w:pPr>
        <w:pStyle w:val="BodyText"/>
        <w:spacing w:line="360" w:lineRule="auto"/>
        <w:ind w:left="102" w:right="120"/>
        <w:jc w:val="both"/>
      </w:pPr>
      <w:r>
        <w:rPr/>
        <w:t>El proceso urbano actual de un país cualquiera, se caracteriza por la combinación de la transformación de los sistemas urbanos, por la conformación de redes y la multiplicidad de centros de orden y tipo diferentes, que operan en forma </w:t>
      </w:r>
      <w:r>
        <w:rPr>
          <w:spacing w:val="53"/>
        </w:rPr>
        <w:t> </w:t>
      </w:r>
      <w:r>
        <w:rPr/>
        <w:t>conjunta.</w:t>
      </w:r>
    </w:p>
    <w:p>
      <w:pPr>
        <w:spacing w:after="0" w:line="360" w:lineRule="auto"/>
        <w:jc w:val="both"/>
        <w:sectPr>
          <w:pgSz w:w="12240" w:h="15840"/>
          <w:pgMar w:header="0" w:footer="659" w:top="1360" w:bottom="840" w:left="1600" w:right="1580"/>
        </w:sectPr>
      </w:pPr>
    </w:p>
    <w:p>
      <w:pPr>
        <w:pStyle w:val="BodyText"/>
        <w:spacing w:line="360" w:lineRule="auto" w:before="54"/>
        <w:ind w:left="102" w:right="118"/>
        <w:jc w:val="both"/>
      </w:pPr>
      <w:r>
        <w:rPr/>
        <w:t>Se trata de un momento donde todos los procesos externos y descentralizados reorganizan el funcionamiento, son procesos más complejos y más integrados.</w:t>
      </w:r>
    </w:p>
    <w:p>
      <w:pPr>
        <w:pStyle w:val="BodyText"/>
        <w:spacing w:before="7"/>
      </w:pPr>
    </w:p>
    <w:p>
      <w:pPr>
        <w:pStyle w:val="BodyText"/>
        <w:spacing w:line="360" w:lineRule="auto"/>
        <w:ind w:left="102" w:right="121"/>
        <w:jc w:val="both"/>
      </w:pPr>
      <w:r>
        <w:rPr/>
        <w:t>En el caso de una metrópolis individual, las relaciones externas se abren propiciando un ámbito rural - urbano relativamente más integrado, dicha desconcentración y cambio de calidad de vida de los asentamientos menores, los posiciona como nodos de atracción, sobre todo si cuentan con infraestructura y tecnología modernas los convierte en nodos de la red.</w:t>
      </w:r>
    </w:p>
    <w:p>
      <w:pPr>
        <w:pStyle w:val="BodyText"/>
        <w:spacing w:before="8"/>
      </w:pPr>
    </w:p>
    <w:p>
      <w:pPr>
        <w:pStyle w:val="BodyText"/>
        <w:spacing w:line="360" w:lineRule="auto"/>
        <w:ind w:left="102" w:right="115"/>
        <w:jc w:val="both"/>
      </w:pPr>
      <w:r>
        <w:rPr/>
        <w:t>Para calificar la metrópolis en Francia, en la segunda mitad de los 90, Ascher propone la noción de “metápolis” en la que sus elementos distintivos son: morfológicamente se conforma por elementos difusos, se compone por varias metrópolis o una ciudad grande (de miles de habitantes) a la que se adicionan otras de menor tamaño, es carente de jerarquía según la teoría de Christaller, los elementos que se ausentan en esta estructura son: el centro (inexistente), continuidad (discontinua), en contraste se fortalecen la comunicación por la presencia de un sistema de transporte rápido, las tecnologías de comunicación, los resultado que ha generado es una sociedad fragmentada e individualista (Cfr. Rufí, 2003:</w:t>
      </w:r>
      <w:r>
        <w:rPr>
          <w:spacing w:val="-6"/>
        </w:rPr>
        <w:t> </w:t>
      </w:r>
      <w:r>
        <w:rPr/>
        <w:t>90).</w:t>
      </w:r>
    </w:p>
    <w:p>
      <w:pPr>
        <w:pStyle w:val="BodyText"/>
        <w:spacing w:before="7"/>
      </w:pPr>
    </w:p>
    <w:p>
      <w:pPr>
        <w:pStyle w:val="BodyText"/>
        <w:spacing w:line="360" w:lineRule="auto"/>
        <w:ind w:left="102" w:right="116"/>
        <w:jc w:val="both"/>
      </w:pPr>
      <w:r>
        <w:rPr/>
        <w:t>En 1990 el sistema de ciudades se acompaña de una estructura policéntrica, la cual se ha formado por los procesos de desconcentración, razón por la cual se ha revitalizado y descongestionado el centro, constituida por: ciudades y asentamientos de diversos tamaños, particularmente las ciudades medias son compactas, especializadas, fortaleciendo su potencial endógeno, con relaciones  de cooperación entre las diversa áreas urbanas las cuales se conectan física y funcionalmente, presentando distintas sinergias. Al existir en las ciudades medias y pequeñas una ventaja competitiva, ahora ofrecen viabilidad para las empresas, servicios y calidad de vida (Nogués y Salas,</w:t>
      </w:r>
      <w:r>
        <w:rPr>
          <w:spacing w:val="-15"/>
        </w:rPr>
        <w:t> </w:t>
      </w:r>
      <w:r>
        <w:rPr/>
        <w:t>2009:29).</w:t>
      </w:r>
    </w:p>
    <w:p>
      <w:pPr>
        <w:pStyle w:val="BodyText"/>
        <w:spacing w:before="7"/>
      </w:pPr>
    </w:p>
    <w:p>
      <w:pPr>
        <w:pStyle w:val="BodyText"/>
        <w:spacing w:line="360" w:lineRule="auto"/>
        <w:ind w:left="102" w:right="116"/>
        <w:jc w:val="both"/>
      </w:pPr>
      <w:r>
        <w:rPr/>
        <w:t>Las estructuras de los sistemas urbanos actuales se describen, como híbridos al conjuntar tres modelos: a) la estructura dispersa, b) áreas con la estructura compacta y, c) presencia de policentralidad, los tres al mismo tiempo solo con</w:t>
      </w:r>
    </w:p>
    <w:p>
      <w:pPr>
        <w:spacing w:after="0" w:line="360" w:lineRule="auto"/>
        <w:jc w:val="both"/>
        <w:sectPr>
          <w:pgSz w:w="12240" w:h="15840"/>
          <w:pgMar w:header="0" w:footer="659" w:top="1360" w:bottom="840" w:left="1600" w:right="1580"/>
        </w:sectPr>
      </w:pPr>
    </w:p>
    <w:p>
      <w:pPr>
        <w:pStyle w:val="BodyText"/>
        <w:spacing w:line="343" w:lineRule="auto" w:before="54"/>
        <w:ind w:left="122" w:right="120"/>
        <w:jc w:val="both"/>
      </w:pPr>
      <w:r>
        <w:rPr/>
        <w:t>distinta intensidad. La dispersión urbana, responde a la reubicación empresarial, la cual se traslada a nodos con mayor accesibilidad los cuales en un momento determinado fueron nombrados </w:t>
      </w:r>
      <w:r>
        <w:rPr>
          <w:i/>
        </w:rPr>
        <w:t>edge cities</w:t>
      </w:r>
      <w:r>
        <w:rPr>
          <w:i/>
          <w:position w:val="11"/>
          <w:sz w:val="16"/>
        </w:rPr>
        <w:t>12</w:t>
      </w:r>
      <w:r>
        <w:rPr/>
        <w:t>o ciudades de la orilla (Garreau,</w:t>
      </w:r>
      <w:r>
        <w:rPr>
          <w:spacing w:val="53"/>
        </w:rPr>
        <w:t> </w:t>
      </w:r>
      <w:r>
        <w:rPr/>
        <w:t>1991</w:t>
      </w:r>
    </w:p>
    <w:p>
      <w:pPr>
        <w:pStyle w:val="BodyText"/>
        <w:spacing w:line="360" w:lineRule="auto" w:before="10"/>
        <w:ind w:left="122" w:right="122"/>
        <w:jc w:val="both"/>
      </w:pPr>
      <w:r>
        <w:rPr/>
        <w:t>en Nogués y Salas, 2009: 25-29), que en el caso europeo responden a la  eficiencia del transporte, a las estrategias de zonificación y la</w:t>
      </w:r>
      <w:r>
        <w:rPr>
          <w:spacing w:val="-27"/>
        </w:rPr>
        <w:t> </w:t>
      </w:r>
      <w:r>
        <w:rPr/>
        <w:t>tercerización.</w:t>
      </w:r>
    </w:p>
    <w:p>
      <w:pPr>
        <w:pStyle w:val="BodyText"/>
        <w:spacing w:before="10"/>
      </w:pPr>
    </w:p>
    <w:p>
      <w:pPr>
        <w:pStyle w:val="BodyText"/>
        <w:spacing w:line="352" w:lineRule="auto"/>
        <w:ind w:left="122" w:right="116"/>
        <w:jc w:val="both"/>
      </w:pPr>
      <w:r>
        <w:rPr/>
        <w:t>La configuración de la urbanización europea, de baja densidad, es resultado de dos fenómenos, según Giampino (2010:32-34), la dispersión</w:t>
      </w:r>
      <w:r>
        <w:rPr>
          <w:position w:val="11"/>
          <w:sz w:val="16"/>
        </w:rPr>
        <w:t>13 </w:t>
      </w:r>
      <w:r>
        <w:rPr/>
        <w:t>y la difusión, ambos tienen características morfo-tipológicas de baja densidad, fragmentación, lo difuso es un cambio fisiológico que procede de los sistemas de transporte y la tecnología, factor que ha propiciado  el cambio en las  condiciones económicas  marcando   la</w:t>
      </w:r>
    </w:p>
    <w:p>
      <w:pPr>
        <w:pStyle w:val="BodyText"/>
        <w:spacing w:line="360" w:lineRule="auto" w:before="13"/>
        <w:ind w:left="122" w:right="115"/>
        <w:jc w:val="both"/>
      </w:pPr>
      <w:r>
        <w:rPr/>
        <w:t>pauta para la organización de los sistemas urbano-territoriales con desarrollo económico</w:t>
      </w:r>
      <w:r>
        <w:rPr>
          <w:i/>
        </w:rPr>
        <w:t>. </w:t>
      </w:r>
      <w:r>
        <w:rPr/>
        <w:t>Estos sistemas económicos mantienen una liga empresarial (pequeña o mediana), conectados con los centros mayores, se sustituye la producción agrícola o la complementa. La urbanización se organiza en función de la especialización de las actividades, dirigiendo la concentración a los espacios cercanos a las zonas metropolitanas, ubicadas a lo largo de las vías de comunicación, siendo lugares atractivos para los estratos sociales medios y medios altos por las condiciones ambientales que ofrecen, en lo territorial cuentan con dotación de infraestructura de calidad, morfología sin barreras, además de elementos funcionales (centros comerciales e instalaciones), se presentan movimientos multidireccionales en el</w:t>
      </w:r>
      <w:r>
        <w:rPr>
          <w:spacing w:val="-16"/>
        </w:rPr>
        <w:t> </w:t>
      </w:r>
      <w:r>
        <w:rPr/>
        <w:t>territorio.</w:t>
      </w:r>
    </w:p>
    <w:p>
      <w:pPr>
        <w:pStyle w:val="BodyText"/>
        <w:spacing w:before="7"/>
      </w:pPr>
    </w:p>
    <w:p>
      <w:pPr>
        <w:pStyle w:val="BodyText"/>
        <w:spacing w:line="360" w:lineRule="auto"/>
        <w:ind w:left="122" w:right="119"/>
        <w:jc w:val="both"/>
      </w:pPr>
      <w:r>
        <w:rPr/>
        <w:pict>
          <v:line style="position:absolute;mso-position-horizontal-relative:page;mso-position-vertical-relative:paragraph;z-index:1384;mso-wrap-distance-left:0;mso-wrap-distance-right:0" from="85.103996pt,68.405876pt" to="229.123996pt,68.405876pt" stroked="true" strokeweight=".71997pt" strokecolor="#000000">
            <w10:wrap type="topAndBottom"/>
          </v:line>
        </w:pict>
      </w:r>
      <w:r>
        <w:rPr/>
        <w:t>En la sociedad postindustrial las economías de aglomeración pasan a ser des economías, por ello se produce descentralización de actividades  del conglomerado a la red, en el que las actividades se localizan de forma individual  y</w:t>
      </w:r>
    </w:p>
    <w:p>
      <w:pPr>
        <w:spacing w:line="240" w:lineRule="auto" w:before="37"/>
        <w:ind w:left="122" w:right="117" w:firstLine="0"/>
        <w:jc w:val="both"/>
        <w:rPr>
          <w:sz w:val="18"/>
        </w:rPr>
      </w:pPr>
      <w:r>
        <w:rPr>
          <w:position w:val="9"/>
          <w:sz w:val="12"/>
        </w:rPr>
        <w:t>12</w:t>
      </w:r>
      <w:r>
        <w:rPr>
          <w:sz w:val="18"/>
        </w:rPr>
        <w:t>El término de </w:t>
      </w:r>
      <w:r>
        <w:rPr>
          <w:i/>
          <w:sz w:val="18"/>
        </w:rPr>
        <w:t>edge cities </w:t>
      </w:r>
      <w:r>
        <w:rPr>
          <w:sz w:val="18"/>
        </w:rPr>
        <w:t>hace referencia a las ciudades de Norteamérica, son las ciudad del límite, la cual  es un modelo social nuevo, económico y territorial, se localiza fuera de la gran ciudad compartiendo  elementos del suburbio, pero con características de ciudad, en la </w:t>
      </w:r>
      <w:r>
        <w:rPr>
          <w:i/>
          <w:sz w:val="18"/>
        </w:rPr>
        <w:t>edge city </w:t>
      </w:r>
      <w:r>
        <w:rPr>
          <w:sz w:val="18"/>
        </w:rPr>
        <w:t>existe vivienda, industria, religión, sociedad, y elementos de gobierno, son lugares de ocupación y consumo independiente del centro metropolitano, resultado de un fenómeno económico que direccionaron los inmobiliarios (Rufí, 2003). Cabe señalar</w:t>
      </w:r>
      <w:r>
        <w:rPr>
          <w:spacing w:val="-2"/>
          <w:sz w:val="18"/>
        </w:rPr>
        <w:t> </w:t>
      </w:r>
      <w:r>
        <w:rPr>
          <w:sz w:val="18"/>
        </w:rPr>
        <w:t>que</w:t>
      </w:r>
      <w:r>
        <w:rPr>
          <w:spacing w:val="-2"/>
          <w:sz w:val="18"/>
        </w:rPr>
        <w:t> </w:t>
      </w:r>
      <w:r>
        <w:rPr>
          <w:sz w:val="18"/>
        </w:rPr>
        <w:t>este</w:t>
      </w:r>
      <w:r>
        <w:rPr>
          <w:spacing w:val="-4"/>
          <w:sz w:val="18"/>
        </w:rPr>
        <w:t> </w:t>
      </w:r>
      <w:r>
        <w:rPr>
          <w:sz w:val="18"/>
        </w:rPr>
        <w:t>término</w:t>
      </w:r>
      <w:r>
        <w:rPr>
          <w:spacing w:val="-4"/>
          <w:sz w:val="18"/>
        </w:rPr>
        <w:t> </w:t>
      </w:r>
      <w:r>
        <w:rPr>
          <w:sz w:val="18"/>
        </w:rPr>
        <w:t>para</w:t>
      </w:r>
      <w:r>
        <w:rPr>
          <w:spacing w:val="-6"/>
          <w:sz w:val="18"/>
        </w:rPr>
        <w:t> </w:t>
      </w:r>
      <w:r>
        <w:rPr>
          <w:sz w:val="18"/>
        </w:rPr>
        <w:t>algunos</w:t>
      </w:r>
      <w:r>
        <w:rPr>
          <w:spacing w:val="-3"/>
          <w:sz w:val="18"/>
        </w:rPr>
        <w:t> </w:t>
      </w:r>
      <w:r>
        <w:rPr>
          <w:sz w:val="18"/>
        </w:rPr>
        <w:t>autores</w:t>
      </w:r>
      <w:r>
        <w:rPr>
          <w:spacing w:val="-3"/>
          <w:sz w:val="18"/>
        </w:rPr>
        <w:t> </w:t>
      </w:r>
      <w:r>
        <w:rPr>
          <w:sz w:val="18"/>
        </w:rPr>
        <w:t>no</w:t>
      </w:r>
      <w:r>
        <w:rPr>
          <w:spacing w:val="-2"/>
          <w:sz w:val="18"/>
        </w:rPr>
        <w:t> </w:t>
      </w:r>
      <w:r>
        <w:rPr>
          <w:sz w:val="18"/>
        </w:rPr>
        <w:t>difiere</w:t>
      </w:r>
      <w:r>
        <w:rPr>
          <w:spacing w:val="-2"/>
          <w:sz w:val="18"/>
        </w:rPr>
        <w:t> </w:t>
      </w:r>
      <w:r>
        <w:rPr>
          <w:sz w:val="18"/>
        </w:rPr>
        <w:t>del</w:t>
      </w:r>
      <w:r>
        <w:rPr>
          <w:spacing w:val="-4"/>
          <w:sz w:val="18"/>
        </w:rPr>
        <w:t> </w:t>
      </w:r>
      <w:r>
        <w:rPr>
          <w:sz w:val="18"/>
        </w:rPr>
        <w:t>suburbio</w:t>
      </w:r>
      <w:r>
        <w:rPr>
          <w:spacing w:val="-4"/>
          <w:sz w:val="18"/>
        </w:rPr>
        <w:t> </w:t>
      </w:r>
      <w:r>
        <w:rPr>
          <w:sz w:val="18"/>
        </w:rPr>
        <w:t>puesto</w:t>
      </w:r>
      <w:r>
        <w:rPr>
          <w:spacing w:val="-4"/>
          <w:sz w:val="18"/>
        </w:rPr>
        <w:t> </w:t>
      </w:r>
      <w:r>
        <w:rPr>
          <w:sz w:val="18"/>
        </w:rPr>
        <w:t>que</w:t>
      </w:r>
      <w:r>
        <w:rPr>
          <w:spacing w:val="-4"/>
          <w:sz w:val="18"/>
        </w:rPr>
        <w:t> </w:t>
      </w:r>
      <w:r>
        <w:rPr>
          <w:sz w:val="18"/>
        </w:rPr>
        <w:t>explica</w:t>
      </w:r>
      <w:r>
        <w:rPr>
          <w:spacing w:val="-2"/>
          <w:sz w:val="18"/>
        </w:rPr>
        <w:t> </w:t>
      </w:r>
      <w:r>
        <w:rPr>
          <w:sz w:val="18"/>
        </w:rPr>
        <w:t>la</w:t>
      </w:r>
      <w:r>
        <w:rPr>
          <w:spacing w:val="-4"/>
          <w:sz w:val="18"/>
        </w:rPr>
        <w:t> </w:t>
      </w:r>
      <w:r>
        <w:rPr>
          <w:sz w:val="18"/>
        </w:rPr>
        <w:t>misma</w:t>
      </w:r>
      <w:r>
        <w:rPr>
          <w:spacing w:val="-4"/>
          <w:sz w:val="18"/>
        </w:rPr>
        <w:t> </w:t>
      </w:r>
      <w:r>
        <w:rPr>
          <w:sz w:val="18"/>
        </w:rPr>
        <w:t>realidad.</w:t>
      </w:r>
    </w:p>
    <w:p>
      <w:pPr>
        <w:spacing w:line="206" w:lineRule="exact" w:before="0"/>
        <w:ind w:left="122" w:right="0" w:firstLine="0"/>
        <w:jc w:val="both"/>
        <w:rPr>
          <w:sz w:val="18"/>
        </w:rPr>
      </w:pPr>
      <w:r>
        <w:rPr>
          <w:position w:val="9"/>
          <w:sz w:val="12"/>
        </w:rPr>
        <w:t>13  </w:t>
      </w:r>
      <w:r>
        <w:rPr>
          <w:sz w:val="18"/>
        </w:rPr>
        <w:t>Giampino (2010), considera la dispersión un fenómeno patológico, como una enfermedad, no es ordenado,</w:t>
      </w:r>
    </w:p>
    <w:p>
      <w:pPr>
        <w:spacing w:before="2"/>
        <w:ind w:left="122" w:right="121" w:firstLine="0"/>
        <w:jc w:val="both"/>
        <w:rPr>
          <w:sz w:val="18"/>
        </w:rPr>
      </w:pPr>
      <w:r>
        <w:rPr>
          <w:sz w:val="18"/>
        </w:rPr>
        <w:t>consume masivamente suelo y recursos naturales, genera movilidad sobre ruedas diaria, deteriorando  el medio ambiente, no produce urbanidad al no ser racional o diseñada, denota ineficiencia de las medidas de control, además de incoherencia territorial, al responder a la lógica del mercado. Este fenómeno, propicia que se desvanezcan los paisajes culturales o históricos.</w:t>
      </w:r>
    </w:p>
    <w:p>
      <w:pPr>
        <w:spacing w:after="0"/>
        <w:jc w:val="both"/>
        <w:rPr>
          <w:sz w:val="18"/>
        </w:rPr>
        <w:sectPr>
          <w:pgSz w:w="12240" w:h="15840"/>
          <w:pgMar w:header="0" w:footer="659" w:top="1360" w:bottom="840" w:left="1580" w:right="1580"/>
        </w:sectPr>
      </w:pPr>
    </w:p>
    <w:p>
      <w:pPr>
        <w:pStyle w:val="BodyText"/>
        <w:spacing w:line="360" w:lineRule="auto" w:before="54"/>
        <w:ind w:left="122" w:right="117"/>
        <w:jc w:val="both"/>
      </w:pPr>
      <w:r>
        <w:rPr/>
        <w:t>fragmentada generando auto organización e independencia de los espacios, los actores socioeconómicos locales establecen relaciones horizontales entre sí con ocupación dispersa y la centralidad se consigue al pertenecer a alguna red de flujos (Entrena, 2005: 65).</w:t>
      </w:r>
    </w:p>
    <w:p>
      <w:pPr>
        <w:pStyle w:val="BodyText"/>
        <w:spacing w:before="7"/>
      </w:pPr>
    </w:p>
    <w:p>
      <w:pPr>
        <w:pStyle w:val="BodyText"/>
        <w:spacing w:line="360" w:lineRule="auto"/>
        <w:ind w:left="122" w:right="113"/>
        <w:jc w:val="both"/>
      </w:pPr>
      <w:r>
        <w:rPr/>
        <w:t>Los modelos urbanos se descentralizan conformando una estructura policéntrica o dispersa que depende de tres factores, Garcia y Muñiz (2007: 30-31): 1) las economías de aglomeración, con amplio mercado, escala suficientes y suministradores especializados; 2) las deseconomías de congestión y alto costo del suelo, contribuye a la salida de las empresas a la periferia y; 3) costos de transporte. Las economías de aglomeración pueden perder poder por las telecomunicaciones o ampliar su radio espacial pues la fricción de la distancia es más flexible y relajada, Por lo tanto, el policentrismo es una dimensión de la dispersión, ambos resultan contradictorios según la planificación urbana, la dispersión urbana se impone al policentrismo. Este proceso se muestra como una evolución lógica del modelo de ciudad monocéntrica donde las economías de aglomeración del centro son replicables en gran medida en la periferia conformando nuevos subcentros de</w:t>
      </w:r>
      <w:r>
        <w:rPr>
          <w:spacing w:val="-18"/>
        </w:rPr>
        <w:t> </w:t>
      </w:r>
      <w:r>
        <w:rPr/>
        <w:t>empleo.</w:t>
      </w:r>
    </w:p>
    <w:p>
      <w:pPr>
        <w:pStyle w:val="BodyText"/>
        <w:spacing w:before="7"/>
      </w:pPr>
    </w:p>
    <w:p>
      <w:pPr>
        <w:pStyle w:val="BodyText"/>
        <w:spacing w:line="352" w:lineRule="auto"/>
        <w:ind w:left="122" w:right="117"/>
        <w:jc w:val="both"/>
      </w:pPr>
      <w:r>
        <w:rPr/>
        <w:t>La conjunción de urbanización externa y descentración de los procesos productivos presente a finales de los años ochenta, tiene un soporte organizativo de red, Indovina (1998) lo conceptualizó como cambio estructural urbano. Los procesos organizativos del nororiente italiano, observando la estructura territorial de las ciudades del Veneto</w:t>
      </w:r>
      <w:r>
        <w:rPr>
          <w:position w:val="11"/>
          <w:sz w:val="16"/>
        </w:rPr>
        <w:t>14 </w:t>
      </w:r>
      <w:r>
        <w:rPr/>
        <w:t>los calificó de “ciudad difusa”, los elementos no estaban</w:t>
      </w:r>
      <w:r>
        <w:rPr>
          <w:spacing w:val="43"/>
        </w:rPr>
        <w:t> </w:t>
      </w:r>
      <w:r>
        <w:rPr/>
        <w:t>concentrados,</w:t>
      </w:r>
      <w:r>
        <w:rPr>
          <w:spacing w:val="43"/>
        </w:rPr>
        <w:t> </w:t>
      </w:r>
      <w:r>
        <w:rPr/>
        <w:t>los</w:t>
      </w:r>
      <w:r>
        <w:rPr>
          <w:spacing w:val="43"/>
        </w:rPr>
        <w:t> </w:t>
      </w:r>
      <w:r>
        <w:rPr/>
        <w:t>asentamientos</w:t>
      </w:r>
      <w:r>
        <w:rPr>
          <w:spacing w:val="43"/>
        </w:rPr>
        <w:t> </w:t>
      </w:r>
      <w:r>
        <w:rPr/>
        <w:t>siguen</w:t>
      </w:r>
      <w:r>
        <w:rPr>
          <w:spacing w:val="43"/>
        </w:rPr>
        <w:t> </w:t>
      </w:r>
      <w:r>
        <w:rPr/>
        <w:t>el</w:t>
      </w:r>
      <w:r>
        <w:rPr>
          <w:spacing w:val="42"/>
        </w:rPr>
        <w:t> </w:t>
      </w:r>
      <w:r>
        <w:rPr/>
        <w:t>principio</w:t>
      </w:r>
      <w:r>
        <w:rPr>
          <w:spacing w:val="41"/>
        </w:rPr>
        <w:t> </w:t>
      </w:r>
      <w:r>
        <w:rPr/>
        <w:t>de</w:t>
      </w:r>
      <w:r>
        <w:rPr>
          <w:spacing w:val="41"/>
        </w:rPr>
        <w:t> </w:t>
      </w:r>
      <w:r>
        <w:rPr/>
        <w:t>difusión,</w:t>
      </w:r>
      <w:r>
        <w:rPr>
          <w:spacing w:val="43"/>
        </w:rPr>
        <w:t> </w:t>
      </w:r>
      <w:r>
        <w:rPr/>
        <w:t>en</w:t>
      </w:r>
      <w:r>
        <w:rPr>
          <w:spacing w:val="41"/>
        </w:rPr>
        <w:t> </w:t>
      </w:r>
      <w:r>
        <w:rPr/>
        <w:t>un</w:t>
      </w:r>
    </w:p>
    <w:p>
      <w:pPr>
        <w:pStyle w:val="BodyText"/>
        <w:spacing w:line="360" w:lineRule="auto" w:before="13"/>
        <w:ind w:left="122" w:right="117"/>
        <w:jc w:val="both"/>
      </w:pPr>
      <w:r>
        <w:rPr/>
        <w:t>territorio amplio (espacio difuso) de baja densidad e intensidad en el uso del suelo, donde no hay pesos de jerarquía funcional, y no hay elementos para determinar la localización y se maximiza la accesibilidad por el uso del automóvil con distinta modalidad de organización del espacio.</w:t>
      </w:r>
    </w:p>
    <w:p>
      <w:pPr>
        <w:pStyle w:val="BodyText"/>
        <w:rPr>
          <w:sz w:val="20"/>
        </w:rPr>
      </w:pPr>
    </w:p>
    <w:p>
      <w:pPr>
        <w:pStyle w:val="BodyText"/>
        <w:rPr>
          <w:sz w:val="20"/>
        </w:rPr>
      </w:pPr>
    </w:p>
    <w:p>
      <w:pPr>
        <w:pStyle w:val="BodyText"/>
        <w:spacing w:before="3"/>
        <w:rPr>
          <w:sz w:val="21"/>
        </w:rPr>
      </w:pPr>
      <w:r>
        <w:rPr/>
        <w:pict>
          <v:line style="position:absolute;mso-position-horizontal-relative:page;mso-position-vertical-relative:paragraph;z-index:1408;mso-wrap-distance-left:0;mso-wrap-distance-right:0" from="85.103996pt,14.551873pt" to="229.123996pt,14.551873pt" stroked="true" strokeweight=".71997pt" strokecolor="#000000">
            <w10:wrap type="topAndBottom"/>
          </v:line>
        </w:pict>
      </w:r>
    </w:p>
    <w:p>
      <w:pPr>
        <w:spacing w:before="39"/>
        <w:ind w:left="122" w:right="76" w:firstLine="0"/>
        <w:jc w:val="left"/>
        <w:rPr>
          <w:sz w:val="18"/>
        </w:rPr>
      </w:pPr>
      <w:r>
        <w:rPr>
          <w:position w:val="9"/>
          <w:sz w:val="12"/>
        </w:rPr>
        <w:t>14 </w:t>
      </w:r>
      <w:r>
        <w:rPr>
          <w:sz w:val="18"/>
        </w:rPr>
        <w:t>Región del noreste de Italia integrada por las provincias de Venecia, Padua, Treviso, Verona, Vicenza, Rovigo y Belluno (Indovina 1998).</w:t>
      </w:r>
    </w:p>
    <w:p>
      <w:pPr>
        <w:spacing w:after="0"/>
        <w:jc w:val="left"/>
        <w:rPr>
          <w:sz w:val="18"/>
        </w:rPr>
        <w:sectPr>
          <w:pgSz w:w="12240" w:h="15840"/>
          <w:pgMar w:header="0" w:footer="659" w:top="1360" w:bottom="840" w:left="1580" w:right="1580"/>
        </w:sectPr>
      </w:pPr>
    </w:p>
    <w:p>
      <w:pPr>
        <w:pStyle w:val="BodyText"/>
        <w:spacing w:line="360" w:lineRule="auto" w:before="54"/>
        <w:ind w:left="102" w:right="116"/>
        <w:jc w:val="both"/>
      </w:pPr>
      <w:r>
        <w:rPr/>
        <w:t>Según Brenner (2013) cuando la expansión se olvida de los límites y la extensión alcanza una escala regional (que puede ser parte del sistema de ciudades) que se conforma de varios conjuntos de ciudades que se extienden, se unen para conformar </w:t>
      </w:r>
      <w:r>
        <w:rPr>
          <w:i/>
        </w:rPr>
        <w:t>galaxias urbanas </w:t>
      </w:r>
      <w:r>
        <w:rPr/>
        <w:t>las cuales presentan grandes dimensiones de población además de policentrismo, pero la escala no se limita en una región si no que ésta puede unirse con otras y formar una urbanización regional extendida. El proceso de urbanización regional extendida, según Brenner, es imposible explicarse bajo los conceptos tradicionales de urbanización  -metropolitanismo, rural o urbano ni tampoco con las ideas recientes de ciudad global, puesto que dichos conceptos tradicionales presentan límites territoriales y lo urbano no tiene parámetros de definición, coherencia o definición morfológica. Lo anterior ha llevado a una crisis epistemológica, según el autor, a una controversia epistemológica que abarca al campo disciplinar, que nacen con la identificación de los cambios en la morfología urbana de inicios del siglo XX. Brenner (2013:58) propone para explicar y definir la presente situación del mundo, considerada por él como una visión urbano céntrica la cual no solo influye en las actividades urbanas si no que se va interrelacionando con lo social, ambiental, económico, etcétera, la cual conlleva a reorientaciones tanto intelectuales como culturales que se reflejan en la geografía espacial del planeta.</w:t>
      </w:r>
    </w:p>
    <w:p>
      <w:pPr>
        <w:pStyle w:val="BodyText"/>
        <w:spacing w:before="7"/>
      </w:pPr>
    </w:p>
    <w:p>
      <w:pPr>
        <w:pStyle w:val="BodyText"/>
        <w:spacing w:line="360" w:lineRule="auto"/>
        <w:ind w:left="102" w:right="123"/>
        <w:jc w:val="both"/>
      </w:pPr>
      <w:r>
        <w:rPr/>
        <w:t>En suma, la descentralización de los espacios metropolitanos principales, de las ciudades medias, que devienen reforzamientos de localidades pequeñas, pueblos y espacios dispersos, conlleva varias discusiones abiertas: a) la transformación morfológica, funcional y social, y todo ello el cambio estructural urbano; b) la discusión del cambio epistemológico, si las estructura urbanas actuales deben seguir con sus marcos conceptuales o más bien un cambio desde los disciplinar y;</w:t>
      </w:r>
    </w:p>
    <w:p>
      <w:pPr>
        <w:pStyle w:val="BodyText"/>
        <w:spacing w:line="360" w:lineRule="auto" w:before="3"/>
        <w:ind w:left="102" w:right="122"/>
        <w:jc w:val="both"/>
      </w:pPr>
      <w:r>
        <w:rPr/>
        <w:t>c) si el desarrollo territorial, difusión del desarrollo urbano y tecnológico, es más adecuado en forma concentrada o si es conveniente la estructura de red o poli céntrica.</w:t>
      </w:r>
    </w:p>
    <w:p>
      <w:pPr>
        <w:spacing w:after="0" w:line="360" w:lineRule="auto"/>
        <w:jc w:val="both"/>
        <w:sectPr>
          <w:pgSz w:w="12240" w:h="15840"/>
          <w:pgMar w:header="0" w:footer="659" w:top="1360" w:bottom="840" w:left="1600" w:right="1580"/>
        </w:sectPr>
      </w:pPr>
    </w:p>
    <w:p>
      <w:pPr>
        <w:pStyle w:val="Heading4"/>
        <w:numPr>
          <w:ilvl w:val="1"/>
          <w:numId w:val="1"/>
        </w:numPr>
        <w:tabs>
          <w:tab w:pos="825" w:val="left" w:leader="none"/>
        </w:tabs>
        <w:spacing w:line="360" w:lineRule="auto" w:before="53" w:after="0"/>
        <w:ind w:left="102" w:right="117" w:firstLine="0"/>
        <w:jc w:val="both"/>
      </w:pPr>
      <w:r>
        <w:rPr/>
        <w:t>Conclusión. Esquema conceptual que acompaña a la investigación</w:t>
      </w:r>
    </w:p>
    <w:p>
      <w:pPr>
        <w:pStyle w:val="BodyText"/>
        <w:spacing w:before="1"/>
        <w:rPr>
          <w:b/>
          <w:sz w:val="25"/>
        </w:rPr>
      </w:pPr>
    </w:p>
    <w:p>
      <w:pPr>
        <w:pStyle w:val="BodyText"/>
        <w:spacing w:line="360" w:lineRule="auto"/>
        <w:ind w:left="102" w:right="119"/>
        <w:jc w:val="both"/>
      </w:pPr>
      <w:r>
        <w:rPr/>
        <w:t>La construcción teórico-conceptual de los movimientos centrífugos de los factores que desconcentran y descentralizan las zonas metropolitanas, son los que interesan a esta investigación, mismos que han sido examinados con los conceptos desurbanización y contraurbanización en los países desarrollados y que han identificados en los años setenta.</w:t>
      </w:r>
    </w:p>
    <w:p>
      <w:pPr>
        <w:pStyle w:val="BodyText"/>
        <w:spacing w:before="10"/>
      </w:pPr>
    </w:p>
    <w:p>
      <w:pPr>
        <w:pStyle w:val="BodyText"/>
        <w:spacing w:line="360" w:lineRule="auto"/>
        <w:ind w:left="102" w:right="117"/>
        <w:jc w:val="both"/>
      </w:pPr>
      <w:r>
        <w:rPr/>
        <w:t>La expansión de la metrópolis por desconcentración, es un modelo que al reproducirse por todo el territorio va dibujando una realidad distinta. Destacan un conjunto de procesos en la que la estructura urbana, principalmente existe más de un nodo principal, la jerarquía de ciudades disminuye o desaparece, las actividades económicas no están logadas a la primacía, las políticas gubernamentales se enfocan en mantener la conectividad entre los nodos, las empresas impulsan las relaciones entre territorios, la combinación de paisajes rural-urbano, es parte de un asentamiento (periurbano), por ello el territorio metropolitano tiene relaciones a escala mayor (</w:t>
      </w:r>
      <w:r>
        <w:rPr>
          <w:spacing w:val="-24"/>
        </w:rPr>
        <w:t> </w:t>
      </w:r>
      <w:r>
        <w:rPr/>
        <w:t>regional).</w:t>
      </w:r>
    </w:p>
    <w:p>
      <w:pPr>
        <w:pStyle w:val="BodyText"/>
        <w:spacing w:before="7"/>
      </w:pPr>
    </w:p>
    <w:p>
      <w:pPr>
        <w:pStyle w:val="BodyText"/>
        <w:spacing w:line="360" w:lineRule="auto"/>
        <w:ind w:left="102" w:right="116"/>
        <w:jc w:val="both"/>
      </w:pPr>
      <w:r>
        <w:rPr/>
        <w:t>Los procesos metropolitanos son de carácter regional con mecanismos abiertos, multidireccionales, no obstante pertenecen al funcionamiento de conjunto. Por la escala del objeto de estudio en esta investigación, es pertinente abocarse a los procesos de una ciudad y no los cambios de todo el sistema urbano. En congruencia con los planteamientos de las teorías de la evolución, los procesos actuales metropolitanos son calificados como maduros, las fases de desurbanización y de reurbanización. En esta investigación, interesa corroborar  los procesos de descentralización y de desconcentración metropolitana, es decir la desurbanziación.</w:t>
      </w:r>
    </w:p>
    <w:p>
      <w:pPr>
        <w:pStyle w:val="BodyText"/>
        <w:spacing w:before="7"/>
      </w:pPr>
    </w:p>
    <w:p>
      <w:pPr>
        <w:pStyle w:val="BodyText"/>
        <w:spacing w:line="360" w:lineRule="auto"/>
        <w:ind w:left="102" w:right="118"/>
        <w:jc w:val="both"/>
      </w:pPr>
      <w:r>
        <w:rPr/>
        <w:t>Cuando los límites de la ciudad central (primera corona) se expanden a su primer contorno (segunda corona) se denomina suburbanización que es el crecimiento de la ciudad hacia la periferia continua, los movimientos de la población son hacia   la</w:t>
      </w:r>
    </w:p>
    <w:p>
      <w:pPr>
        <w:spacing w:after="0" w:line="360" w:lineRule="auto"/>
        <w:jc w:val="both"/>
        <w:sectPr>
          <w:pgSz w:w="12240" w:h="15840"/>
          <w:pgMar w:header="0" w:footer="659" w:top="1360" w:bottom="840" w:left="1600" w:right="1580"/>
        </w:sectPr>
      </w:pPr>
    </w:p>
    <w:p>
      <w:pPr>
        <w:pStyle w:val="BodyText"/>
        <w:spacing w:line="360" w:lineRule="auto" w:before="54"/>
        <w:ind w:left="102" w:right="118"/>
        <w:jc w:val="both"/>
      </w:pPr>
      <w:r>
        <w:rPr/>
        <w:t>primer corona o anillo, por la descentralización de la vivienda, siendo los detonantes la accesibilidad del transporte, la infraestructura vial y el uso del automóvil. El tercer momento llamado desurbanización, consiste en la expansión de la ciudad hacia la tercera corona, se caracteriza por el declive demográfico y económico de la ciudad central, siendo la periferia alejada con características dominantes rurales –pueblos y localidades- hacia las cuales se dirigen los movimientos de población y recursos. La conceptualización de desurbanización nace en el contexto europeo en la década de los ochenta, explica  la transformación como parte del proceso evolutivo</w:t>
      </w:r>
    </w:p>
    <w:p>
      <w:pPr>
        <w:pStyle w:val="BodyText"/>
        <w:spacing w:before="8"/>
      </w:pPr>
    </w:p>
    <w:p>
      <w:pPr>
        <w:pStyle w:val="BodyText"/>
        <w:spacing w:line="360" w:lineRule="auto"/>
        <w:ind w:left="102" w:right="119"/>
        <w:jc w:val="both"/>
      </w:pPr>
      <w:r>
        <w:rPr/>
        <w:t>La desurbanización, es parte de las etapas teóricas de la evolución urbana, misma que realiza una distinción física para examinar los cambios territoriales, ella se compone de: i) núcleo central, es la unidad espacial desde donde se origina el crecimiento físico y la expansión hacia las coronas suburbanas; ii) la periferia cercana o segunda corona, en la que se observa el crecimiento de la suburbanización; iii) la tercera franja o corona de expansión en la que se  presentan los cambios de la desurbanización, que es la zona de transición, el crecimiento se ubica en centros urbanos menores y en algunos casos rurales. Por lo tanto se caracteriza por el crecimiento demográfico distribuido entre los (sub) sistemas urbanos y territoriales donde los centros menores crecen más que los metropolitanos, presentando movimientos desde varios</w:t>
      </w:r>
      <w:r>
        <w:rPr>
          <w:spacing w:val="-21"/>
        </w:rPr>
        <w:t> </w:t>
      </w:r>
      <w:r>
        <w:rPr/>
        <w:t>kilómetros.</w:t>
      </w:r>
    </w:p>
    <w:p>
      <w:pPr>
        <w:pStyle w:val="BodyText"/>
        <w:spacing w:before="7"/>
      </w:pPr>
    </w:p>
    <w:p>
      <w:pPr>
        <w:pStyle w:val="BodyText"/>
        <w:spacing w:line="360" w:lineRule="auto"/>
        <w:ind w:left="102" w:right="115"/>
        <w:jc w:val="both"/>
      </w:pPr>
      <w:r>
        <w:rPr/>
        <w:t>Entre las características de la franja de transición es que se convierte en un nodo que resulta atractivo para los procesos de descentralización originados en la ciudad central (primera corona) y del suburbio (segunda corona), por lo que en este espacio se manifiesta la desconcentración de la actividad económica, de la vivienda y de la población, producto de una mejora en la accesibilidad en la franja externa. Situación que dependen de algunos factores como el económico, que propicia el traslado de las fuentes de empleo a nuevos espacios de la periferia externa, otra condicionante es la tecnología, además de los servicios e infraestructura que condicionan este proceso de movimientos migratorios del centro a la periferia</w:t>
      </w:r>
      <w:r>
        <w:rPr>
          <w:spacing w:val="-9"/>
        </w:rPr>
        <w:t> </w:t>
      </w:r>
      <w:r>
        <w:rPr/>
        <w:t>externa.</w:t>
      </w:r>
    </w:p>
    <w:p>
      <w:pPr>
        <w:spacing w:after="0" w:line="360" w:lineRule="auto"/>
        <w:jc w:val="both"/>
        <w:sectPr>
          <w:pgSz w:w="12240" w:h="15840"/>
          <w:pgMar w:header="0" w:footer="659" w:top="1360" w:bottom="840" w:left="1600" w:right="1580"/>
        </w:sectPr>
      </w:pPr>
    </w:p>
    <w:p>
      <w:pPr>
        <w:pStyle w:val="BodyText"/>
        <w:spacing w:line="360" w:lineRule="auto" w:before="54"/>
        <w:ind w:left="102" w:right="118"/>
        <w:jc w:val="both"/>
      </w:pPr>
      <w:r>
        <w:rPr/>
        <w:t>Si bien la realidad urbana Latino América, es comparativamente más joven que la europea o estadounidense aquí revisada, el proceso de urbanización se caracteriza por su acelerado crecimiento y cambio, existe un consenso que el proceso de configuración de las metrópolis inició en los años setenta, al mismo tiempo que los sistemas urbanos nacionales se formaban, de suerte que es probable, que ciudades, sistemas y redes, se encuentren transitando hacia procesos maduros. Los cuales son necesarios investigar.</w:t>
      </w:r>
    </w:p>
    <w:p>
      <w:pPr>
        <w:pStyle w:val="BodyText"/>
        <w:spacing w:before="7"/>
      </w:pPr>
    </w:p>
    <w:p>
      <w:pPr>
        <w:pStyle w:val="BodyText"/>
        <w:spacing w:line="360" w:lineRule="auto"/>
        <w:ind w:left="102" w:right="117"/>
        <w:jc w:val="both"/>
      </w:pPr>
      <w:r>
        <w:rPr/>
        <w:t>La descentralización urbana, la difusión del desarrollo y el desarrollo territorial, son parte fundamental para alentar la desurbanización completa, por lo que en  América Latina es probable que presente su propia configuración. La estructura poli céntrica, en el contexto internacional, tiene su grado de comprobación, aceptación y críticas. En México, no logra una consolidación científica al carecer de sustento empírico, metodológico y también conceptual, por ello abrir esta línea de estudio, es necesario para contribuir a los estudios de la  metropolización actual.</w:t>
      </w:r>
    </w:p>
    <w:p>
      <w:pPr>
        <w:spacing w:after="0" w:line="360" w:lineRule="auto"/>
        <w:jc w:val="both"/>
        <w:sectPr>
          <w:pgSz w:w="12240" w:h="15840"/>
          <w:pgMar w:header="0" w:footer="659" w:top="1360" w:bottom="840" w:left="1600" w:right="158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4"/>
        <w:rPr>
          <w:sz w:val="20"/>
        </w:rPr>
      </w:pPr>
    </w:p>
    <w:p>
      <w:pPr>
        <w:pStyle w:val="Heading1"/>
        <w:spacing w:line="360" w:lineRule="auto"/>
        <w:ind w:left="1825" w:right="462" w:hanging="1344"/>
      </w:pPr>
      <w:r>
        <w:rPr/>
        <w:t>Capítulo II. Metodologías y medición de la evolución de las metrópolis</w:t>
      </w:r>
    </w:p>
    <w:p>
      <w:pPr>
        <w:spacing w:after="0" w:line="360" w:lineRule="auto"/>
        <w:sectPr>
          <w:footerReference w:type="default" r:id="rId20"/>
          <w:pgSz w:w="12240" w:h="15840"/>
          <w:pgMar w:footer="659" w:header="0" w:top="1500" w:bottom="840" w:left="1660" w:right="1660"/>
        </w:sectPr>
      </w:pPr>
    </w:p>
    <w:p>
      <w:pPr>
        <w:pStyle w:val="Heading3"/>
        <w:spacing w:line="360" w:lineRule="auto"/>
        <w:ind w:left="3436" w:hanging="3121"/>
      </w:pPr>
      <w:r>
        <w:rPr/>
        <w:t>Capítulo II. Metodologías y medición de la evolución de las metrópolis</w:t>
      </w:r>
    </w:p>
    <w:p>
      <w:pPr>
        <w:pStyle w:val="BodyText"/>
        <w:spacing w:line="360" w:lineRule="auto" w:before="10"/>
        <w:ind w:left="102" w:right="115"/>
        <w:jc w:val="both"/>
      </w:pPr>
      <w:r>
        <w:rPr/>
        <w:t>Este capítulo se construye con los casos de referencia del contexto internacional, se encuentra dividido en tres subcapítulos. El primero considera las transformaciones de la realidad metropolitana a la luz de los cambios de modelo económico, el segundo subcapítulo selecciona casos que dimensionan, caracterizan la descentralización y desurbanización actual, finalmente el tercer subcapítulo presenta la primera aproximación a la metodología que abordará la evolución urbana, se identifican dimensiones y variables. El procedimiento en la elaboración de este capítulo, consistió en la selección de distintos casos de estudio, los cuales ayudarán a explicar cómo se pueden medir y cuantificar los cambios en la estructura metropolitana, dividida por sus características y contextos usando el método comparativo, el cual consiste en la separación de los casos de referencia por el proceso que analizan y las variables que emplean para abordarlos.</w:t>
      </w:r>
    </w:p>
    <w:p>
      <w:pPr>
        <w:pStyle w:val="BodyText"/>
        <w:spacing w:before="6"/>
      </w:pPr>
    </w:p>
    <w:p>
      <w:pPr>
        <w:pStyle w:val="Heading4"/>
        <w:numPr>
          <w:ilvl w:val="1"/>
          <w:numId w:val="2"/>
        </w:numPr>
        <w:tabs>
          <w:tab w:pos="697" w:val="left" w:leader="none"/>
        </w:tabs>
        <w:spacing w:line="360" w:lineRule="auto" w:before="0" w:after="0"/>
        <w:ind w:left="102" w:right="115" w:firstLine="0"/>
        <w:jc w:val="both"/>
      </w:pPr>
      <w:r>
        <w:rPr/>
        <w:t>Zonas y regiones metropolitanas, según cambio de modelo económico</w:t>
      </w:r>
    </w:p>
    <w:p>
      <w:pPr>
        <w:pStyle w:val="BodyText"/>
        <w:spacing w:before="10"/>
        <w:rPr>
          <w:b/>
        </w:rPr>
      </w:pPr>
    </w:p>
    <w:p>
      <w:pPr>
        <w:pStyle w:val="BodyText"/>
        <w:spacing w:line="360" w:lineRule="auto"/>
        <w:ind w:left="102" w:right="115"/>
        <w:jc w:val="both"/>
      </w:pPr>
      <w:r>
        <w:rPr/>
        <w:t>En la conformación de la zona metropolitana, destaca la larga trayectoria de consolidad del núcleo central, que corresponde al inicio de la industrialización y todo el período del llamado modelo fordista. La característica del núcleo central, era su capacidad de organizar todo del funcionamiento cercano y del territorio circundante, es un nodo de alta concentración y centralización de los poderes político, económico, cultural y religioso, ello lo convierte en el polo de atracción, allí se concentra el empleo, trabajo, residencia y ocio. Este mecanismo de atracción fue reforzado durante décadas, lo que le permitió ampliarse y consolidarse como área integrada, ello le daría el calificativo de ciudad central; que refiere al centralismo y dominio. Derivado del centralismo, se organizaron las interrelaciones físicas y funcionales, se trata de la formación del área y zona metropolitanas, que avanzan hacia una mayor escala. Este proceso de dominio central rompe con el</w:t>
      </w:r>
    </w:p>
    <w:p>
      <w:pPr>
        <w:spacing w:after="0" w:line="360" w:lineRule="auto"/>
        <w:jc w:val="both"/>
        <w:sectPr>
          <w:footerReference w:type="default" r:id="rId21"/>
          <w:pgSz w:w="12240" w:h="15840"/>
          <w:pgMar w:footer="659" w:header="0" w:top="1380" w:bottom="840" w:left="1600" w:right="1580"/>
          <w:pgNumType w:start="41"/>
        </w:sectPr>
      </w:pPr>
    </w:p>
    <w:p>
      <w:pPr>
        <w:pStyle w:val="BodyText"/>
        <w:spacing w:line="360" w:lineRule="auto" w:before="54"/>
        <w:ind w:left="102" w:right="119"/>
        <w:jc w:val="both"/>
      </w:pPr>
      <w:r>
        <w:rPr/>
        <w:t>cambio de modelo económico industrial que la literatura suele ubicar en los años 70 del siglo XX.</w:t>
      </w:r>
    </w:p>
    <w:p>
      <w:pPr>
        <w:pStyle w:val="BodyText"/>
        <w:spacing w:before="7"/>
      </w:pPr>
    </w:p>
    <w:p>
      <w:pPr>
        <w:pStyle w:val="BodyText"/>
        <w:spacing w:line="360" w:lineRule="auto"/>
        <w:ind w:left="102" w:right="116"/>
        <w:jc w:val="both"/>
      </w:pPr>
      <w:r>
        <w:rPr/>
        <w:t>Algunas descripciones de la estructura centralizada de la ciudad las observó Geddes (2009) en Inglaterra, quien registra los proceso de finales del siglo XIX e inicio del XX, comenzaba la conurbación y propuso el concepto de ciudad región, porque los procesos registraban unión de territorios, los casos donde se apreciaba el poder dominante del centro, fueron: Tyne-Wear-Tees, Lancaston, Riding Oeste, Riding Sur, Midlanton, Galeston o Londres, que encabezaba la unión de dos o  más regiones. En el caso de Midlanton, fue considerada la región urbana más extensa en la que sus límites exactos son difíciles de definir en donde sus uniones de ciudades se convierten en una iniciativa regional, y sus relaciones entre campo y ciudad se mejoran y son más íntimas que en el pasado. En otros países, dice que en Estocolmo existen ciudades como Bergen y Christiania que tienen amplias diferencias de tradición, funcionamiento y estructura social que no se reconocen fácilmente pero el proceso de crecimiento es continuo y tiende a sumergir las diferencias bajo su marea creciente en donde los medios de comunicación propician y extienden la</w:t>
      </w:r>
      <w:r>
        <w:rPr>
          <w:spacing w:val="-10"/>
        </w:rPr>
        <w:t> </w:t>
      </w:r>
      <w:r>
        <w:rPr/>
        <w:t>conurbación.</w:t>
      </w:r>
    </w:p>
    <w:p>
      <w:pPr>
        <w:pStyle w:val="BodyText"/>
        <w:spacing w:before="7"/>
      </w:pPr>
    </w:p>
    <w:p>
      <w:pPr>
        <w:pStyle w:val="BodyText"/>
        <w:spacing w:line="360" w:lineRule="auto"/>
        <w:ind w:left="102" w:right="112"/>
        <w:jc w:val="both"/>
      </w:pPr>
      <w:r>
        <w:rPr/>
        <w:t>Geddes (2009:122) señaló que la unión de territorios y ciudades era por la conectividad y accesibilidad hacia éstos, ello fue lo observado en Escocia, Gran Glasgow, lugar con provincias que poseían una baja densidad, junto con una tendencia a cubrirse de casas con problemas de hacinamiento, su conexión </w:t>
      </w:r>
      <w:r>
        <w:rPr>
          <w:spacing w:val="-2"/>
        </w:rPr>
        <w:t>era </w:t>
      </w:r>
      <w:r>
        <w:rPr/>
        <w:t>entre dos grandes ciudades y sus vecinos menores, resultando una conurbación de una </w:t>
      </w:r>
      <w:r>
        <w:rPr>
          <w:i/>
        </w:rPr>
        <w:t>región urbana bipolar </w:t>
      </w:r>
      <w:r>
        <w:rPr/>
        <w:t>a la que se propone denominar </w:t>
      </w:r>
      <w:r>
        <w:rPr>
          <w:i/>
        </w:rPr>
        <w:t>birregional Clyde- </w:t>
      </w:r>
      <w:r>
        <w:rPr>
          <w:i/>
        </w:rPr>
        <w:t>forth </w:t>
      </w:r>
      <w:r>
        <w:rPr/>
        <w:t>que son las capitales del este y oeste de Escocia, este sería el primer antecedente de la presencia de dos núcleos con crecimiento y cada uno tiene su centralidad y</w:t>
      </w:r>
      <w:r>
        <w:rPr>
          <w:spacing w:val="-5"/>
        </w:rPr>
        <w:t> </w:t>
      </w:r>
      <w:r>
        <w:rPr/>
        <w:t>domino.</w:t>
      </w:r>
    </w:p>
    <w:p>
      <w:pPr>
        <w:pStyle w:val="BodyText"/>
        <w:spacing w:before="7"/>
      </w:pPr>
    </w:p>
    <w:p>
      <w:pPr>
        <w:pStyle w:val="BodyText"/>
        <w:spacing w:line="360" w:lineRule="auto"/>
        <w:ind w:left="102" w:right="115"/>
        <w:jc w:val="both"/>
      </w:pPr>
      <w:r>
        <w:rPr/>
        <w:t>Con el cambio de modelo de dominio manufacturero e industrial, cuyos procesos de transformación organiza el capital en forma concentrada en la ciudad, donde la generación de riqueza deriva de la transformación de los materiales por el  trabajo</w:t>
      </w:r>
    </w:p>
    <w:p>
      <w:pPr>
        <w:spacing w:after="0" w:line="360" w:lineRule="auto"/>
        <w:jc w:val="both"/>
        <w:sectPr>
          <w:pgSz w:w="12240" w:h="15840"/>
          <w:pgMar w:header="0" w:footer="659" w:top="1360" w:bottom="840" w:left="1600" w:right="1580"/>
        </w:sectPr>
      </w:pPr>
    </w:p>
    <w:p>
      <w:pPr>
        <w:pStyle w:val="BodyText"/>
        <w:spacing w:line="360" w:lineRule="auto" w:before="54"/>
        <w:ind w:left="102" w:right="120"/>
        <w:jc w:val="both"/>
      </w:pPr>
      <w:r>
        <w:rPr/>
        <w:t>calificado, a otro donde la generación de riqueza derivan del desarrollo de la innovación, las tecnologías, las comunicaciones y el consumo, lo cual tiene otra forma de organización bajo un capitalismo también transformado. Estos cambios de modelos explican la organización y reorganización del funcionamiento económico en el espacio metropolitano y regional. A continuación algunos casos concretos de observación considerando la situación económica como explicativa de los cambios.</w:t>
      </w:r>
    </w:p>
    <w:p>
      <w:pPr>
        <w:pStyle w:val="BodyText"/>
        <w:spacing w:before="7"/>
      </w:pPr>
    </w:p>
    <w:p>
      <w:pPr>
        <w:pStyle w:val="BodyText"/>
        <w:spacing w:line="360" w:lineRule="auto"/>
        <w:ind w:left="102" w:right="118"/>
        <w:jc w:val="both"/>
      </w:pPr>
      <w:r>
        <w:rPr/>
        <w:t>Los cambios de la economía postfordista en el territorio fue Fielding el primero en atribuirlos a la distinta distribución de la concentración de la población, que analizó como contraurbanización, siendo la forma de producción y la división del empleo postfordista los factores que rompieron con los esquemas metropolitanos tradicionales, al reorganizar el territorio en base a la actividad industrial, conformándose polígonos y distritos especializados, originando asentamientos en ciudades pequeñas ubicadas en las periferias mientras que los centros presentaron tercerización, (actividades con valor de la información). Siendo entonces ahora los centros de negocios los espacios especializados, comunicados por medio de las TIC´s o por infraestructura o sistemas de transportes (Fielding en Otero y Gómez, 2007:</w:t>
      </w:r>
      <w:r>
        <w:rPr>
          <w:spacing w:val="-11"/>
        </w:rPr>
        <w:t> </w:t>
      </w:r>
      <w:r>
        <w:rPr/>
        <w:t>261).</w:t>
      </w:r>
    </w:p>
    <w:p>
      <w:pPr>
        <w:pStyle w:val="BodyText"/>
        <w:spacing w:before="7"/>
      </w:pPr>
    </w:p>
    <w:p>
      <w:pPr>
        <w:pStyle w:val="BodyText"/>
        <w:spacing w:line="360" w:lineRule="auto"/>
        <w:ind w:left="102" w:right="115"/>
        <w:jc w:val="both"/>
      </w:pPr>
      <w:r>
        <w:rPr/>
        <w:t>Los modelos de producción, son considerados el motor de las transformaciones urbanas, al ser el punto de quiebre para la sociedad postindustrial, que no hubiese sido posible sin los impulsos del factor económico que contribuyó al desarrollo de las tecnologías de la información y la comunicación (TIC’s) adquiriendo valor dos elementos: a) las innovaciones y b) el conocimiento, ambos influyeron socialmente en las modos de consumo para la producción flexible esto propició aumento del consumo del vehículo que detonó en incremento de infraestructura vial saturando las ciudades, por lo que la concentración dejo de ser funcional (Otero y Gómez, 2007).</w:t>
      </w:r>
    </w:p>
    <w:p>
      <w:pPr>
        <w:pStyle w:val="BodyText"/>
        <w:spacing w:before="10"/>
      </w:pPr>
    </w:p>
    <w:p>
      <w:pPr>
        <w:pStyle w:val="BodyText"/>
        <w:spacing w:line="360" w:lineRule="auto"/>
        <w:ind w:left="102" w:right="126"/>
        <w:jc w:val="both"/>
      </w:pPr>
      <w:r>
        <w:rPr/>
        <w:t>La zona de estudio de la ciudad difusa de Indovina (1998) en Véneto, son  Venecia,</w:t>
      </w:r>
      <w:r>
        <w:rPr>
          <w:spacing w:val="50"/>
        </w:rPr>
        <w:t> </w:t>
      </w:r>
      <w:r>
        <w:rPr/>
        <w:t>Padua</w:t>
      </w:r>
      <w:r>
        <w:rPr>
          <w:spacing w:val="51"/>
        </w:rPr>
        <w:t> </w:t>
      </w:r>
      <w:r>
        <w:rPr/>
        <w:t>y</w:t>
      </w:r>
      <w:r>
        <w:rPr>
          <w:spacing w:val="48"/>
        </w:rPr>
        <w:t> </w:t>
      </w:r>
      <w:r>
        <w:rPr/>
        <w:t>Treviso</w:t>
      </w:r>
      <w:r>
        <w:rPr>
          <w:spacing w:val="50"/>
        </w:rPr>
        <w:t> </w:t>
      </w:r>
      <w:r>
        <w:rPr/>
        <w:t>donde</w:t>
      </w:r>
      <w:r>
        <w:rPr>
          <w:spacing w:val="51"/>
        </w:rPr>
        <w:t> </w:t>
      </w:r>
      <w:r>
        <w:rPr/>
        <w:t>se</w:t>
      </w:r>
      <w:r>
        <w:rPr>
          <w:spacing w:val="48"/>
        </w:rPr>
        <w:t> </w:t>
      </w:r>
      <w:r>
        <w:rPr/>
        <w:t>ubican</w:t>
      </w:r>
      <w:r>
        <w:rPr>
          <w:spacing w:val="51"/>
        </w:rPr>
        <w:t> </w:t>
      </w:r>
      <w:r>
        <w:rPr/>
        <w:t>las</w:t>
      </w:r>
      <w:r>
        <w:rPr>
          <w:spacing w:val="50"/>
        </w:rPr>
        <w:t> </w:t>
      </w:r>
      <w:r>
        <w:rPr/>
        <w:t>ciudades</w:t>
      </w:r>
      <w:r>
        <w:rPr>
          <w:spacing w:val="50"/>
        </w:rPr>
        <w:t> </w:t>
      </w:r>
      <w:r>
        <w:rPr/>
        <w:t>de</w:t>
      </w:r>
      <w:r>
        <w:rPr>
          <w:spacing w:val="51"/>
        </w:rPr>
        <w:t> </w:t>
      </w:r>
      <w:r>
        <w:rPr/>
        <w:t>tamaño</w:t>
      </w:r>
      <w:r>
        <w:rPr>
          <w:spacing w:val="51"/>
        </w:rPr>
        <w:t> </w:t>
      </w:r>
      <w:r>
        <w:rPr/>
        <w:t>medias</w:t>
      </w:r>
      <w:r>
        <w:rPr>
          <w:spacing w:val="50"/>
        </w:rPr>
        <w:t> </w:t>
      </w:r>
      <w:r>
        <w:rPr/>
        <w:t>y</w:t>
      </w:r>
    </w:p>
    <w:p>
      <w:pPr>
        <w:spacing w:after="0" w:line="360" w:lineRule="auto"/>
        <w:jc w:val="both"/>
        <w:sectPr>
          <w:pgSz w:w="12240" w:h="15840"/>
          <w:pgMar w:header="0" w:footer="659" w:top="1360" w:bottom="840" w:left="1600" w:right="1580"/>
        </w:sectPr>
      </w:pPr>
    </w:p>
    <w:p>
      <w:pPr>
        <w:pStyle w:val="BodyText"/>
        <w:spacing w:line="360" w:lineRule="auto" w:before="54"/>
        <w:ind w:left="102" w:right="117"/>
        <w:jc w:val="both"/>
      </w:pPr>
      <w:r>
        <w:rPr/>
        <w:t>grandes con las que Indovina identifica una traza reticular imaginaria, cuya cualidad es la integración de los asentamientos secundarios (municipios, ciudades medias y pequeñas), en el interior de la retícula, se ubica la estructura difusa, porque allí se distribuyen la residencia, los servicios y la producción. La especialización es una particularidad débil, al presentarse en algunos elementos de tipo funcional, los cuales tienen un amplio radio de influencia y corresponden a los equipamientos comerciales, la infraestructura deportiva, las zonas de actividad laboral (oficinas</w:t>
      </w:r>
      <w:r>
        <w:rPr>
          <w:spacing w:val="-8"/>
        </w:rPr>
        <w:t> </w:t>
      </w:r>
      <w:r>
        <w:rPr/>
        <w:t>públicas),</w:t>
      </w:r>
    </w:p>
    <w:p>
      <w:pPr>
        <w:pStyle w:val="BodyText"/>
        <w:spacing w:before="8"/>
      </w:pPr>
    </w:p>
    <w:p>
      <w:pPr>
        <w:pStyle w:val="BodyText"/>
        <w:spacing w:line="360" w:lineRule="auto"/>
        <w:ind w:left="102" w:right="116"/>
        <w:jc w:val="both"/>
      </w:pPr>
      <w:r>
        <w:rPr/>
        <w:t>Las infraestructuras del Véneto son el factor de interconexión población-territorio, con un tránsito intenso, las vías son los espacios en los que se localiza la actividad comercial, que Indovina (1998) llama </w:t>
      </w:r>
      <w:r>
        <w:rPr>
          <w:i/>
        </w:rPr>
        <w:t>calles mercado </w:t>
      </w:r>
      <w:r>
        <w:rPr/>
        <w:t>a lo largo de las mismas aún se observan rupturas del paisaje con trozos de campo o villas. El Véneto se constituye de formas no urbanas (campo) y urbanas, la diferencia está en base a los factores cuantitativos (cantidad) y cualitativos (calidad), por ello se miden la infraestructura, las condiciones de servicios en residencia que proporcionan fortalezas para el uso del suelo y las relaciones con espacios urbanos. La región italiana del Veneto se estructura por sus dos fuerzas, de difusión y aglomeración al tener una estructura socioeconómica que transforma la estructura productiva tienen economías con pequeñas empresas que aumentan las demandas de infraestructura reubicando a la población por los costos, ya que lo difuso es el espacio que satisface sus necesidades a menores costos</w:t>
      </w:r>
      <w:r>
        <w:rPr>
          <w:spacing w:val="-17"/>
        </w:rPr>
        <w:t> </w:t>
      </w:r>
      <w:r>
        <w:rPr/>
        <w:t>.</w:t>
      </w:r>
    </w:p>
    <w:p>
      <w:pPr>
        <w:pStyle w:val="BodyText"/>
        <w:spacing w:before="7"/>
      </w:pPr>
    </w:p>
    <w:p>
      <w:pPr>
        <w:pStyle w:val="BodyText"/>
        <w:spacing w:line="360" w:lineRule="auto"/>
        <w:ind w:left="102" w:right="115"/>
        <w:jc w:val="both"/>
      </w:pPr>
      <w:r>
        <w:rPr/>
        <w:t>La fase de difusión cambia a la connotación de la ciudad difusa donde la dotación de servicios para la producción contribuye a la relocalización productiva y la dinámica positiva de las empresas locales, que se van incrementando integrando servicios públicos en consistencia a la población difusa. La estructura organizativa de la ciudad difusa es espontanea sin planificación, hay una visión local, se conforma por diversas unidades locales, presenta consumo de suelo de baja densidad e intensidad, se configura en base a la movilidad con consumo hiper energético incrementando la contaminación el uso del transporte colectivo, se  limita</w:t>
      </w:r>
      <w:r>
        <w:rPr>
          <w:spacing w:val="31"/>
        </w:rPr>
        <w:t> </w:t>
      </w:r>
      <w:r>
        <w:rPr/>
        <w:t>y</w:t>
      </w:r>
      <w:r>
        <w:rPr>
          <w:spacing w:val="29"/>
        </w:rPr>
        <w:t> </w:t>
      </w:r>
      <w:r>
        <w:rPr/>
        <w:t>privilegia</w:t>
      </w:r>
      <w:r>
        <w:rPr>
          <w:spacing w:val="31"/>
        </w:rPr>
        <w:t> </w:t>
      </w:r>
      <w:r>
        <w:rPr/>
        <w:t>el</w:t>
      </w:r>
      <w:r>
        <w:rPr>
          <w:spacing w:val="30"/>
        </w:rPr>
        <w:t> </w:t>
      </w:r>
      <w:r>
        <w:rPr/>
        <w:t>automóvil</w:t>
      </w:r>
      <w:r>
        <w:rPr>
          <w:spacing w:val="30"/>
        </w:rPr>
        <w:t> </w:t>
      </w:r>
      <w:r>
        <w:rPr/>
        <w:t>particular</w:t>
      </w:r>
      <w:r>
        <w:rPr>
          <w:spacing w:val="30"/>
        </w:rPr>
        <w:t> </w:t>
      </w:r>
      <w:r>
        <w:rPr/>
        <w:t>donde</w:t>
      </w:r>
      <w:r>
        <w:rPr>
          <w:spacing w:val="31"/>
        </w:rPr>
        <w:t> </w:t>
      </w:r>
      <w:r>
        <w:rPr/>
        <w:t>la</w:t>
      </w:r>
      <w:r>
        <w:rPr>
          <w:spacing w:val="31"/>
        </w:rPr>
        <w:t> </w:t>
      </w:r>
      <w:r>
        <w:rPr/>
        <w:t>difusión</w:t>
      </w:r>
      <w:r>
        <w:rPr>
          <w:spacing w:val="32"/>
        </w:rPr>
        <w:t> </w:t>
      </w:r>
      <w:r>
        <w:rPr/>
        <w:t>genera</w:t>
      </w:r>
      <w:r>
        <w:rPr>
          <w:spacing w:val="31"/>
        </w:rPr>
        <w:t> </w:t>
      </w:r>
      <w:r>
        <w:rPr/>
        <w:t>movimientos</w:t>
      </w:r>
      <w:r>
        <w:rPr>
          <w:spacing w:val="31"/>
        </w:rPr>
        <w:t> </w:t>
      </w:r>
      <w:r>
        <w:rPr/>
        <w:t>y</w:t>
      </w:r>
    </w:p>
    <w:p>
      <w:pPr>
        <w:spacing w:after="0" w:line="360" w:lineRule="auto"/>
        <w:jc w:val="both"/>
        <w:sectPr>
          <w:pgSz w:w="12240" w:h="15840"/>
          <w:pgMar w:header="0" w:footer="659" w:top="1360" w:bottom="840" w:left="1600" w:right="1580"/>
        </w:sectPr>
      </w:pPr>
    </w:p>
    <w:p>
      <w:pPr>
        <w:pStyle w:val="BodyText"/>
        <w:spacing w:line="360" w:lineRule="auto" w:before="54"/>
        <w:ind w:left="102" w:right="124"/>
        <w:jc w:val="both"/>
      </w:pPr>
      <w:r>
        <w:rPr/>
        <w:t>desplazamientos multidireccionales con infraestructura extendida y de baja calidad lo que implica altos costos, en los servicios e infraestructura (Indovina, 1998).</w:t>
      </w:r>
    </w:p>
    <w:p>
      <w:pPr>
        <w:pStyle w:val="BodyText"/>
        <w:spacing w:before="7"/>
      </w:pPr>
    </w:p>
    <w:p>
      <w:pPr>
        <w:pStyle w:val="BodyText"/>
        <w:spacing w:line="360" w:lineRule="auto"/>
        <w:ind w:left="102" w:right="115"/>
        <w:jc w:val="both"/>
      </w:pPr>
      <w:r>
        <w:rPr/>
        <w:t>En el siglo XX, Los Ángeles en California, presentaba una dinámica de interacción continua entre fuerzas centrifugas y centrípetas provenientes de la ciudad central que reconfiguraba la morfología regional de la metrópolis, proceso que Soja (2008) denominó postmetrópolis, en donde las especificaciones de forma, función, comportamiento, derivadas de la globalización y la producción postfordista, observadas en el territorio expresa crecimiento de ciudades exteriores, donde descentralización y centralización ocurren simultáneamente en el paisaje metropolitano desvaneciendo el mono centralismo (al nodo gravitacional), presentado crecimiento en plano discontinuo y desagregado, llamado crecimiento exopolitano, todo ello lleva a la transformación de la metrópolis a la  postmetrópolis, de ciudad a mega</w:t>
      </w:r>
      <w:r>
        <w:rPr>
          <w:spacing w:val="-18"/>
        </w:rPr>
        <w:t> </w:t>
      </w:r>
      <w:r>
        <w:rPr/>
        <w:t>ciudad.</w:t>
      </w:r>
    </w:p>
    <w:p>
      <w:pPr>
        <w:pStyle w:val="BodyText"/>
        <w:spacing w:before="7"/>
      </w:pPr>
    </w:p>
    <w:p>
      <w:pPr>
        <w:pStyle w:val="BodyText"/>
        <w:spacing w:line="360" w:lineRule="auto"/>
        <w:ind w:left="102" w:right="116"/>
        <w:jc w:val="both"/>
      </w:pPr>
      <w:r>
        <w:rPr/>
        <w:t>La postmetrópolis explicaba las diferencias entre la región urbana y la nueva configuración de la metrópolis de Los Ángeles, para ello agrega el prefijo post y de acuerdo con Soja, se constituye de los siguientes elementos: lo que conciernen a la restructuración económica se llaman flexcity </w:t>
      </w:r>
      <w:r>
        <w:rPr>
          <w:i/>
        </w:rPr>
        <w:t>son parte, </w:t>
      </w:r>
      <w:r>
        <w:rPr/>
        <w:t>la metrópolis industrial posfordista; los que incluyen trabajo, cultura y nueva jerarquía de las ciudades globales son cosmopolis que son resultado de la globalización de la capital; la reestructuración urbana, el crecimiento de las ciudades dentro y fuera de la metrópolis lo nombra exópolis</w:t>
      </w:r>
      <w:r>
        <w:rPr>
          <w:i/>
        </w:rPr>
        <w:t>; </w:t>
      </w:r>
      <w:r>
        <w:rPr/>
        <w:t>a las nuevas polaridades desde lo social las llama metropolaridades; otro de los elementos son los archipiélagos los cuales contienen a las ciudades protegidas o con vigilancia, también contienen las simcities que son lugares que tratan de simular algo que no existe, por lo que se vuelve una mezcla entre lo real e imaginario (Cfr. Martin, 2004: 93-94).</w:t>
      </w:r>
    </w:p>
    <w:p>
      <w:pPr>
        <w:pStyle w:val="BodyText"/>
        <w:spacing w:before="10"/>
      </w:pPr>
    </w:p>
    <w:p>
      <w:pPr>
        <w:pStyle w:val="BodyText"/>
        <w:spacing w:line="360" w:lineRule="auto"/>
        <w:ind w:left="102" w:right="121"/>
        <w:jc w:val="both"/>
      </w:pPr>
      <w:r>
        <w:rPr/>
        <w:t>En suma, el espacio metropolitano y regional, son el espacio de la economía, los procesos económicos conducen las transformaciones de la estructura interna de la metrópolis y de la estructura territorial, cada modelo introduce directrices de funcionamiento  del  capital  y de  la  localización  de  factores  y recursos,  para</w:t>
      </w:r>
      <w:r>
        <w:rPr>
          <w:spacing w:val="59"/>
        </w:rPr>
        <w:t> </w:t>
      </w:r>
      <w:r>
        <w:rPr/>
        <w:t>la</w:t>
      </w:r>
    </w:p>
    <w:p>
      <w:pPr>
        <w:spacing w:after="0" w:line="360" w:lineRule="auto"/>
        <w:jc w:val="both"/>
        <w:sectPr>
          <w:pgSz w:w="12240" w:h="15840"/>
          <w:pgMar w:header="0" w:footer="659" w:top="1360" w:bottom="840" w:left="1600" w:right="1580"/>
        </w:sectPr>
      </w:pPr>
    </w:p>
    <w:p>
      <w:pPr>
        <w:pStyle w:val="BodyText"/>
        <w:spacing w:line="360" w:lineRule="auto" w:before="54"/>
        <w:ind w:left="102" w:right="116"/>
        <w:jc w:val="both"/>
      </w:pPr>
      <w:r>
        <w:rPr/>
        <w:t>obtención de beneficios. Aunque se encuentran los patrones sociales y culturales que también tienen su propia organización y reorganización. De igual manera, los aspectos políticos que generalmente acompañan a los económicos y sociales. La economía, la política y lo cultural han cambiado y ello tiene su expresión en el espacio metropolitano.</w:t>
      </w:r>
    </w:p>
    <w:p>
      <w:pPr>
        <w:pStyle w:val="BodyText"/>
        <w:spacing w:before="6"/>
      </w:pPr>
    </w:p>
    <w:p>
      <w:pPr>
        <w:pStyle w:val="Heading4"/>
        <w:numPr>
          <w:ilvl w:val="1"/>
          <w:numId w:val="2"/>
        </w:numPr>
        <w:tabs>
          <w:tab w:pos="649" w:val="left" w:leader="none"/>
        </w:tabs>
        <w:spacing w:line="240" w:lineRule="auto" w:before="0" w:after="0"/>
        <w:ind w:left="648" w:right="0" w:hanging="546"/>
        <w:jc w:val="both"/>
      </w:pPr>
      <w:r>
        <w:rPr/>
        <w:t>Casos de reorganización de zonas y regiones</w:t>
      </w:r>
      <w:r>
        <w:rPr>
          <w:spacing w:val="-30"/>
        </w:rPr>
        <w:t> </w:t>
      </w:r>
      <w:r>
        <w:rPr/>
        <w:t>urbanas</w:t>
      </w:r>
    </w:p>
    <w:p>
      <w:pPr>
        <w:pStyle w:val="BodyText"/>
        <w:spacing w:before="5"/>
        <w:rPr>
          <w:b/>
          <w:sz w:val="38"/>
        </w:rPr>
      </w:pPr>
    </w:p>
    <w:p>
      <w:pPr>
        <w:pStyle w:val="BodyText"/>
        <w:spacing w:line="360" w:lineRule="auto"/>
        <w:ind w:left="102" w:right="118"/>
        <w:jc w:val="both"/>
      </w:pPr>
      <w:r>
        <w:rPr/>
        <w:t>De acuerdo con Entrena (2005), Francia, Inglaterra, Alemania y España son territorios que presentan urbanización dispersa la cual ha tenido un proceso evolutivo que lleva a la casi invisible distinción de fronteras, físicas económicas, culturales y sociales, además de considerar políticas ambientales de ordenamiento territorial, las cuales brindan solución funcional, técnica e institucional democrática y de consenso social. En el caso español los espacios rurales que perdían población, se transforman convirtiéndose en los que ahora presentan movimientos migratorios hacia ellos. Los cambios en el perirurbano desvalorizan las actividades económicas, incrementan la demanda de suelo para uso urbano (residencia, equipamiento, infraestructura y servicios), en este aspecto, Alemania y España  son los que presentan crecimiento descontrolado de la urbanización en grandes proporciones. Mientras que la desconcentración económica, se observa que la inversión es la que menos se distribuye, se presenta en contados</w:t>
      </w:r>
      <w:r>
        <w:rPr>
          <w:spacing w:val="-23"/>
        </w:rPr>
        <w:t> </w:t>
      </w:r>
      <w:r>
        <w:rPr/>
        <w:t>casos.</w:t>
      </w:r>
    </w:p>
    <w:p>
      <w:pPr>
        <w:pStyle w:val="BodyText"/>
        <w:spacing w:before="7"/>
      </w:pPr>
    </w:p>
    <w:p>
      <w:pPr>
        <w:pStyle w:val="BodyText"/>
        <w:spacing w:line="360" w:lineRule="auto"/>
        <w:ind w:left="102" w:right="115"/>
        <w:jc w:val="both"/>
      </w:pPr>
      <w:r>
        <w:rPr/>
        <w:t>Continuando con Entrena (2005), las ciudades centrales de estos cuatro países son nodos importantes, al concentrar y generar empleos al igual que en los cinturones suburbanos inmediatos, mientras que el área periurbana oferta pocos empleos ajenos al sector agrícola, con expansión principalmente residencial por los costos y disminución del empleo en el sector agrícola, los conflictos son la desigualdad social, alta movilidad motorizada, congestionamientos, deficiencia en los servicios públicos no satisfacen debido a que el patrón de los servicios es descentralizado, o sea tienden a concentrarse en las ciudades centrales y a decrecer en las zonas</w:t>
      </w:r>
      <w:r>
        <w:rPr>
          <w:spacing w:val="-10"/>
        </w:rPr>
        <w:t> </w:t>
      </w:r>
      <w:r>
        <w:rPr/>
        <w:t>rurales.</w:t>
      </w:r>
    </w:p>
    <w:p>
      <w:pPr>
        <w:spacing w:after="0" w:line="360" w:lineRule="auto"/>
        <w:jc w:val="both"/>
        <w:sectPr>
          <w:pgSz w:w="12240" w:h="15840"/>
          <w:pgMar w:header="0" w:footer="659" w:top="1360" w:bottom="840" w:left="1600" w:right="1580"/>
        </w:sectPr>
      </w:pPr>
    </w:p>
    <w:p>
      <w:pPr>
        <w:pStyle w:val="BodyText"/>
        <w:spacing w:line="360" w:lineRule="auto" w:before="54"/>
        <w:ind w:left="102" w:right="117"/>
        <w:jc w:val="both"/>
      </w:pPr>
      <w:r>
        <w:rPr/>
        <w:t>Por su parte, Nogués y Salas (2009) analizan Cantabria en España que ha presentado, la transformación de su territorio con la sustitución y mezcla de espacios agrarios con urbanos, en los que predominan zonas residenciales, la cuales están distantes de los centros de trabajo, equipamiento y servicios, con zonas de uso comercial únicamente y áreas de polígonos industriales, presentan baja densidad y déficit de conectividad entre </w:t>
      </w:r>
      <w:r>
        <w:rPr>
          <w:spacing w:val="2"/>
        </w:rPr>
        <w:t>las </w:t>
      </w:r>
      <w:r>
        <w:rPr/>
        <w:t>urbanizaciones lo que propició que la franja del litoral tuviera polarización tanto demográfica como productiva y con ello desequilibrios en la región entre las cuales está la prestación de servicios en la red de núcleos intermedios, los cuales no son capaces de satisfacer todas las</w:t>
      </w:r>
      <w:r>
        <w:rPr>
          <w:spacing w:val="-5"/>
        </w:rPr>
        <w:t> </w:t>
      </w:r>
      <w:r>
        <w:rPr/>
        <w:t>necesidades.</w:t>
      </w:r>
    </w:p>
    <w:p>
      <w:pPr>
        <w:pStyle w:val="BodyText"/>
        <w:spacing w:before="7"/>
      </w:pPr>
    </w:p>
    <w:p>
      <w:pPr>
        <w:pStyle w:val="BodyText"/>
        <w:spacing w:line="360" w:lineRule="auto"/>
        <w:ind w:left="102" w:right="115"/>
        <w:jc w:val="both"/>
      </w:pPr>
      <w:r>
        <w:rPr/>
        <w:t>También, Otero y Gómez, (2007: 264) hacen un análisis de la realidad urbana actual de Galicia, España, consideran: A Coruña, Ferro, Lugo, Ourense, Pontevedra, Santiago de Compostela y Vigo, miden el crecimiento de población y cálculo de tasa de 1970 al 2001, en este caso, presenta decrecimientos, en Ferrol desde 1981- 1991, que mejoraron un poco de 1991-2001 de -5.5 a 3.3, pero en general el comportamiento tiende a disminuir el ritmo, debido a la situación de la industria, que decrece en A Coruña en la última década, otros casos registran debilitamiento de las ciudades compactas tradicionales por las migraciones centrifugas. La dispersión de la población, se mide comparando poblaciones compactas contra diseminadas, las cuales son núcleos con menos de 10 habitantes, estos resultan importantes porque han sido los espacios externos alejados del centro hacia donde se ha desconcentrado la población, con  un paisaje de tejido rural, de industria que dieron lugar a la difusión. Para medir la desconcentración urbana, Otero y Gómez (2007) proponen el índice de “dinamicidad socioeconómica y funcional” consideran tres agrupaciones con base a los criterios de 1) homogeneidad, 2) interdependencia para las variables de relación funcional, laboral y de migración, en el tercero de coherencia teórica y 3) el nivel educativo junto con los movimientos poblacionales vistos como  atractividad. El resultado identificó cinco regiones funcionales urbanas: 3 consolidadas, cada región tiene sus polos metropolitanos, un subpolo en un primer cinturón y un segundo cinturón</w:t>
      </w:r>
      <w:r>
        <w:rPr>
          <w:spacing w:val="-14"/>
        </w:rPr>
        <w:t> </w:t>
      </w:r>
      <w:r>
        <w:rPr/>
        <w:t>metropolitano.</w:t>
      </w:r>
    </w:p>
    <w:p>
      <w:pPr>
        <w:spacing w:after="0" w:line="360" w:lineRule="auto"/>
        <w:jc w:val="both"/>
        <w:sectPr>
          <w:pgSz w:w="12240" w:h="15840"/>
          <w:pgMar w:header="0" w:footer="659" w:top="1360" w:bottom="840" w:left="1600" w:right="1580"/>
        </w:sectPr>
      </w:pPr>
    </w:p>
    <w:p>
      <w:pPr>
        <w:pStyle w:val="BodyText"/>
        <w:spacing w:line="360" w:lineRule="auto" w:before="54"/>
        <w:ind w:left="102" w:right="117"/>
        <w:jc w:val="both"/>
      </w:pPr>
      <w:r>
        <w:rPr/>
        <w:t>El proceso urbano, en el caso Español, dicen Trullen y Boix (2006) se solapan  bajo un crecimiento por dispersión (fruto de la extensión de formas residenciales con predominio de viviendas aisladas y de modelos productivos basados en industrias de escasa dimensión) y crecimiento por polarización (fruto de la implantación de nuevos establecimientos productivos de gran dimensión o de grandes equipamientos públicos o privados). Sobre la poli centralidad europea, los autores comentan, que en contraste con la norteamericana tiene como antecedente la previa existencia de ciudades cercanas con cifras significativas de población y actividad, siendo Barcelona la que ejemplifica con su organización interna, además del conjunto de ciudades (policentralidad) y los subcentros que se entrelazan, conformando redes de ciudades y el sistema</w:t>
      </w:r>
      <w:r>
        <w:rPr>
          <w:spacing w:val="-25"/>
        </w:rPr>
        <w:t> </w:t>
      </w:r>
      <w:r>
        <w:rPr/>
        <w:t>urbano.</w:t>
      </w:r>
    </w:p>
    <w:p>
      <w:pPr>
        <w:pStyle w:val="BodyText"/>
        <w:spacing w:before="7"/>
      </w:pPr>
    </w:p>
    <w:p>
      <w:pPr>
        <w:pStyle w:val="BodyText"/>
        <w:spacing w:line="360" w:lineRule="auto"/>
        <w:ind w:left="102" w:right="115"/>
        <w:jc w:val="both"/>
      </w:pPr>
      <w:r>
        <w:rPr/>
        <w:t>El análisis de los procesos en la metrópolis europeos se mide con la movilidad residencial, al considerar que los movimientos de población son fundamentales en los procesos de dispersión urbana y en la formación de las nuevas estructuras territoriales en las regiones metropolitanas. En la Región Metropolitana de Barcelona (RMB), la expansión se debe al crecimiento de la vivienda en las periferias de baja densidad, aunque a Barcelona le precede formas urbanas compactas, que se transforman con la suburbanización. El estudio </w:t>
      </w:r>
      <w:r>
        <w:rPr>
          <w:spacing w:val="5"/>
        </w:rPr>
        <w:t>de </w:t>
      </w:r>
      <w:r>
        <w:rPr/>
        <w:t>los movimientos migratorios; emigración e inmigración de población municipal por tamaño de población, a una distancia con respecto de la ciudad central, medido en km, y ello se organiza en matriz origen destino. Para analizar la situación de movilidad se divide la RMB en la parte central dominante, luego la zona que rodea o área conurbada de alta densidad, y luego el sistema de polaridades de ciudades medias. En ellas influyen los movimientos de la población que reconfiguran el espacio hacia el proceso de madurez, pues las ciudades más grandes tienen una relación entre el tamaño y pérdida de población (a mayor tamaño mayor pérdida  de población), pero también se presenta recuperación de crecimiento central por ello se dice que el modelo de jerarquía invertida se ha consolidado (Pujadas,  2009:</w:t>
      </w:r>
      <w:r>
        <w:rPr>
          <w:spacing w:val="-5"/>
        </w:rPr>
        <w:t> </w:t>
      </w:r>
      <w:r>
        <w:rPr/>
        <w:t>3p).</w:t>
      </w:r>
    </w:p>
    <w:p>
      <w:pPr>
        <w:spacing w:after="0" w:line="360" w:lineRule="auto"/>
        <w:jc w:val="both"/>
        <w:sectPr>
          <w:pgSz w:w="12240" w:h="15840"/>
          <w:pgMar w:header="0" w:footer="659" w:top="1360" w:bottom="840" w:left="1600" w:right="1580"/>
        </w:sectPr>
      </w:pPr>
    </w:p>
    <w:p>
      <w:pPr>
        <w:pStyle w:val="BodyText"/>
        <w:spacing w:line="360" w:lineRule="auto" w:before="54"/>
        <w:ind w:left="102" w:right="116"/>
        <w:jc w:val="both"/>
      </w:pPr>
      <w:r>
        <w:rPr/>
        <w:t>Feria (2010: 193-195) en su estudio de las áreas metropolitana españolas, considera que la variable indispensable para delimitar la zona metropolitana son los desplazamientos de la población (residencia-trabajo), al describir la relación espacial de la misma se explica la organización y estructura metropolitana. Se apoya en información de movilidad y tamaño de asentamientos, considera como mínimo 100 000 o 50 000 habitantes, el umbral de integración entre 15% y 20% de movilidad, el mínimo en absoluto considera 100 trabajadores. Con ello calculó algoritmos de salidas, de entradas a los municipios de adscripción que se consideran potenciales por mantener relaciones de entrada 15% o salida 20% con el municipio central. El universo son 46 áreas metropolitanas españolas, el resultado destaca que el sistema urbano español se caracteriza por bicefalia en consolidación continua, (Madrid, con 174 municipios 5,626,160 habitantes y 2  576</w:t>
      </w:r>
    </w:p>
    <w:p>
      <w:pPr>
        <w:pStyle w:val="BodyText"/>
        <w:spacing w:line="360" w:lineRule="auto" w:before="2"/>
        <w:ind w:left="102" w:right="118"/>
        <w:jc w:val="both"/>
      </w:pPr>
      <w:r>
        <w:rPr/>
        <w:t>538 viviendas y, Barcelona, 131 municipios con una población de 4 404 599 y un total de 2,104,255 viviendas) cifras que las posicionan como “metrópolis de rango continental” otra categoría es “metrópolis nacional” corresponde a aquellas con más de un millón de habitantes, la tercera categoría, con 6 áreas metropolitanas con una población superior al medio millón son las ciudades de “rango regional”, el dinamismo de los procesos metropolitanos y urbanos va decreciendo y debilitándose según el tamaño de la ciudad central.</w:t>
      </w:r>
    </w:p>
    <w:p>
      <w:pPr>
        <w:pStyle w:val="BodyText"/>
        <w:spacing w:before="7"/>
      </w:pPr>
    </w:p>
    <w:p>
      <w:pPr>
        <w:pStyle w:val="BodyText"/>
        <w:spacing w:line="360" w:lineRule="auto"/>
        <w:ind w:left="102" w:right="117"/>
        <w:jc w:val="both"/>
      </w:pPr>
      <w:r>
        <w:rPr/>
        <w:t>La intensidad de los movimientos, según Feria (2010) identifican la evolución y madurez de las estructuras metropolitanas, dividas en: 1) áreas metropolitanas incipientes con movilidad todavía débil y sin patrón dominante: el registro de movimientos residencia-empleo es bajo o nulo o que en el mismo municipio se contiene la expansión y suburbanización residencial y laboral. 2) áreas metropolitanas en proceso de conformación: la intensidad de sus flujos laborales superan el millón, acompañada de baja movilidad residencial. 3) áreas metropolitanas consolidadas con mercados de trabajo y vivienda: los desplazamientos laborales y de residencia se presentan en los modelos polinucleares o en red entre la ciudad central y sus coronas; 4) áreas metropolitanas maduras y estructuralmente complejas: intensidad y diversificación de  la  movilidad  (residencia-  trabajo  y  de  la  residencia)  con  sub  mercados de</w:t>
      </w:r>
    </w:p>
    <w:p>
      <w:pPr>
        <w:spacing w:after="0" w:line="360" w:lineRule="auto"/>
        <w:jc w:val="both"/>
        <w:sectPr>
          <w:pgSz w:w="12240" w:h="15840"/>
          <w:pgMar w:header="0" w:footer="659" w:top="1360" w:bottom="840" w:left="1600" w:right="1580"/>
        </w:sectPr>
      </w:pPr>
    </w:p>
    <w:p>
      <w:pPr>
        <w:pStyle w:val="BodyText"/>
        <w:spacing w:line="360" w:lineRule="auto" w:before="54"/>
        <w:ind w:left="102" w:right="118"/>
        <w:jc w:val="both"/>
      </w:pPr>
      <w:r>
        <w:rPr/>
        <w:t>trabajo y/o vivienda, en esta categoría se registran las áreas metropolitanas de Valencia, Sevilla y Bilbao corroborando ser las consolidadas y en una etapa de maduración. Los movimientos intermunicipales, son considerados el “instrumento para conocer la naturaleza estructura y organización” </w:t>
      </w:r>
      <w:r>
        <w:rPr>
          <w:i/>
        </w:rPr>
        <w:t>(</w:t>
      </w:r>
      <w:r>
        <w:rPr/>
        <w:t>Feria, 2010: 196) las variables demográficas permiten un “análisis básico de organización  metropolitana” describe el crecimiento de la ciudad central y sus coronas, pero se complementa con los procesos (movilidad residencia-trabajo y movilidad residencial) quedando definida el área central como mercado de trabajo y las coronas como mercado de</w:t>
      </w:r>
      <w:r>
        <w:rPr>
          <w:spacing w:val="-14"/>
        </w:rPr>
        <w:t> </w:t>
      </w:r>
      <w:r>
        <w:rPr/>
        <w:t>vivienda.</w:t>
      </w:r>
    </w:p>
    <w:p>
      <w:pPr>
        <w:pStyle w:val="BodyText"/>
        <w:spacing w:before="6"/>
      </w:pPr>
    </w:p>
    <w:p>
      <w:pPr>
        <w:pStyle w:val="Heading4"/>
        <w:numPr>
          <w:ilvl w:val="1"/>
          <w:numId w:val="2"/>
        </w:numPr>
        <w:tabs>
          <w:tab w:pos="906" w:val="left" w:leader="none"/>
        </w:tabs>
        <w:spacing w:line="360" w:lineRule="auto" w:before="0" w:after="0"/>
        <w:ind w:left="102" w:right="118" w:firstLine="0"/>
        <w:jc w:val="both"/>
      </w:pPr>
      <w:r>
        <w:rPr/>
        <w:t>Conclusión. La metodología de la desurbanización metropolitana.</w:t>
      </w:r>
    </w:p>
    <w:p>
      <w:pPr>
        <w:pStyle w:val="BodyText"/>
        <w:spacing w:before="1"/>
        <w:rPr>
          <w:b/>
          <w:sz w:val="25"/>
        </w:rPr>
      </w:pPr>
    </w:p>
    <w:p>
      <w:pPr>
        <w:pStyle w:val="BodyText"/>
        <w:spacing w:line="360" w:lineRule="auto"/>
        <w:ind w:left="102" w:right="113"/>
        <w:jc w:val="both"/>
      </w:pPr>
      <w:r>
        <w:rPr/>
        <w:t>Recuperando los factores explicativos, se identifican variables y procedimientos estadísticos considerados en los casos de estudio arriba presentados, Se han presentados aquellos que miden concentración, suburbanización, urbanización dispersa, descentralización urbana, desurbanización, dispersión urbana y policentralidad (Cuadro 1).</w:t>
      </w:r>
    </w:p>
    <w:p>
      <w:pPr>
        <w:pStyle w:val="BodyText"/>
        <w:spacing w:before="7"/>
      </w:pPr>
    </w:p>
    <w:p>
      <w:pPr>
        <w:pStyle w:val="BodyText"/>
        <w:spacing w:line="360" w:lineRule="auto"/>
        <w:ind w:left="102" w:right="115"/>
        <w:jc w:val="both"/>
      </w:pPr>
      <w:r>
        <w:rPr/>
        <w:t>Se recoge, de los casos de estudios, que en el análisis de las transformaciones hacia la desurbanización de la ciudad deben considerarse factores (económicos, sociales y territoriales). Otra de las condiciones que debe precisarse es el lugar hacia dónde se desconcentran los procesos urbanos, lo cual permite precisar la fase de crecimiento urbano (p.e urbanización, suburbanización o  desurbanización), ejemplo de ello es lo que han sugerido y aplicado Otero y Gómez (2007) quienes hacen la división de su zona de estudio en a)  ciudad central (polo), b) primer cinturón (sub polo) y c) un segundo cinturón, reforzando esta división con el aporte de García y Muñiz (2007) quienes dividen la ciudad de Barcelona en i) ciudad central, ii) primera corona y iii) segunda corona metropolitana. Es decir, se identifican en las estratégicas espaciales analíticas,  que    para  argumentar  los  procesos  y  patrones  del  espacio  metropolitano </w:t>
      </w:r>
      <w:r>
        <w:rPr>
          <w:spacing w:val="49"/>
        </w:rPr>
        <w:t> </w:t>
      </w:r>
      <w:r>
        <w:rPr/>
        <w:t>es</w:t>
      </w:r>
    </w:p>
    <w:p>
      <w:pPr>
        <w:spacing w:after="0" w:line="360" w:lineRule="auto"/>
        <w:jc w:val="both"/>
        <w:sectPr>
          <w:footerReference w:type="default" r:id="rId22"/>
          <w:pgSz w:w="12240" w:h="15840"/>
          <w:pgMar w:footer="659" w:header="0" w:top="1360" w:bottom="840" w:left="1600" w:right="1580"/>
        </w:sectPr>
      </w:pPr>
    </w:p>
    <w:p>
      <w:pPr>
        <w:pStyle w:val="BodyText"/>
        <w:spacing w:line="360" w:lineRule="auto" w:before="54"/>
        <w:ind w:left="242" w:right="400"/>
      </w:pPr>
      <w:r>
        <w:rPr/>
        <w:t>necesario hacer una subdivisión del mismo en tres espacios, (anillos o coronas), lo cual tiene congruencia con las teorías de la evolución.</w:t>
      </w:r>
    </w:p>
    <w:p>
      <w:pPr>
        <w:tabs>
          <w:tab w:pos="2051" w:val="left" w:leader="none"/>
          <w:tab w:pos="3892" w:val="left" w:leader="none"/>
          <w:tab w:pos="6730" w:val="left" w:leader="none"/>
        </w:tabs>
        <w:spacing w:line="410" w:lineRule="atLeast" w:before="102"/>
        <w:ind w:left="242" w:right="1916" w:firstLine="1598"/>
        <w:jc w:val="left"/>
        <w:rPr>
          <w:sz w:val="20"/>
        </w:rPr>
      </w:pPr>
      <w:r>
        <w:rPr/>
        <w:pict>
          <v:group style="position:absolute;margin-left:79.454002pt;margin-top:34.630859pt;width:459.6pt;height:.5pt;mso-position-horizontal-relative:page;mso-position-vertical-relative:paragraph;z-index:-301312" coordorigin="1589,693" coordsize="9192,10">
            <v:line style="position:absolute" from="1594,698" to="3404,698" stroked="true" strokeweight=".48pt" strokecolor="#000000"/>
            <v:line style="position:absolute" from="3404,698" to="3413,698" stroked="true" strokeweight=".48pt" strokecolor="#000000"/>
            <v:line style="position:absolute" from="3413,698" to="5247,698" stroked="true" strokeweight=".48pt" strokecolor="#000000"/>
            <v:line style="position:absolute" from="5247,698" to="5257,698" stroked="true" strokeweight=".48pt" strokecolor="#000000"/>
            <v:line style="position:absolute" from="5257,698" to="8082,698" stroked="true" strokeweight=".48pt" strokecolor="#000000"/>
            <v:line style="position:absolute" from="8082,698" to="8092,698" stroked="true" strokeweight=".48pt" strokecolor="#000000"/>
            <v:line style="position:absolute" from="8092,698" to="10775,698" stroked="true" strokeweight=".48pt" strokecolor="#000000"/>
            <w10:wrap type="none"/>
          </v:group>
        </w:pict>
      </w:r>
      <w:r>
        <w:rPr/>
        <w:pict>
          <v:group style="position:absolute;margin-left:79.454002pt;margin-top:46.630859pt;width:459.6pt;height:.5pt;mso-position-horizontal-relative:page;mso-position-vertical-relative:paragraph;z-index:-301288" coordorigin="1589,933" coordsize="9192,10">
            <v:line style="position:absolute" from="1594,938" to="3404,938" stroked="true" strokeweight=".48pt" strokecolor="#000000"/>
            <v:line style="position:absolute" from="3404,938" to="3413,938" stroked="true" strokeweight=".48pt" strokecolor="#000000"/>
            <v:line style="position:absolute" from="3413,938" to="5247,938" stroked="true" strokeweight=".48pt" strokecolor="#000000"/>
            <v:line style="position:absolute" from="5247,938" to="5257,938" stroked="true" strokeweight=".48pt" strokecolor="#000000"/>
            <v:line style="position:absolute" from="5257,938" to="8082,938" stroked="true" strokeweight=".48pt" strokecolor="#000000"/>
            <v:line style="position:absolute" from="8082,938" to="8092,938" stroked="true" strokeweight=".48pt" strokecolor="#000000"/>
            <v:line style="position:absolute" from="8092,938" to="10775,938" stroked="true" strokeweight=".48pt" strokecolor="#000000"/>
            <w10:wrap type="none"/>
          </v:group>
        </w:pict>
      </w:r>
      <w:r>
        <w:rPr>
          <w:sz w:val="20"/>
        </w:rPr>
        <w:t>Cuadro 1. Casos de referencia de reorganización metropolitana Lugar</w:t>
      </w:r>
      <w:r>
        <w:rPr>
          <w:spacing w:val="-2"/>
          <w:sz w:val="20"/>
        </w:rPr>
        <w:t> </w:t>
      </w:r>
      <w:r>
        <w:rPr>
          <w:sz w:val="20"/>
        </w:rPr>
        <w:t>/</w:t>
      </w:r>
      <w:r>
        <w:rPr>
          <w:spacing w:val="-1"/>
          <w:sz w:val="20"/>
        </w:rPr>
        <w:t> </w:t>
      </w:r>
      <w:r>
        <w:rPr>
          <w:sz w:val="20"/>
        </w:rPr>
        <w:t>autor</w:t>
        <w:tab/>
        <w:t>Proceso</w:t>
        <w:tab/>
        <w:t>Cambios</w:t>
      </w:r>
      <w:r>
        <w:rPr>
          <w:spacing w:val="-2"/>
          <w:sz w:val="20"/>
        </w:rPr>
        <w:t> </w:t>
      </w:r>
      <w:r>
        <w:rPr>
          <w:sz w:val="20"/>
        </w:rPr>
        <w:t>/</w:t>
      </w:r>
      <w:r>
        <w:rPr>
          <w:spacing w:val="-3"/>
          <w:sz w:val="20"/>
        </w:rPr>
        <w:t> </w:t>
      </w:r>
      <w:r>
        <w:rPr>
          <w:sz w:val="20"/>
        </w:rPr>
        <w:t>dimensiones</w:t>
        <w:tab/>
      </w:r>
      <w:r>
        <w:rPr>
          <w:w w:val="95"/>
          <w:sz w:val="20"/>
        </w:rPr>
        <w:t>Variables</w:t>
      </w:r>
    </w:p>
    <w:p>
      <w:pPr>
        <w:spacing w:after="0" w:line="410" w:lineRule="atLeast"/>
        <w:jc w:val="left"/>
        <w:rPr>
          <w:sz w:val="20"/>
        </w:rPr>
        <w:sectPr>
          <w:footerReference w:type="default" r:id="rId23"/>
          <w:pgSz w:w="12240" w:h="15840"/>
          <w:pgMar w:footer="659" w:header="0" w:top="1360" w:bottom="840" w:left="1460" w:right="1300"/>
          <w:pgNumType w:start="51"/>
        </w:sectPr>
      </w:pPr>
    </w:p>
    <w:p>
      <w:pPr>
        <w:pStyle w:val="BodyText"/>
        <w:rPr>
          <w:sz w:val="20"/>
        </w:rPr>
      </w:pPr>
    </w:p>
    <w:p>
      <w:pPr>
        <w:pStyle w:val="BodyText"/>
        <w:rPr>
          <w:sz w:val="20"/>
        </w:rPr>
      </w:pPr>
    </w:p>
    <w:p>
      <w:pPr>
        <w:pStyle w:val="BodyText"/>
        <w:spacing w:before="11"/>
        <w:rPr>
          <w:sz w:val="20"/>
        </w:rPr>
      </w:pPr>
    </w:p>
    <w:p>
      <w:pPr>
        <w:spacing w:before="0"/>
        <w:ind w:left="242" w:right="-15" w:firstLine="0"/>
        <w:jc w:val="left"/>
        <w:rPr>
          <w:sz w:val="20"/>
        </w:rPr>
      </w:pPr>
      <w:r>
        <w:rPr>
          <w:sz w:val="20"/>
        </w:rPr>
        <w:t>Francia, Inglaterra, Alemania y España</w:t>
      </w:r>
      <w:r>
        <w:rPr>
          <w:spacing w:val="-7"/>
          <w:sz w:val="20"/>
        </w:rPr>
        <w:t> </w:t>
      </w:r>
      <w:r>
        <w:rPr>
          <w:sz w:val="20"/>
        </w:rPr>
        <w:t>(Entrena,</w:t>
      </w:r>
    </w:p>
    <w:p>
      <w:pPr>
        <w:spacing w:before="10"/>
        <w:ind w:left="215" w:right="0" w:firstLine="0"/>
        <w:jc w:val="left"/>
        <w:rPr>
          <w:sz w:val="20"/>
        </w:rPr>
      </w:pPr>
      <w:r>
        <w:rPr/>
        <w:br w:type="column"/>
      </w:r>
      <w:r>
        <w:rPr>
          <w:w w:val="95"/>
          <w:sz w:val="20"/>
        </w:rPr>
        <w:t>Urbanización </w:t>
      </w:r>
      <w:r>
        <w:rPr>
          <w:sz w:val="20"/>
        </w:rPr>
        <w:t>dispersa</w:t>
      </w:r>
    </w:p>
    <w:p>
      <w:pPr>
        <w:spacing w:before="10"/>
        <w:ind w:left="242" w:right="0" w:firstLine="0"/>
        <w:jc w:val="left"/>
        <w:rPr>
          <w:sz w:val="20"/>
        </w:rPr>
      </w:pPr>
      <w:r>
        <w:rPr/>
        <w:br w:type="column"/>
      </w:r>
      <w:r>
        <w:rPr>
          <w:sz w:val="20"/>
        </w:rPr>
        <w:t>Los espacios rurales adquieren atractividad.</w:t>
      </w:r>
    </w:p>
    <w:p>
      <w:pPr>
        <w:spacing w:before="0"/>
        <w:ind w:left="242" w:right="0" w:firstLine="0"/>
        <w:jc w:val="both"/>
        <w:rPr>
          <w:sz w:val="20"/>
        </w:rPr>
      </w:pPr>
      <w:r>
        <w:rPr>
          <w:sz w:val="20"/>
        </w:rPr>
        <w:t>En el periurbano</w:t>
      </w:r>
      <w:r>
        <w:rPr>
          <w:spacing w:val="-9"/>
          <w:sz w:val="20"/>
        </w:rPr>
        <w:t> </w:t>
      </w:r>
      <w:r>
        <w:rPr>
          <w:sz w:val="20"/>
        </w:rPr>
        <w:t>incrementa demanda de suelo para uso urbano.</w:t>
      </w:r>
    </w:p>
    <w:p>
      <w:pPr>
        <w:spacing w:before="10"/>
        <w:ind w:left="242" w:right="200" w:firstLine="0"/>
        <w:jc w:val="left"/>
        <w:rPr>
          <w:sz w:val="20"/>
        </w:rPr>
      </w:pPr>
      <w:r>
        <w:rPr/>
        <w:br w:type="column"/>
      </w:r>
      <w:r>
        <w:rPr>
          <w:sz w:val="20"/>
        </w:rPr>
        <w:t>Políticas ambientales de ordenamiento territorial. Desconcentración económica (inversión) Desconcentración residencial.</w:t>
      </w:r>
    </w:p>
    <w:p>
      <w:pPr>
        <w:spacing w:before="0"/>
        <w:ind w:left="242" w:right="200" w:firstLine="0"/>
        <w:jc w:val="left"/>
        <w:rPr>
          <w:sz w:val="20"/>
        </w:rPr>
      </w:pPr>
      <w:r>
        <w:rPr>
          <w:sz w:val="20"/>
        </w:rPr>
        <w:t>Movilidad motorizada.</w:t>
      </w:r>
    </w:p>
    <w:p>
      <w:pPr>
        <w:spacing w:after="0"/>
        <w:jc w:val="left"/>
        <w:rPr>
          <w:sz w:val="20"/>
        </w:rPr>
        <w:sectPr>
          <w:type w:val="continuous"/>
          <w:pgSz w:w="12240" w:h="15840"/>
          <w:pgMar w:top="1500" w:bottom="280" w:left="1460" w:right="1300"/>
          <w:cols w:num="4" w:equalWidth="0">
            <w:col w:w="1797" w:space="40"/>
            <w:col w:w="1380" w:space="435"/>
            <w:col w:w="2754" w:space="83"/>
            <w:col w:w="2991"/>
          </w:cols>
        </w:sectPr>
      </w:pPr>
    </w:p>
    <w:p>
      <w:pPr>
        <w:tabs>
          <w:tab w:pos="1943" w:val="left" w:leader="none"/>
          <w:tab w:pos="9365" w:val="left" w:leader="none"/>
        </w:tabs>
        <w:spacing w:before="0"/>
        <w:ind w:left="242" w:right="0" w:firstLine="0"/>
        <w:jc w:val="left"/>
        <w:rPr>
          <w:sz w:val="20"/>
        </w:rPr>
      </w:pPr>
      <w:r>
        <w:rPr>
          <w:sz w:val="20"/>
        </w:rPr>
        <w:t>2005)</w:t>
        <w:tab/>
      </w:r>
      <w:r>
        <w:rPr>
          <w:w w:val="99"/>
          <w:sz w:val="20"/>
          <w:u w:val="single"/>
        </w:rPr>
        <w:t> </w:t>
      </w:r>
      <w:r>
        <w:rPr>
          <w:sz w:val="20"/>
          <w:u w:val="single"/>
        </w:rPr>
        <w:tab/>
      </w:r>
    </w:p>
    <w:p>
      <w:pPr>
        <w:tabs>
          <w:tab w:pos="3892" w:val="left" w:leader="none"/>
          <w:tab w:pos="6730" w:val="left" w:leader="none"/>
        </w:tabs>
        <w:spacing w:before="10"/>
        <w:ind w:left="2051" w:right="0" w:firstLine="0"/>
        <w:jc w:val="left"/>
        <w:rPr>
          <w:sz w:val="20"/>
        </w:rPr>
      </w:pPr>
      <w:r>
        <w:rPr>
          <w:sz w:val="20"/>
        </w:rPr>
        <w:t>Concentración</w:t>
        <w:tab/>
        <w:t>Ciudades</w:t>
      </w:r>
      <w:r>
        <w:rPr>
          <w:spacing w:val="-2"/>
          <w:sz w:val="20"/>
        </w:rPr>
        <w:t> </w:t>
      </w:r>
      <w:r>
        <w:rPr>
          <w:sz w:val="20"/>
        </w:rPr>
        <w:t>centrales</w:t>
        <w:tab/>
        <w:t>Los empleos y</w:t>
      </w:r>
      <w:r>
        <w:rPr>
          <w:spacing w:val="-11"/>
          <w:sz w:val="20"/>
        </w:rPr>
        <w:t> </w:t>
      </w:r>
      <w:r>
        <w:rPr>
          <w:sz w:val="20"/>
        </w:rPr>
        <w:t>actividades</w:t>
      </w:r>
    </w:p>
    <w:p>
      <w:pPr>
        <w:pStyle w:val="BodyText"/>
        <w:spacing w:before="4"/>
        <w:rPr>
          <w:sz w:val="17"/>
        </w:rPr>
      </w:pPr>
    </w:p>
    <w:p>
      <w:pPr>
        <w:pStyle w:val="BodyText"/>
        <w:spacing w:line="20" w:lineRule="exact"/>
        <w:ind w:left="129"/>
        <w:rPr>
          <w:sz w:val="2"/>
        </w:rPr>
      </w:pPr>
      <w:r>
        <w:rPr>
          <w:sz w:val="2"/>
        </w:rPr>
        <w:pict>
          <v:group style="width:459.6pt;height:.5pt;mso-position-horizontal-relative:char;mso-position-vertical-relative:line" coordorigin="0,0" coordsize="9192,10">
            <v:line style="position:absolute" from="5,5" to="1815,5" stroked="true" strokeweight=".48001pt" strokecolor="#000000"/>
            <v:line style="position:absolute" from="1815,5" to="1824,5" stroked="true" strokeweight=".48001pt" strokecolor="#000000"/>
            <v:line style="position:absolute" from="1824,5" to="3658,5" stroked="true" strokeweight=".48001pt" strokecolor="#000000"/>
            <v:line style="position:absolute" from="3658,5" to="3668,5" stroked="true" strokeweight=".48001pt" strokecolor="#000000"/>
            <v:line style="position:absolute" from="3668,5" to="6493,5" stroked="true" strokeweight=".48001pt" strokecolor="#000000"/>
            <v:line style="position:absolute" from="6493,5" to="6503,5" stroked="true" strokeweight=".48001pt" strokecolor="#000000"/>
            <v:line style="position:absolute" from="6503,5" to="9186,5" stroked="true" strokeweight=".48001pt" strokecolor="#000000"/>
          </v:group>
        </w:pict>
      </w:r>
      <w:r>
        <w:rPr>
          <w:sz w:val="2"/>
        </w:rPr>
      </w:r>
    </w:p>
    <w:p>
      <w:pPr>
        <w:spacing w:after="0" w:line="20" w:lineRule="exact"/>
        <w:rPr>
          <w:sz w:val="2"/>
        </w:rPr>
        <w:sectPr>
          <w:type w:val="continuous"/>
          <w:pgSz w:w="12240" w:h="15840"/>
          <w:pgMar w:top="1500" w:bottom="280" w:left="1460" w:right="1300"/>
        </w:sectPr>
      </w:pPr>
    </w:p>
    <w:p>
      <w:pPr>
        <w:pStyle w:val="BodyText"/>
        <w:rPr>
          <w:sz w:val="20"/>
        </w:rPr>
      </w:pPr>
    </w:p>
    <w:p>
      <w:pPr>
        <w:pStyle w:val="BodyText"/>
        <w:spacing w:before="8"/>
        <w:rPr>
          <w:sz w:val="18"/>
        </w:rPr>
      </w:pPr>
    </w:p>
    <w:p>
      <w:pPr>
        <w:spacing w:before="0"/>
        <w:ind w:left="242" w:right="-17" w:firstLine="0"/>
        <w:jc w:val="left"/>
        <w:rPr>
          <w:sz w:val="20"/>
        </w:rPr>
      </w:pPr>
      <w:r>
        <w:rPr>
          <w:sz w:val="20"/>
        </w:rPr>
        <w:t>España y</w:t>
      </w:r>
      <w:r>
        <w:rPr>
          <w:spacing w:val="-5"/>
          <w:sz w:val="20"/>
        </w:rPr>
        <w:t> </w:t>
      </w:r>
      <w:r>
        <w:rPr>
          <w:sz w:val="20"/>
        </w:rPr>
        <w:t>México (Esmaragda-</w:t>
      </w:r>
    </w:p>
    <w:p>
      <w:pPr>
        <w:tabs>
          <w:tab w:pos="2083" w:val="left" w:leader="none"/>
        </w:tabs>
        <w:spacing w:line="217" w:lineRule="exact" w:before="0"/>
        <w:ind w:left="242" w:right="0" w:firstLine="0"/>
        <w:jc w:val="left"/>
        <w:rPr>
          <w:sz w:val="20"/>
        </w:rPr>
      </w:pPr>
      <w:r>
        <w:rPr/>
        <w:br w:type="column"/>
      </w:r>
      <w:r>
        <w:rPr>
          <w:i/>
          <w:sz w:val="20"/>
        </w:rPr>
        <w:t>Urban</w:t>
      </w:r>
      <w:r>
        <w:rPr>
          <w:i/>
          <w:spacing w:val="-3"/>
          <w:sz w:val="20"/>
        </w:rPr>
        <w:t> </w:t>
      </w:r>
      <w:r>
        <w:rPr>
          <w:i/>
          <w:sz w:val="20"/>
        </w:rPr>
        <w:t>sprawl</w:t>
        <w:tab/>
      </w:r>
      <w:r>
        <w:rPr>
          <w:sz w:val="20"/>
        </w:rPr>
        <w:t>Las actividades</w:t>
      </w:r>
      <w:r>
        <w:rPr>
          <w:spacing w:val="-11"/>
          <w:sz w:val="20"/>
        </w:rPr>
        <w:t> </w:t>
      </w:r>
      <w:r>
        <w:rPr>
          <w:sz w:val="20"/>
        </w:rPr>
        <w:t>agrícolas</w:t>
      </w:r>
    </w:p>
    <w:p>
      <w:pPr>
        <w:spacing w:line="229" w:lineRule="exact" w:before="0"/>
        <w:ind w:left="2083" w:right="0" w:firstLine="0"/>
        <w:jc w:val="left"/>
        <w:rPr>
          <w:sz w:val="20"/>
        </w:rPr>
      </w:pPr>
      <w:r>
        <w:rPr>
          <w:sz w:val="20"/>
        </w:rPr>
        <w:t>disminuyen.</w:t>
      </w:r>
    </w:p>
    <w:p>
      <w:pPr>
        <w:spacing w:before="0"/>
        <w:ind w:left="2083" w:right="0" w:firstLine="0"/>
        <w:jc w:val="left"/>
        <w:rPr>
          <w:sz w:val="20"/>
        </w:rPr>
      </w:pPr>
      <w:r>
        <w:rPr>
          <w:sz w:val="20"/>
        </w:rPr>
        <w:t>Expansión de redes de urbanización a espacios</w:t>
      </w:r>
    </w:p>
    <w:p>
      <w:pPr>
        <w:spacing w:line="217" w:lineRule="exact" w:before="0"/>
        <w:ind w:left="242" w:right="272" w:firstLine="0"/>
        <w:jc w:val="left"/>
        <w:rPr>
          <w:sz w:val="20"/>
        </w:rPr>
      </w:pPr>
      <w:r>
        <w:rPr/>
        <w:br w:type="column"/>
      </w:r>
      <w:r>
        <w:rPr>
          <w:sz w:val="20"/>
        </w:rPr>
        <w:t>Consumo de tierras</w:t>
      </w:r>
    </w:p>
    <w:p>
      <w:pPr>
        <w:spacing w:before="0"/>
        <w:ind w:left="242" w:right="272" w:firstLine="0"/>
        <w:jc w:val="left"/>
        <w:rPr>
          <w:sz w:val="20"/>
        </w:rPr>
      </w:pPr>
      <w:r>
        <w:rPr>
          <w:sz w:val="20"/>
        </w:rPr>
        <w:t>Desarrollo de </w:t>
      </w:r>
      <w:r>
        <w:rPr>
          <w:w w:val="95"/>
          <w:sz w:val="20"/>
        </w:rPr>
        <w:t>infraestructuras</w:t>
      </w:r>
    </w:p>
    <w:p>
      <w:pPr>
        <w:spacing w:after="0"/>
        <w:jc w:val="left"/>
        <w:rPr>
          <w:sz w:val="20"/>
        </w:rPr>
        <w:sectPr>
          <w:type w:val="continuous"/>
          <w:pgSz w:w="12240" w:h="15840"/>
          <w:pgMar w:top="1500" w:bottom="280" w:left="1460" w:right="1300"/>
          <w:cols w:num="3" w:equalWidth="0">
            <w:col w:w="1763" w:space="46"/>
            <w:col w:w="4325" w:space="353"/>
            <w:col w:w="2993"/>
          </w:cols>
        </w:sectPr>
      </w:pPr>
    </w:p>
    <w:p>
      <w:pPr>
        <w:tabs>
          <w:tab w:pos="1943" w:val="left" w:leader="none"/>
          <w:tab w:pos="3892" w:val="left" w:leader="none"/>
          <w:tab w:pos="9315" w:val="left" w:leader="none"/>
        </w:tabs>
        <w:spacing w:before="0"/>
        <w:ind w:left="242" w:right="0" w:firstLine="0"/>
        <w:jc w:val="left"/>
        <w:rPr>
          <w:sz w:val="20"/>
        </w:rPr>
      </w:pPr>
      <w:r>
        <w:rPr>
          <w:sz w:val="20"/>
        </w:rPr>
        <w:t>Roca,</w:t>
      </w:r>
      <w:r>
        <w:rPr>
          <w:spacing w:val="-3"/>
          <w:sz w:val="20"/>
        </w:rPr>
        <w:t> </w:t>
      </w:r>
      <w:r>
        <w:rPr>
          <w:sz w:val="20"/>
        </w:rPr>
        <w:t>2012)</w:t>
        <w:tab/>
      </w:r>
      <w:r>
        <w:rPr>
          <w:sz w:val="20"/>
          <w:u w:val="single"/>
        </w:rPr>
        <w:t> </w:t>
        <w:tab/>
        <w:t>rurales.</w:t>
        <w:tab/>
      </w:r>
    </w:p>
    <w:p>
      <w:pPr>
        <w:spacing w:after="0"/>
        <w:jc w:val="left"/>
        <w:rPr>
          <w:sz w:val="20"/>
        </w:rPr>
        <w:sectPr>
          <w:type w:val="continuous"/>
          <w:pgSz w:w="12240" w:h="15840"/>
          <w:pgMar w:top="1500" w:bottom="280" w:left="1460" w:right="1300"/>
        </w:sectPr>
      </w:pPr>
    </w:p>
    <w:p>
      <w:pPr>
        <w:pStyle w:val="BodyText"/>
        <w:rPr>
          <w:sz w:val="20"/>
        </w:rPr>
      </w:pPr>
    </w:p>
    <w:p>
      <w:pPr>
        <w:pStyle w:val="BodyText"/>
        <w:spacing w:before="8"/>
        <w:rPr>
          <w:sz w:val="21"/>
        </w:rPr>
      </w:pPr>
    </w:p>
    <w:p>
      <w:pPr>
        <w:spacing w:before="1"/>
        <w:ind w:left="242" w:right="-16" w:firstLine="0"/>
        <w:jc w:val="left"/>
        <w:rPr>
          <w:sz w:val="20"/>
        </w:rPr>
      </w:pPr>
      <w:r>
        <w:rPr>
          <w:sz w:val="20"/>
        </w:rPr>
        <w:t>Cantabria, España</w:t>
      </w:r>
      <w:r>
        <w:rPr>
          <w:spacing w:val="-7"/>
          <w:sz w:val="20"/>
        </w:rPr>
        <w:t> </w:t>
      </w:r>
      <w:r>
        <w:rPr>
          <w:sz w:val="20"/>
        </w:rPr>
        <w:t>(Nogués y Salas,</w:t>
      </w:r>
      <w:r>
        <w:rPr>
          <w:spacing w:val="-8"/>
          <w:sz w:val="20"/>
        </w:rPr>
        <w:t> </w:t>
      </w:r>
      <w:r>
        <w:rPr>
          <w:sz w:val="20"/>
        </w:rPr>
        <w:t>2009)</w:t>
      </w:r>
    </w:p>
    <w:p>
      <w:pPr>
        <w:tabs>
          <w:tab w:pos="2083" w:val="left" w:leader="none"/>
        </w:tabs>
        <w:spacing w:before="10"/>
        <w:ind w:left="2083" w:right="0" w:hanging="1842"/>
        <w:jc w:val="left"/>
        <w:rPr>
          <w:sz w:val="20"/>
        </w:rPr>
      </w:pPr>
      <w:r>
        <w:rPr/>
        <w:br w:type="column"/>
      </w:r>
      <w:r>
        <w:rPr>
          <w:sz w:val="20"/>
        </w:rPr>
        <w:t>Compacto</w:t>
        <w:tab/>
        <w:t>Redistribución de</w:t>
      </w:r>
      <w:r>
        <w:rPr>
          <w:spacing w:val="-5"/>
          <w:sz w:val="20"/>
        </w:rPr>
        <w:t> </w:t>
      </w:r>
      <w:r>
        <w:rPr>
          <w:sz w:val="20"/>
        </w:rPr>
        <w:t>población</w:t>
      </w:r>
      <w:r>
        <w:rPr>
          <w:spacing w:val="-2"/>
          <w:sz w:val="20"/>
        </w:rPr>
        <w:t> </w:t>
      </w:r>
      <w:r>
        <w:rPr>
          <w:sz w:val="20"/>
        </w:rPr>
        <w:t>y</w:t>
      </w:r>
      <w:r>
        <w:rPr>
          <w:w w:val="99"/>
          <w:sz w:val="20"/>
        </w:rPr>
        <w:t> </w:t>
      </w:r>
      <w:r>
        <w:rPr>
          <w:sz w:val="20"/>
        </w:rPr>
        <w:t>la</w:t>
      </w:r>
      <w:r>
        <w:rPr>
          <w:spacing w:val="-5"/>
          <w:sz w:val="20"/>
        </w:rPr>
        <w:t> </w:t>
      </w:r>
      <w:r>
        <w:rPr>
          <w:sz w:val="20"/>
        </w:rPr>
        <w:t>industria</w:t>
      </w:r>
    </w:p>
    <w:p>
      <w:pPr>
        <w:tabs>
          <w:tab w:pos="2083" w:val="left" w:leader="none"/>
        </w:tabs>
        <w:spacing w:before="10"/>
        <w:ind w:left="242" w:right="0" w:firstLine="0"/>
        <w:jc w:val="left"/>
        <w:rPr>
          <w:sz w:val="20"/>
        </w:rPr>
      </w:pPr>
      <w:r>
        <w:rPr/>
        <w:pict>
          <v:group style="position:absolute;margin-left:79.454002pt;margin-top:.149893pt;width:459.6pt;height:.5pt;mso-position-horizontal-relative:page;mso-position-vertical-relative:paragraph;z-index:-301264" coordorigin="1589,3" coordsize="9192,10">
            <v:line style="position:absolute" from="1594,8" to="3404,8" stroked="true" strokeweight=".47998pt" strokecolor="#000000"/>
            <v:line style="position:absolute" from="3404,8" to="3413,8" stroked="true" strokeweight=".47998pt" strokecolor="#000000"/>
            <v:line style="position:absolute" from="3413,8" to="5247,8" stroked="true" strokeweight=".47998pt" strokecolor="#000000"/>
            <v:line style="position:absolute" from="5247,8" to="5257,8" stroked="true" strokeweight=".47998pt" strokecolor="#000000"/>
            <v:line style="position:absolute" from="5257,8" to="8082,8" stroked="true" strokeweight=".47998pt" strokecolor="#000000"/>
            <v:line style="position:absolute" from="8082,8" to="8092,8" stroked="true" strokeweight=".47998pt" strokecolor="#000000"/>
            <v:line style="position:absolute" from="8092,8" to="10775,8" stroked="true" strokeweight=".47998pt" strokecolor="#000000"/>
            <w10:wrap type="none"/>
          </v:group>
        </w:pict>
      </w:r>
      <w:r>
        <w:rPr>
          <w:sz w:val="20"/>
        </w:rPr>
        <w:t>Descentralización</w:t>
        <w:tab/>
        <w:t>Sustitución y mezcla</w:t>
      </w:r>
      <w:r>
        <w:rPr>
          <w:spacing w:val="-11"/>
          <w:sz w:val="20"/>
        </w:rPr>
        <w:t> </w:t>
      </w:r>
      <w:r>
        <w:rPr>
          <w:sz w:val="20"/>
        </w:rPr>
        <w:t>de</w:t>
      </w:r>
    </w:p>
    <w:p>
      <w:pPr>
        <w:spacing w:before="0"/>
        <w:ind w:left="2083" w:right="647" w:firstLine="0"/>
        <w:jc w:val="left"/>
        <w:rPr>
          <w:sz w:val="20"/>
        </w:rPr>
      </w:pPr>
      <w:r>
        <w:rPr>
          <w:sz w:val="20"/>
        </w:rPr>
        <w:t>espacios agrarios con urbanos.</w:t>
      </w:r>
    </w:p>
    <w:p>
      <w:pPr>
        <w:pStyle w:val="BodyText"/>
        <w:spacing w:before="10"/>
        <w:rPr>
          <w:sz w:val="20"/>
        </w:rPr>
      </w:pPr>
    </w:p>
    <w:p>
      <w:pPr>
        <w:spacing w:before="0"/>
        <w:ind w:left="2083" w:right="124" w:firstLine="0"/>
        <w:jc w:val="left"/>
        <w:rPr>
          <w:sz w:val="20"/>
        </w:rPr>
      </w:pPr>
      <w:r>
        <w:rPr/>
        <w:pict>
          <v:group style="position:absolute;margin-left:262.119995pt;margin-top:-.35011pt;width:276.9pt;height:.5pt;mso-position-horizontal-relative:page;mso-position-vertical-relative:paragraph;z-index:-301240" coordorigin="5242,-7" coordsize="5538,10">
            <v:line style="position:absolute" from="5247,-2" to="8082,-2" stroked="true" strokeweight=".47998pt" strokecolor="#000000"/>
            <v:line style="position:absolute" from="8082,-2" to="8092,-2" stroked="true" strokeweight=".47998pt" strokecolor="#000000"/>
            <v:line style="position:absolute" from="8092,-2" to="10775,-2" stroked="true" strokeweight=".47998pt" strokecolor="#000000"/>
            <w10:wrap type="none"/>
          </v:group>
        </w:pict>
      </w:r>
      <w:r>
        <w:rPr/>
        <w:pict>
          <v:group style="position:absolute;margin-left:79.454002pt;margin-top:23.169876pt;width:459.6pt;height:.5pt;mso-position-horizontal-relative:page;mso-position-vertical-relative:paragraph;z-index:-301216" coordorigin="1589,463" coordsize="9192,10">
            <v:line style="position:absolute" from="1594,468" to="3404,468" stroked="true" strokeweight=".48001pt" strokecolor="#000000"/>
            <v:line style="position:absolute" from="3404,468" to="3413,468" stroked="true" strokeweight=".48001pt" strokecolor="#000000"/>
            <v:line style="position:absolute" from="3413,468" to="5247,468" stroked="true" strokeweight=".48001pt" strokecolor="#000000"/>
            <v:line style="position:absolute" from="5247,468" to="5257,468" stroked="true" strokeweight=".48001pt" strokecolor="#000000"/>
            <v:line style="position:absolute" from="5257,468" to="8082,468" stroked="true" strokeweight=".48001pt" strokecolor="#000000"/>
            <v:line style="position:absolute" from="8082,468" to="8092,468" stroked="true" strokeweight=".48001pt" strokecolor="#000000"/>
            <v:line style="position:absolute" from="8092,468" to="10775,468" stroked="true" strokeweight=".48001pt" strokecolor="#000000"/>
            <w10:wrap type="none"/>
          </v:group>
        </w:pict>
      </w:r>
      <w:r>
        <w:rPr>
          <w:sz w:val="20"/>
        </w:rPr>
        <w:t>Incremento de uso de suelo urbano.</w:t>
      </w:r>
    </w:p>
    <w:p>
      <w:pPr>
        <w:spacing w:before="10"/>
        <w:ind w:left="185" w:right="0" w:firstLine="0"/>
        <w:jc w:val="left"/>
        <w:rPr>
          <w:sz w:val="20"/>
        </w:rPr>
      </w:pPr>
      <w:r>
        <w:rPr/>
        <w:br w:type="column"/>
      </w:r>
      <w:r>
        <w:rPr>
          <w:sz w:val="20"/>
        </w:rPr>
        <w:t>Consumo de suelo por habitante.</w:t>
      </w:r>
    </w:p>
    <w:p>
      <w:pPr>
        <w:spacing w:line="242" w:lineRule="auto" w:before="10"/>
        <w:ind w:left="185" w:right="0" w:firstLine="0"/>
        <w:jc w:val="left"/>
        <w:rPr>
          <w:sz w:val="20"/>
        </w:rPr>
      </w:pPr>
      <w:r>
        <w:rPr>
          <w:sz w:val="20"/>
        </w:rPr>
        <w:t>Zonas residenciales, comerciales y polígonos industriales (uso de suelo) Conectividad y servicios. Empleo y población Infraestructuras.</w:t>
      </w:r>
    </w:p>
    <w:p>
      <w:pPr>
        <w:spacing w:after="0" w:line="242" w:lineRule="auto"/>
        <w:jc w:val="left"/>
        <w:rPr>
          <w:sz w:val="20"/>
        </w:rPr>
        <w:sectPr>
          <w:type w:val="continuous"/>
          <w:pgSz w:w="12240" w:h="15840"/>
          <w:pgMar w:top="1500" w:bottom="280" w:left="1460" w:right="1300"/>
          <w:cols w:num="3" w:equalWidth="0">
            <w:col w:w="1729" w:space="81"/>
            <w:col w:w="4696" w:space="40"/>
            <w:col w:w="2934"/>
          </w:cols>
        </w:sectPr>
      </w:pPr>
    </w:p>
    <w:p>
      <w:pPr>
        <w:spacing w:before="8"/>
        <w:ind w:left="242" w:right="-15" w:firstLine="0"/>
        <w:jc w:val="left"/>
        <w:rPr>
          <w:sz w:val="20"/>
        </w:rPr>
      </w:pPr>
      <w:r>
        <w:rPr>
          <w:sz w:val="20"/>
        </w:rPr>
        <w:t>Galicia, España (Otero y</w:t>
      </w:r>
      <w:r>
        <w:rPr>
          <w:spacing w:val="-8"/>
          <w:sz w:val="20"/>
        </w:rPr>
        <w:t> </w:t>
      </w:r>
      <w:r>
        <w:rPr>
          <w:sz w:val="20"/>
        </w:rPr>
        <w:t>Gómez, 2007)</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8"/>
        <w:rPr>
          <w:sz w:val="21"/>
        </w:rPr>
      </w:pPr>
    </w:p>
    <w:p>
      <w:pPr>
        <w:spacing w:before="0"/>
        <w:ind w:left="242" w:right="677" w:firstLine="0"/>
        <w:jc w:val="left"/>
        <w:rPr>
          <w:sz w:val="20"/>
        </w:rPr>
      </w:pPr>
      <w:r>
        <w:rPr/>
        <w:pict>
          <v:group style="position:absolute;margin-left:79.454002pt;margin-top:-.350111pt;width:459.6pt;height:.5pt;mso-position-horizontal-relative:page;mso-position-vertical-relative:paragraph;z-index:-301192" coordorigin="1589,-7" coordsize="9192,10">
            <v:line style="position:absolute" from="1594,-2" to="3404,-2" stroked="true" strokeweight=".47998pt" strokecolor="#000000"/>
            <v:line style="position:absolute" from="3404,-2" to="3413,-2" stroked="true" strokeweight=".47998pt" strokecolor="#000000"/>
            <v:line style="position:absolute" from="3413,-2" to="5247,-2" stroked="true" strokeweight=".47998pt" strokecolor="#000000"/>
            <v:line style="position:absolute" from="5247,-2" to="5257,-2" stroked="true" strokeweight=".47998pt" strokecolor="#000000"/>
            <v:line style="position:absolute" from="5257,-2" to="8082,-2" stroked="true" strokeweight=".47998pt" strokecolor="#000000"/>
            <v:line style="position:absolute" from="8082,-2" to="8092,-2" stroked="true" strokeweight=".47998pt" strokecolor="#000000"/>
            <v:line style="position:absolute" from="8092,-2" to="10775,-2" stroked="true" strokeweight=".47998pt" strokecolor="#000000"/>
            <w10:wrap type="none"/>
          </v:group>
        </w:pict>
      </w:r>
      <w:r>
        <w:rPr>
          <w:sz w:val="20"/>
        </w:rPr>
        <w:t>España, 46 áreas</w:t>
      </w:r>
    </w:p>
    <w:p>
      <w:pPr>
        <w:spacing w:before="0"/>
        <w:ind w:left="242" w:right="-15" w:firstLine="0"/>
        <w:jc w:val="left"/>
        <w:rPr>
          <w:sz w:val="20"/>
        </w:rPr>
      </w:pPr>
      <w:r>
        <w:rPr>
          <w:w w:val="95"/>
          <w:sz w:val="20"/>
        </w:rPr>
        <w:t>metropolitanas </w:t>
      </w:r>
      <w:r>
        <w:rPr>
          <w:sz w:val="20"/>
        </w:rPr>
        <w:t>(Feria, 2010)</w:t>
      </w:r>
    </w:p>
    <w:p>
      <w:pPr>
        <w:spacing w:before="8"/>
        <w:ind w:left="242" w:right="0" w:firstLine="0"/>
        <w:jc w:val="left"/>
        <w:rPr>
          <w:sz w:val="20"/>
        </w:rPr>
      </w:pPr>
      <w:r>
        <w:rPr/>
        <w:br w:type="column"/>
      </w:r>
      <w:r>
        <w:rPr>
          <w:w w:val="95"/>
          <w:sz w:val="20"/>
        </w:rPr>
        <w:t>Descentralización </w:t>
      </w:r>
      <w:r>
        <w:rPr>
          <w:sz w:val="20"/>
        </w:rPr>
        <w:t>urbana.</w:t>
      </w:r>
    </w:p>
    <w:p>
      <w:pPr>
        <w:spacing w:before="0"/>
        <w:ind w:left="242" w:right="0" w:firstLine="0"/>
        <w:jc w:val="left"/>
        <w:rPr>
          <w:sz w:val="20"/>
        </w:rPr>
      </w:pPr>
      <w:r>
        <w:rPr>
          <w:sz w:val="20"/>
        </w:rPr>
        <w:t>Dispersión de la población</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8"/>
        <w:rPr>
          <w:sz w:val="21"/>
        </w:rPr>
      </w:pPr>
    </w:p>
    <w:p>
      <w:pPr>
        <w:spacing w:before="0"/>
        <w:ind w:left="242" w:right="0" w:firstLine="0"/>
        <w:jc w:val="left"/>
        <w:rPr>
          <w:sz w:val="20"/>
        </w:rPr>
      </w:pPr>
      <w:r>
        <w:rPr>
          <w:sz w:val="20"/>
        </w:rPr>
        <w:t>Configuración de áreas metropolitanas (A.M.)</w:t>
      </w:r>
    </w:p>
    <w:p>
      <w:pPr>
        <w:spacing w:before="8"/>
        <w:ind w:left="225" w:right="198" w:firstLine="0"/>
        <w:jc w:val="left"/>
        <w:rPr>
          <w:sz w:val="20"/>
        </w:rPr>
      </w:pPr>
      <w:r>
        <w:rPr/>
        <w:br w:type="column"/>
      </w:r>
      <w:r>
        <w:rPr>
          <w:sz w:val="20"/>
        </w:rPr>
        <w:t>Mide crecimiento de población y actividad. Crecimiento en la periferia, paisaje, tejidos rural, urbano</w:t>
      </w:r>
    </w:p>
    <w:p>
      <w:pPr>
        <w:tabs>
          <w:tab w:pos="2955" w:val="left" w:leader="none"/>
        </w:tabs>
        <w:spacing w:line="242" w:lineRule="auto" w:before="0"/>
        <w:ind w:left="225" w:right="0" w:hanging="106"/>
        <w:jc w:val="left"/>
        <w:rPr>
          <w:sz w:val="20"/>
        </w:rPr>
      </w:pPr>
      <w:r>
        <w:rPr>
          <w:w w:val="99"/>
          <w:sz w:val="20"/>
          <w:u w:val="single"/>
        </w:rPr>
        <w:t> </w:t>
      </w:r>
      <w:r>
        <w:rPr>
          <w:spacing w:val="-6"/>
          <w:sz w:val="20"/>
          <w:u w:val="single"/>
        </w:rPr>
        <w:t> </w:t>
      </w:r>
      <w:r>
        <w:rPr>
          <w:sz w:val="20"/>
          <w:u w:val="single"/>
        </w:rPr>
        <w:t>e</w:t>
      </w:r>
      <w:r>
        <w:rPr>
          <w:spacing w:val="-5"/>
          <w:sz w:val="20"/>
          <w:u w:val="single"/>
        </w:rPr>
        <w:t> </w:t>
      </w:r>
      <w:r>
        <w:rPr>
          <w:sz w:val="20"/>
          <w:u w:val="single"/>
        </w:rPr>
        <w:t>industria.</w:t>
        <w:tab/>
      </w:r>
      <w:r>
        <w:rPr>
          <w:sz w:val="20"/>
        </w:rPr>
        <w:t> Identifica</w:t>
      </w:r>
      <w:r>
        <w:rPr>
          <w:spacing w:val="-7"/>
          <w:sz w:val="20"/>
        </w:rPr>
        <w:t> </w:t>
      </w:r>
      <w:r>
        <w:rPr>
          <w:sz w:val="20"/>
        </w:rPr>
        <w:t>polos</w:t>
      </w:r>
      <w:r>
        <w:rPr>
          <w:w w:val="99"/>
          <w:sz w:val="20"/>
        </w:rPr>
        <w:t> </w:t>
      </w:r>
      <w:r>
        <w:rPr>
          <w:sz w:val="20"/>
        </w:rPr>
        <w:t>metropolitanos, un sub polo y un primer cinturón y, el segundo cinturón metropolitano.</w:t>
      </w:r>
    </w:p>
    <w:p>
      <w:pPr>
        <w:spacing w:before="7"/>
        <w:ind w:left="225" w:right="198" w:firstLine="0"/>
        <w:jc w:val="left"/>
        <w:rPr>
          <w:sz w:val="20"/>
        </w:rPr>
      </w:pPr>
      <w:r>
        <w:rPr>
          <w:sz w:val="20"/>
        </w:rPr>
        <w:t>Evolución y madurez de organización de las estructuras metropolitanas.</w:t>
      </w:r>
    </w:p>
    <w:p>
      <w:pPr>
        <w:spacing w:before="8"/>
        <w:ind w:left="68" w:right="505" w:firstLine="0"/>
        <w:jc w:val="left"/>
        <w:rPr>
          <w:sz w:val="20"/>
        </w:rPr>
      </w:pPr>
      <w:r>
        <w:rPr/>
        <w:br w:type="column"/>
      </w:r>
      <w:r>
        <w:rPr>
          <w:sz w:val="20"/>
        </w:rPr>
        <w:t>Población y tasa de crecimiento</w:t>
      </w:r>
    </w:p>
    <w:p>
      <w:pPr>
        <w:spacing w:before="0"/>
        <w:ind w:left="68" w:right="505" w:firstLine="0"/>
        <w:jc w:val="left"/>
        <w:rPr>
          <w:sz w:val="20"/>
        </w:rPr>
      </w:pPr>
      <w:r>
        <w:rPr>
          <w:sz w:val="20"/>
        </w:rPr>
        <w:t>La tercerización Migración indicador de</w:t>
      </w:r>
    </w:p>
    <w:p>
      <w:pPr>
        <w:spacing w:before="0"/>
        <w:ind w:left="68" w:right="322" w:firstLine="0"/>
        <w:jc w:val="left"/>
        <w:rPr>
          <w:sz w:val="20"/>
        </w:rPr>
      </w:pPr>
      <w:r>
        <w:rPr>
          <w:sz w:val="20"/>
        </w:rPr>
        <w:t>dinámica socio económica y funcional</w:t>
      </w:r>
    </w:p>
    <w:p>
      <w:pPr>
        <w:spacing w:before="0"/>
        <w:ind w:left="68" w:right="938" w:firstLine="0"/>
        <w:jc w:val="left"/>
        <w:rPr>
          <w:sz w:val="20"/>
        </w:rPr>
      </w:pPr>
      <w:r>
        <w:rPr>
          <w:sz w:val="20"/>
        </w:rPr>
        <w:t>Relación funcional y migración</w:t>
      </w:r>
    </w:p>
    <w:p>
      <w:pPr>
        <w:pStyle w:val="BodyText"/>
        <w:rPr>
          <w:sz w:val="20"/>
        </w:rPr>
      </w:pPr>
    </w:p>
    <w:p>
      <w:pPr>
        <w:pStyle w:val="BodyText"/>
        <w:spacing w:before="8"/>
        <w:rPr>
          <w:sz w:val="21"/>
        </w:rPr>
      </w:pPr>
    </w:p>
    <w:p>
      <w:pPr>
        <w:spacing w:before="1"/>
        <w:ind w:left="68" w:right="505" w:firstLine="0"/>
        <w:jc w:val="left"/>
        <w:rPr>
          <w:sz w:val="20"/>
        </w:rPr>
      </w:pPr>
      <w:r>
        <w:rPr>
          <w:sz w:val="20"/>
        </w:rPr>
        <w:t>Evolución y madurez (movimientos residencia- trabajo)</w:t>
      </w:r>
    </w:p>
    <w:p>
      <w:pPr>
        <w:pStyle w:val="ListParagraph"/>
        <w:numPr>
          <w:ilvl w:val="0"/>
          <w:numId w:val="3"/>
        </w:numPr>
        <w:tabs>
          <w:tab w:pos="289" w:val="left" w:leader="none"/>
        </w:tabs>
        <w:spacing w:line="240" w:lineRule="auto" w:before="0" w:after="0"/>
        <w:ind w:left="68" w:right="0" w:firstLine="0"/>
        <w:jc w:val="left"/>
        <w:rPr>
          <w:sz w:val="20"/>
        </w:rPr>
      </w:pPr>
      <w:r>
        <w:rPr>
          <w:sz w:val="20"/>
        </w:rPr>
        <w:t>A.M.</w:t>
      </w:r>
      <w:r>
        <w:rPr>
          <w:spacing w:val="-6"/>
          <w:sz w:val="20"/>
        </w:rPr>
        <w:t> </w:t>
      </w:r>
      <w:r>
        <w:rPr>
          <w:sz w:val="20"/>
        </w:rPr>
        <w:t>incipientes</w:t>
      </w:r>
    </w:p>
    <w:p>
      <w:pPr>
        <w:pStyle w:val="ListParagraph"/>
        <w:numPr>
          <w:ilvl w:val="0"/>
          <w:numId w:val="3"/>
        </w:numPr>
        <w:tabs>
          <w:tab w:pos="289" w:val="left" w:leader="none"/>
        </w:tabs>
        <w:spacing w:line="240" w:lineRule="auto" w:before="0" w:after="0"/>
        <w:ind w:left="68" w:right="794" w:firstLine="0"/>
        <w:jc w:val="left"/>
        <w:rPr>
          <w:sz w:val="20"/>
        </w:rPr>
      </w:pPr>
      <w:r>
        <w:rPr>
          <w:sz w:val="20"/>
        </w:rPr>
        <w:t>A.M. en proceso</w:t>
      </w:r>
      <w:r>
        <w:rPr>
          <w:spacing w:val="-7"/>
          <w:sz w:val="20"/>
        </w:rPr>
        <w:t> </w:t>
      </w:r>
      <w:r>
        <w:rPr>
          <w:sz w:val="20"/>
        </w:rPr>
        <w:t>de conformación</w:t>
      </w:r>
    </w:p>
    <w:p>
      <w:pPr>
        <w:pStyle w:val="ListParagraph"/>
        <w:numPr>
          <w:ilvl w:val="0"/>
          <w:numId w:val="3"/>
        </w:numPr>
        <w:tabs>
          <w:tab w:pos="289" w:val="left" w:leader="none"/>
        </w:tabs>
        <w:spacing w:line="240" w:lineRule="auto" w:before="0" w:after="0"/>
        <w:ind w:left="68" w:right="346" w:firstLine="0"/>
        <w:jc w:val="left"/>
        <w:rPr>
          <w:sz w:val="20"/>
        </w:rPr>
      </w:pPr>
      <w:r>
        <w:rPr>
          <w:sz w:val="20"/>
        </w:rPr>
        <w:t>A.M. consolidadas como mercados de trabajo y vivienda</w:t>
      </w:r>
    </w:p>
    <w:p>
      <w:pPr>
        <w:pStyle w:val="ListParagraph"/>
        <w:numPr>
          <w:ilvl w:val="0"/>
          <w:numId w:val="3"/>
        </w:numPr>
        <w:tabs>
          <w:tab w:pos="289" w:val="left" w:leader="none"/>
        </w:tabs>
        <w:spacing w:line="240" w:lineRule="auto" w:before="0" w:after="0"/>
        <w:ind w:left="68" w:right="304" w:firstLine="0"/>
        <w:jc w:val="left"/>
        <w:rPr>
          <w:sz w:val="20"/>
        </w:rPr>
      </w:pPr>
      <w:r>
        <w:rPr>
          <w:sz w:val="20"/>
        </w:rPr>
        <w:t>A.M. maduras y estructuralmente</w:t>
      </w:r>
      <w:r>
        <w:rPr>
          <w:spacing w:val="-6"/>
          <w:sz w:val="20"/>
        </w:rPr>
        <w:t> </w:t>
      </w:r>
      <w:r>
        <w:rPr>
          <w:sz w:val="20"/>
        </w:rPr>
        <w:t>complejas</w:t>
      </w:r>
    </w:p>
    <w:p>
      <w:pPr>
        <w:spacing w:after="0" w:line="240" w:lineRule="auto"/>
        <w:jc w:val="left"/>
        <w:rPr>
          <w:sz w:val="20"/>
        </w:rPr>
        <w:sectPr>
          <w:type w:val="continuous"/>
          <w:pgSz w:w="12240" w:h="15840"/>
          <w:pgMar w:top="1500" w:bottom="280" w:left="1460" w:right="1300"/>
          <w:cols w:num="4" w:equalWidth="0">
            <w:col w:w="1718" w:space="92"/>
            <w:col w:w="1818" w:space="40"/>
            <w:col w:w="2956" w:space="40"/>
            <w:col w:w="2816"/>
          </w:cols>
        </w:sectPr>
      </w:pPr>
    </w:p>
    <w:p>
      <w:pPr>
        <w:pStyle w:val="BodyText"/>
        <w:spacing w:line="20" w:lineRule="exact"/>
        <w:ind w:left="114"/>
        <w:rPr>
          <w:sz w:val="2"/>
        </w:rPr>
      </w:pPr>
      <w:r>
        <w:rPr>
          <w:sz w:val="2"/>
        </w:rPr>
        <w:pict>
          <v:group style="width:460.3pt;height:.5pt;mso-position-horizontal-relative:char;mso-position-vertical-relative:line" coordorigin="0,0" coordsize="9206,10">
            <v:line style="position:absolute" from="5,5" to="1829,5" stroked="true" strokeweight=".47998pt" strokecolor="#000000"/>
            <v:line style="position:absolute" from="1815,5" to="1824,5" stroked="true" strokeweight=".47998pt" strokecolor="#000000"/>
            <v:line style="position:absolute" from="1824,5" to="3673,5" stroked="true" strokeweight=".47998pt" strokecolor="#000000"/>
            <v:line style="position:absolute" from="3658,5" to="3668,5" stroked="true" strokeweight=".47998pt" strokecolor="#000000"/>
            <v:line style="position:absolute" from="3668,5" to="6508,5" stroked="true" strokeweight=".47998pt" strokecolor="#000000"/>
            <v:line style="position:absolute" from="6493,5" to="6503,5" stroked="true" strokeweight=".47998pt" strokecolor="#000000"/>
            <v:line style="position:absolute" from="6503,5" to="9201,5" stroked="true" strokeweight=".47998pt" strokecolor="#000000"/>
          </v:group>
        </w:pict>
      </w:r>
      <w:r>
        <w:rPr>
          <w:sz w:val="2"/>
        </w:rPr>
      </w:r>
    </w:p>
    <w:p>
      <w:pPr>
        <w:spacing w:before="0"/>
        <w:ind w:left="3412" w:right="3570" w:firstLine="0"/>
        <w:jc w:val="center"/>
        <w:rPr>
          <w:sz w:val="20"/>
        </w:rPr>
      </w:pPr>
      <w:r>
        <w:rPr>
          <w:sz w:val="20"/>
        </w:rPr>
        <w:t>Fuente: Elaboración propia.</w:t>
      </w:r>
    </w:p>
    <w:p>
      <w:pPr>
        <w:spacing w:after="0"/>
        <w:jc w:val="center"/>
        <w:rPr>
          <w:sz w:val="20"/>
        </w:rPr>
        <w:sectPr>
          <w:type w:val="continuous"/>
          <w:pgSz w:w="12240" w:h="15840"/>
          <w:pgMar w:top="1500" w:bottom="280" w:left="1460" w:right="1300"/>
        </w:sectPr>
      </w:pPr>
    </w:p>
    <w:p>
      <w:pPr>
        <w:pStyle w:val="BodyText"/>
        <w:spacing w:line="360" w:lineRule="auto" w:before="54"/>
        <w:ind w:left="122" w:right="113"/>
        <w:jc w:val="both"/>
      </w:pPr>
      <w:r>
        <w:rPr/>
        <w:t>Para el crecimiento de los asentamientos y cambios en las estructuras – metropolitana y territorial- los diversos autores utilizan variables semejantes y  otras son particulares: Otero y Gómez (2007) se apoyan en la variable población y tasa de crecimiento; Entrena (2005), Nogués y Salas (2009), Otero y Gómez (2007) e Indovina (1998) los patrones espaciales de la vivienda, el empleo y las actividades económicas; Esmaragda y Roca (2012) consideran el consumo de suelo por habitante; Indovina (1998) observa los asentamientos menores y su comportamiento económico local; Feria (2010) los desplazamientos de la  población que define las relaciones funcionales (movilidad residencia empleo); Entrena (2005), también considera los movimientos pendulares residencia empleo y; Otero y Gómez (2007) la migración interna de la</w:t>
      </w:r>
      <w:r>
        <w:rPr>
          <w:spacing w:val="-23"/>
        </w:rPr>
        <w:t> </w:t>
      </w:r>
      <w:r>
        <w:rPr/>
        <w:t>población.</w:t>
      </w:r>
    </w:p>
    <w:p>
      <w:pPr>
        <w:pStyle w:val="BodyText"/>
        <w:spacing w:before="7"/>
      </w:pPr>
    </w:p>
    <w:p>
      <w:pPr>
        <w:pStyle w:val="BodyText"/>
        <w:spacing w:line="345" w:lineRule="auto"/>
        <w:ind w:left="122" w:right="118"/>
        <w:jc w:val="both"/>
      </w:pPr>
      <w:r>
        <w:rPr/>
        <w:t>En suma, la metodología a seguir en esta investigación se divide en tres procedimientos que permitirán conocer la evolución metropolitana que marca el ciclo de vida urbana y de ello caracteriza la desurbanización</w:t>
      </w:r>
      <w:r>
        <w:rPr>
          <w:position w:val="11"/>
          <w:sz w:val="16"/>
        </w:rPr>
        <w:t>15</w:t>
      </w:r>
      <w:r>
        <w:rPr/>
        <w:t>.</w:t>
      </w:r>
    </w:p>
    <w:p>
      <w:pPr>
        <w:pStyle w:val="BodyText"/>
        <w:spacing w:before="9"/>
      </w:pPr>
    </w:p>
    <w:p>
      <w:pPr>
        <w:pStyle w:val="BodyText"/>
        <w:spacing w:line="360" w:lineRule="auto"/>
        <w:ind w:left="122" w:right="125"/>
        <w:jc w:val="both"/>
      </w:pPr>
      <w:r>
        <w:rPr/>
        <w:t>El esquema 5 permite alcanzar un primer nivel metodológico, que corresponde al de identificación de las dimensiones de estudio:</w:t>
      </w:r>
    </w:p>
    <w:p>
      <w:pPr>
        <w:pStyle w:val="BodyText"/>
        <w:spacing w:before="8"/>
      </w:pPr>
    </w:p>
    <w:p>
      <w:pPr>
        <w:pStyle w:val="BodyText"/>
        <w:spacing w:line="360" w:lineRule="auto"/>
        <w:ind w:left="122" w:right="115"/>
        <w:jc w:val="both"/>
      </w:pPr>
      <w:r>
        <w:rPr/>
        <w:t>La estructura metropolitana actual se caracterizó primero por los movimientos de población que marcaron la pauta del declive del centro, misma que incrementa las coronas urbanas externas, que contienen asentamientos menores, en ciudades medias o pequeñas, ello define que la población y el tamaño de las localidades son aspectos significativos a</w:t>
      </w:r>
      <w:r>
        <w:rPr>
          <w:spacing w:val="-10"/>
        </w:rPr>
        <w:t> </w:t>
      </w:r>
      <w:r>
        <w:rPr/>
        <w:t>considerar.</w:t>
      </w:r>
    </w:p>
    <w:p>
      <w:pPr>
        <w:pStyle w:val="BodyText"/>
        <w:spacing w:before="7"/>
      </w:pPr>
    </w:p>
    <w:p>
      <w:pPr>
        <w:pStyle w:val="BodyText"/>
        <w:spacing w:line="360" w:lineRule="auto"/>
        <w:ind w:left="122" w:right="124"/>
        <w:jc w:val="both"/>
      </w:pPr>
      <w:r>
        <w:rPr/>
        <w:t>La salida de población hacia las partes externas y localidades, que significa salida de residentes y vivienda, necesita de elementos tecnológicos, la mejora en los modos de traslado de transporte, el acceso a la motorización, son variables que juegan en conjunto con el crecimiento y redistribución de la población, con ello   se</w:t>
      </w:r>
    </w:p>
    <w:p>
      <w:pPr>
        <w:pStyle w:val="BodyText"/>
        <w:rPr>
          <w:sz w:val="20"/>
        </w:rPr>
      </w:pPr>
    </w:p>
    <w:p>
      <w:pPr>
        <w:pStyle w:val="BodyText"/>
        <w:rPr>
          <w:sz w:val="20"/>
        </w:rPr>
      </w:pPr>
    </w:p>
    <w:p>
      <w:pPr>
        <w:pStyle w:val="BodyText"/>
        <w:spacing w:before="1"/>
        <w:rPr>
          <w:sz w:val="23"/>
        </w:rPr>
      </w:pPr>
      <w:r>
        <w:rPr/>
        <w:pict>
          <v:line style="position:absolute;mso-position-horizontal-relative:page;mso-position-vertical-relative:paragraph;z-index:1624;mso-wrap-distance-left:0;mso-wrap-distance-right:0" from="85.103996pt,15.63588pt" to="229.123996pt,15.63588pt" stroked="true" strokeweight=".71997pt" strokecolor="#000000">
            <w10:wrap type="topAndBottom"/>
          </v:line>
        </w:pict>
      </w:r>
    </w:p>
    <w:p>
      <w:pPr>
        <w:spacing w:line="249" w:lineRule="auto" w:before="39"/>
        <w:ind w:left="122" w:right="122" w:firstLine="0"/>
        <w:jc w:val="both"/>
        <w:rPr>
          <w:sz w:val="18"/>
        </w:rPr>
      </w:pPr>
      <w:r>
        <w:rPr>
          <w:rFonts w:ascii="Calibri" w:hAnsi="Calibri"/>
          <w:position w:val="10"/>
          <w:sz w:val="13"/>
        </w:rPr>
        <w:t>15 </w:t>
      </w:r>
      <w:r>
        <w:rPr>
          <w:sz w:val="18"/>
        </w:rPr>
        <w:t>La propuesta de construcción de metodología mediara la fase del ciclo de vida urbana en que se encuentra el objeto de estudio, enfocándose a identificar la tercera fase llamada de desurbanización en la que se presenta el decrecimiento de la ciudad central, orientándose el mismo a la parte externa.</w:t>
      </w:r>
    </w:p>
    <w:p>
      <w:pPr>
        <w:spacing w:after="0" w:line="249" w:lineRule="auto"/>
        <w:jc w:val="both"/>
        <w:rPr>
          <w:sz w:val="18"/>
        </w:rPr>
        <w:sectPr>
          <w:pgSz w:w="12240" w:h="15840"/>
          <w:pgMar w:header="0" w:footer="659" w:top="1360" w:bottom="840" w:left="1580" w:right="1580"/>
        </w:sectPr>
      </w:pPr>
    </w:p>
    <w:p>
      <w:pPr>
        <w:pStyle w:val="BodyText"/>
        <w:spacing w:line="360" w:lineRule="auto" w:before="54"/>
        <w:ind w:left="102" w:right="106"/>
        <w:jc w:val="both"/>
      </w:pPr>
      <w:r>
        <w:rPr/>
        <w:t>señalan la ubicación de los cambios, ya sea internos o externos en el sistema urbano y metropolitano.</w:t>
      </w:r>
    </w:p>
    <w:p>
      <w:pPr>
        <w:pStyle w:val="BodyText"/>
        <w:spacing w:before="7"/>
      </w:pPr>
    </w:p>
    <w:p>
      <w:pPr>
        <w:pStyle w:val="BodyText"/>
        <w:spacing w:line="360" w:lineRule="auto"/>
        <w:ind w:left="102" w:right="105"/>
        <w:jc w:val="both"/>
        <w:rPr>
          <w:sz w:val="20"/>
        </w:rPr>
      </w:pPr>
      <w:r>
        <w:rPr/>
        <w:t>Entre las condiciones que favorecen la desconcentración, equivale decir el declive de la ciudad central y de la periferia inmediata, están las de tipo económico, del modelo de acumulación que propicia la desconcentración del empleo, reubicándolo en la periferia por lo que es necesario analizar los patrones del empleo, identificando los espacios importantes en la actividad</w:t>
      </w:r>
      <w:r>
        <w:rPr>
          <w:spacing w:val="-22"/>
        </w:rPr>
        <w:t> </w:t>
      </w:r>
      <w:r>
        <w:rPr/>
        <w:t>económica</w:t>
      </w:r>
      <w:r>
        <w:rPr>
          <w:sz w:val="20"/>
        </w:rPr>
        <w:t>.</w:t>
      </w:r>
    </w:p>
    <w:p>
      <w:pPr>
        <w:pStyle w:val="BodyText"/>
        <w:spacing w:before="6"/>
      </w:pPr>
    </w:p>
    <w:p>
      <w:pPr>
        <w:spacing w:before="0" w:after="3"/>
        <w:ind w:left="89" w:right="89" w:firstLine="0"/>
        <w:jc w:val="center"/>
        <w:rPr>
          <w:sz w:val="20"/>
        </w:rPr>
      </w:pPr>
      <w:r>
        <w:rPr>
          <w:sz w:val="20"/>
        </w:rPr>
        <w:t>Esquema 5. Abordaje de la desurbanización en el caso de estudio.</w:t>
      </w:r>
    </w:p>
    <w:p>
      <w:pPr>
        <w:pStyle w:val="BodyText"/>
        <w:ind w:left="170"/>
        <w:rPr>
          <w:sz w:val="20"/>
        </w:rPr>
      </w:pPr>
      <w:r>
        <w:rPr>
          <w:sz w:val="20"/>
        </w:rPr>
        <w:drawing>
          <wp:inline distT="0" distB="0" distL="0" distR="0">
            <wp:extent cx="5438996" cy="5389340"/>
            <wp:effectExtent l="0" t="0" r="0" b="0"/>
            <wp:docPr id="11" name="image11.jpeg" descr=""/>
            <wp:cNvGraphicFramePr>
              <a:graphicFrameLocks noChangeAspect="1"/>
            </wp:cNvGraphicFramePr>
            <a:graphic>
              <a:graphicData uri="http://schemas.openxmlformats.org/drawingml/2006/picture">
                <pic:pic>
                  <pic:nvPicPr>
                    <pic:cNvPr id="12" name="image11.jpeg"/>
                    <pic:cNvPicPr/>
                  </pic:nvPicPr>
                  <pic:blipFill>
                    <a:blip r:embed="rId24" cstate="print"/>
                    <a:stretch>
                      <a:fillRect/>
                    </a:stretch>
                  </pic:blipFill>
                  <pic:spPr>
                    <a:xfrm>
                      <a:off x="0" y="0"/>
                      <a:ext cx="5438996" cy="5389340"/>
                    </a:xfrm>
                    <a:prstGeom prst="rect">
                      <a:avLst/>
                    </a:prstGeom>
                  </pic:spPr>
                </pic:pic>
              </a:graphicData>
            </a:graphic>
          </wp:inline>
        </w:drawing>
      </w:r>
      <w:r>
        <w:rPr>
          <w:sz w:val="20"/>
        </w:rPr>
      </w:r>
    </w:p>
    <w:p>
      <w:pPr>
        <w:spacing w:before="129"/>
        <w:ind w:left="89" w:right="91" w:firstLine="0"/>
        <w:jc w:val="center"/>
        <w:rPr>
          <w:sz w:val="20"/>
        </w:rPr>
      </w:pPr>
      <w:r>
        <w:rPr>
          <w:sz w:val="20"/>
        </w:rPr>
        <w:t>Fuente: Elaboración propia</w:t>
      </w:r>
    </w:p>
    <w:p>
      <w:pPr>
        <w:spacing w:after="0"/>
        <w:jc w:val="center"/>
        <w:rPr>
          <w:sz w:val="20"/>
        </w:rPr>
        <w:sectPr>
          <w:pgSz w:w="12240" w:h="15840"/>
          <w:pgMar w:header="0" w:footer="659" w:top="1360" w:bottom="840" w:left="1600" w:right="1600"/>
        </w:sectPr>
      </w:pPr>
    </w:p>
    <w:p>
      <w:pPr>
        <w:pStyle w:val="BodyText"/>
        <w:spacing w:line="360" w:lineRule="auto" w:before="54"/>
        <w:ind w:left="102" w:right="98"/>
        <w:jc w:val="both"/>
      </w:pPr>
      <w:r>
        <w:rPr/>
        <w:t>La salida de la población de la ciudad principal hacia los espacios pequeños o nuevos nodos con potencial de organización económica son necesarias las relaciones funcionales, los flujos que organizan las dependencias o polarización, las interdependencias de las especializaciones de los núcleos, por ello son necesarios medir los desplazamientos por actividad económica e inclusive los movimientos migratorios internos. Es decir que es necesario identificar los desplazamientos de la población incluso la motorización porque ellas reflejan el funcionamiento, cuáles son los emplazamientos diarios.</w:t>
      </w:r>
    </w:p>
    <w:p>
      <w:pPr>
        <w:pStyle w:val="BodyText"/>
        <w:spacing w:before="8"/>
      </w:pPr>
    </w:p>
    <w:p>
      <w:pPr>
        <w:pStyle w:val="BodyText"/>
        <w:spacing w:line="360" w:lineRule="auto"/>
        <w:ind w:left="102" w:right="99"/>
        <w:jc w:val="both"/>
      </w:pPr>
      <w:r>
        <w:rPr/>
        <w:t>El análisis espacial,-en dónde suceden los procesos-, según sugieren los estudios, divide el espacio de funcionamiento metropolitano generalmente en tres o más partes: i) ciudad central, ii) periferia cercana (primera corona) y iii) la periferia externa (segunda y tercera corona).</w:t>
      </w:r>
    </w:p>
    <w:p>
      <w:pPr>
        <w:pStyle w:val="BodyText"/>
        <w:spacing w:before="10"/>
      </w:pPr>
    </w:p>
    <w:p>
      <w:pPr>
        <w:pStyle w:val="BodyText"/>
        <w:spacing w:line="360" w:lineRule="auto"/>
        <w:ind w:left="102" w:right="105"/>
        <w:jc w:val="both"/>
      </w:pPr>
      <w:r>
        <w:rPr/>
        <w:t>El esquema 5, resume a manera de fases de razonamiento: la primera responde a la pregunta dónde se ubican los procesos, la segunda fase, cuál proceso tendrá seguimiento o qué se va analizar y la tercera, la selección de variables a emplear en la investigación, estas son demográficas, económicos y de flujos.</w:t>
      </w:r>
    </w:p>
    <w:p>
      <w:pPr>
        <w:spacing w:after="0" w:line="360" w:lineRule="auto"/>
        <w:jc w:val="both"/>
        <w:sectPr>
          <w:pgSz w:w="12240" w:h="15840"/>
          <w:pgMar w:header="0" w:footer="659" w:top="1360" w:bottom="840" w:left="1600" w:right="160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Heading1"/>
        <w:spacing w:line="360" w:lineRule="auto" w:before="190"/>
        <w:ind w:left="2" w:right="2"/>
        <w:jc w:val="center"/>
      </w:pPr>
      <w:r>
        <w:rPr/>
        <w:t>Capítulo III. Comprensión y conceptualización de la metropolización en México y ciudad de Toluca</w:t>
      </w:r>
    </w:p>
    <w:p>
      <w:pPr>
        <w:spacing w:after="0" w:line="360" w:lineRule="auto"/>
        <w:jc w:val="center"/>
        <w:sectPr>
          <w:pgSz w:w="12240" w:h="15840"/>
          <w:pgMar w:header="0" w:footer="659" w:top="1500" w:bottom="840" w:left="1640" w:right="1640"/>
        </w:sectPr>
      </w:pPr>
    </w:p>
    <w:p>
      <w:pPr>
        <w:pStyle w:val="Heading3"/>
        <w:spacing w:line="360" w:lineRule="auto"/>
        <w:ind w:left="990" w:hanging="380"/>
      </w:pPr>
      <w:r>
        <w:rPr/>
        <w:t>Capítulo III. Comprensión y conceptualización de la metropolización en México y ciudad de Toluca</w:t>
      </w:r>
    </w:p>
    <w:p>
      <w:pPr>
        <w:pStyle w:val="BodyText"/>
        <w:spacing w:before="4"/>
        <w:rPr>
          <w:b/>
          <w:sz w:val="25"/>
        </w:rPr>
      </w:pPr>
    </w:p>
    <w:p>
      <w:pPr>
        <w:pStyle w:val="BodyText"/>
        <w:spacing w:line="360" w:lineRule="auto"/>
        <w:ind w:left="102" w:right="117"/>
        <w:jc w:val="both"/>
      </w:pPr>
      <w:r>
        <w:rPr/>
        <w:t>El capítulo pasa revista de la bibliografía especializada en los procesos de urbanización de México para extraer corrientes teóricas, conceptuales y las estrategias metodológicas aplicadas. Se conforma de tres partes y conclusión parcial. La primera aborda las corrientes conceptuales que surgieron para examinar las variaciones demográficas y migratorias de la urbanización  presentada en el siglo XX. La segunda recoge las características de los cambios en la estructura territorial y metropolitana en el Estado de México y propiamente Toluca en la última década. Luego se extraen tipologías de análisis que permite precisar una metodología adecuada para la actual</w:t>
      </w:r>
      <w:r>
        <w:rPr>
          <w:spacing w:val="-16"/>
        </w:rPr>
        <w:t> </w:t>
      </w:r>
      <w:r>
        <w:rPr/>
        <w:t>investigación.</w:t>
      </w:r>
    </w:p>
    <w:p>
      <w:pPr>
        <w:pStyle w:val="BodyText"/>
        <w:spacing w:before="7"/>
      </w:pPr>
    </w:p>
    <w:p>
      <w:pPr>
        <w:pStyle w:val="BodyText"/>
        <w:spacing w:line="360" w:lineRule="auto"/>
        <w:ind w:left="102" w:right="116"/>
        <w:jc w:val="both"/>
      </w:pPr>
      <w:r>
        <w:rPr/>
        <w:t>El objetivo del capítulo es analizar la situación de la conceptualización y explicación de los cambios en el contexto mexicano, para que con ello se logre definir la metodología de la</w:t>
      </w:r>
      <w:r>
        <w:rPr>
          <w:spacing w:val="-15"/>
        </w:rPr>
        <w:t> </w:t>
      </w:r>
      <w:r>
        <w:rPr/>
        <w:t>metropolización.</w:t>
      </w:r>
    </w:p>
    <w:p>
      <w:pPr>
        <w:pStyle w:val="BodyText"/>
        <w:spacing w:before="6"/>
      </w:pPr>
    </w:p>
    <w:p>
      <w:pPr>
        <w:pStyle w:val="Heading4"/>
        <w:numPr>
          <w:ilvl w:val="1"/>
          <w:numId w:val="4"/>
        </w:numPr>
        <w:tabs>
          <w:tab w:pos="692" w:val="left" w:leader="none"/>
        </w:tabs>
        <w:spacing w:line="357" w:lineRule="auto" w:before="0" w:after="0"/>
        <w:ind w:left="102" w:right="114" w:firstLine="0"/>
        <w:jc w:val="both"/>
      </w:pPr>
      <w:r>
        <w:rPr/>
        <w:t>Corrientes y perspectivas presentes en las últimas décadas del siglo</w:t>
      </w:r>
      <w:r>
        <w:rPr>
          <w:spacing w:val="-3"/>
        </w:rPr>
        <w:t> </w:t>
      </w:r>
      <w:r>
        <w:rPr/>
        <w:t>XX</w:t>
      </w:r>
    </w:p>
    <w:p>
      <w:pPr>
        <w:pStyle w:val="BodyText"/>
        <w:spacing w:before="4"/>
        <w:rPr>
          <w:b/>
          <w:sz w:val="25"/>
        </w:rPr>
      </w:pPr>
    </w:p>
    <w:p>
      <w:pPr>
        <w:pStyle w:val="BodyText"/>
        <w:spacing w:line="360" w:lineRule="auto"/>
        <w:ind w:left="102" w:right="119"/>
        <w:jc w:val="both"/>
      </w:pPr>
      <w:r>
        <w:rPr/>
        <w:t>El análisis del proceso de urbanización en México, es abordado por diversos autores, de los cuales a continuación serán revisados solo hallazgos empíricamente examinados, desde la perspectiva conceptual de la evolución urbana, donde se ubica la teoría del ciclo urbano (nacional e individual).</w:t>
      </w:r>
    </w:p>
    <w:p>
      <w:pPr>
        <w:pStyle w:val="BodyText"/>
        <w:spacing w:before="7"/>
      </w:pPr>
    </w:p>
    <w:p>
      <w:pPr>
        <w:pStyle w:val="BodyText"/>
        <w:spacing w:line="360" w:lineRule="auto"/>
        <w:ind w:left="102" w:right="117"/>
        <w:jc w:val="both"/>
      </w:pPr>
      <w:r>
        <w:rPr/>
        <w:t>En México, durante el siglo XX, por muchas décadas, el proceso de urbanización ha sido paulatino y concentrado, luego aceleran la concentración, centralización y la polarización urbana, después el proceso de urbanización avanza en el territorio nacional, la alta concentración continúa pero se acompaña de la distribución demográfica y económica, se dinamizan ciudades medias y pequeñas. La población nacional urbana al inicio del siglo XX era de 1.4 millones y el actual siglo arranca con alrededor de 80 millones.</w:t>
      </w:r>
    </w:p>
    <w:p>
      <w:pPr>
        <w:spacing w:after="0" w:line="360" w:lineRule="auto"/>
        <w:jc w:val="both"/>
        <w:sectPr>
          <w:pgSz w:w="12240" w:h="15840"/>
          <w:pgMar w:header="0" w:footer="659" w:top="1380" w:bottom="840" w:left="1600" w:right="1580"/>
        </w:sectPr>
      </w:pPr>
    </w:p>
    <w:p>
      <w:pPr>
        <w:pStyle w:val="BodyText"/>
        <w:spacing w:line="360" w:lineRule="auto" w:before="54"/>
        <w:ind w:left="122" w:right="736"/>
        <w:jc w:val="both"/>
      </w:pPr>
      <w:r>
        <w:rPr/>
        <w:t>Según Sobrino (2011), el nivel de urbanización mexicano se explica por las dinámicas demográfica y de las actividades económicas como se observa en el esquema 6, la primera limitante del aumento de población por aglomeración, fue la salud y el periodo revolucionario, el segundo momento histórico que comienza con la fuerte expansión urbana, y es el periodo de urbanización por la migración de la zona rural hacia la urbana, situación favorecida </w:t>
      </w:r>
      <w:r>
        <w:rPr>
          <w:spacing w:val="2"/>
        </w:rPr>
        <w:t>por </w:t>
      </w:r>
      <w:r>
        <w:rPr/>
        <w:t>el modelo de sustitución de importaciones, finalmente después de 1980 la migración de población, es de carácter internacional, disminuyendo el dinamismo en el crecimiento demográfico, el control y la intervención del Estado en las políticas urbanas. Las características de la urbanización nacional han sido 1) descenso poblacional en ZMCM, cambio de ser nodo de atracción a nodo de expulsión; 2) crecimiento poblacional en las ciudades medias de la región centro y frontera norte; 3) patrón de migración con movimientos urbano-urbano; 4) transición el país de urbano a metropolitano y; 5) institucionalización de la planeación</w:t>
      </w:r>
      <w:r>
        <w:rPr>
          <w:spacing w:val="-14"/>
        </w:rPr>
        <w:t> </w:t>
      </w:r>
      <w:r>
        <w:rPr/>
        <w:t>territorial.</w:t>
      </w:r>
    </w:p>
    <w:p>
      <w:pPr>
        <w:pStyle w:val="BodyText"/>
        <w:spacing w:before="6"/>
      </w:pPr>
    </w:p>
    <w:p>
      <w:pPr>
        <w:spacing w:before="0"/>
        <w:ind w:left="2383" w:right="0" w:firstLine="0"/>
        <w:jc w:val="left"/>
        <w:rPr>
          <w:sz w:val="20"/>
        </w:rPr>
      </w:pPr>
      <w:r>
        <w:rPr/>
        <w:pict>
          <v:group style="position:absolute;margin-left:368.670013pt;margin-top:37.319889pt;width:27.05pt;height:27.05pt;mso-position-horizontal-relative:page;mso-position-vertical-relative:paragraph;z-index:1720" coordorigin="7373,746" coordsize="541,541">
            <v:shape style="position:absolute;left:7393;top:766;width:501;height:501" coordorigin="7393,766" coordsize="501,501" path="m7894,766l7393,1267,7894,1267,7894,766xe" filled="true" fillcolor="#0d0d0d" stroked="false">
              <v:path arrowok="t"/>
              <v:fill type="solid"/>
            </v:shape>
            <v:shape style="position:absolute;left:7393;top:766;width:501;height:501" coordorigin="7393,766" coordsize="501,501" path="m7393,1267l7894,766,7894,1267,7393,1267xe" filled="false" stroked="true" strokeweight="2pt" strokecolor="#0d0d0d">
              <v:path arrowok="t"/>
            </v:shape>
            <w10:wrap type="none"/>
          </v:group>
        </w:pict>
      </w:r>
      <w:r>
        <w:rPr>
          <w:sz w:val="20"/>
        </w:rPr>
        <w:t>Esquema 6. Fases de la urbanización en México</w:t>
      </w:r>
    </w:p>
    <w:p>
      <w:pPr>
        <w:pStyle w:val="BodyText"/>
        <w:rPr>
          <w:sz w:val="20"/>
        </w:rPr>
      </w:pPr>
    </w:p>
    <w:p>
      <w:pPr>
        <w:pStyle w:val="BodyText"/>
        <w:spacing w:before="7"/>
        <w:rPr>
          <w:sz w:val="23"/>
        </w:rPr>
      </w:pPr>
    </w:p>
    <w:p>
      <w:pPr>
        <w:spacing w:after="0"/>
        <w:rPr>
          <w:sz w:val="23"/>
        </w:rPr>
        <w:sectPr>
          <w:pgSz w:w="12240" w:h="15840"/>
          <w:pgMar w:header="0" w:footer="659" w:top="1360" w:bottom="840" w:left="1580" w:right="96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6"/>
        <w:rPr>
          <w:sz w:val="28"/>
        </w:rPr>
      </w:pPr>
    </w:p>
    <w:p>
      <w:pPr>
        <w:spacing w:before="0"/>
        <w:ind w:left="533" w:right="-15" w:firstLine="0"/>
        <w:jc w:val="left"/>
        <w:rPr>
          <w:sz w:val="20"/>
        </w:rPr>
      </w:pPr>
      <w:r>
        <w:rPr/>
        <w:pict>
          <v:group style="position:absolute;margin-left:84.314003pt;margin-top:-17.550112pt;width:148.85pt;height:90.25pt;mso-position-horizontal-relative:page;mso-position-vertical-relative:paragraph;z-index:-301144" coordorigin="1686,-351" coordsize="2977,1805">
            <v:shape style="position:absolute;left:1706;top:-330;width:2937;height:1764" coordorigin="1706,-330" coordsize="2937,1764" path="m4643,-330l1706,-330,1706,-46,1706,1434,1991,1434,1991,-46,4643,-46,4643,-330e" filled="true" fillcolor="#9bba58" stroked="false">
              <v:path arrowok="t"/>
              <v:fill type="solid"/>
            </v:shape>
            <v:shape style="position:absolute;left:1706;top:-331;width:2937;height:1765" coordorigin="1706,-331" coordsize="2937,1765" path="m4643,-331l4643,-47,1991,-47,1991,1434,1706,1434,1706,-331,4643,-331xe" filled="false" stroked="true" strokeweight="2pt" strokecolor="#9bba58">
              <v:path arrowok="t"/>
            </v:shape>
            <w10:wrap type="none"/>
          </v:group>
        </w:pict>
      </w:r>
      <w:r>
        <w:rPr/>
        <w:pict>
          <v:group style="position:absolute;margin-left:206.410004pt;margin-top:-57.650112pt;width:27.05pt;height:27.05pt;mso-position-horizontal-relative:page;mso-position-vertical-relative:paragraph;z-index:1672" coordorigin="4128,-1153" coordsize="541,541">
            <v:shape style="position:absolute;left:4148;top:-1133;width:501;height:501" coordorigin="4148,-1133" coordsize="501,501" path="m4648,-1133l4148,-633,4648,-633,4648,-1133xe" filled="true" fillcolor="#6f2f9f" stroked="false">
              <v:path arrowok="t"/>
              <v:fill type="solid"/>
            </v:shape>
            <v:shape style="position:absolute;left:4148;top:-1133;width:501;height:501" coordorigin="4148,-1133" coordsize="501,501" path="m4148,-633l4648,-1133,4648,-633,4148,-633xe" filled="false" stroked="true" strokeweight="2pt" strokecolor="#6f2f9f">
              <v:path arrowok="t"/>
            </v:shape>
            <w10:wrap type="none"/>
          </v:group>
        </w:pict>
      </w:r>
      <w:r>
        <w:rPr>
          <w:sz w:val="20"/>
        </w:rPr>
        <w:t>1900-1940/50</w:t>
      </w:r>
    </w:p>
    <w:p>
      <w:pPr>
        <w:spacing w:line="216" w:lineRule="auto" w:before="74"/>
        <w:ind w:left="477" w:right="-15" w:firstLine="0"/>
        <w:jc w:val="left"/>
        <w:rPr>
          <w:sz w:val="20"/>
        </w:rPr>
      </w:pPr>
      <w:r>
        <w:rPr>
          <w:sz w:val="20"/>
        </w:rPr>
        <w:t>Escaso dinamismo demográfico producto de la conjunción de alta tasa de natalidad y significativa</w:t>
      </w:r>
      <w:r>
        <w:rPr>
          <w:spacing w:val="-7"/>
          <w:sz w:val="20"/>
        </w:rPr>
        <w:t> </w:t>
      </w:r>
      <w:r>
        <w:rPr>
          <w:sz w:val="20"/>
        </w:rPr>
        <w:t>tasa de</w:t>
      </w:r>
      <w:r>
        <w:rPr>
          <w:spacing w:val="-4"/>
          <w:sz w:val="20"/>
        </w:rPr>
        <w:t> </w:t>
      </w:r>
      <w:r>
        <w:rPr>
          <w:sz w:val="20"/>
        </w:rPr>
        <w:t>mortalidad.</w:t>
      </w:r>
    </w:p>
    <w:p>
      <w:pPr>
        <w:spacing w:line="218" w:lineRule="exact" w:before="62"/>
        <w:ind w:left="477" w:right="-15" w:firstLine="0"/>
        <w:jc w:val="left"/>
        <w:rPr>
          <w:sz w:val="20"/>
        </w:rPr>
      </w:pPr>
      <w:r>
        <w:rPr>
          <w:sz w:val="20"/>
        </w:rPr>
        <w:t>Sistema urbano nacional</w:t>
      </w:r>
    </w:p>
    <w:p>
      <w:pPr>
        <w:spacing w:line="218" w:lineRule="exact" w:before="0"/>
        <w:ind w:left="477" w:right="-15" w:firstLine="0"/>
        <w:jc w:val="left"/>
        <w:rPr>
          <w:sz w:val="20"/>
        </w:rPr>
      </w:pPr>
      <w:r>
        <w:rPr>
          <w:sz w:val="20"/>
        </w:rPr>
        <w:t>(SUN) con alta dispersión.</w:t>
      </w:r>
    </w:p>
    <w:p>
      <w:pPr>
        <w:spacing w:line="206" w:lineRule="exact" w:before="81"/>
        <w:ind w:left="477" w:right="390" w:firstLine="0"/>
        <w:jc w:val="left"/>
        <w:rPr>
          <w:sz w:val="20"/>
        </w:rPr>
      </w:pPr>
      <w:r>
        <w:rPr>
          <w:sz w:val="20"/>
        </w:rPr>
        <w:t>(Ruptura con el modelo liberal agroexportador)</w:t>
      </w:r>
    </w:p>
    <w:p>
      <w:pPr>
        <w:pStyle w:val="BodyText"/>
        <w:rPr>
          <w:sz w:val="20"/>
        </w:rPr>
      </w:pPr>
      <w:r>
        <w:rPr/>
        <w:br w:type="column"/>
      </w:r>
      <w:r>
        <w:rPr>
          <w:sz w:val="20"/>
        </w:rPr>
      </w:r>
    </w:p>
    <w:p>
      <w:pPr>
        <w:pStyle w:val="BodyText"/>
        <w:rPr>
          <w:sz w:val="20"/>
        </w:rPr>
      </w:pPr>
    </w:p>
    <w:p>
      <w:pPr>
        <w:pStyle w:val="BodyText"/>
        <w:rPr>
          <w:sz w:val="20"/>
        </w:rPr>
      </w:pPr>
    </w:p>
    <w:p>
      <w:pPr>
        <w:pStyle w:val="BodyText"/>
        <w:rPr>
          <w:sz w:val="20"/>
        </w:rPr>
      </w:pPr>
    </w:p>
    <w:p>
      <w:pPr>
        <w:pStyle w:val="BodyText"/>
        <w:rPr>
          <w:sz w:val="21"/>
        </w:rPr>
      </w:pPr>
    </w:p>
    <w:p>
      <w:pPr>
        <w:spacing w:before="0"/>
        <w:ind w:left="477" w:right="19" w:firstLine="0"/>
        <w:jc w:val="left"/>
        <w:rPr>
          <w:sz w:val="20"/>
        </w:rPr>
      </w:pPr>
      <w:r>
        <w:rPr>
          <w:sz w:val="20"/>
        </w:rPr>
        <w:t>1950-1980/90</w:t>
      </w:r>
    </w:p>
    <w:p>
      <w:pPr>
        <w:spacing w:line="216" w:lineRule="auto" w:before="74"/>
        <w:ind w:left="477" w:right="19" w:firstLine="0"/>
        <w:jc w:val="left"/>
        <w:rPr>
          <w:sz w:val="20"/>
        </w:rPr>
      </w:pPr>
      <w:r>
        <w:rPr/>
        <w:pict>
          <v:group style="position:absolute;margin-left:248.550003pt;margin-top:-32.568119pt;width:148.85pt;height:90.25pt;mso-position-horizontal-relative:page;mso-position-vertical-relative:paragraph;z-index:-301096" coordorigin="4971,-651" coordsize="2977,1805">
            <v:shape style="position:absolute;left:4991;top:-631;width:2937;height:1764" coordorigin="4991,-631" coordsize="2937,1764" path="m7927,-631l4991,-631,4991,-347,4991,1133,5275,1133,5275,-347,7927,-347,7927,-631e" filled="true" fillcolor="#6f2f9f" stroked="false">
              <v:path arrowok="t"/>
              <v:fill type="solid"/>
            </v:shape>
            <v:shape style="position:absolute;left:4991;top:-631;width:2937;height:1765" coordorigin="4991,-631" coordsize="2937,1765" path="m7927,-631l7927,-347,5275,-347,5275,1133,4991,1133,4991,-631,7927,-631xe" filled="false" stroked="true" strokeweight="2pt" strokecolor="#6f2f9f">
              <v:path arrowok="t"/>
            </v:shape>
            <w10:wrap type="none"/>
          </v:group>
        </w:pict>
      </w:r>
      <w:r>
        <w:rPr>
          <w:sz w:val="20"/>
        </w:rPr>
        <w:t>Expansión demográfica por alta tasa de natalidad y caída en la de mortalidad, migración interna desde áreas rurales hacia zonas urbanas.</w:t>
      </w:r>
    </w:p>
    <w:p>
      <w:pPr>
        <w:spacing w:before="60"/>
        <w:ind w:left="477" w:right="-17" w:firstLine="0"/>
        <w:jc w:val="left"/>
        <w:rPr>
          <w:sz w:val="20"/>
        </w:rPr>
      </w:pPr>
      <w:r>
        <w:rPr>
          <w:sz w:val="20"/>
        </w:rPr>
        <w:t>SUN con alta</w:t>
      </w:r>
      <w:r>
        <w:rPr>
          <w:spacing w:val="-9"/>
          <w:sz w:val="20"/>
        </w:rPr>
        <w:t> </w:t>
      </w:r>
      <w:r>
        <w:rPr>
          <w:sz w:val="20"/>
        </w:rPr>
        <w:t>concentración</w:t>
      </w:r>
    </w:p>
    <w:p>
      <w:pPr>
        <w:spacing w:line="216" w:lineRule="auto" w:before="77"/>
        <w:ind w:left="477" w:right="597" w:firstLine="0"/>
        <w:jc w:val="left"/>
        <w:rPr>
          <w:sz w:val="20"/>
        </w:rPr>
      </w:pPr>
      <w:r>
        <w:rPr>
          <w:sz w:val="20"/>
        </w:rPr>
        <w:t>(Desarrollo mediante sustitución de importaciones)</w:t>
      </w:r>
    </w:p>
    <w:p>
      <w:pPr>
        <w:spacing w:before="74"/>
        <w:ind w:left="477" w:right="305" w:firstLine="0"/>
        <w:jc w:val="left"/>
        <w:rPr>
          <w:sz w:val="20"/>
        </w:rPr>
      </w:pPr>
      <w:r>
        <w:rPr/>
        <w:br w:type="column"/>
      </w:r>
      <w:r>
        <w:rPr>
          <w:sz w:val="20"/>
        </w:rPr>
        <w:t>1990 - 2010</w:t>
      </w:r>
    </w:p>
    <w:p>
      <w:pPr>
        <w:spacing w:line="216" w:lineRule="auto" w:before="74"/>
        <w:ind w:left="477" w:right="305" w:firstLine="0"/>
        <w:jc w:val="left"/>
        <w:rPr>
          <w:sz w:val="20"/>
        </w:rPr>
      </w:pPr>
      <w:r>
        <w:rPr/>
        <w:pict>
          <v:group style="position:absolute;margin-left:409.369995pt;margin-top:-35.158104pt;width:148.85pt;height:90.25pt;mso-position-horizontal-relative:page;mso-position-vertical-relative:paragraph;z-index:-301048" coordorigin="8187,-703" coordsize="2977,1805">
            <v:shape style="position:absolute;left:8207;top:-683;width:2937;height:1764" coordorigin="8207,-683" coordsize="2937,1764" path="m11144,-683l8207,-683,8207,-399,8207,1081,8492,1081,8492,-399,11144,-399,11144,-683e" filled="true" fillcolor="#0d0d0d" stroked="false">
              <v:path arrowok="t"/>
              <v:fill type="solid"/>
            </v:shape>
            <v:shape style="position:absolute;left:8207;top:-683;width:2937;height:1765" coordorigin="8207,-683" coordsize="2937,1765" path="m11144,-683l11144,-399,8492,-399,8492,1081,8207,1081,8207,-683,11144,-683xe" filled="false" stroked="true" strokeweight="2pt" strokecolor="#0d0d0d">
              <v:path arrowok="t"/>
            </v:shape>
            <w10:wrap type="none"/>
          </v:group>
        </w:pict>
      </w:r>
      <w:r>
        <w:rPr>
          <w:sz w:val="20"/>
        </w:rPr>
        <w:t>Descenso de la natalidad y mortalidad, aumenta la migracion internacional.</w:t>
      </w:r>
    </w:p>
    <w:p>
      <w:pPr>
        <w:spacing w:line="206" w:lineRule="exact" w:before="85"/>
        <w:ind w:left="477" w:right="190" w:firstLine="0"/>
        <w:jc w:val="left"/>
        <w:rPr>
          <w:sz w:val="20"/>
        </w:rPr>
      </w:pPr>
      <w:r>
        <w:rPr>
          <w:sz w:val="20"/>
        </w:rPr>
        <w:t>SUN, con descentralización y desconcentración urbana.</w:t>
      </w:r>
    </w:p>
    <w:p>
      <w:pPr>
        <w:spacing w:line="206" w:lineRule="exact" w:before="82"/>
        <w:ind w:left="477" w:right="183" w:firstLine="0"/>
        <w:jc w:val="left"/>
        <w:rPr>
          <w:sz w:val="20"/>
        </w:rPr>
      </w:pPr>
      <w:r>
        <w:rPr>
          <w:sz w:val="20"/>
        </w:rPr>
        <w:t>(Apertura comercial y menor peso del Estado).</w:t>
      </w:r>
    </w:p>
    <w:p>
      <w:pPr>
        <w:spacing w:after="0" w:line="206" w:lineRule="exact"/>
        <w:jc w:val="left"/>
        <w:rPr>
          <w:sz w:val="20"/>
        </w:rPr>
        <w:sectPr>
          <w:type w:val="continuous"/>
          <w:pgSz w:w="12240" w:h="15840"/>
          <w:pgMar w:top="1500" w:bottom="280" w:left="1580" w:right="960"/>
          <w:cols w:num="3" w:equalWidth="0">
            <w:col w:w="2966" w:space="380"/>
            <w:col w:w="2951" w:space="199"/>
            <w:col w:w="3204"/>
          </w:cols>
        </w:sectPr>
      </w:pPr>
    </w:p>
    <w:p>
      <w:pPr>
        <w:pStyle w:val="BodyText"/>
        <w:spacing w:before="3"/>
        <w:rPr>
          <w:sz w:val="9"/>
        </w:rPr>
      </w:pPr>
    </w:p>
    <w:p>
      <w:pPr>
        <w:spacing w:before="74"/>
        <w:ind w:left="2075" w:right="0" w:firstLine="0"/>
        <w:jc w:val="left"/>
        <w:rPr>
          <w:sz w:val="20"/>
        </w:rPr>
      </w:pPr>
      <w:r>
        <w:rPr>
          <w:sz w:val="20"/>
        </w:rPr>
        <w:t>Fuente: Elaboración propia con base en Sobrino (2011)</w:t>
      </w:r>
    </w:p>
    <w:p>
      <w:pPr>
        <w:spacing w:after="0"/>
        <w:jc w:val="left"/>
        <w:rPr>
          <w:sz w:val="20"/>
        </w:rPr>
        <w:sectPr>
          <w:type w:val="continuous"/>
          <w:pgSz w:w="12240" w:h="15840"/>
          <w:pgMar w:top="1500" w:bottom="280" w:left="1580" w:right="960"/>
        </w:sectPr>
      </w:pPr>
    </w:p>
    <w:p>
      <w:pPr>
        <w:pStyle w:val="BodyText"/>
        <w:spacing w:before="54"/>
        <w:ind w:left="102"/>
        <w:jc w:val="both"/>
      </w:pPr>
      <w:r>
        <w:rPr/>
        <w:t>Respecto a la concentración espacial urbana en México, Sobrino (1995)   describe</w:t>
      </w:r>
    </w:p>
    <w:p>
      <w:pPr>
        <w:pStyle w:val="BodyText"/>
        <w:spacing w:line="360" w:lineRule="auto" w:before="139"/>
        <w:ind w:left="102" w:right="115"/>
        <w:jc w:val="both"/>
      </w:pPr>
      <w:r>
        <w:rPr/>
        <w:t>5 patrones: Concentración urbana, población predominante urbana sólo una tercera parte rural; concentración jerárquica, la población se ubica en las ciudades grandes; dispersión espacial relativa, aumento de población pero no de localidades; concentración económica con concentración demográfica, la actividad económica se concentra en las ciudades grandes y; concentración metropolitana, el crecimiento poblacional se expande a otros límites conformando áreas metropolitanas.</w:t>
      </w:r>
    </w:p>
    <w:p>
      <w:pPr>
        <w:pStyle w:val="BodyText"/>
        <w:spacing w:before="8"/>
      </w:pPr>
    </w:p>
    <w:p>
      <w:pPr>
        <w:pStyle w:val="BodyText"/>
        <w:spacing w:line="360" w:lineRule="auto"/>
        <w:ind w:left="102" w:right="117"/>
        <w:jc w:val="both"/>
      </w:pPr>
      <w:r>
        <w:rPr/>
        <w:t>El proceso metropolitano en México, según Sobrino (1995: 249) comenzó en los años cuarenta, desde entonces se ha incrementado el número de zonas metropolitanas que se caracteriza por la concentración económica, demográfica y tenencia de la tierra. Respecto a la metropolización, Sobrino (1995) dice que en México, inicialmente adquiere un patrón centro periferia que después concentrará menor población en el centro, favoreciendo a la periferia. Las etapas de metropolitanismo muestran que la población comienza a crecer en la periferia en vez de que en la ciudad central, primero este cambio se observa en la población y después en la economía, por lo que la periferia se compone de población foránea ya sea migración intrametropolitana, rural-metropolitana y urbana-metropolitana todo ello producto de la descentralización económica, principalmente industrial.</w:t>
      </w:r>
    </w:p>
    <w:p>
      <w:pPr>
        <w:pStyle w:val="BodyText"/>
        <w:spacing w:before="7"/>
      </w:pPr>
    </w:p>
    <w:p>
      <w:pPr>
        <w:pStyle w:val="BodyText"/>
        <w:spacing w:line="360" w:lineRule="auto"/>
        <w:ind w:left="102" w:right="118"/>
        <w:jc w:val="both"/>
      </w:pPr>
      <w:r>
        <w:rPr/>
        <w:t>De la urbanización contemporánea de fin del siglo XX, se destaca el cambio de alta concentración urbana nacional y regional a otra de desconcentración, ello impacta a la configuración de las zonas metropolitanas más grandes y principales y la posterior transformación de las ciudades medias y los efectos espaciales de todas las</w:t>
      </w:r>
      <w:r>
        <w:rPr>
          <w:spacing w:val="-7"/>
        </w:rPr>
        <w:t> </w:t>
      </w:r>
      <w:r>
        <w:rPr/>
        <w:t>ciudades.</w:t>
      </w:r>
    </w:p>
    <w:p>
      <w:pPr>
        <w:pStyle w:val="BodyText"/>
        <w:spacing w:before="8"/>
      </w:pPr>
    </w:p>
    <w:p>
      <w:pPr>
        <w:pStyle w:val="BodyText"/>
        <w:spacing w:line="360" w:lineRule="auto"/>
        <w:ind w:left="102" w:right="116"/>
        <w:jc w:val="both"/>
      </w:pPr>
      <w:r>
        <w:rPr/>
        <w:t>Graizbord (1995: 51-52) identifica cinco aspectos: 1) el ritmo de urbanización comienza a reducir en las zonas urbanas mayores; 2) se incrementan las facilidades de viaje a mayores distancias de la fuerza de trabajo, sin cambiar su residencia; 3) la suburbanización y desconcentración espacial marca los inicios de una estructura poli céntrica, crecen las grandes ciudades que se catalogan  </w:t>
      </w:r>
      <w:r>
        <w:rPr>
          <w:spacing w:val="54"/>
        </w:rPr>
        <w:t> </w:t>
      </w:r>
      <w:r>
        <w:rPr/>
        <w:t>como</w:t>
      </w:r>
    </w:p>
    <w:p>
      <w:pPr>
        <w:spacing w:after="0" w:line="360" w:lineRule="auto"/>
        <w:jc w:val="both"/>
        <w:sectPr>
          <w:pgSz w:w="12240" w:h="15840"/>
          <w:pgMar w:header="0" w:footer="659" w:top="1360" w:bottom="840" w:left="1600" w:right="1580"/>
        </w:sectPr>
      </w:pPr>
    </w:p>
    <w:p>
      <w:pPr>
        <w:pStyle w:val="BodyText"/>
        <w:spacing w:line="360" w:lineRule="auto" w:before="54"/>
        <w:ind w:left="102" w:right="125"/>
        <w:jc w:val="both"/>
      </w:pPr>
      <w:r>
        <w:rPr/>
        <w:t>metrópolis y relocalización de zonas y actividades, las ciudades primarias y zonas metropolitanas más viejas reducen ritmo de crecimiento y reducen las diferencias en tamaño entre la ciudad principal y la secundaria y 5) los cambios no son deliberados o por orientaciones políticas, obedecen a su evolución.</w:t>
      </w:r>
    </w:p>
    <w:p>
      <w:pPr>
        <w:pStyle w:val="BodyText"/>
        <w:spacing w:before="7"/>
      </w:pPr>
    </w:p>
    <w:p>
      <w:pPr>
        <w:pStyle w:val="BodyText"/>
        <w:spacing w:line="360" w:lineRule="auto"/>
        <w:ind w:left="102" w:right="118"/>
        <w:jc w:val="both"/>
      </w:pPr>
      <w:r>
        <w:rPr/>
        <w:t>Sobre la concentración y aquellos factores que la explican, tales como mayor concentración de población, acompañada de mayor concentración de actividades económicas y funciones y derivado de ello la mayor atracción de los flujos en general, todo ello conforma tipos y grados de concentración, que progresivamente se suavizan al iniciar la redistribución de los recursos, funciones y emergen  nuevos esquemas de organización espacial, que refiere a grados de desconcentración</w:t>
      </w:r>
      <w:r>
        <w:rPr>
          <w:spacing w:val="-9"/>
        </w:rPr>
        <w:t> </w:t>
      </w:r>
      <w:r>
        <w:rPr/>
        <w:t>urbana.</w:t>
      </w:r>
    </w:p>
    <w:p>
      <w:pPr>
        <w:pStyle w:val="BodyText"/>
        <w:spacing w:before="7"/>
      </w:pPr>
    </w:p>
    <w:p>
      <w:pPr>
        <w:pStyle w:val="BodyText"/>
        <w:spacing w:line="360" w:lineRule="auto"/>
        <w:ind w:left="102" w:right="116"/>
        <w:jc w:val="both"/>
      </w:pPr>
      <w:r>
        <w:rPr/>
        <w:t>La influencia de la situación económica sobre la urbanización, según Graizbord (1995:55-57) se acompaña de los ciclos económicos y el proceso de evolución de una ciudad que se asemeja a una </w:t>
      </w:r>
      <w:r>
        <w:rPr>
          <w:i/>
        </w:rPr>
        <w:t>“u” </w:t>
      </w:r>
      <w:r>
        <w:rPr/>
        <w:t>invertida pues se llega en un tiempo al punto máximo y pasa a la desaceleración o rechazo, en un tiempo logrará estabilidad en el proceso, aunque los ciclos pueden traslaparse en el tiempo. Además en México el comportamiento económico se acompaña de las variables demográficas, pues  la concentración de población permite una economía de aglomeración, ello condiciona la localización de las actividades económicas en territorio, lo que favorece las condiciones de urbanización, ya que la oferta de empleos genera los desplazamientos del éxodo rural al urbano. Por ello una crisis puede desconcentrar, generar desurbanización o lo contrario puede concentrar. El caso de la ciudad de México, en los años ochenta, el proceso de descentralización se generó al haber alcanzado el crecimiento máximo y éste presentó un sentido contrario, es decir, desconcentró las actividades fuera de</w:t>
      </w:r>
      <w:r>
        <w:rPr>
          <w:spacing w:val="-18"/>
        </w:rPr>
        <w:t> </w:t>
      </w:r>
      <w:r>
        <w:rPr/>
        <w:t>ella.</w:t>
      </w:r>
    </w:p>
    <w:p>
      <w:pPr>
        <w:pStyle w:val="BodyText"/>
        <w:spacing w:before="10"/>
      </w:pPr>
    </w:p>
    <w:p>
      <w:pPr>
        <w:pStyle w:val="BodyText"/>
        <w:spacing w:line="360" w:lineRule="auto"/>
        <w:ind w:left="102" w:right="121"/>
        <w:jc w:val="both"/>
      </w:pPr>
      <w:r>
        <w:rPr/>
        <w:t>En cuanto a la concentración de población que explica el metropolitanismo, de acuerdo con Negrete (1995: 29-39), en una zona metropolitana, se reconoce por el crecimiento demográfico, el cual es menor que en comparación con el crecimiento natural  de  la  ciudad,  además  del  despoblamiento  económico  del  centro     de</w:t>
      </w:r>
    </w:p>
    <w:p>
      <w:pPr>
        <w:spacing w:after="0" w:line="360" w:lineRule="auto"/>
        <w:jc w:val="both"/>
        <w:sectPr>
          <w:pgSz w:w="12240" w:h="15840"/>
          <w:pgMar w:header="0" w:footer="659" w:top="1360" w:bottom="840" w:left="1600" w:right="1580"/>
        </w:sectPr>
      </w:pPr>
    </w:p>
    <w:p>
      <w:pPr>
        <w:pStyle w:val="BodyText"/>
        <w:spacing w:line="360" w:lineRule="auto" w:before="54"/>
        <w:ind w:left="102" w:right="117"/>
        <w:jc w:val="both"/>
      </w:pPr>
      <w:r>
        <w:rPr/>
        <w:t>negocios, el crecimiento se ubica en la periferia metropolitana, y se extiende en el territorio interurbano y localidades de distintos tamaños que crecen a ritmos similares, que mantienen integración funcional, producto de mejoras en la accesibilidad, favoreciendo la consolidación del sistema urbano, con mayor densidad demográfica, poblamiento disperso y mejores comunicaciones.</w:t>
      </w:r>
    </w:p>
    <w:p>
      <w:pPr>
        <w:pStyle w:val="BodyText"/>
        <w:spacing w:before="10"/>
      </w:pPr>
    </w:p>
    <w:p>
      <w:pPr>
        <w:pStyle w:val="BodyText"/>
        <w:spacing w:line="360" w:lineRule="auto"/>
        <w:ind w:left="102" w:right="120"/>
        <w:jc w:val="both"/>
      </w:pPr>
      <w:r>
        <w:rPr/>
        <w:t>En México, dice Negrete (1995) la evolución metropolitana de los municipios se observa en tres momentos, el primero en las modificaciones de la estructura territorial nacional entre 1970 y 1990, mediante los aumentos de a) población urbana y b) ciudades (en número) y en la concentración poblacional en ciudades grandes; el segundo momento por la desaceleración del proceso de concentración manifestado en el decrecimiento poblacional; y el tercer momento, la convergencia en el sistema urbano, siendo una condición que se distribuya en varias ciudades medias y grandes. En México, en la década del noventa, se identificó un metropolitanismo avanzado en la ciudad de México, Guadalajara y Monterrey y la situación urbana de Toluca es producto de la influencia regional de la ciudad de México, por ello, Toluca reporta aumento de población urbana con ritmo  acelerado, ubicándose como zona metropolitana en fase de transición y área urbana en consolidación por concentrar el mayor porcentaje de la población y generación económica en la ciudad central y con funciones económicas semi diversificadas.</w:t>
      </w:r>
    </w:p>
    <w:p>
      <w:pPr>
        <w:pStyle w:val="BodyText"/>
        <w:spacing w:before="7"/>
      </w:pPr>
    </w:p>
    <w:p>
      <w:pPr>
        <w:pStyle w:val="BodyText"/>
        <w:spacing w:line="360" w:lineRule="auto"/>
        <w:ind w:left="102" w:right="120"/>
        <w:jc w:val="both"/>
      </w:pPr>
      <w:r>
        <w:rPr/>
        <w:t>Negretre (2008), con el trasfondo de la realidad mexicana, comenta que en años recientes con el enfoque sistémico se emplearon y adoptaron los conceptos de sistemas de ciudades y sistemas metropolitanos, en la comprensión de las relaciones entre las ciudades y sus ciudades adyacentes para lo cual se necesitan conocer los movimientos de mercancías y de la población lo que determina el grado de integración económica.</w:t>
      </w:r>
    </w:p>
    <w:p>
      <w:pPr>
        <w:pStyle w:val="BodyText"/>
        <w:spacing w:before="7"/>
      </w:pPr>
    </w:p>
    <w:p>
      <w:pPr>
        <w:pStyle w:val="BodyText"/>
        <w:spacing w:line="360" w:lineRule="auto"/>
        <w:ind w:left="102" w:right="121"/>
        <w:jc w:val="both"/>
      </w:pPr>
      <w:r>
        <w:rPr/>
        <w:t>En la región centro de México, la distribución urbana se ve eclipsada por el  tamaño de la Ciudad de México, ya que históricamente se posicionó como la de mayor</w:t>
      </w:r>
      <w:r>
        <w:rPr>
          <w:spacing w:val="42"/>
        </w:rPr>
        <w:t> </w:t>
      </w:r>
      <w:r>
        <w:rPr/>
        <w:t>magnitud,</w:t>
      </w:r>
      <w:r>
        <w:rPr>
          <w:spacing w:val="41"/>
        </w:rPr>
        <w:t> </w:t>
      </w:r>
      <w:r>
        <w:rPr/>
        <w:t>y</w:t>
      </w:r>
      <w:r>
        <w:rPr>
          <w:spacing w:val="40"/>
        </w:rPr>
        <w:t> </w:t>
      </w:r>
      <w:r>
        <w:rPr/>
        <w:t>sus</w:t>
      </w:r>
      <w:r>
        <w:rPr>
          <w:spacing w:val="43"/>
        </w:rPr>
        <w:t> </w:t>
      </w:r>
      <w:r>
        <w:rPr/>
        <w:t>aledañas</w:t>
      </w:r>
      <w:r>
        <w:rPr>
          <w:spacing w:val="43"/>
        </w:rPr>
        <w:t> </w:t>
      </w:r>
      <w:r>
        <w:rPr/>
        <w:t>parecían</w:t>
      </w:r>
      <w:r>
        <w:rPr>
          <w:spacing w:val="41"/>
        </w:rPr>
        <w:t> </w:t>
      </w:r>
      <w:r>
        <w:rPr/>
        <w:t>no</w:t>
      </w:r>
      <w:r>
        <w:rPr>
          <w:spacing w:val="41"/>
        </w:rPr>
        <w:t> </w:t>
      </w:r>
      <w:r>
        <w:rPr/>
        <w:t>hacerlo</w:t>
      </w:r>
      <w:r>
        <w:rPr>
          <w:spacing w:val="41"/>
        </w:rPr>
        <w:t> </w:t>
      </w:r>
      <w:r>
        <w:rPr/>
        <w:t>como</w:t>
      </w:r>
      <w:r>
        <w:rPr>
          <w:spacing w:val="41"/>
        </w:rPr>
        <w:t> </w:t>
      </w:r>
      <w:r>
        <w:rPr/>
        <w:t>parte</w:t>
      </w:r>
      <w:r>
        <w:rPr>
          <w:spacing w:val="43"/>
        </w:rPr>
        <w:t> </w:t>
      </w:r>
      <w:r>
        <w:rPr/>
        <w:t>de</w:t>
      </w:r>
      <w:r>
        <w:rPr>
          <w:spacing w:val="43"/>
        </w:rPr>
        <w:t> </w:t>
      </w:r>
      <w:r>
        <w:rPr/>
        <w:t>un</w:t>
      </w:r>
      <w:r>
        <w:rPr>
          <w:spacing w:val="41"/>
        </w:rPr>
        <w:t> </w:t>
      </w:r>
      <w:r>
        <w:rPr/>
        <w:t>efecto</w:t>
      </w:r>
    </w:p>
    <w:p>
      <w:pPr>
        <w:spacing w:after="0" w:line="360" w:lineRule="auto"/>
        <w:jc w:val="both"/>
        <w:sectPr>
          <w:footerReference w:type="default" r:id="rId25"/>
          <w:pgSz w:w="12240" w:h="15840"/>
          <w:pgMar w:footer="659" w:header="0" w:top="1360" w:bottom="840" w:left="1600" w:right="1580"/>
        </w:sectPr>
      </w:pPr>
    </w:p>
    <w:p>
      <w:pPr>
        <w:pStyle w:val="BodyText"/>
        <w:spacing w:line="360" w:lineRule="auto" w:before="54"/>
        <w:ind w:left="122" w:right="117"/>
        <w:jc w:val="both"/>
      </w:pPr>
      <w:r>
        <w:rPr/>
        <w:t>“inhibidor”, entre ellas Toluca. Desde 1980, la ciudad de Toluca se catalogó como ciudad grande, entra al análisis como una de las ciudades pertenecientes a la corona por su posición geográfica (distancia) y conectividad que contribuyen a una relación cotidiana como parte de su ventaja de capital de entidad. Entre los factores que contribuyeron a la descentralización de la ciudad de México a sus aledañas fue el sismo de 1985, Toluca cuenta con economía diversificada, se ha fortalecido la industria en la periferia urbana, al tiempo que los servicios y el comercio, satisfacen necesidades de la influencia extraurbana. Por su ubicación compensa ventajas y desventajas mediante su infraestructura terrestre que le permite la vinculación de sus mercados laborales y turísticos, generando flujos de población, que definen la integración funcional constante con la ciudad de México (Negrete, 2008).</w:t>
      </w:r>
    </w:p>
    <w:p>
      <w:pPr>
        <w:pStyle w:val="BodyText"/>
        <w:spacing w:before="7"/>
      </w:pPr>
    </w:p>
    <w:p>
      <w:pPr>
        <w:pStyle w:val="BodyText"/>
        <w:spacing w:line="360" w:lineRule="auto"/>
        <w:ind w:left="122" w:right="115"/>
        <w:jc w:val="both"/>
      </w:pPr>
      <w:r>
        <w:rPr/>
        <w:t>Sobrino (2007: 588-593) selecciona ocho zonas metropolitanas de México –de mayor concentración demográfica en 2000, México, Guadalajara, Monterrey, Puebla, Toluca y, tres de tamaño medio Oaxaca, Orizaba y Tlaxcala- en las cuales examina la relación funcional y califica las etapas de metropolitanismo; espacialmente divide una zona en tres, la ciudad central que contiene el nodo funcional comercial cultural social y de negocios, el área suburbana, ubicada en la periferia continua y en parte del tejido construido, la tercera unidad es la franja periurbana o rururbana que contiene características rural, la población económicamente activa que radica en ella se emplea en el mercado laboral metropolitano. Estas zonas metropolitanas en la década del noventa mostraron</w:t>
      </w:r>
    </w:p>
    <w:p>
      <w:pPr>
        <w:pStyle w:val="BodyText"/>
        <w:spacing w:line="281" w:lineRule="exact"/>
        <w:ind w:left="122"/>
        <w:jc w:val="both"/>
      </w:pPr>
      <w:r>
        <w:rPr/>
        <w:t>etapas avanzadas de metropolitanismos</w:t>
      </w:r>
      <w:r>
        <w:rPr>
          <w:position w:val="11"/>
          <w:sz w:val="16"/>
        </w:rPr>
        <w:t>16</w:t>
      </w:r>
      <w:r>
        <w:rPr/>
        <w:t>: estaban en desurbanización las Ciudad</w:t>
      </w:r>
    </w:p>
    <w:p>
      <w:pPr>
        <w:pStyle w:val="BodyText"/>
        <w:spacing w:line="360" w:lineRule="auto" w:before="137"/>
        <w:ind w:left="122" w:right="126"/>
        <w:jc w:val="both"/>
      </w:pPr>
      <w:r>
        <w:rPr/>
        <w:t>de México, Guadalajara, Monterrey y Orizaba, en fase de suburbanización Toluca, Oaxaca y Puebla y, Tlaxcala, con dominio de la ciudad central o fase de urbanización.</w:t>
      </w:r>
    </w:p>
    <w:p>
      <w:pPr>
        <w:pStyle w:val="BodyText"/>
        <w:spacing w:before="5"/>
        <w:rPr>
          <w:sz w:val="28"/>
        </w:rPr>
      </w:pPr>
      <w:r>
        <w:rPr/>
        <w:pict>
          <v:line style="position:absolute;mso-position-horizontal-relative:page;mso-position-vertical-relative:paragraph;z-index:1768;mso-wrap-distance-left:0;mso-wrap-distance-right:0" from="85.103996pt,18.713898pt" to="229.123996pt,18.713898pt" stroked="true" strokeweight=".72003pt" strokecolor="#000000">
            <w10:wrap type="topAndBottom"/>
          </v:line>
        </w:pict>
      </w:r>
    </w:p>
    <w:p>
      <w:pPr>
        <w:spacing w:before="37"/>
        <w:ind w:left="122" w:right="112" w:firstLine="0"/>
        <w:jc w:val="both"/>
        <w:rPr>
          <w:sz w:val="18"/>
        </w:rPr>
      </w:pPr>
      <w:r>
        <w:rPr>
          <w:position w:val="9"/>
          <w:sz w:val="12"/>
        </w:rPr>
        <w:t>16 </w:t>
      </w:r>
      <w:r>
        <w:rPr>
          <w:sz w:val="18"/>
        </w:rPr>
        <w:t>Sobrino (2007) identifica la fases de metropolitanismo con base en el comportamiento de las variables que cambian en la estructura urbana: Demográfica (tasa de crecimiento poblacional 1990-2000), datos físicos (distancia lineal y densidad media urbana), económicas (producto interno bruto per cápita de industria, comercio y servicios 1998), movilidad (población que se mudó de la ciudad central a otra jurisdicción </w:t>
      </w:r>
      <w:r>
        <w:rPr>
          <w:spacing w:val="2"/>
          <w:sz w:val="18"/>
        </w:rPr>
        <w:t>1995- </w:t>
      </w:r>
      <w:r>
        <w:rPr>
          <w:sz w:val="18"/>
        </w:rPr>
        <w:t>2000 [%], viajes por motivo de trabajo de otra jurisdicción a la ciudad central [%], viviendas con automóvil  2000</w:t>
      </w:r>
      <w:r>
        <w:rPr>
          <w:spacing w:val="-3"/>
          <w:sz w:val="18"/>
        </w:rPr>
        <w:t> </w:t>
      </w:r>
      <w:r>
        <w:rPr>
          <w:sz w:val="18"/>
        </w:rPr>
        <w:t>[%]).</w:t>
      </w:r>
    </w:p>
    <w:p>
      <w:pPr>
        <w:spacing w:after="0"/>
        <w:jc w:val="both"/>
        <w:rPr>
          <w:sz w:val="18"/>
        </w:rPr>
        <w:sectPr>
          <w:footerReference w:type="default" r:id="rId26"/>
          <w:pgSz w:w="12240" w:h="15840"/>
          <w:pgMar w:footer="659" w:header="0" w:top="1360" w:bottom="840" w:left="1580" w:right="1580"/>
          <w:pgNumType w:start="61"/>
        </w:sectPr>
      </w:pPr>
    </w:p>
    <w:p>
      <w:pPr>
        <w:pStyle w:val="BodyText"/>
        <w:spacing w:line="360" w:lineRule="auto" w:before="54"/>
        <w:ind w:left="102" w:right="116"/>
        <w:jc w:val="both"/>
      </w:pPr>
      <w:r>
        <w:rPr/>
        <w:t>En particular la suburbanización de la zona metropolitana de Toluca, para Sobrino (2007: 587-593) era dinámica en los noventa, es decir con dinámica en la periferia, descrita por el crecimiento de población que fue de -0.09 entre 1980-1990 y en la siguiente década de 0.28%, el empleo, con ritmo de crecimiento de 0.93% en 1980-1990 para aumentar a 4.47% en 1990-2000, la movilidad de inmigrantes en el 2000 fue de</w:t>
      </w:r>
      <w:r>
        <w:rPr>
          <w:spacing w:val="-10"/>
        </w:rPr>
        <w:t> </w:t>
      </w:r>
      <w:r>
        <w:rPr/>
        <w:t>1.6%.</w:t>
      </w:r>
    </w:p>
    <w:p>
      <w:pPr>
        <w:pStyle w:val="BodyText"/>
        <w:spacing w:before="5"/>
      </w:pPr>
    </w:p>
    <w:p>
      <w:pPr>
        <w:pStyle w:val="BodyText"/>
        <w:spacing w:line="360" w:lineRule="auto"/>
        <w:ind w:left="102" w:right="116"/>
        <w:jc w:val="both"/>
      </w:pPr>
      <w:r>
        <w:rPr>
          <w:i/>
        </w:rPr>
        <w:t>“</w:t>
      </w:r>
      <w:r>
        <w:rPr/>
        <w:t>La urbanización extendida, propia del actual modelo territorial, se apoya cada vez más en la interrelación funcional de los núcleos de actividades de la periferia metropolitana pero con desigualdad económica. La metropolización ha seguido ampliando su escala hasta conformar nuevas realidades urbano-regionales, fomentando el patrón de ocupación dispersa en el territorio” (Hoyos, 2012b: 320). La suburbanización va cambiando de escala de acuerdo con el avance de la urbanización (derivado de las relaciones del capitalismo y su emplazamiento en el espacio) y que en el actual cambio urbano, se urbanizan tanto la sociedad como el territorio (se organizan las relaciones de la sociedad en sus territorios), ambos explican la suburbanización contemporánea.</w:t>
      </w:r>
    </w:p>
    <w:p>
      <w:pPr>
        <w:pStyle w:val="BodyText"/>
        <w:spacing w:before="10"/>
      </w:pPr>
    </w:p>
    <w:p>
      <w:pPr>
        <w:pStyle w:val="BodyText"/>
        <w:spacing w:line="360" w:lineRule="auto"/>
        <w:ind w:left="102" w:right="114"/>
        <w:jc w:val="both"/>
      </w:pPr>
      <w:r>
        <w:rPr/>
        <w:t>El caso de la ciudad de Toluca en México, en las últimas décadas, de acuerdo con Hoyos (2011), presenta suburbanización de población con un patrón de localización habitacional de amplias distancias entre el área central y la zona rural- urbano, las actividades terciarias se localizan del área central a la parte intermedia metropolitana. En su región, el área central metropolitana o municipios integrados físicamente, presentan centralidad y concentración con un subsistema urbano débil, se trata de un </w:t>
      </w:r>
      <w:r>
        <w:rPr>
          <w:i/>
        </w:rPr>
        <w:t>triángulo de cúspide y base amplia</w:t>
      </w:r>
      <w:r>
        <w:rPr/>
        <w:t>, aunque se presenta indicios de dinamismo en contados municipios externos, la población se distribuye en la cabeza de la pirámide y en un número importante de localidades pequeñas con crecimiento demográfico. La morfología suburbana, es tentacular sobre los ejes regionales, algunos sectores metropolitanos comparten frontera rural-urbana, aunque deja de ser propiamente rural, en tanto que otros sectores son todavía agropecuarios. El subsistema de localidades pequeñas y pueblos rurales se conectan a las carreteras sin que se trate de una organización de redes, dado que</w:t>
      </w:r>
    </w:p>
    <w:p>
      <w:pPr>
        <w:spacing w:after="0" w:line="360" w:lineRule="auto"/>
        <w:jc w:val="both"/>
        <w:sectPr>
          <w:pgSz w:w="12240" w:h="15840"/>
          <w:pgMar w:header="0" w:footer="659" w:top="1360" w:bottom="840" w:left="1600" w:right="1580"/>
        </w:sectPr>
      </w:pPr>
    </w:p>
    <w:p>
      <w:pPr>
        <w:pStyle w:val="BodyText"/>
        <w:spacing w:line="360" w:lineRule="auto" w:before="54"/>
        <w:ind w:left="122" w:right="125"/>
        <w:jc w:val="both"/>
      </w:pPr>
      <w:r>
        <w:rPr/>
        <w:t>las localidades gravitan al centro metropolitano polarizado en Toluca y de  la ciudad de México, como el centro urbano mayor (Hoyos, 2012 a).</w:t>
      </w:r>
    </w:p>
    <w:p>
      <w:pPr>
        <w:pStyle w:val="BodyText"/>
        <w:spacing w:before="7"/>
      </w:pPr>
    </w:p>
    <w:p>
      <w:pPr>
        <w:pStyle w:val="BodyText"/>
        <w:spacing w:line="360" w:lineRule="auto"/>
        <w:ind w:left="122" w:right="115"/>
        <w:jc w:val="both"/>
      </w:pPr>
      <w:r>
        <w:rPr/>
        <w:t>Sobre el proceso de metropolización de la perspectiva evolucionista o teoría del ciclo de vida urbano- del último tercio del siglo XX en México, se sintetiza que la población se mueve entre ciudades, tal migración urbana va de las de mayor tamaño a las de menor tamaño, con lo cual la evolución del sistema urbano nacional avanza hacia otra fase, la de mayor distribución con desarrollo urbano, se propagan la desconcentración urbana y la expansión física que integra conurbaciones. A nivel de la evolución individual, las ciudades grandes presentan desurbanización,   otras   más   se   encuentran   en   suburbanización   y       otras</w:t>
      </w:r>
    </w:p>
    <w:p>
      <w:pPr>
        <w:pStyle w:val="BodyText"/>
        <w:spacing w:line="345" w:lineRule="auto" w:before="5"/>
        <w:ind w:left="122" w:right="117"/>
        <w:jc w:val="both"/>
      </w:pPr>
      <w:r>
        <w:rPr/>
        <w:t>permanecen en fase de urbanización. Empíricamente comprobado en el caso de  la ciudad de México, y después en otras ciudades principales del sistema urbano</w:t>
      </w:r>
      <w:r>
        <w:rPr>
          <w:position w:val="11"/>
          <w:sz w:val="16"/>
        </w:rPr>
        <w:t>17 </w:t>
      </w:r>
      <w:r>
        <w:rPr/>
        <w:t>aunque con mediciones</w:t>
      </w:r>
      <w:r>
        <w:rPr>
          <w:spacing w:val="-16"/>
        </w:rPr>
        <w:t> </w:t>
      </w:r>
      <w:r>
        <w:rPr/>
        <w:t>irregulares.</w:t>
      </w:r>
    </w:p>
    <w:p>
      <w:pPr>
        <w:pStyle w:val="BodyText"/>
        <w:spacing w:before="8"/>
        <w:rPr>
          <w:sz w:val="25"/>
        </w:rPr>
      </w:pPr>
    </w:p>
    <w:p>
      <w:pPr>
        <w:pStyle w:val="Heading4"/>
        <w:numPr>
          <w:ilvl w:val="1"/>
          <w:numId w:val="4"/>
        </w:numPr>
        <w:tabs>
          <w:tab w:pos="669" w:val="left" w:leader="none"/>
        </w:tabs>
        <w:spacing w:line="240" w:lineRule="auto" w:before="0" w:after="0"/>
        <w:ind w:left="668" w:right="0" w:hanging="546"/>
        <w:jc w:val="both"/>
      </w:pPr>
      <w:r>
        <w:rPr/>
        <w:t>Construcción conceptual y empírica a inicios del siglo</w:t>
      </w:r>
      <w:r>
        <w:rPr>
          <w:spacing w:val="-32"/>
        </w:rPr>
        <w:t> </w:t>
      </w:r>
      <w:r>
        <w:rPr/>
        <w:t>XXI</w:t>
      </w:r>
    </w:p>
    <w:p>
      <w:pPr>
        <w:pStyle w:val="BodyText"/>
        <w:spacing w:before="8"/>
        <w:rPr>
          <w:b/>
          <w:sz w:val="38"/>
        </w:rPr>
      </w:pPr>
    </w:p>
    <w:p>
      <w:pPr>
        <w:pStyle w:val="BodyText"/>
        <w:spacing w:line="360" w:lineRule="auto"/>
        <w:ind w:left="122" w:right="120"/>
        <w:jc w:val="both"/>
      </w:pPr>
      <w:r>
        <w:rPr/>
        <w:t>Con los inicios del siglo XXI, América Latina presenta cambios en el proceso urbano, ocurre bajo otro contexto socio económico y marcos conceptuales presentes en las perspectivas explicativas, como se verá a continuación.</w:t>
      </w:r>
    </w:p>
    <w:p>
      <w:pPr>
        <w:pStyle w:val="BodyText"/>
        <w:spacing w:before="7"/>
      </w:pPr>
    </w:p>
    <w:p>
      <w:pPr>
        <w:pStyle w:val="BodyText"/>
        <w:spacing w:line="360" w:lineRule="auto"/>
        <w:ind w:left="122" w:right="115"/>
        <w:jc w:val="both"/>
      </w:pPr>
      <w:r>
        <w:rPr/>
        <w:pict>
          <v:line style="position:absolute;mso-position-horizontal-relative:page;mso-position-vertical-relative:paragraph;z-index:1792;mso-wrap-distance-left:0;mso-wrap-distance-right:0" from="85.103996pt,212.881866pt" to="229.123996pt,212.881866pt" stroked="true" strokeweight=".71997pt" strokecolor="#000000">
            <w10:wrap type="topAndBottom"/>
          </v:line>
        </w:pict>
      </w:r>
      <w:r>
        <w:rPr/>
        <w:t>Teniendo de trasfondo el contexto económico internacional, para de Mattos (2010:83), América Latina presenta un nuevo patrón de urbanización resultado de la flexibilidad y la globalización que genera deslocalización manifestada en “espacios de red”, al mismo tiempo que permanecen los “espacios área” que corresponden a un lugar físico que tiende a la desconcentración y descentralización de funciones y aglomeraciones, en donde las nuevas centralidades, por los flujos de redes y de área modifican la estructura metropolitana. Por su parte, Cuervo (2010: 20) hace referencia al pasado de las ciudades latinoamericanas y la subordinación de las mismas, además de la globalización y las tecnologías de la información todo ello condujeron la morfología</w:t>
      </w:r>
    </w:p>
    <w:p>
      <w:pPr>
        <w:spacing w:before="39"/>
        <w:ind w:left="122" w:right="76" w:firstLine="0"/>
        <w:jc w:val="left"/>
        <w:rPr>
          <w:sz w:val="18"/>
        </w:rPr>
      </w:pPr>
      <w:r>
        <w:rPr>
          <w:position w:val="9"/>
          <w:sz w:val="12"/>
        </w:rPr>
        <w:t>17 </w:t>
      </w:r>
      <w:r>
        <w:rPr>
          <w:sz w:val="18"/>
        </w:rPr>
        <w:t>Las otras ciudades del sistema urbano que están en distintas fases del ciclo de vida urbano de acuerdo con Sobrino( 2007 )son Toluca, Puebla, Guadalajara , Monterrey Oaxaca, Orizaba y Tlaxcala</w:t>
      </w:r>
    </w:p>
    <w:p>
      <w:pPr>
        <w:spacing w:after="0"/>
        <w:jc w:val="left"/>
        <w:rPr>
          <w:sz w:val="18"/>
        </w:rPr>
        <w:sectPr>
          <w:pgSz w:w="12240" w:h="15840"/>
          <w:pgMar w:header="0" w:footer="659" w:top="1360" w:bottom="840" w:left="1580" w:right="1580"/>
        </w:sectPr>
      </w:pPr>
    </w:p>
    <w:p>
      <w:pPr>
        <w:pStyle w:val="BodyText"/>
        <w:spacing w:line="360" w:lineRule="auto" w:before="54"/>
        <w:ind w:left="102" w:right="124"/>
        <w:jc w:val="both"/>
      </w:pPr>
      <w:r>
        <w:rPr/>
        <w:t>que en los últimos 20 años han incrementado su tamaño y la estructura registra múltiples patrones, por su parte las redes de infraestructura y servicios propiciaron crecimiento extra radio, la descentralización yuxtapuesta de la centralidad con lo periurbano, así como ciudades de diversos tamaños y combinación de modelos.</w:t>
      </w:r>
    </w:p>
    <w:p>
      <w:pPr>
        <w:pStyle w:val="BodyText"/>
        <w:spacing w:before="5"/>
      </w:pPr>
    </w:p>
    <w:p>
      <w:pPr>
        <w:pStyle w:val="BodyText"/>
        <w:spacing w:line="360" w:lineRule="auto"/>
        <w:ind w:left="102" w:right="114"/>
        <w:jc w:val="both"/>
      </w:pPr>
      <w:r>
        <w:rPr/>
        <w:t>Esmaragda y Roca (2012:140), sostiene que la </w:t>
      </w:r>
      <w:r>
        <w:rPr>
          <w:i/>
        </w:rPr>
        <w:t>dispersión de los asentamientos  </w:t>
      </w:r>
      <w:r>
        <w:rPr/>
        <w:t>en México se ha dado por el incremento en las últimas décadas del sector inmobiliario, por el fortalecimiento de la política federal que ha impulsado la oferta de vivienda por medio del Instituto de Fomento Nacional para la Vivienda de los Trabajadores, con el incrementó de financiamientos otorgados en el periodo 2000- 2007 en 136% más de créditos que en los 27 años anteriores. El mercado de la vivienda dio por resultado el sprawl metropolitano, la disminución de las densidades y la alta dependencia al automóvil configuran un modelo de dispersión de las metrópolis, es decir la dispersión suburbana. Según Sobrino (2011), en los años recientes, las grandes metrópolis mexicanas se distinguen por la tendencia hacia a la dispersión, surgimiento de múltiples subcentros y desconcentración de actividades urbanas, siendo los factores que definen la estructura</w:t>
      </w:r>
      <w:r>
        <w:rPr>
          <w:spacing w:val="-31"/>
        </w:rPr>
        <w:t> </w:t>
      </w:r>
      <w:r>
        <w:rPr/>
        <w:t>urbana.</w:t>
      </w:r>
    </w:p>
    <w:p>
      <w:pPr>
        <w:pStyle w:val="BodyText"/>
        <w:spacing w:before="10"/>
      </w:pPr>
    </w:p>
    <w:p>
      <w:pPr>
        <w:pStyle w:val="BodyText"/>
        <w:spacing w:line="360" w:lineRule="auto"/>
        <w:ind w:left="102" w:right="116"/>
        <w:jc w:val="both"/>
      </w:pPr>
      <w:r>
        <w:rPr/>
        <w:t>Para apuntar el cambio urbano y rural actual, Cardoso (2013: 129) usa el concepto de contraurbanización para explicar los cambios en las relaciones centro-periferia, que deriva del cambio de las relaciones urbanas, deja de existir la jerarquía de una ciudad dominante para interactuar en varias de menor en el sistema urbano, debido a que la ciudad primada tiende al declive urbano y surge el renacimiento rural que se ubica en las periferias externas. Ello se ubica en el macro proceso de crisis urbana y los cambios son en dos escalas: la intraurbana y la interurbana. En esta construcción conceptual, la Zona Metropolitana de Toluca es parte de la desindustrialización o desconcentración económica en la región centro de la ciudad de</w:t>
      </w:r>
      <w:r>
        <w:rPr>
          <w:spacing w:val="-7"/>
        </w:rPr>
        <w:t> </w:t>
      </w:r>
      <w:r>
        <w:rPr/>
        <w:t>México.</w:t>
      </w:r>
    </w:p>
    <w:p>
      <w:pPr>
        <w:pStyle w:val="BodyText"/>
        <w:spacing w:before="7"/>
      </w:pPr>
    </w:p>
    <w:p>
      <w:pPr>
        <w:pStyle w:val="BodyText"/>
        <w:spacing w:line="360" w:lineRule="auto"/>
        <w:ind w:left="102" w:right="118"/>
        <w:jc w:val="both"/>
      </w:pPr>
      <w:r>
        <w:rPr/>
        <w:t>Garrocho (2012:162-168) mediante un método de interacción espacial a nivel nacional identifica redes y subredes de ciudades, en los primeros años del siglo</w:t>
      </w:r>
    </w:p>
    <w:p>
      <w:pPr>
        <w:pStyle w:val="BodyText"/>
        <w:spacing w:before="2"/>
        <w:ind w:left="102"/>
        <w:jc w:val="both"/>
      </w:pPr>
      <w:r>
        <w:rPr/>
        <w:t>XXI. Las relaciones nodales entre ciudades surgen de considerar los flujos de</w:t>
      </w:r>
    </w:p>
    <w:p>
      <w:pPr>
        <w:spacing w:after="0"/>
        <w:jc w:val="both"/>
        <w:sectPr>
          <w:pgSz w:w="12240" w:h="15840"/>
          <w:pgMar w:header="0" w:footer="659" w:top="1360" w:bottom="840" w:left="1600" w:right="1580"/>
        </w:sectPr>
      </w:pPr>
    </w:p>
    <w:p>
      <w:pPr>
        <w:pStyle w:val="BodyText"/>
        <w:spacing w:line="360" w:lineRule="auto" w:before="54"/>
        <w:ind w:left="102" w:right="115"/>
        <w:jc w:val="both"/>
      </w:pPr>
      <w:r>
        <w:rPr/>
        <w:t>salida así como los de llegada, mismos que reportan la interdependencia de una ciudad. Al observar las relaciones funcionales de la ZMT con otros asentamientos reporta relaciones de distinto alcance interno y otros que van más allá de la entidad federativa. La red de ciudades de Toluca (Cuadro</w:t>
      </w:r>
      <w:r>
        <w:rPr>
          <w:spacing w:val="-26"/>
        </w:rPr>
        <w:t> </w:t>
      </w:r>
      <w:r>
        <w:rPr/>
        <w:t>2):</w:t>
      </w:r>
    </w:p>
    <w:p>
      <w:pPr>
        <w:pStyle w:val="BodyText"/>
        <w:spacing w:before="6"/>
      </w:pPr>
    </w:p>
    <w:p>
      <w:pPr>
        <w:spacing w:before="0"/>
        <w:ind w:left="1767" w:right="296" w:firstLine="0"/>
        <w:jc w:val="left"/>
        <w:rPr>
          <w:sz w:val="20"/>
        </w:rPr>
      </w:pPr>
      <w:r>
        <w:rPr>
          <w:sz w:val="20"/>
        </w:rPr>
        <w:t>Cuadro 2. Red de ciudades de la ZMCM y de la ZM de Toluca</w:t>
      </w:r>
    </w:p>
    <w:p>
      <w:pPr>
        <w:pStyle w:val="BodyText"/>
        <w:spacing w:before="3"/>
        <w:rPr>
          <w:sz w:val="20"/>
        </w:rPr>
      </w:pPr>
    </w:p>
    <w:tbl>
      <w:tblPr>
        <w:tblW w:w="0" w:type="auto"/>
        <w:jc w:val="left"/>
        <w:tblInd w:w="39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970"/>
        <w:gridCol w:w="4405"/>
      </w:tblGrid>
      <w:tr>
        <w:trPr>
          <w:trHeight w:val="355" w:hRule="exact"/>
        </w:trPr>
        <w:tc>
          <w:tcPr>
            <w:tcW w:w="3970" w:type="dxa"/>
            <w:tcBorders>
              <w:left w:val="single" w:sz="8" w:space="0" w:color="B3CC82"/>
            </w:tcBorders>
          </w:tcPr>
          <w:p>
            <w:pPr>
              <w:pStyle w:val="TableParagraph"/>
              <w:spacing w:line="227" w:lineRule="exact"/>
              <w:ind w:left="98"/>
              <w:rPr>
                <w:sz w:val="20"/>
              </w:rPr>
            </w:pPr>
            <w:r>
              <w:rPr>
                <w:sz w:val="20"/>
              </w:rPr>
              <w:t>Red de ciudades de la ZMVM (1a. ciudad)</w:t>
            </w:r>
          </w:p>
        </w:tc>
        <w:tc>
          <w:tcPr>
            <w:tcW w:w="4405" w:type="dxa"/>
            <w:tcBorders>
              <w:right w:val="single" w:sz="8" w:space="0" w:color="B3CC82"/>
            </w:tcBorders>
          </w:tcPr>
          <w:p>
            <w:pPr>
              <w:pStyle w:val="TableParagraph"/>
              <w:spacing w:line="227" w:lineRule="exact"/>
              <w:ind w:left="103"/>
              <w:rPr>
                <w:sz w:val="20"/>
              </w:rPr>
            </w:pPr>
            <w:r>
              <w:rPr>
                <w:sz w:val="20"/>
              </w:rPr>
              <w:t>Red de ciudades de la ZMT (5ta. ciudad)</w:t>
            </w:r>
          </w:p>
        </w:tc>
      </w:tr>
      <w:tr>
        <w:trPr>
          <w:trHeight w:val="299" w:hRule="exact"/>
        </w:trPr>
        <w:tc>
          <w:tcPr>
            <w:tcW w:w="3970" w:type="dxa"/>
            <w:tcBorders>
              <w:left w:val="nil"/>
              <w:bottom w:val="nil"/>
              <w:right w:val="nil"/>
            </w:tcBorders>
          </w:tcPr>
          <w:p>
            <w:pPr>
              <w:pStyle w:val="TableParagraph"/>
              <w:spacing w:line="227" w:lineRule="exact"/>
              <w:ind w:left="107"/>
              <w:rPr>
                <w:sz w:val="20"/>
              </w:rPr>
            </w:pPr>
            <w:r>
              <w:rPr>
                <w:sz w:val="20"/>
              </w:rPr>
              <w:t>ZM del Valle de México</w:t>
            </w:r>
          </w:p>
        </w:tc>
        <w:tc>
          <w:tcPr>
            <w:tcW w:w="4405" w:type="dxa"/>
            <w:tcBorders>
              <w:left w:val="nil"/>
              <w:bottom w:val="nil"/>
              <w:right w:val="nil"/>
            </w:tcBorders>
          </w:tcPr>
          <w:p>
            <w:pPr>
              <w:pStyle w:val="TableParagraph"/>
              <w:spacing w:line="227" w:lineRule="exact"/>
              <w:ind w:left="107" w:right="464"/>
              <w:rPr>
                <w:sz w:val="20"/>
              </w:rPr>
            </w:pPr>
            <w:r>
              <w:rPr>
                <w:sz w:val="20"/>
              </w:rPr>
              <w:t>ZM de Cuernavaca (Mor)</w:t>
            </w:r>
          </w:p>
        </w:tc>
      </w:tr>
      <w:tr>
        <w:trPr>
          <w:trHeight w:val="344" w:hRule="exact"/>
        </w:trPr>
        <w:tc>
          <w:tcPr>
            <w:tcW w:w="3970" w:type="dxa"/>
            <w:tcBorders>
              <w:top w:val="nil"/>
              <w:left w:val="nil"/>
              <w:bottom w:val="nil"/>
              <w:right w:val="nil"/>
            </w:tcBorders>
          </w:tcPr>
          <w:p>
            <w:pPr>
              <w:pStyle w:val="TableParagraph"/>
              <w:spacing w:before="46"/>
              <w:ind w:left="107"/>
              <w:rPr>
                <w:sz w:val="20"/>
              </w:rPr>
            </w:pPr>
            <w:r>
              <w:rPr>
                <w:sz w:val="20"/>
              </w:rPr>
              <w:t>ZM de Guadalajara (Jal)</w:t>
            </w:r>
          </w:p>
        </w:tc>
        <w:tc>
          <w:tcPr>
            <w:tcW w:w="4405" w:type="dxa"/>
            <w:tcBorders>
              <w:top w:val="nil"/>
              <w:left w:val="nil"/>
              <w:bottom w:val="nil"/>
              <w:right w:val="nil"/>
            </w:tcBorders>
          </w:tcPr>
          <w:p>
            <w:pPr>
              <w:pStyle w:val="TableParagraph"/>
              <w:spacing w:before="46"/>
              <w:ind w:left="107" w:right="464"/>
              <w:rPr>
                <w:sz w:val="20"/>
              </w:rPr>
            </w:pPr>
            <w:r>
              <w:rPr>
                <w:sz w:val="20"/>
              </w:rPr>
              <w:t>ZM de Tula (Hgo)</w:t>
            </w:r>
          </w:p>
        </w:tc>
      </w:tr>
      <w:tr>
        <w:trPr>
          <w:trHeight w:val="346" w:hRule="exact"/>
        </w:trPr>
        <w:tc>
          <w:tcPr>
            <w:tcW w:w="3970" w:type="dxa"/>
            <w:tcBorders>
              <w:top w:val="nil"/>
              <w:left w:val="nil"/>
              <w:bottom w:val="nil"/>
              <w:right w:val="nil"/>
            </w:tcBorders>
          </w:tcPr>
          <w:p>
            <w:pPr>
              <w:pStyle w:val="TableParagraph"/>
              <w:spacing w:before="47"/>
              <w:ind w:left="107"/>
              <w:rPr>
                <w:sz w:val="20"/>
              </w:rPr>
            </w:pPr>
            <w:r>
              <w:rPr>
                <w:sz w:val="20"/>
              </w:rPr>
              <w:t>ZM de Monterrey (NL)</w:t>
            </w:r>
          </w:p>
        </w:tc>
        <w:tc>
          <w:tcPr>
            <w:tcW w:w="4405" w:type="dxa"/>
            <w:tcBorders>
              <w:top w:val="nil"/>
              <w:left w:val="nil"/>
              <w:bottom w:val="nil"/>
              <w:right w:val="nil"/>
            </w:tcBorders>
          </w:tcPr>
          <w:p>
            <w:pPr>
              <w:pStyle w:val="TableParagraph"/>
              <w:spacing w:before="47"/>
              <w:ind w:left="107" w:right="464"/>
              <w:rPr>
                <w:sz w:val="20"/>
              </w:rPr>
            </w:pPr>
            <w:r>
              <w:rPr>
                <w:sz w:val="20"/>
              </w:rPr>
              <w:t>Zitácuaro (Mich)</w:t>
            </w:r>
          </w:p>
        </w:tc>
      </w:tr>
      <w:tr>
        <w:trPr>
          <w:trHeight w:val="346" w:hRule="exact"/>
        </w:trPr>
        <w:tc>
          <w:tcPr>
            <w:tcW w:w="3970" w:type="dxa"/>
            <w:tcBorders>
              <w:top w:val="nil"/>
              <w:left w:val="nil"/>
              <w:bottom w:val="nil"/>
              <w:right w:val="nil"/>
            </w:tcBorders>
          </w:tcPr>
          <w:p>
            <w:pPr>
              <w:pStyle w:val="TableParagraph"/>
              <w:spacing w:before="47"/>
              <w:ind w:left="107"/>
              <w:rPr>
                <w:sz w:val="20"/>
              </w:rPr>
            </w:pPr>
            <w:r>
              <w:rPr>
                <w:sz w:val="20"/>
              </w:rPr>
              <w:t>ZM de Puebla - Tlaxcala (Pue-Tlax)</w:t>
            </w:r>
          </w:p>
        </w:tc>
        <w:tc>
          <w:tcPr>
            <w:tcW w:w="4405" w:type="dxa"/>
            <w:tcBorders>
              <w:top w:val="nil"/>
              <w:left w:val="nil"/>
              <w:bottom w:val="nil"/>
              <w:right w:val="nil"/>
            </w:tcBorders>
          </w:tcPr>
          <w:p>
            <w:pPr>
              <w:pStyle w:val="TableParagraph"/>
              <w:spacing w:before="47"/>
              <w:ind w:left="107" w:right="464"/>
              <w:rPr>
                <w:sz w:val="20"/>
              </w:rPr>
            </w:pPr>
            <w:r>
              <w:rPr>
                <w:sz w:val="20"/>
              </w:rPr>
              <w:t>Ciudad Hidalgo (Mich)</w:t>
            </w:r>
          </w:p>
        </w:tc>
      </w:tr>
      <w:tr>
        <w:trPr>
          <w:trHeight w:val="689" w:hRule="exact"/>
        </w:trPr>
        <w:tc>
          <w:tcPr>
            <w:tcW w:w="3970" w:type="dxa"/>
            <w:tcBorders>
              <w:top w:val="nil"/>
              <w:left w:val="nil"/>
              <w:bottom w:val="nil"/>
              <w:right w:val="nil"/>
            </w:tcBorders>
          </w:tcPr>
          <w:p>
            <w:pPr>
              <w:pStyle w:val="TableParagraph"/>
              <w:spacing w:before="47"/>
              <w:ind w:left="107"/>
              <w:rPr>
                <w:sz w:val="20"/>
              </w:rPr>
            </w:pPr>
            <w:r>
              <w:rPr>
                <w:sz w:val="20"/>
              </w:rPr>
              <w:t>ZM de Toluca (EdoMéx)</w:t>
            </w:r>
          </w:p>
        </w:tc>
        <w:tc>
          <w:tcPr>
            <w:tcW w:w="4405" w:type="dxa"/>
            <w:tcBorders>
              <w:top w:val="nil"/>
              <w:left w:val="nil"/>
              <w:bottom w:val="nil"/>
              <w:right w:val="nil"/>
            </w:tcBorders>
          </w:tcPr>
          <w:p>
            <w:pPr>
              <w:pStyle w:val="TableParagraph"/>
              <w:spacing w:line="357" w:lineRule="auto" w:before="47"/>
              <w:ind w:left="107" w:right="464"/>
              <w:rPr>
                <w:sz w:val="20"/>
              </w:rPr>
            </w:pPr>
            <w:r>
              <w:rPr>
                <w:sz w:val="20"/>
              </w:rPr>
              <w:t>Almoloya del Río – Atizapán – Capulhuac - Tianguistenco</w:t>
            </w:r>
          </w:p>
        </w:tc>
      </w:tr>
      <w:tr>
        <w:trPr>
          <w:trHeight w:val="346" w:hRule="exact"/>
        </w:trPr>
        <w:tc>
          <w:tcPr>
            <w:tcW w:w="3970" w:type="dxa"/>
            <w:tcBorders>
              <w:top w:val="nil"/>
              <w:left w:val="nil"/>
              <w:bottom w:val="nil"/>
              <w:right w:val="nil"/>
            </w:tcBorders>
          </w:tcPr>
          <w:p>
            <w:pPr>
              <w:pStyle w:val="TableParagraph"/>
              <w:spacing w:before="47"/>
              <w:ind w:left="107"/>
              <w:rPr>
                <w:sz w:val="20"/>
              </w:rPr>
            </w:pPr>
            <w:r>
              <w:rPr>
                <w:sz w:val="20"/>
              </w:rPr>
              <w:t>ZM de Tijuana (BC)</w:t>
            </w:r>
          </w:p>
        </w:tc>
        <w:tc>
          <w:tcPr>
            <w:tcW w:w="4405" w:type="dxa"/>
            <w:tcBorders>
              <w:top w:val="nil"/>
              <w:left w:val="nil"/>
              <w:bottom w:val="nil"/>
              <w:right w:val="nil"/>
            </w:tcBorders>
          </w:tcPr>
          <w:p>
            <w:pPr>
              <w:pStyle w:val="TableParagraph"/>
              <w:spacing w:before="47"/>
              <w:ind w:left="107" w:right="464"/>
              <w:rPr>
                <w:sz w:val="20"/>
              </w:rPr>
            </w:pPr>
            <w:r>
              <w:rPr>
                <w:sz w:val="20"/>
              </w:rPr>
              <w:t>Ixtlahuaca (EdoMéx)</w:t>
            </w:r>
          </w:p>
        </w:tc>
      </w:tr>
      <w:tr>
        <w:trPr>
          <w:trHeight w:val="346" w:hRule="exact"/>
        </w:trPr>
        <w:tc>
          <w:tcPr>
            <w:tcW w:w="3970" w:type="dxa"/>
            <w:tcBorders>
              <w:top w:val="nil"/>
              <w:left w:val="nil"/>
              <w:bottom w:val="nil"/>
              <w:right w:val="nil"/>
            </w:tcBorders>
          </w:tcPr>
          <w:p>
            <w:pPr>
              <w:pStyle w:val="TableParagraph"/>
              <w:spacing w:before="47"/>
              <w:ind w:left="107"/>
              <w:rPr>
                <w:sz w:val="20"/>
              </w:rPr>
            </w:pPr>
            <w:r>
              <w:rPr>
                <w:sz w:val="20"/>
              </w:rPr>
              <w:t>ZM de León (Gto)</w:t>
            </w:r>
          </w:p>
        </w:tc>
        <w:tc>
          <w:tcPr>
            <w:tcW w:w="4405" w:type="dxa"/>
            <w:tcBorders>
              <w:top w:val="nil"/>
              <w:left w:val="nil"/>
              <w:bottom w:val="nil"/>
              <w:right w:val="nil"/>
            </w:tcBorders>
          </w:tcPr>
          <w:p>
            <w:pPr>
              <w:pStyle w:val="TableParagraph"/>
              <w:spacing w:before="47"/>
              <w:ind w:left="107" w:right="464"/>
              <w:rPr>
                <w:sz w:val="20"/>
              </w:rPr>
            </w:pPr>
            <w:r>
              <w:rPr>
                <w:sz w:val="20"/>
              </w:rPr>
              <w:t>Tenancingo de Degollado (EdoMéx)</w:t>
            </w:r>
          </w:p>
        </w:tc>
      </w:tr>
      <w:tr>
        <w:trPr>
          <w:trHeight w:val="344" w:hRule="exact"/>
        </w:trPr>
        <w:tc>
          <w:tcPr>
            <w:tcW w:w="3970" w:type="dxa"/>
            <w:tcBorders>
              <w:top w:val="nil"/>
              <w:left w:val="nil"/>
              <w:bottom w:val="nil"/>
              <w:right w:val="nil"/>
            </w:tcBorders>
          </w:tcPr>
          <w:p>
            <w:pPr>
              <w:pStyle w:val="TableParagraph"/>
              <w:spacing w:before="47"/>
              <w:ind w:left="107"/>
              <w:rPr>
                <w:sz w:val="20"/>
              </w:rPr>
            </w:pPr>
            <w:r>
              <w:rPr>
                <w:sz w:val="20"/>
              </w:rPr>
              <w:t>ZM de Juárez (Chih)</w:t>
            </w:r>
          </w:p>
        </w:tc>
        <w:tc>
          <w:tcPr>
            <w:tcW w:w="4405" w:type="dxa"/>
            <w:tcBorders>
              <w:top w:val="nil"/>
              <w:left w:val="nil"/>
              <w:bottom w:val="nil"/>
              <w:right w:val="nil"/>
            </w:tcBorders>
          </w:tcPr>
          <w:p>
            <w:pPr>
              <w:pStyle w:val="TableParagraph"/>
              <w:spacing w:before="47"/>
              <w:ind w:left="107" w:right="464"/>
              <w:rPr>
                <w:sz w:val="20"/>
              </w:rPr>
            </w:pPr>
            <w:r>
              <w:rPr>
                <w:sz w:val="20"/>
              </w:rPr>
              <w:t>Ciudad Altamirano - Riva Palacio (Gro)</w:t>
            </w:r>
          </w:p>
        </w:tc>
      </w:tr>
      <w:tr>
        <w:trPr>
          <w:trHeight w:val="344" w:hRule="exact"/>
        </w:trPr>
        <w:tc>
          <w:tcPr>
            <w:tcW w:w="3970" w:type="dxa"/>
            <w:tcBorders>
              <w:top w:val="nil"/>
              <w:left w:val="nil"/>
              <w:bottom w:val="nil"/>
              <w:right w:val="nil"/>
            </w:tcBorders>
          </w:tcPr>
          <w:p>
            <w:pPr>
              <w:pStyle w:val="TableParagraph"/>
              <w:spacing w:before="46"/>
              <w:ind w:left="107"/>
              <w:rPr>
                <w:sz w:val="20"/>
              </w:rPr>
            </w:pPr>
            <w:r>
              <w:rPr>
                <w:sz w:val="20"/>
              </w:rPr>
              <w:t>ZM de La Laguna (Torreón)</w:t>
            </w:r>
          </w:p>
        </w:tc>
        <w:tc>
          <w:tcPr>
            <w:tcW w:w="4405" w:type="dxa"/>
            <w:tcBorders>
              <w:top w:val="nil"/>
              <w:left w:val="nil"/>
              <w:bottom w:val="nil"/>
              <w:right w:val="nil"/>
            </w:tcBorders>
          </w:tcPr>
          <w:p>
            <w:pPr>
              <w:pStyle w:val="TableParagraph"/>
              <w:spacing w:before="46"/>
              <w:ind w:left="107" w:right="464"/>
              <w:rPr>
                <w:sz w:val="20"/>
              </w:rPr>
            </w:pPr>
            <w:r>
              <w:rPr>
                <w:sz w:val="20"/>
              </w:rPr>
              <w:t>Tenango de Arista (EdoMéx)</w:t>
            </w:r>
          </w:p>
        </w:tc>
      </w:tr>
      <w:tr>
        <w:trPr>
          <w:trHeight w:val="346" w:hRule="exact"/>
        </w:trPr>
        <w:tc>
          <w:tcPr>
            <w:tcW w:w="3970" w:type="dxa"/>
            <w:tcBorders>
              <w:top w:val="nil"/>
              <w:left w:val="nil"/>
              <w:bottom w:val="nil"/>
              <w:right w:val="nil"/>
            </w:tcBorders>
          </w:tcPr>
          <w:p>
            <w:pPr>
              <w:pStyle w:val="TableParagraph"/>
              <w:spacing w:before="47"/>
              <w:ind w:left="107"/>
              <w:rPr>
                <w:sz w:val="20"/>
              </w:rPr>
            </w:pPr>
            <w:r>
              <w:rPr>
                <w:sz w:val="20"/>
              </w:rPr>
              <w:t>ZM de San Luis Potosí - Soledad G.</w:t>
            </w:r>
          </w:p>
        </w:tc>
        <w:tc>
          <w:tcPr>
            <w:tcW w:w="4405" w:type="dxa"/>
            <w:tcBorders>
              <w:top w:val="nil"/>
              <w:left w:val="nil"/>
              <w:bottom w:val="nil"/>
              <w:right w:val="nil"/>
            </w:tcBorders>
          </w:tcPr>
          <w:p>
            <w:pPr>
              <w:pStyle w:val="TableParagraph"/>
              <w:spacing w:before="47"/>
              <w:ind w:left="107" w:right="464"/>
              <w:rPr>
                <w:sz w:val="20"/>
              </w:rPr>
            </w:pPr>
            <w:r>
              <w:rPr>
                <w:sz w:val="20"/>
              </w:rPr>
              <w:t>Atlacomulco (EdoMéx)</w:t>
            </w:r>
          </w:p>
        </w:tc>
      </w:tr>
      <w:tr>
        <w:trPr>
          <w:trHeight w:val="346" w:hRule="exact"/>
        </w:trPr>
        <w:tc>
          <w:tcPr>
            <w:tcW w:w="3970" w:type="dxa"/>
            <w:tcBorders>
              <w:top w:val="nil"/>
              <w:left w:val="nil"/>
              <w:bottom w:val="nil"/>
              <w:right w:val="nil"/>
            </w:tcBorders>
          </w:tcPr>
          <w:p>
            <w:pPr>
              <w:pStyle w:val="TableParagraph"/>
              <w:spacing w:before="47"/>
              <w:ind w:left="107"/>
              <w:rPr>
                <w:sz w:val="20"/>
              </w:rPr>
            </w:pPr>
            <w:r>
              <w:rPr>
                <w:sz w:val="20"/>
              </w:rPr>
              <w:t>ZM de Querétaro (Qro)</w:t>
            </w:r>
          </w:p>
        </w:tc>
        <w:tc>
          <w:tcPr>
            <w:tcW w:w="4405" w:type="dxa"/>
            <w:tcBorders>
              <w:top w:val="nil"/>
              <w:left w:val="nil"/>
              <w:bottom w:val="nil"/>
              <w:right w:val="nil"/>
            </w:tcBorders>
          </w:tcPr>
          <w:p>
            <w:pPr>
              <w:pStyle w:val="TableParagraph"/>
              <w:spacing w:before="47"/>
              <w:ind w:left="107" w:right="464"/>
              <w:rPr>
                <w:sz w:val="20"/>
              </w:rPr>
            </w:pPr>
            <w:r>
              <w:rPr>
                <w:sz w:val="20"/>
              </w:rPr>
              <w:t>Valle de Bravo (EdoMéx)</w:t>
            </w:r>
          </w:p>
        </w:tc>
      </w:tr>
      <w:tr>
        <w:trPr>
          <w:trHeight w:val="345" w:hRule="exact"/>
        </w:trPr>
        <w:tc>
          <w:tcPr>
            <w:tcW w:w="3970" w:type="dxa"/>
            <w:tcBorders>
              <w:top w:val="nil"/>
              <w:left w:val="nil"/>
              <w:bottom w:val="nil"/>
              <w:right w:val="nil"/>
            </w:tcBorders>
          </w:tcPr>
          <w:p>
            <w:pPr>
              <w:pStyle w:val="TableParagraph"/>
              <w:spacing w:before="47"/>
              <w:ind w:left="107"/>
              <w:rPr>
                <w:sz w:val="20"/>
              </w:rPr>
            </w:pPr>
            <w:r>
              <w:rPr>
                <w:sz w:val="20"/>
              </w:rPr>
              <w:t>ZM de Mérida (Yuc)</w:t>
            </w:r>
          </w:p>
        </w:tc>
        <w:tc>
          <w:tcPr>
            <w:tcW w:w="4405" w:type="dxa"/>
            <w:tcBorders>
              <w:top w:val="nil"/>
              <w:left w:val="nil"/>
              <w:bottom w:val="nil"/>
              <w:right w:val="nil"/>
            </w:tcBorders>
          </w:tcPr>
          <w:p>
            <w:pPr>
              <w:pStyle w:val="TableParagraph"/>
              <w:spacing w:before="47"/>
              <w:ind w:left="107" w:right="464"/>
              <w:rPr>
                <w:sz w:val="20"/>
              </w:rPr>
            </w:pPr>
            <w:r>
              <w:rPr>
                <w:sz w:val="20"/>
              </w:rPr>
              <w:t>Tejupilco de Hidalgo (EdoMéx)</w:t>
            </w:r>
          </w:p>
        </w:tc>
      </w:tr>
      <w:tr>
        <w:trPr>
          <w:trHeight w:val="345" w:hRule="exact"/>
        </w:trPr>
        <w:tc>
          <w:tcPr>
            <w:tcW w:w="3970" w:type="dxa"/>
            <w:tcBorders>
              <w:top w:val="nil"/>
              <w:left w:val="nil"/>
              <w:bottom w:val="nil"/>
              <w:right w:val="nil"/>
            </w:tcBorders>
          </w:tcPr>
          <w:p>
            <w:pPr>
              <w:pStyle w:val="TableParagraph"/>
              <w:spacing w:before="46"/>
              <w:ind w:left="107"/>
              <w:rPr>
                <w:sz w:val="20"/>
              </w:rPr>
            </w:pPr>
            <w:r>
              <w:rPr>
                <w:sz w:val="20"/>
              </w:rPr>
              <w:t>ZM de Aguascalientes (Ags)</w:t>
            </w:r>
          </w:p>
        </w:tc>
        <w:tc>
          <w:tcPr>
            <w:tcW w:w="4405" w:type="dxa"/>
            <w:tcBorders>
              <w:top w:val="nil"/>
              <w:left w:val="nil"/>
              <w:bottom w:val="nil"/>
              <w:right w:val="nil"/>
            </w:tcBorders>
          </w:tcPr>
          <w:p>
            <w:pPr>
              <w:pStyle w:val="TableParagraph"/>
              <w:spacing w:before="46"/>
              <w:ind w:left="107" w:right="464"/>
              <w:rPr>
                <w:sz w:val="20"/>
              </w:rPr>
            </w:pPr>
            <w:r>
              <w:rPr>
                <w:sz w:val="20"/>
              </w:rPr>
              <w:t>Teloloapan (Gro)</w:t>
            </w:r>
          </w:p>
        </w:tc>
      </w:tr>
      <w:tr>
        <w:trPr>
          <w:trHeight w:val="346" w:hRule="exact"/>
        </w:trPr>
        <w:tc>
          <w:tcPr>
            <w:tcW w:w="3970" w:type="dxa"/>
            <w:tcBorders>
              <w:top w:val="nil"/>
              <w:left w:val="nil"/>
              <w:bottom w:val="nil"/>
              <w:right w:val="nil"/>
            </w:tcBorders>
          </w:tcPr>
          <w:p>
            <w:pPr>
              <w:pStyle w:val="TableParagraph"/>
              <w:spacing w:before="47"/>
              <w:ind w:left="107"/>
              <w:rPr>
                <w:sz w:val="20"/>
              </w:rPr>
            </w:pPr>
            <w:r>
              <w:rPr>
                <w:sz w:val="20"/>
              </w:rPr>
              <w:t>ZM de Tampico (Tamps)</w:t>
            </w:r>
          </w:p>
        </w:tc>
        <w:tc>
          <w:tcPr>
            <w:tcW w:w="4405" w:type="dxa"/>
            <w:tcBorders>
              <w:top w:val="nil"/>
              <w:left w:val="nil"/>
              <w:bottom w:val="nil"/>
              <w:right w:val="nil"/>
            </w:tcBorders>
          </w:tcPr>
          <w:p>
            <w:pPr>
              <w:pStyle w:val="TableParagraph"/>
              <w:spacing w:before="47"/>
              <w:ind w:left="107" w:right="464"/>
              <w:rPr>
                <w:sz w:val="20"/>
              </w:rPr>
            </w:pPr>
            <w:r>
              <w:rPr>
                <w:sz w:val="20"/>
              </w:rPr>
              <w:t>Xalatlaco - Santiago Tilapa (EdoMéx)</w:t>
            </w:r>
          </w:p>
        </w:tc>
      </w:tr>
      <w:tr>
        <w:trPr>
          <w:trHeight w:val="346" w:hRule="exact"/>
        </w:trPr>
        <w:tc>
          <w:tcPr>
            <w:tcW w:w="3970" w:type="dxa"/>
            <w:tcBorders>
              <w:top w:val="nil"/>
              <w:left w:val="nil"/>
              <w:bottom w:val="nil"/>
              <w:right w:val="nil"/>
            </w:tcBorders>
          </w:tcPr>
          <w:p>
            <w:pPr>
              <w:pStyle w:val="TableParagraph"/>
              <w:spacing w:before="47"/>
              <w:ind w:left="107"/>
              <w:rPr>
                <w:sz w:val="20"/>
              </w:rPr>
            </w:pPr>
            <w:r>
              <w:rPr>
                <w:sz w:val="20"/>
              </w:rPr>
              <w:t>ZM de Cuernavaca (Mor)</w:t>
            </w:r>
          </w:p>
        </w:tc>
        <w:tc>
          <w:tcPr>
            <w:tcW w:w="4405" w:type="dxa"/>
            <w:tcBorders>
              <w:top w:val="nil"/>
              <w:left w:val="nil"/>
              <w:bottom w:val="nil"/>
              <w:right w:val="nil"/>
            </w:tcBorders>
          </w:tcPr>
          <w:p>
            <w:pPr>
              <w:pStyle w:val="TableParagraph"/>
              <w:spacing w:before="47"/>
              <w:ind w:left="107" w:right="464"/>
              <w:rPr>
                <w:sz w:val="20"/>
              </w:rPr>
            </w:pPr>
            <w:r>
              <w:rPr>
                <w:sz w:val="20"/>
              </w:rPr>
              <w:t>San Pedro Los Baños (EdoMéx)</w:t>
            </w:r>
          </w:p>
        </w:tc>
      </w:tr>
      <w:tr>
        <w:trPr>
          <w:trHeight w:val="344" w:hRule="exact"/>
        </w:trPr>
        <w:tc>
          <w:tcPr>
            <w:tcW w:w="3970" w:type="dxa"/>
            <w:tcBorders>
              <w:top w:val="nil"/>
              <w:left w:val="nil"/>
              <w:bottom w:val="nil"/>
              <w:right w:val="nil"/>
            </w:tcBorders>
          </w:tcPr>
          <w:p>
            <w:pPr>
              <w:pStyle w:val="TableParagraph"/>
              <w:spacing w:before="47"/>
              <w:ind w:left="107"/>
              <w:rPr>
                <w:sz w:val="20"/>
              </w:rPr>
            </w:pPr>
            <w:r>
              <w:rPr>
                <w:sz w:val="20"/>
              </w:rPr>
              <w:t>ZM de Acapulco (Gro)</w:t>
            </w:r>
          </w:p>
        </w:tc>
        <w:tc>
          <w:tcPr>
            <w:tcW w:w="4405" w:type="dxa"/>
            <w:tcBorders>
              <w:top w:val="nil"/>
              <w:left w:val="nil"/>
              <w:bottom w:val="nil"/>
              <w:right w:val="nil"/>
            </w:tcBorders>
          </w:tcPr>
          <w:p>
            <w:pPr>
              <w:pStyle w:val="TableParagraph"/>
              <w:spacing w:before="47"/>
              <w:ind w:left="107" w:right="464"/>
              <w:rPr>
                <w:sz w:val="20"/>
              </w:rPr>
            </w:pPr>
            <w:r>
              <w:rPr>
                <w:sz w:val="20"/>
              </w:rPr>
              <w:t>Arcelia (Gro)</w:t>
            </w:r>
          </w:p>
        </w:tc>
      </w:tr>
      <w:tr>
        <w:trPr>
          <w:trHeight w:val="690" w:hRule="exact"/>
        </w:trPr>
        <w:tc>
          <w:tcPr>
            <w:tcW w:w="3970" w:type="dxa"/>
            <w:tcBorders>
              <w:top w:val="nil"/>
              <w:left w:val="nil"/>
              <w:bottom w:val="nil"/>
              <w:right w:val="nil"/>
            </w:tcBorders>
          </w:tcPr>
          <w:p>
            <w:pPr>
              <w:pStyle w:val="TableParagraph"/>
              <w:spacing w:before="46"/>
              <w:ind w:left="107"/>
              <w:rPr>
                <w:sz w:val="20"/>
              </w:rPr>
            </w:pPr>
            <w:r>
              <w:rPr>
                <w:sz w:val="20"/>
              </w:rPr>
              <w:t>ZM de Chihuahua (Chih)</w:t>
            </w:r>
          </w:p>
        </w:tc>
        <w:tc>
          <w:tcPr>
            <w:tcW w:w="4405" w:type="dxa"/>
            <w:tcBorders>
              <w:top w:val="nil"/>
              <w:left w:val="nil"/>
              <w:bottom w:val="nil"/>
              <w:right w:val="nil"/>
            </w:tcBorders>
          </w:tcPr>
          <w:p>
            <w:pPr>
              <w:pStyle w:val="TableParagraph"/>
              <w:spacing w:line="360" w:lineRule="auto" w:before="46"/>
              <w:ind w:left="107" w:right="531"/>
              <w:rPr>
                <w:sz w:val="20"/>
              </w:rPr>
            </w:pPr>
            <w:r>
              <w:rPr>
                <w:sz w:val="20"/>
              </w:rPr>
              <w:t>San Agustín Mextepec - San Pedro el Alto (EdoMéx)</w:t>
            </w:r>
          </w:p>
        </w:tc>
      </w:tr>
      <w:tr>
        <w:trPr>
          <w:trHeight w:val="346" w:hRule="exact"/>
        </w:trPr>
        <w:tc>
          <w:tcPr>
            <w:tcW w:w="3970" w:type="dxa"/>
            <w:tcBorders>
              <w:top w:val="nil"/>
              <w:left w:val="nil"/>
              <w:bottom w:val="nil"/>
              <w:right w:val="nil"/>
            </w:tcBorders>
          </w:tcPr>
          <w:p>
            <w:pPr/>
          </w:p>
        </w:tc>
        <w:tc>
          <w:tcPr>
            <w:tcW w:w="4405" w:type="dxa"/>
            <w:tcBorders>
              <w:top w:val="nil"/>
              <w:left w:val="nil"/>
              <w:bottom w:val="nil"/>
              <w:right w:val="nil"/>
            </w:tcBorders>
          </w:tcPr>
          <w:p>
            <w:pPr>
              <w:pStyle w:val="TableParagraph"/>
              <w:spacing w:before="47"/>
              <w:ind w:left="107" w:right="464"/>
              <w:rPr>
                <w:sz w:val="20"/>
              </w:rPr>
            </w:pPr>
            <w:r>
              <w:rPr>
                <w:sz w:val="20"/>
              </w:rPr>
              <w:t>Ixtapan de la Sal (EdoMéx)</w:t>
            </w:r>
          </w:p>
        </w:tc>
      </w:tr>
      <w:tr>
        <w:trPr>
          <w:trHeight w:val="398" w:hRule="exact"/>
        </w:trPr>
        <w:tc>
          <w:tcPr>
            <w:tcW w:w="3970" w:type="dxa"/>
            <w:tcBorders>
              <w:top w:val="nil"/>
              <w:left w:val="nil"/>
              <w:right w:val="nil"/>
            </w:tcBorders>
          </w:tcPr>
          <w:p>
            <w:pPr/>
          </w:p>
        </w:tc>
        <w:tc>
          <w:tcPr>
            <w:tcW w:w="4405" w:type="dxa"/>
            <w:tcBorders>
              <w:top w:val="nil"/>
              <w:left w:val="nil"/>
              <w:right w:val="nil"/>
            </w:tcBorders>
          </w:tcPr>
          <w:p>
            <w:pPr>
              <w:pStyle w:val="TableParagraph"/>
              <w:spacing w:before="47"/>
              <w:ind w:left="107" w:right="464"/>
              <w:rPr>
                <w:sz w:val="20"/>
              </w:rPr>
            </w:pPr>
            <w:r>
              <w:rPr>
                <w:sz w:val="20"/>
              </w:rPr>
              <w:t>Temascalcingo (EdoMéx)</w:t>
            </w:r>
          </w:p>
        </w:tc>
      </w:tr>
    </w:tbl>
    <w:p>
      <w:pPr>
        <w:spacing w:line="240" w:lineRule="auto" w:before="0"/>
        <w:ind w:left="2334" w:right="296" w:hanging="1623"/>
        <w:jc w:val="left"/>
        <w:rPr>
          <w:sz w:val="20"/>
        </w:rPr>
      </w:pPr>
      <w:r>
        <w:rPr>
          <w:sz w:val="20"/>
        </w:rPr>
        <w:t>Nota: las ciudades están ordenadas en forma decreciente según importancia de flujos Fuente: Elaborado con base en Garrocho (2012).</w:t>
      </w:r>
    </w:p>
    <w:p>
      <w:pPr>
        <w:pStyle w:val="BodyText"/>
        <w:rPr>
          <w:sz w:val="21"/>
        </w:rPr>
      </w:pPr>
    </w:p>
    <w:p>
      <w:pPr>
        <w:pStyle w:val="BodyText"/>
        <w:spacing w:line="360" w:lineRule="auto"/>
        <w:ind w:left="102" w:right="119"/>
        <w:jc w:val="both"/>
      </w:pPr>
      <w:r>
        <w:rPr/>
        <w:t>En la jerarquía de ciudades a nivel nacional, en 2005, se identifican 15 ciudades con población por arriba de ochocientos mil habitantes, se ubica en primer lugar  en el índice de primacía la ZMVM, la ZMT se ubica en el 5° lugar por población, en 9° lugar por población ocupada y en valor agregado en 6°</w:t>
      </w:r>
      <w:r>
        <w:rPr>
          <w:spacing w:val="-27"/>
        </w:rPr>
        <w:t> </w:t>
      </w:r>
      <w:r>
        <w:rPr/>
        <w:t>lugar.</w:t>
      </w:r>
    </w:p>
    <w:p>
      <w:pPr>
        <w:spacing w:after="0" w:line="360" w:lineRule="auto"/>
        <w:jc w:val="both"/>
        <w:sectPr>
          <w:pgSz w:w="12240" w:h="15840"/>
          <w:pgMar w:header="0" w:footer="659" w:top="1360" w:bottom="840" w:left="1600" w:right="1580"/>
        </w:sectPr>
      </w:pPr>
    </w:p>
    <w:p>
      <w:pPr>
        <w:pStyle w:val="BodyText"/>
        <w:spacing w:line="360" w:lineRule="auto" w:before="54"/>
        <w:ind w:left="102" w:right="117"/>
        <w:jc w:val="both"/>
      </w:pPr>
      <w:r>
        <w:rPr/>
        <w:t>La red nacional de ciudades formada por un total de 358, donde la ZMVM polariza y atrae las interrelaciones, es el principal destino para 224 ciudades, sumiendo un total de 44.4 millones de habitantes, a partir de ella se forman 40 redes de ciudades, la ZMT se ubica en el quinto lugar (Cuadro 3. 2).</w:t>
      </w:r>
    </w:p>
    <w:p>
      <w:pPr>
        <w:pStyle w:val="BodyText"/>
        <w:spacing w:before="7"/>
      </w:pPr>
    </w:p>
    <w:p>
      <w:pPr>
        <w:pStyle w:val="BodyText"/>
        <w:spacing w:line="360" w:lineRule="auto"/>
        <w:ind w:left="102" w:right="115"/>
        <w:jc w:val="both"/>
      </w:pPr>
      <w:r>
        <w:rPr/>
        <w:t>El análisis de redes, extrayendo a la ZMVM, devela la formación de un número importante de 69 redes en el país. Así destaca que la ZMT es el nodo de 19 ciudades que satisfacen usos y servicios en ella, entre ellas, dos zonas metropolitas, Cuernavaca y Tula, así como dos ciudades de Michoacán, Zitácuaro y Ciudad Hidalgo, igualmente mantiene relaciones con Arcelia, Teloloapan y Ciudad Altamirano - Riva Palacio del estado de Guerrero. Pese a la cercanía con la ZM de Querétaro, el análisis destaca que ambos son nodos que lideran sus respectivas redes de ciudades y no representan competitividad entre ellos pues sus redes son distintas. Es decir que la ZMT, se vincula de manera principal con el sistema de asentamientos de la parte poniente del centro del</w:t>
      </w:r>
      <w:r>
        <w:rPr>
          <w:spacing w:val="-19"/>
        </w:rPr>
        <w:t> </w:t>
      </w:r>
      <w:r>
        <w:rPr/>
        <w:t>país.</w:t>
      </w:r>
    </w:p>
    <w:p>
      <w:pPr>
        <w:pStyle w:val="BodyText"/>
        <w:spacing w:before="10"/>
      </w:pPr>
    </w:p>
    <w:p>
      <w:pPr>
        <w:pStyle w:val="BodyText"/>
        <w:spacing w:line="360" w:lineRule="auto"/>
        <w:ind w:left="102" w:right="116"/>
        <w:jc w:val="both"/>
      </w:pPr>
      <w:r>
        <w:rPr/>
        <w:t>Dentro de la entidad, en la porción poniente y parte sur oriente del valle de Toluca, existen dos ciudades con las que guarda importante interrelación, aquella formada por Almoloya del Río – Atizapán – Capulhuac - Tianguistenco y la segunda, formada por Xalatlaco - Santiago Tilapa. Además existen otros asentamientos menores.</w:t>
      </w:r>
    </w:p>
    <w:p>
      <w:pPr>
        <w:pStyle w:val="BodyText"/>
        <w:spacing w:before="10"/>
      </w:pPr>
    </w:p>
    <w:p>
      <w:pPr>
        <w:pStyle w:val="BodyText"/>
        <w:spacing w:line="360" w:lineRule="auto"/>
        <w:ind w:left="102" w:right="114"/>
        <w:jc w:val="both"/>
      </w:pPr>
      <w:r>
        <w:rPr/>
        <w:t>En este estudio de redes de ciudades, la Zona Metropolitana de Toluca, tiene una población total de 1 millón 600 mil habitantes en 2005, pero considerando sus interrelaciones con las otras ciudades y asentamientos de tamaños menores, se vincula con una población de 1 millón 500 mil habitantes adicionales, con lo cual el funcionamiento es de mayor ámbito, lo que indica que no sólo aumenta la masa total con la que intercambia bienes, servicios y recursos en general, sino el peso que ha ganado dentro de la región centro que avanza en el occidente y en el sur. Es un nodo que interactúa con otras redes a nivel nacional.</w:t>
      </w:r>
    </w:p>
    <w:p>
      <w:pPr>
        <w:pStyle w:val="BodyText"/>
        <w:spacing w:before="7"/>
      </w:pPr>
    </w:p>
    <w:p>
      <w:pPr>
        <w:pStyle w:val="BodyText"/>
        <w:spacing w:line="360" w:lineRule="auto"/>
        <w:ind w:left="102" w:right="125"/>
        <w:jc w:val="both"/>
      </w:pPr>
      <w:r>
        <w:rPr/>
        <w:t>La Zona Metropolitana de Toluca, en la fase de urbanización del territorio  mexicano</w:t>
      </w:r>
      <w:r>
        <w:rPr>
          <w:spacing w:val="29"/>
        </w:rPr>
        <w:t> </w:t>
      </w:r>
      <w:r>
        <w:rPr/>
        <w:t>de</w:t>
      </w:r>
      <w:r>
        <w:rPr>
          <w:spacing w:val="29"/>
        </w:rPr>
        <w:t> </w:t>
      </w:r>
      <w:r>
        <w:rPr/>
        <w:t>principios</w:t>
      </w:r>
      <w:r>
        <w:rPr>
          <w:spacing w:val="28"/>
        </w:rPr>
        <w:t> </w:t>
      </w:r>
      <w:r>
        <w:rPr/>
        <w:t>del</w:t>
      </w:r>
      <w:r>
        <w:rPr>
          <w:spacing w:val="28"/>
        </w:rPr>
        <w:t> </w:t>
      </w:r>
      <w:r>
        <w:rPr/>
        <w:t>siglo</w:t>
      </w:r>
      <w:r>
        <w:rPr>
          <w:spacing w:val="28"/>
        </w:rPr>
        <w:t> </w:t>
      </w:r>
      <w:r>
        <w:rPr/>
        <w:t>XXI,</w:t>
      </w:r>
      <w:r>
        <w:rPr>
          <w:spacing w:val="29"/>
        </w:rPr>
        <w:t> </w:t>
      </w:r>
      <w:r>
        <w:rPr/>
        <w:t>se</w:t>
      </w:r>
      <w:r>
        <w:rPr>
          <w:spacing w:val="29"/>
        </w:rPr>
        <w:t> </w:t>
      </w:r>
      <w:r>
        <w:rPr/>
        <w:t>examina</w:t>
      </w:r>
      <w:r>
        <w:rPr>
          <w:spacing w:val="29"/>
        </w:rPr>
        <w:t> </w:t>
      </w:r>
      <w:r>
        <w:rPr/>
        <w:t>desde</w:t>
      </w:r>
      <w:r>
        <w:rPr>
          <w:spacing w:val="29"/>
        </w:rPr>
        <w:t> </w:t>
      </w:r>
      <w:r>
        <w:rPr/>
        <w:t>la</w:t>
      </w:r>
      <w:r>
        <w:rPr>
          <w:spacing w:val="28"/>
        </w:rPr>
        <w:t> </w:t>
      </w:r>
      <w:r>
        <w:rPr/>
        <w:t>descentralización</w:t>
      </w:r>
      <w:r>
        <w:rPr>
          <w:spacing w:val="29"/>
        </w:rPr>
        <w:t> </w:t>
      </w:r>
      <w:r>
        <w:rPr/>
        <w:t>del</w:t>
      </w:r>
    </w:p>
    <w:p>
      <w:pPr>
        <w:spacing w:after="0" w:line="360" w:lineRule="auto"/>
        <w:jc w:val="both"/>
        <w:sectPr>
          <w:pgSz w:w="12240" w:h="15840"/>
          <w:pgMar w:header="0" w:footer="659" w:top="1360" w:bottom="840" w:left="1600" w:right="1580"/>
        </w:sectPr>
      </w:pPr>
    </w:p>
    <w:p>
      <w:pPr>
        <w:pStyle w:val="BodyText"/>
        <w:spacing w:line="360" w:lineRule="auto" w:before="54"/>
        <w:ind w:left="102" w:right="123"/>
        <w:jc w:val="both"/>
      </w:pPr>
      <w:r>
        <w:rPr/>
        <w:t>sistema urbano nacional, y su reforzamiento en la región centro, se explica mediante la desurbanización, la dispersión y el policentrismo metropolitano de la ciudad de México; se explica desde las relaciones de redes urbanas y la ampliación de su alcance geográfico. Con lo cual se sitúa en la misma tendencia marcada para los países de América Latina.</w:t>
      </w:r>
    </w:p>
    <w:p>
      <w:pPr>
        <w:pStyle w:val="BodyText"/>
        <w:spacing w:before="10"/>
      </w:pPr>
    </w:p>
    <w:p>
      <w:pPr>
        <w:pStyle w:val="BodyText"/>
        <w:spacing w:line="360" w:lineRule="auto"/>
        <w:ind w:left="102" w:right="115"/>
        <w:jc w:val="both"/>
      </w:pPr>
      <w:r>
        <w:rPr/>
        <w:t>La ZMT, se encuentra atravesando por varios procesos metropolitanos simultáneos, tanto en su propio proceso interno como por su inclusión en procesos regional-nacional: i) los de mayor envergadura estructural y efectos del avanzado modelo neoliberal internacional mexicano, ya sea que se trate de la modernización de la infraestructura terrestre, mejora en comunicaciones e infraestructuras tecnológicas, ya sea que se trate del incremente de la inversión inmobiliaria y financiamiento a la vivienda, ya sea que se trate de reestructuración de la economía, en su estructura sectorial y la formación de centralidades y, ii) los procesos y cambios de tipo morfológico, que derivan del comportamiento socio económico, cultural de la población y de las políticas urbanas, Todo lo cual organizan los actuales patrones espaciales.</w:t>
      </w:r>
    </w:p>
    <w:p>
      <w:pPr>
        <w:pStyle w:val="BodyText"/>
        <w:spacing w:before="6"/>
      </w:pPr>
    </w:p>
    <w:p>
      <w:pPr>
        <w:pStyle w:val="Heading4"/>
        <w:numPr>
          <w:ilvl w:val="1"/>
          <w:numId w:val="4"/>
        </w:numPr>
        <w:tabs>
          <w:tab w:pos="649" w:val="left" w:leader="none"/>
        </w:tabs>
        <w:spacing w:line="240" w:lineRule="auto" w:before="0" w:after="0"/>
        <w:ind w:left="648" w:right="0" w:hanging="546"/>
        <w:jc w:val="both"/>
      </w:pPr>
      <w:r>
        <w:rPr/>
        <w:t>Las variables</w:t>
      </w:r>
      <w:r>
        <w:rPr>
          <w:spacing w:val="-10"/>
        </w:rPr>
        <w:t> </w:t>
      </w:r>
      <w:r>
        <w:rPr/>
        <w:t>presentes</w:t>
      </w:r>
    </w:p>
    <w:p>
      <w:pPr>
        <w:pStyle w:val="BodyText"/>
        <w:spacing w:before="5"/>
        <w:rPr>
          <w:b/>
          <w:sz w:val="38"/>
        </w:rPr>
      </w:pPr>
    </w:p>
    <w:p>
      <w:pPr>
        <w:pStyle w:val="BodyText"/>
        <w:spacing w:line="360" w:lineRule="auto"/>
        <w:ind w:left="102" w:right="125"/>
        <w:jc w:val="both"/>
      </w:pPr>
      <w:r>
        <w:rPr/>
        <w:t>Las metodologías para el estudio de las metrópolis, tiene dos opciones generales, dentro del sistema urbano o el estudio individual, en ambas opciones está  presente la perspectiva evolucionista, que tiene de trasfondo la teoría del ciclo urbano.</w:t>
      </w:r>
    </w:p>
    <w:p>
      <w:pPr>
        <w:pStyle w:val="BodyText"/>
        <w:spacing w:before="7"/>
      </w:pPr>
    </w:p>
    <w:p>
      <w:pPr>
        <w:pStyle w:val="BodyText"/>
        <w:spacing w:line="360" w:lineRule="auto"/>
        <w:ind w:left="102" w:right="121"/>
        <w:jc w:val="both"/>
      </w:pPr>
      <w:r>
        <w:rPr/>
        <w:t>En México por la carencia de información, la metropolización, sus cambios y sus relaciones en el concierto del sistema urbano nacional, se analizan, principalmente, siguiendo el criterio de cambios físico (continuidad, expansión y en forma indirecta las relaciones), desde la década del noventa ha predominado la identificación del sistema urbano mediante variables de magnitud y de flujos de transporte de donde se deriva la jerarquía, se aplica el método gravitacional; poco después el estudio de redes, siguió con el mismo método y luego se agrega el </w:t>
      </w:r>
      <w:r>
        <w:rPr>
          <w:spacing w:val="61"/>
        </w:rPr>
        <w:t> </w:t>
      </w:r>
      <w:r>
        <w:rPr/>
        <w:t>de</w:t>
      </w:r>
    </w:p>
    <w:p>
      <w:pPr>
        <w:spacing w:after="0" w:line="360" w:lineRule="auto"/>
        <w:jc w:val="both"/>
        <w:sectPr>
          <w:pgSz w:w="12240" w:h="15840"/>
          <w:pgMar w:header="0" w:footer="659" w:top="1360" w:bottom="840" w:left="1600" w:right="1580"/>
        </w:sectPr>
      </w:pPr>
    </w:p>
    <w:p>
      <w:pPr>
        <w:pStyle w:val="BodyText"/>
        <w:spacing w:line="360" w:lineRule="auto" w:before="54"/>
        <w:ind w:left="102" w:right="125"/>
        <w:jc w:val="both"/>
      </w:pPr>
      <w:r>
        <w:rPr/>
        <w:t>interacción espacial. Ello ocurría lo mismo desde las instituciones administrativas que desde el medio académico.</w:t>
      </w:r>
    </w:p>
    <w:p>
      <w:pPr>
        <w:pStyle w:val="BodyText"/>
        <w:spacing w:before="7"/>
      </w:pPr>
    </w:p>
    <w:p>
      <w:pPr>
        <w:pStyle w:val="BodyText"/>
        <w:spacing w:line="360" w:lineRule="auto"/>
        <w:ind w:left="102" w:right="122"/>
        <w:jc w:val="both"/>
      </w:pPr>
      <w:r>
        <w:rPr/>
        <w:t>Dentro de la zona metropolitana, se estudia la configuración y transformación de la estructura urbana, caracterizando funcionamiento diario y amplitud en el tiempo,  se identifican fases. En cuanto a los métodos, son escasos los trabajos que  aplican modelos formales, dominan estudios mediante un conjunto de variables a las cuales se observa cambio de magnitud y de dirección. Este tipo de estudio sólo se presenta en el medio académico, a veces acompañado de una teoría, otras un marco conceptual y la gran mayoría estadística</w:t>
      </w:r>
      <w:r>
        <w:rPr>
          <w:spacing w:val="-16"/>
        </w:rPr>
        <w:t> </w:t>
      </w:r>
      <w:r>
        <w:rPr/>
        <w:t>descriptiva.</w:t>
      </w:r>
    </w:p>
    <w:p>
      <w:pPr>
        <w:pStyle w:val="BodyText"/>
        <w:spacing w:before="7"/>
      </w:pPr>
    </w:p>
    <w:p>
      <w:pPr>
        <w:pStyle w:val="BodyText"/>
        <w:spacing w:line="360" w:lineRule="auto"/>
        <w:ind w:left="102" w:right="117"/>
        <w:jc w:val="both"/>
      </w:pPr>
      <w:r>
        <w:rPr/>
        <w:t>Los cambios en la estructura urbana metropolitana que iniciaron en la década de los años sesenta/setenta, se tornaron una constante en el contexto internacional, y comenzó a ser estudiado también en el contexto Latinoamericano, cuyos estudios fueron importantes en los años ochenta del siglo XX. Algunos pusieron en la base de la explicación de los cambios, los estructurales económicos, la globalización y las tecnologías de la información, que dieron como resultados estructuras territoriales más descentralizadas policéntricas y formaciones de redes, ello  explica el incremento de las interrelaciones entre áreas, zonas y regiones metropolitanas, incrementándose los vínculos desde asentamientos humanos remotos y principalmente son novedosos los cambios externos de las ciudades. Todo los cual describe descentralización, redistribución y organizaciones externas, en suma el tránsito de la suburbanización a la desurbanización. La llamada etapa madura de la metropolización, conlleva todo tipo de descentralizaciones, pero sobre todo que ocurren simultáneamente, en la ciudad principal en el sistema urbano nacional dejando la máxima concentración como la transformación de la ciudad central de la metrópolis (Cuadro</w:t>
      </w:r>
      <w:r>
        <w:rPr>
          <w:spacing w:val="-10"/>
        </w:rPr>
        <w:t> </w:t>
      </w:r>
      <w:r>
        <w:rPr/>
        <w:t>3).</w:t>
      </w:r>
    </w:p>
    <w:p>
      <w:pPr>
        <w:pStyle w:val="BodyText"/>
        <w:spacing w:before="10"/>
      </w:pPr>
    </w:p>
    <w:p>
      <w:pPr>
        <w:pStyle w:val="BodyText"/>
        <w:spacing w:line="360" w:lineRule="auto"/>
        <w:ind w:left="102" w:right="118"/>
        <w:jc w:val="both"/>
      </w:pPr>
      <w:r>
        <w:rPr/>
        <w:t>A continuación se destacan el conjunto de recursos de medición que se suele utilizar el proceso de metropolización. Las variables consideradas en los estudios revisados son: Demográficas; población, tasa de crecimiento tamaño de localidad, vivienda  densidades.  Económicas:  actividades  económicas  en  </w:t>
      </w:r>
      <w:r>
        <w:rPr>
          <w:spacing w:val="2"/>
        </w:rPr>
        <w:t>PIB  </w:t>
      </w:r>
      <w:r>
        <w:rPr/>
        <w:t>per </w:t>
      </w:r>
      <w:r>
        <w:rPr>
          <w:spacing w:val="61"/>
        </w:rPr>
        <w:t> </w:t>
      </w:r>
      <w:r>
        <w:rPr/>
        <w:t>cápita</w:t>
      </w:r>
    </w:p>
    <w:p>
      <w:pPr>
        <w:spacing w:after="0" w:line="360" w:lineRule="auto"/>
        <w:jc w:val="both"/>
        <w:sectPr>
          <w:pgSz w:w="12240" w:h="15840"/>
          <w:pgMar w:header="0" w:footer="659" w:top="1360" w:bottom="840" w:left="1600" w:right="1580"/>
        </w:sectPr>
      </w:pPr>
    </w:p>
    <w:p>
      <w:pPr>
        <w:pStyle w:val="BodyText"/>
        <w:spacing w:line="360" w:lineRule="auto" w:before="54"/>
        <w:ind w:left="222"/>
      </w:pPr>
      <w:r>
        <w:rPr/>
        <w:t>formalidad e informalidad del empleo. Funcionales: Movimientos migratorios en el análisis de las relaciones funcionales (Cuadro No. 3.)</w:t>
      </w:r>
    </w:p>
    <w:p>
      <w:pPr>
        <w:pStyle w:val="BodyText"/>
        <w:spacing w:before="6"/>
      </w:pPr>
    </w:p>
    <w:p>
      <w:pPr>
        <w:spacing w:before="0" w:after="3"/>
        <w:ind w:left="2182" w:right="0" w:firstLine="0"/>
        <w:jc w:val="left"/>
        <w:rPr>
          <w:sz w:val="20"/>
        </w:rPr>
      </w:pPr>
      <w:r>
        <w:rPr>
          <w:sz w:val="20"/>
        </w:rPr>
        <w:t>Cuadro 3. Principales procesos identificados en México</w:t>
      </w:r>
    </w:p>
    <w:tbl>
      <w:tblPr>
        <w:tblW w:w="0" w:type="auto"/>
        <w:jc w:val="left"/>
        <w:tblInd w:w="11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184"/>
        <w:gridCol w:w="3316"/>
        <w:gridCol w:w="3328"/>
      </w:tblGrid>
      <w:tr>
        <w:trPr>
          <w:trHeight w:val="240" w:hRule="exact"/>
        </w:trPr>
        <w:tc>
          <w:tcPr>
            <w:tcW w:w="2184" w:type="dxa"/>
            <w:tcBorders>
              <w:left w:val="nil"/>
              <w:right w:val="nil"/>
            </w:tcBorders>
          </w:tcPr>
          <w:p>
            <w:pPr>
              <w:pStyle w:val="TableParagraph"/>
              <w:spacing w:line="227" w:lineRule="exact"/>
              <w:ind w:left="108"/>
              <w:rPr>
                <w:sz w:val="20"/>
              </w:rPr>
            </w:pPr>
            <w:r>
              <w:rPr>
                <w:sz w:val="20"/>
              </w:rPr>
              <w:t>Conceptos / procesos</w:t>
            </w:r>
          </w:p>
        </w:tc>
        <w:tc>
          <w:tcPr>
            <w:tcW w:w="3316" w:type="dxa"/>
            <w:tcBorders>
              <w:left w:val="nil"/>
              <w:right w:val="nil"/>
            </w:tcBorders>
          </w:tcPr>
          <w:p>
            <w:pPr>
              <w:pStyle w:val="TableParagraph"/>
              <w:spacing w:line="227" w:lineRule="exact"/>
              <w:ind w:left="146" w:right="259"/>
              <w:rPr>
                <w:sz w:val="20"/>
              </w:rPr>
            </w:pPr>
            <w:r>
              <w:rPr>
                <w:sz w:val="20"/>
              </w:rPr>
              <w:t>Cambios</w:t>
            </w:r>
          </w:p>
        </w:tc>
        <w:tc>
          <w:tcPr>
            <w:tcW w:w="3328" w:type="dxa"/>
            <w:tcBorders>
              <w:left w:val="nil"/>
              <w:right w:val="nil"/>
            </w:tcBorders>
          </w:tcPr>
          <w:p>
            <w:pPr>
              <w:pStyle w:val="TableParagraph"/>
              <w:spacing w:line="227" w:lineRule="exact"/>
              <w:ind w:left="159" w:right="836"/>
              <w:rPr>
                <w:sz w:val="20"/>
              </w:rPr>
            </w:pPr>
            <w:r>
              <w:rPr>
                <w:sz w:val="20"/>
              </w:rPr>
              <w:t>Características</w:t>
            </w:r>
          </w:p>
        </w:tc>
      </w:tr>
      <w:tr>
        <w:trPr>
          <w:trHeight w:val="1738" w:hRule="exact"/>
        </w:trPr>
        <w:tc>
          <w:tcPr>
            <w:tcW w:w="2184" w:type="dxa"/>
            <w:tcBorders>
              <w:left w:val="nil"/>
              <w:bottom w:val="nil"/>
              <w:right w:val="nil"/>
            </w:tcBorders>
          </w:tcPr>
          <w:p>
            <w:pPr>
              <w:pStyle w:val="TableParagraph"/>
              <w:spacing w:line="227" w:lineRule="exact"/>
              <w:ind w:left="108"/>
              <w:rPr>
                <w:sz w:val="20"/>
              </w:rPr>
            </w:pPr>
            <w:r>
              <w:rPr>
                <w:sz w:val="20"/>
              </w:rPr>
              <w:t>Metropolitanismo</w:t>
            </w:r>
          </w:p>
        </w:tc>
        <w:tc>
          <w:tcPr>
            <w:tcW w:w="3316" w:type="dxa"/>
            <w:tcBorders>
              <w:left w:val="nil"/>
              <w:bottom w:val="nil"/>
              <w:right w:val="nil"/>
            </w:tcBorders>
          </w:tcPr>
          <w:p>
            <w:pPr>
              <w:pStyle w:val="TableParagraph"/>
              <w:ind w:left="146" w:right="259"/>
              <w:rPr>
                <w:sz w:val="20"/>
              </w:rPr>
            </w:pPr>
            <w:r>
              <w:rPr>
                <w:sz w:val="20"/>
              </w:rPr>
              <w:t>Fuera de la ciudad central: ritmo de crecimiento acelerado Pérdida de población en el anillo central.</w:t>
            </w:r>
          </w:p>
          <w:p>
            <w:pPr>
              <w:pStyle w:val="TableParagraph"/>
              <w:ind w:left="146" w:right="537"/>
              <w:rPr>
                <w:sz w:val="20"/>
              </w:rPr>
            </w:pPr>
            <w:r>
              <w:rPr>
                <w:sz w:val="20"/>
              </w:rPr>
              <w:t>(homogenización de tasas de crecimiento en los ámbitos internos).</w:t>
            </w:r>
          </w:p>
        </w:tc>
        <w:tc>
          <w:tcPr>
            <w:tcW w:w="3328" w:type="dxa"/>
            <w:tcBorders>
              <w:left w:val="nil"/>
              <w:bottom w:val="nil"/>
              <w:right w:val="nil"/>
            </w:tcBorders>
          </w:tcPr>
          <w:p>
            <w:pPr>
              <w:pStyle w:val="TableParagraph"/>
              <w:ind w:left="159" w:right="836"/>
              <w:rPr>
                <w:sz w:val="20"/>
              </w:rPr>
            </w:pPr>
            <w:r>
              <w:rPr>
                <w:sz w:val="20"/>
              </w:rPr>
              <w:t>Concentración económica (tercerización).</w:t>
            </w:r>
          </w:p>
          <w:p>
            <w:pPr>
              <w:pStyle w:val="TableParagraph"/>
              <w:ind w:left="159" w:right="647"/>
              <w:rPr>
                <w:sz w:val="20"/>
              </w:rPr>
            </w:pPr>
            <w:r>
              <w:rPr>
                <w:sz w:val="20"/>
              </w:rPr>
              <w:t>Concentración demográfica. Sistemas funcionales interrelacionados.</w:t>
            </w:r>
          </w:p>
        </w:tc>
      </w:tr>
      <w:tr>
        <w:trPr>
          <w:trHeight w:val="1840" w:hRule="exact"/>
        </w:trPr>
        <w:tc>
          <w:tcPr>
            <w:tcW w:w="2184" w:type="dxa"/>
            <w:tcBorders>
              <w:top w:val="nil"/>
              <w:left w:val="nil"/>
              <w:bottom w:val="nil"/>
              <w:right w:val="nil"/>
            </w:tcBorders>
          </w:tcPr>
          <w:p>
            <w:pPr>
              <w:pStyle w:val="TableParagraph"/>
              <w:spacing w:before="104"/>
              <w:ind w:left="108"/>
              <w:rPr>
                <w:sz w:val="20"/>
              </w:rPr>
            </w:pPr>
            <w:r>
              <w:rPr>
                <w:sz w:val="20"/>
              </w:rPr>
              <w:t>Suburbanización</w:t>
            </w:r>
          </w:p>
        </w:tc>
        <w:tc>
          <w:tcPr>
            <w:tcW w:w="3316" w:type="dxa"/>
            <w:tcBorders>
              <w:top w:val="nil"/>
              <w:left w:val="nil"/>
              <w:bottom w:val="nil"/>
              <w:right w:val="nil"/>
            </w:tcBorders>
          </w:tcPr>
          <w:p>
            <w:pPr>
              <w:pStyle w:val="TableParagraph"/>
              <w:spacing w:before="104"/>
              <w:ind w:left="146"/>
              <w:rPr>
                <w:sz w:val="20"/>
              </w:rPr>
            </w:pPr>
            <w:r>
              <w:rPr>
                <w:sz w:val="20"/>
              </w:rPr>
              <w:t>Aumento de población urbana por movimientos intra metropolitanos centro - periferia.</w:t>
            </w:r>
          </w:p>
          <w:p>
            <w:pPr>
              <w:pStyle w:val="TableParagraph"/>
              <w:ind w:left="146"/>
              <w:rPr>
                <w:sz w:val="20"/>
              </w:rPr>
            </w:pPr>
            <w:r>
              <w:rPr>
                <w:sz w:val="20"/>
              </w:rPr>
              <w:t>Relaciones entre ciudades y sus ciudades adyacentes.</w:t>
            </w:r>
          </w:p>
        </w:tc>
        <w:tc>
          <w:tcPr>
            <w:tcW w:w="3328" w:type="dxa"/>
            <w:tcBorders>
              <w:top w:val="nil"/>
              <w:left w:val="nil"/>
              <w:bottom w:val="nil"/>
              <w:right w:val="nil"/>
            </w:tcBorders>
          </w:tcPr>
          <w:p>
            <w:pPr>
              <w:pStyle w:val="TableParagraph"/>
              <w:spacing w:before="104"/>
              <w:ind w:left="159" w:right="125"/>
              <w:rPr>
                <w:sz w:val="20"/>
              </w:rPr>
            </w:pPr>
            <w:r>
              <w:rPr>
                <w:sz w:val="20"/>
              </w:rPr>
              <w:t>Patrón de localización de la población en la periferia, especialización de las actividades en el centro.</w:t>
            </w:r>
          </w:p>
          <w:p>
            <w:pPr>
              <w:pStyle w:val="TableParagraph"/>
              <w:ind w:left="159" w:right="125"/>
              <w:rPr>
                <w:sz w:val="20"/>
              </w:rPr>
            </w:pPr>
            <w:r>
              <w:rPr>
                <w:sz w:val="20"/>
              </w:rPr>
              <w:t>Los movimientos de mercancías y población determinan el grado de integración económica.</w:t>
            </w:r>
          </w:p>
        </w:tc>
      </w:tr>
      <w:tr>
        <w:trPr>
          <w:trHeight w:val="1840" w:hRule="exact"/>
        </w:trPr>
        <w:tc>
          <w:tcPr>
            <w:tcW w:w="2184" w:type="dxa"/>
            <w:tcBorders>
              <w:top w:val="nil"/>
              <w:left w:val="nil"/>
              <w:bottom w:val="nil"/>
              <w:right w:val="nil"/>
            </w:tcBorders>
          </w:tcPr>
          <w:p>
            <w:pPr>
              <w:pStyle w:val="TableParagraph"/>
              <w:spacing w:before="103"/>
              <w:ind w:left="108"/>
              <w:rPr>
                <w:sz w:val="20"/>
              </w:rPr>
            </w:pPr>
            <w:r>
              <w:rPr>
                <w:sz w:val="20"/>
              </w:rPr>
              <w:t>Sprawl</w:t>
            </w:r>
          </w:p>
        </w:tc>
        <w:tc>
          <w:tcPr>
            <w:tcW w:w="3316" w:type="dxa"/>
            <w:tcBorders>
              <w:top w:val="nil"/>
              <w:left w:val="nil"/>
              <w:bottom w:val="nil"/>
              <w:right w:val="nil"/>
            </w:tcBorders>
          </w:tcPr>
          <w:p>
            <w:pPr>
              <w:pStyle w:val="TableParagraph"/>
              <w:spacing w:before="103"/>
              <w:ind w:left="146" w:right="692"/>
              <w:rPr>
                <w:sz w:val="20"/>
              </w:rPr>
            </w:pPr>
            <w:r>
              <w:rPr>
                <w:sz w:val="20"/>
              </w:rPr>
              <w:t>Incremento de la expansión metropolitana</w:t>
            </w:r>
          </w:p>
        </w:tc>
        <w:tc>
          <w:tcPr>
            <w:tcW w:w="3328" w:type="dxa"/>
            <w:tcBorders>
              <w:top w:val="nil"/>
              <w:left w:val="nil"/>
              <w:bottom w:val="nil"/>
              <w:right w:val="nil"/>
            </w:tcBorders>
          </w:tcPr>
          <w:p>
            <w:pPr>
              <w:pStyle w:val="TableParagraph"/>
              <w:spacing w:before="103"/>
              <w:ind w:left="159" w:right="203"/>
              <w:rPr>
                <w:sz w:val="20"/>
              </w:rPr>
            </w:pPr>
            <w:r>
              <w:rPr>
                <w:sz w:val="20"/>
              </w:rPr>
              <w:t>Descentralización del incremento de la vivienda.</w:t>
            </w:r>
          </w:p>
          <w:p>
            <w:pPr>
              <w:pStyle w:val="TableParagraph"/>
              <w:ind w:left="159" w:right="714"/>
              <w:rPr>
                <w:sz w:val="20"/>
              </w:rPr>
            </w:pPr>
            <w:r>
              <w:rPr>
                <w:sz w:val="20"/>
              </w:rPr>
              <w:t>Menor densidad en la parte externa</w:t>
            </w:r>
          </w:p>
          <w:p>
            <w:pPr>
              <w:pStyle w:val="TableParagraph"/>
              <w:ind w:left="159" w:right="570"/>
              <w:rPr>
                <w:sz w:val="20"/>
              </w:rPr>
            </w:pPr>
            <w:r>
              <w:rPr>
                <w:sz w:val="20"/>
              </w:rPr>
              <w:t>Mayor consumo de suelo por habitante.</w:t>
            </w:r>
          </w:p>
          <w:p>
            <w:pPr>
              <w:pStyle w:val="TableParagraph"/>
              <w:ind w:left="159" w:right="647"/>
              <w:rPr>
                <w:sz w:val="20"/>
              </w:rPr>
            </w:pPr>
            <w:r>
              <w:rPr>
                <w:sz w:val="20"/>
              </w:rPr>
              <w:t>Dependencia del automóvil.</w:t>
            </w:r>
          </w:p>
        </w:tc>
      </w:tr>
      <w:tr>
        <w:trPr>
          <w:trHeight w:val="1032" w:hRule="exact"/>
        </w:trPr>
        <w:tc>
          <w:tcPr>
            <w:tcW w:w="2184" w:type="dxa"/>
            <w:tcBorders>
              <w:top w:val="nil"/>
              <w:left w:val="nil"/>
              <w:right w:val="nil"/>
            </w:tcBorders>
          </w:tcPr>
          <w:p>
            <w:pPr>
              <w:pStyle w:val="TableParagraph"/>
              <w:spacing w:before="105"/>
              <w:ind w:left="108"/>
              <w:rPr>
                <w:sz w:val="20"/>
              </w:rPr>
            </w:pPr>
            <w:r>
              <w:rPr>
                <w:sz w:val="20"/>
              </w:rPr>
              <w:t>Desurbanización </w:t>
            </w:r>
            <w:r>
              <w:rPr>
                <w:w w:val="95"/>
                <w:sz w:val="20"/>
              </w:rPr>
              <w:t>Contraurbanización</w:t>
            </w:r>
          </w:p>
        </w:tc>
        <w:tc>
          <w:tcPr>
            <w:tcW w:w="3316" w:type="dxa"/>
            <w:tcBorders>
              <w:top w:val="nil"/>
              <w:left w:val="nil"/>
              <w:right w:val="nil"/>
            </w:tcBorders>
          </w:tcPr>
          <w:p>
            <w:pPr>
              <w:pStyle w:val="TableParagraph"/>
              <w:spacing w:before="105"/>
              <w:ind w:left="146" w:right="504"/>
              <w:rPr>
                <w:sz w:val="20"/>
              </w:rPr>
            </w:pPr>
            <w:r>
              <w:rPr>
                <w:sz w:val="20"/>
              </w:rPr>
              <w:t>Cambios de localización de la población de áreas de mayor concentración a otras menor concentración</w:t>
            </w:r>
          </w:p>
        </w:tc>
        <w:tc>
          <w:tcPr>
            <w:tcW w:w="3328" w:type="dxa"/>
            <w:tcBorders>
              <w:top w:val="nil"/>
              <w:left w:val="nil"/>
              <w:right w:val="nil"/>
            </w:tcBorders>
          </w:tcPr>
          <w:p>
            <w:pPr>
              <w:pStyle w:val="TableParagraph"/>
              <w:spacing w:before="105"/>
              <w:ind w:left="159" w:right="125"/>
              <w:rPr>
                <w:sz w:val="20"/>
              </w:rPr>
            </w:pPr>
            <w:r>
              <w:rPr>
                <w:sz w:val="20"/>
              </w:rPr>
              <w:t>Descentralización del centro en la periferia urbana y en otras localidades lejanas y ciudades secundarias.</w:t>
            </w:r>
          </w:p>
        </w:tc>
      </w:tr>
    </w:tbl>
    <w:p>
      <w:pPr>
        <w:spacing w:line="227" w:lineRule="exact" w:before="0"/>
        <w:ind w:left="3416" w:right="3321" w:firstLine="0"/>
        <w:jc w:val="center"/>
        <w:rPr>
          <w:sz w:val="20"/>
        </w:rPr>
      </w:pPr>
      <w:r>
        <w:rPr>
          <w:sz w:val="20"/>
        </w:rPr>
        <w:t>Fuente: Elaboración propia</w:t>
      </w:r>
    </w:p>
    <w:p>
      <w:pPr>
        <w:pStyle w:val="BodyText"/>
        <w:rPr>
          <w:sz w:val="20"/>
        </w:rPr>
      </w:pPr>
    </w:p>
    <w:p>
      <w:pPr>
        <w:pStyle w:val="BodyText"/>
        <w:rPr>
          <w:sz w:val="20"/>
        </w:rPr>
      </w:pPr>
    </w:p>
    <w:p>
      <w:pPr>
        <w:pStyle w:val="BodyText"/>
        <w:spacing w:line="360" w:lineRule="auto" w:before="167"/>
        <w:ind w:left="222" w:right="116"/>
        <w:jc w:val="both"/>
      </w:pPr>
      <w:r>
        <w:rPr/>
        <w:t>La urbanización afecta los patrones de distribución de la población, inicialmente la urbanización no ocurre sin la existencia de grandes flujos de migración procedente de las áreas rurales, con el avance de la urbanización, la migración rural-urbana  va disminuyendo peso relativo frente a la urbana-urbana esto se prueba en la fase de evolución urbana, que a su vez se acompaña del aspecto económico (Sobrino, 2011). La organización metropolitana se configura por tres ámbitos; la primera la ciudad central, seguida de los asentamientos periféricos que son el área metropolitana y finalmente los asentamientos dispersos. Considera a la población total,</w:t>
      </w:r>
      <w:r>
        <w:rPr>
          <w:spacing w:val="16"/>
        </w:rPr>
        <w:t> </w:t>
      </w:r>
      <w:r>
        <w:rPr/>
        <w:t>tasa</w:t>
      </w:r>
      <w:r>
        <w:rPr>
          <w:spacing w:val="17"/>
        </w:rPr>
        <w:t> </w:t>
      </w:r>
      <w:r>
        <w:rPr/>
        <w:t>de</w:t>
      </w:r>
      <w:r>
        <w:rPr>
          <w:spacing w:val="17"/>
        </w:rPr>
        <w:t> </w:t>
      </w:r>
      <w:r>
        <w:rPr/>
        <w:t>crecimiento,</w:t>
      </w:r>
      <w:r>
        <w:rPr>
          <w:spacing w:val="16"/>
        </w:rPr>
        <w:t> </w:t>
      </w:r>
      <w:r>
        <w:rPr/>
        <w:t>migración,</w:t>
      </w:r>
      <w:r>
        <w:rPr>
          <w:spacing w:val="16"/>
        </w:rPr>
        <w:t> </w:t>
      </w:r>
      <w:r>
        <w:rPr/>
        <w:t>el</w:t>
      </w:r>
      <w:r>
        <w:rPr>
          <w:spacing w:val="18"/>
        </w:rPr>
        <w:t> </w:t>
      </w:r>
      <w:r>
        <w:rPr/>
        <w:t>PIB</w:t>
      </w:r>
      <w:r>
        <w:rPr>
          <w:spacing w:val="16"/>
        </w:rPr>
        <w:t> </w:t>
      </w:r>
      <w:r>
        <w:rPr/>
        <w:t>per</w:t>
      </w:r>
      <w:r>
        <w:rPr>
          <w:spacing w:val="17"/>
        </w:rPr>
        <w:t> </w:t>
      </w:r>
      <w:r>
        <w:rPr/>
        <w:t>cápita</w:t>
      </w:r>
      <w:r>
        <w:rPr>
          <w:spacing w:val="16"/>
        </w:rPr>
        <w:t> </w:t>
      </w:r>
      <w:r>
        <w:rPr/>
        <w:t>de</w:t>
      </w:r>
      <w:r>
        <w:rPr>
          <w:spacing w:val="19"/>
        </w:rPr>
        <w:t> </w:t>
      </w:r>
      <w:r>
        <w:rPr/>
        <w:t>la</w:t>
      </w:r>
      <w:r>
        <w:rPr>
          <w:spacing w:val="16"/>
        </w:rPr>
        <w:t> </w:t>
      </w:r>
      <w:r>
        <w:rPr/>
        <w:t>industria,</w:t>
      </w:r>
      <w:r>
        <w:rPr>
          <w:spacing w:val="18"/>
        </w:rPr>
        <w:t> </w:t>
      </w:r>
      <w:r>
        <w:rPr/>
        <w:t>comercio</w:t>
      </w:r>
      <w:r>
        <w:rPr>
          <w:spacing w:val="19"/>
        </w:rPr>
        <w:t> </w:t>
      </w:r>
      <w:r>
        <w:rPr/>
        <w:t>y</w:t>
      </w:r>
    </w:p>
    <w:p>
      <w:pPr>
        <w:spacing w:after="0" w:line="360" w:lineRule="auto"/>
        <w:jc w:val="both"/>
        <w:sectPr>
          <w:pgSz w:w="12240" w:h="15840"/>
          <w:pgMar w:header="0" w:footer="659" w:top="1360" w:bottom="840" w:left="1480" w:right="1580"/>
        </w:sectPr>
      </w:pPr>
    </w:p>
    <w:p>
      <w:pPr>
        <w:pStyle w:val="BodyText"/>
        <w:spacing w:line="360" w:lineRule="auto" w:before="54"/>
        <w:ind w:left="102" w:right="121"/>
        <w:jc w:val="both"/>
      </w:pPr>
      <w:r>
        <w:rPr/>
        <w:t>servicios para las funciones económicas predominantes además del índice de especialización local de actividades (Sobrino, 1995: 253).</w:t>
      </w:r>
    </w:p>
    <w:p>
      <w:pPr>
        <w:pStyle w:val="BodyText"/>
        <w:spacing w:before="7"/>
      </w:pPr>
    </w:p>
    <w:p>
      <w:pPr>
        <w:pStyle w:val="BodyText"/>
        <w:spacing w:line="360" w:lineRule="auto"/>
        <w:ind w:left="102" w:right="118"/>
        <w:jc w:val="both"/>
      </w:pPr>
      <w:r>
        <w:rPr/>
        <w:t>Otra metodología para delimitar urbana y metropolitanamente al país, considera la unidad de estudio a los municipios con al menos una localidad de 100,000 habitantes, metropolitano o los no metropolitanos pero que pertenecen al área urbana de las ciudades. Para su análisis como indicadores se consideró “tasas de crecimiento, contorno al que pertenece el municipio, densidad de población en lo económico, elasticidad de la PEA en actividades urbanas, nivel de urbanización y productividad manufacturera” (Negrete, 1995: 26).</w:t>
      </w:r>
    </w:p>
    <w:p>
      <w:pPr>
        <w:pStyle w:val="BodyText"/>
        <w:spacing w:before="7"/>
      </w:pPr>
    </w:p>
    <w:p>
      <w:pPr>
        <w:pStyle w:val="BodyText"/>
        <w:spacing w:line="360" w:lineRule="auto"/>
        <w:ind w:left="102" w:right="118"/>
        <w:jc w:val="both"/>
      </w:pPr>
      <w:r>
        <w:rPr/>
        <w:t>Las ciudades medias de México, según Álvarez (2010:97-110), son las de  mayores tasas de crecimiento de 1990 a 2000, donde el patrón de densidad comienza intensamente en la ciudad antigua y es menos densa en las zonas de reciente fundación. Usa el modelo empírico general de Newling para estudiar el comportamiento interno de la ciudad. Encuentra que esta tiene un patrón: entre</w:t>
      </w:r>
      <w:r>
        <w:rPr>
          <w:spacing w:val="22"/>
        </w:rPr>
        <w:t> </w:t>
      </w:r>
      <w:r>
        <w:rPr/>
        <w:t>30</w:t>
      </w:r>
    </w:p>
    <w:p>
      <w:pPr>
        <w:pStyle w:val="BodyText"/>
        <w:spacing w:line="360" w:lineRule="auto" w:before="5"/>
        <w:ind w:left="102" w:right="118"/>
        <w:jc w:val="both"/>
      </w:pPr>
      <w:r>
        <w:rPr/>
        <w:t>- 38% de población joven, en cambio en la densidad de la tercera edad al incrementar la distancia, disminuye; la proporción de la densidad de la vivienda incrementa con la distancia, aunque las de renta alta disminuyen, todo lo cual explica que las ciudades medias de México sean las mayores tasas.  El crecimiento físico de las ciudades medias mexicanas es netamente concéntrico y presentan un patrón centro-tiempo.</w:t>
      </w:r>
    </w:p>
    <w:p>
      <w:pPr>
        <w:pStyle w:val="BodyText"/>
        <w:spacing w:before="7"/>
      </w:pPr>
    </w:p>
    <w:p>
      <w:pPr>
        <w:pStyle w:val="BodyText"/>
        <w:spacing w:line="360" w:lineRule="auto"/>
        <w:ind w:left="102" w:right="116"/>
        <w:jc w:val="both"/>
      </w:pPr>
      <w:r>
        <w:rPr/>
        <w:t>En el caso mexicano la dispersión urbana, de acuerdo con Topelson (2012a), es resultado de la dependencia del vehículo, la expansión de la ciudad se debe al éxito de la construcción de vivienda (responde al sector inmobiliario) en el sexenio de 2005 a 2012 se otorgaron 6.8 millones de créditos, mientras que en los 16 años previos se habían dado 6 millones de financiamientos, lo que ha generado la desarticulación de la vivienda del desarrollo urbano, ya que la expansión es en la parte externa y lejana con respecto de las zonas urbanas, las cuales no ofrecen ni empleos, servicios o equipamientos que conjuntamente con el  transporte deficiente han contribuido al creciente problema del abandono de las viviendas,</w:t>
      </w:r>
    </w:p>
    <w:p>
      <w:pPr>
        <w:spacing w:after="0" w:line="360" w:lineRule="auto"/>
        <w:jc w:val="both"/>
        <w:sectPr>
          <w:footerReference w:type="default" r:id="rId27"/>
          <w:pgSz w:w="12240" w:h="15840"/>
          <w:pgMar w:footer="659" w:header="0" w:top="1360" w:bottom="840" w:left="1600" w:right="1580"/>
        </w:sectPr>
      </w:pPr>
    </w:p>
    <w:p>
      <w:pPr>
        <w:pStyle w:val="BodyText"/>
        <w:spacing w:line="360" w:lineRule="auto" w:before="54"/>
        <w:ind w:left="102" w:right="126"/>
        <w:jc w:val="both"/>
      </w:pPr>
      <w:r>
        <w:rPr/>
        <w:t>deteriorando la calidad de vida de la población, incrementando la exclusión social  y la</w:t>
      </w:r>
      <w:r>
        <w:rPr>
          <w:spacing w:val="-4"/>
        </w:rPr>
        <w:t> </w:t>
      </w:r>
      <w:r>
        <w:rPr/>
        <w:t>marginación.</w:t>
      </w:r>
    </w:p>
    <w:p>
      <w:pPr>
        <w:pStyle w:val="BodyText"/>
        <w:spacing w:before="7"/>
      </w:pPr>
    </w:p>
    <w:p>
      <w:pPr>
        <w:pStyle w:val="BodyText"/>
        <w:spacing w:line="360" w:lineRule="auto"/>
        <w:ind w:left="102" w:right="115"/>
        <w:jc w:val="both"/>
      </w:pPr>
      <w:r>
        <w:rPr/>
        <w:t>Cardoso (2013) para medir la contraurbanización -desurbanización-, que es el decline urbano de las ciudad principal y renacimiento de los espacios rurales, considera dos escalas: contraurbanización intraurbana que analiza la dinámica de las tasas de crecimiento medio anual de la población y la vivienda; población residente analizada por la entidad de origen; el empleo del sector secundario y sector servicios considerando la informalidad del comercio y; contraurbanzación interurbana, analiza las carreteras en el sistema nacional, tasa de crecimiento de las localidades, mide flujo migratorio, centrando el análisis en las ciudades medias.</w:t>
      </w:r>
    </w:p>
    <w:p>
      <w:pPr>
        <w:pStyle w:val="BodyText"/>
        <w:spacing w:before="10"/>
      </w:pPr>
    </w:p>
    <w:p>
      <w:pPr>
        <w:pStyle w:val="BodyText"/>
        <w:spacing w:line="360" w:lineRule="auto"/>
        <w:ind w:left="102" w:right="120"/>
        <w:jc w:val="both"/>
      </w:pPr>
      <w:r>
        <w:rPr/>
        <w:t>Las variables para el estudio de la interacción espacial, o estudios de redes, son: población total, masa de población con capacidad de desplazamientos, intensidad de los viajes, el costo de transporte que implica el movimiento; la población ocupada define la operatividad de atractividad de una ciudad; las distancias lineales para identificar eficiencia en los tiempos de manejo de los datos y confiabilidad. Los flujos forman la estructura funcional de la región y depende de las jerarquías urbanas la cual se divide en sub redes pero cuentan con una ciudad nodal (Garrocho, 2012).</w:t>
      </w:r>
    </w:p>
    <w:p>
      <w:pPr>
        <w:pStyle w:val="BodyText"/>
        <w:spacing w:before="6"/>
      </w:pPr>
    </w:p>
    <w:p>
      <w:pPr>
        <w:pStyle w:val="Heading4"/>
        <w:spacing w:line="357" w:lineRule="auto"/>
        <w:ind w:right="118"/>
      </w:pPr>
      <w:r>
        <w:rPr/>
        <w:t>3.4 Conclusión. Metodología para el estudio de la desurbanización</w:t>
      </w:r>
    </w:p>
    <w:p>
      <w:pPr>
        <w:pStyle w:val="BodyText"/>
        <w:spacing w:before="4"/>
        <w:rPr>
          <w:b/>
          <w:sz w:val="25"/>
        </w:rPr>
      </w:pPr>
    </w:p>
    <w:p>
      <w:pPr>
        <w:pStyle w:val="BodyText"/>
        <w:spacing w:line="360" w:lineRule="auto"/>
        <w:ind w:left="102" w:right="118"/>
        <w:jc w:val="both"/>
      </w:pPr>
      <w:r>
        <w:rPr/>
        <w:t>De la bibliografía examinada se recoge como concepto de desurbanización para explicar el posible crecimiento metropolitano de Toluca, ya que el supuesto de análisis de la investigación, considera que se está presentando nuevos procesos en el periurbano, la dinámica del periurbano puede estar reportando descentralización o desurbanización como un caso de transformación intraurbano. Aquí no se aborda la desconcentración y descentralización interurbana. Autores como Hoyos y Sobrino cada quien, indican que las ciudades mexicanas, en su proceso evolutivo</w:t>
      </w:r>
      <w:r>
        <w:rPr>
          <w:spacing w:val="51"/>
        </w:rPr>
        <w:t> </w:t>
      </w:r>
      <w:r>
        <w:rPr/>
        <w:t>se encuentran</w:t>
      </w:r>
      <w:r>
        <w:rPr>
          <w:spacing w:val="51"/>
        </w:rPr>
        <w:t> </w:t>
      </w:r>
      <w:r>
        <w:rPr/>
        <w:t>transitando</w:t>
      </w:r>
      <w:r>
        <w:rPr>
          <w:spacing w:val="51"/>
        </w:rPr>
        <w:t> </w:t>
      </w:r>
      <w:r>
        <w:rPr/>
        <w:t>a una fase madura.</w:t>
      </w:r>
      <w:r>
        <w:rPr>
          <w:spacing w:val="50"/>
        </w:rPr>
        <w:t> </w:t>
      </w:r>
      <w:r>
        <w:rPr/>
        <w:t>Por ello aquí</w:t>
      </w:r>
    </w:p>
    <w:p>
      <w:pPr>
        <w:spacing w:after="0" w:line="360" w:lineRule="auto"/>
        <w:jc w:val="both"/>
        <w:sectPr>
          <w:footerReference w:type="default" r:id="rId28"/>
          <w:pgSz w:w="12240" w:h="15840"/>
          <w:pgMar w:footer="659" w:header="0" w:top="1360" w:bottom="840" w:left="1600" w:right="1580"/>
          <w:pgNumType w:start="71"/>
        </w:sectPr>
      </w:pPr>
    </w:p>
    <w:p>
      <w:pPr>
        <w:pStyle w:val="BodyText"/>
        <w:spacing w:line="360" w:lineRule="auto" w:before="54"/>
        <w:ind w:left="102" w:right="100"/>
        <w:jc w:val="both"/>
      </w:pPr>
      <w:r>
        <w:rPr/>
        <w:t>interesa indagar en qué medida la desurbanización es la fase vigente: es decir, decrecimiento de la ciudad central y por contraste dinamismo en la periferia, procesos de relocalización con la cual amplían relaciones interdependientes en la parte externa, cuyo papel del transporte público y el individual permiten organizar relaciones funcionales y urbanas a mayor distancia.</w:t>
      </w:r>
    </w:p>
    <w:p>
      <w:pPr>
        <w:pStyle w:val="BodyText"/>
        <w:spacing w:before="10"/>
      </w:pPr>
    </w:p>
    <w:p>
      <w:pPr>
        <w:pStyle w:val="BodyText"/>
        <w:spacing w:line="360" w:lineRule="auto"/>
        <w:ind w:left="102" w:right="104"/>
        <w:jc w:val="both"/>
      </w:pPr>
      <w:r>
        <w:rPr/>
        <w:t>Con base en las variables de estudio anteriormente descritas, los procesos que registran cada fase de la evolución del ciclo metropolitano, se buscará caracterizar el funcionamiento metropolitano de Toluca (Esquema 7). De las metodologías previamente señaladas se han retomado algunos elementos para establecer la propia, desarrollado en el siguiente capítulo.</w:t>
      </w:r>
    </w:p>
    <w:p>
      <w:pPr>
        <w:pStyle w:val="BodyText"/>
        <w:spacing w:before="9"/>
      </w:pPr>
    </w:p>
    <w:p>
      <w:pPr>
        <w:spacing w:before="0"/>
        <w:ind w:left="89" w:right="91" w:firstLine="0"/>
        <w:jc w:val="center"/>
        <w:rPr>
          <w:sz w:val="20"/>
        </w:rPr>
      </w:pPr>
      <w:r>
        <w:rPr>
          <w:sz w:val="20"/>
        </w:rPr>
        <w:t>Esquema 7. Medición del funcionamiento metropolitano</w:t>
      </w:r>
    </w:p>
    <w:p>
      <w:pPr>
        <w:pStyle w:val="BodyText"/>
        <w:ind w:left="101"/>
        <w:rPr>
          <w:sz w:val="20"/>
        </w:rPr>
      </w:pPr>
      <w:r>
        <w:rPr>
          <w:sz w:val="20"/>
        </w:rPr>
        <w:drawing>
          <wp:inline distT="0" distB="0" distL="0" distR="0">
            <wp:extent cx="5573416" cy="4752594"/>
            <wp:effectExtent l="0" t="0" r="0" b="0"/>
            <wp:docPr id="13" name="image12.jpeg" descr=""/>
            <wp:cNvGraphicFramePr>
              <a:graphicFrameLocks noChangeAspect="1"/>
            </wp:cNvGraphicFramePr>
            <a:graphic>
              <a:graphicData uri="http://schemas.openxmlformats.org/drawingml/2006/picture">
                <pic:pic>
                  <pic:nvPicPr>
                    <pic:cNvPr id="14" name="image12.jpeg"/>
                    <pic:cNvPicPr/>
                  </pic:nvPicPr>
                  <pic:blipFill>
                    <a:blip r:embed="rId29" cstate="print"/>
                    <a:stretch>
                      <a:fillRect/>
                    </a:stretch>
                  </pic:blipFill>
                  <pic:spPr>
                    <a:xfrm>
                      <a:off x="0" y="0"/>
                      <a:ext cx="5573416" cy="4752594"/>
                    </a:xfrm>
                    <a:prstGeom prst="rect">
                      <a:avLst/>
                    </a:prstGeom>
                  </pic:spPr>
                </pic:pic>
              </a:graphicData>
            </a:graphic>
          </wp:inline>
        </w:drawing>
      </w:r>
      <w:r>
        <w:rPr>
          <w:sz w:val="20"/>
        </w:rPr>
      </w:r>
    </w:p>
    <w:p>
      <w:pPr>
        <w:spacing w:before="49"/>
        <w:ind w:left="89" w:right="91" w:firstLine="0"/>
        <w:jc w:val="center"/>
        <w:rPr>
          <w:sz w:val="20"/>
        </w:rPr>
      </w:pPr>
      <w:r>
        <w:rPr>
          <w:sz w:val="20"/>
        </w:rPr>
        <w:t>Fuente: Elaboración propia</w:t>
      </w:r>
    </w:p>
    <w:p>
      <w:pPr>
        <w:spacing w:after="0"/>
        <w:jc w:val="center"/>
        <w:rPr>
          <w:sz w:val="20"/>
        </w:rPr>
        <w:sectPr>
          <w:pgSz w:w="12240" w:h="15840"/>
          <w:pgMar w:header="0" w:footer="659" w:top="1360" w:bottom="840" w:left="1600" w:right="1600"/>
        </w:sectPr>
      </w:pPr>
    </w:p>
    <w:p>
      <w:pPr>
        <w:pStyle w:val="BodyText"/>
        <w:spacing w:line="360" w:lineRule="auto" w:before="54"/>
        <w:ind w:left="102" w:right="112"/>
        <w:jc w:val="both"/>
      </w:pPr>
      <w:r>
        <w:rPr/>
        <w:t>En síntesis, la desurbanización es un proceso que reporta varios cambios - sociales económicos y de organización, entre ellos se destaca la presencia de difusión y dispersión urbana con cambios diversos en la periferia alejada, llamada franja rural-urbano (periurbano), los cuales son resultado del decrecimiento de la ciudad central y la desconcentración de población, vivienda actividades económicas (empleo) e infraestructura en la periferia lejana.</w:t>
      </w:r>
    </w:p>
    <w:p>
      <w:pPr>
        <w:pStyle w:val="BodyText"/>
        <w:spacing w:before="7"/>
      </w:pPr>
    </w:p>
    <w:p>
      <w:pPr>
        <w:pStyle w:val="BodyText"/>
        <w:spacing w:line="360" w:lineRule="auto"/>
        <w:ind w:left="102" w:right="117"/>
        <w:jc w:val="both"/>
      </w:pPr>
      <w:r>
        <w:rPr/>
        <w:t>Siguiendo con lo anterior se propone la medición de las variables, la cual debe considerar la división metodológica de la estructura interna que se identificó en el capítulo II simulando el funcionamiento de la configuración metropolitana, dividida un área central o principal, seguida de la periferia intermedia y finalmente la periferia ubicada en la parte más externa, para distinguir los patrones de cambios, además de las dinámicas de crecimiento o decrecimiento, las cuales son usadas para la medición de las variables en una escala física, las cuales pertenecen a las variables definidas como tipo I en propuesta metodológica a seguir en esta investigación que son de tipo demográfico en las que se encuentra población, vivienda, tamaño de los asentamientos, consumo de suelo entre otras que contribuyen a la identificación del tipo de estructura y crecimiento en cada división de la estructura metropolitana.</w:t>
      </w:r>
    </w:p>
    <w:p>
      <w:pPr>
        <w:pStyle w:val="BodyText"/>
        <w:spacing w:before="7"/>
      </w:pPr>
    </w:p>
    <w:p>
      <w:pPr>
        <w:pStyle w:val="BodyText"/>
        <w:spacing w:line="360" w:lineRule="auto"/>
        <w:ind w:left="102" w:right="115"/>
        <w:jc w:val="both"/>
      </w:pPr>
      <w:r>
        <w:rPr/>
        <w:t>El segundo tipo de variables se orientan a la medición de las interrelaciones por ello se analizan los cambios económicos, con una variable del tipo I que son los empleos urbanos y con las variables del tipo II que permiten conocer cómo se generan las relaciones funcionales de la población, al medir las características económicas por ser un factor que influye y dirige las relaciones e interrelaciones. Señalando que en los estudios precedentes las variables funcionales son las que menos se utilizan, pero dado el proceso que se interesa medir, en nuestro caso estudio se ahondará en ello para caracterizar el radio de influencia de las relaciones diarias -continua de la ZMT.</w:t>
      </w:r>
    </w:p>
    <w:p>
      <w:pPr>
        <w:spacing w:after="0" w:line="360" w:lineRule="auto"/>
        <w:jc w:val="both"/>
        <w:sectPr>
          <w:pgSz w:w="12240" w:h="15840"/>
          <w:pgMar w:header="0" w:footer="659" w:top="1360" w:bottom="840" w:left="1600" w:right="158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1"/>
        <w:rPr>
          <w:sz w:val="19"/>
        </w:rPr>
      </w:pPr>
    </w:p>
    <w:p>
      <w:pPr>
        <w:spacing w:before="54"/>
        <w:ind w:left="161" w:right="163" w:firstLine="0"/>
        <w:jc w:val="center"/>
        <w:rPr>
          <w:b/>
          <w:sz w:val="36"/>
        </w:rPr>
      </w:pPr>
      <w:r>
        <w:rPr>
          <w:b/>
          <w:sz w:val="36"/>
        </w:rPr>
        <w:t>Capítulo IV. Zona Metropolitana de Toluca.</w:t>
      </w:r>
    </w:p>
    <w:p>
      <w:pPr>
        <w:spacing w:line="360" w:lineRule="auto" w:before="208"/>
        <w:ind w:left="161" w:right="162" w:firstLine="0"/>
        <w:jc w:val="center"/>
        <w:rPr>
          <w:b/>
          <w:sz w:val="36"/>
        </w:rPr>
      </w:pPr>
      <w:r>
        <w:rPr>
          <w:b/>
          <w:sz w:val="36"/>
        </w:rPr>
        <w:t>Transición y transformación de su configuración, 1990 – 2010</w:t>
      </w:r>
    </w:p>
    <w:p>
      <w:pPr>
        <w:spacing w:after="0" w:line="360" w:lineRule="auto"/>
        <w:jc w:val="center"/>
        <w:rPr>
          <w:sz w:val="36"/>
        </w:rPr>
        <w:sectPr>
          <w:pgSz w:w="12240" w:h="15840"/>
          <w:pgMar w:header="0" w:footer="659" w:top="1500" w:bottom="840" w:left="1660" w:right="1660"/>
        </w:sectPr>
      </w:pPr>
    </w:p>
    <w:p>
      <w:pPr>
        <w:pStyle w:val="Heading3"/>
        <w:spacing w:line="357" w:lineRule="auto" w:before="31"/>
        <w:ind w:left="810" w:hanging="512"/>
      </w:pPr>
      <w:r>
        <w:rPr/>
        <w:t>Capítulo IV. Zona Metropolitana de Toluca. Transición y transformación de su configuración, 1990 – 2010</w:t>
      </w:r>
    </w:p>
    <w:p>
      <w:pPr>
        <w:pStyle w:val="BodyText"/>
        <w:spacing w:before="7"/>
        <w:rPr>
          <w:b/>
          <w:sz w:val="25"/>
        </w:rPr>
      </w:pPr>
    </w:p>
    <w:p>
      <w:pPr>
        <w:pStyle w:val="BodyText"/>
        <w:spacing w:line="360" w:lineRule="auto"/>
        <w:ind w:left="102" w:right="115"/>
        <w:jc w:val="both"/>
      </w:pPr>
      <w:r>
        <w:rPr/>
        <w:t>En este capítulo se identifican los cambios en la estructura metropolitana  de Toluca en el período de 1990 a 2010, mediante el estudio de las dimensiones y medición de variables siguiendo las fases de la espacialidad del funcionamiento metropolitano. Para ello se divide en cuatro subcapítulos, el primero describe los criterios metodológicos que se seguirán para examinar la fase del ciclo de vida urbano en la que se encuentra la Zona Metropolitana de Toluca y los cambios en la estructura urbano - territorial; el subcapítulo segundo contiene el funcionamiento metropolitano observado mediante ámbitos espaciales, para el período indicado, con base en datos de tipo estático de los cuales se observa la estructura y dinámica; el tercer subcapítulo presenta las relaciones funcionales de la ZMT, mediante datos tipo flujos para el período de estudio, se hace distinción  del alcance geográfico interno y externo de la zona, el cuarto subcapítulo presenta los impactos en dos cortes de tiempo correspondientes a la última década del siglo  XX y los de la primera década del siglo XXI, y al final se redactan las conclusiones, que refiere a la actual configuración de la</w:t>
      </w:r>
      <w:r>
        <w:rPr>
          <w:spacing w:val="-13"/>
        </w:rPr>
        <w:t> </w:t>
      </w:r>
      <w:r>
        <w:rPr/>
        <w:t>ZMT.</w:t>
      </w:r>
    </w:p>
    <w:p>
      <w:pPr>
        <w:pStyle w:val="BodyText"/>
        <w:spacing w:before="6"/>
      </w:pPr>
    </w:p>
    <w:p>
      <w:pPr>
        <w:pStyle w:val="Heading4"/>
        <w:numPr>
          <w:ilvl w:val="1"/>
          <w:numId w:val="5"/>
        </w:numPr>
        <w:tabs>
          <w:tab w:pos="649" w:val="left" w:leader="none"/>
        </w:tabs>
        <w:spacing w:line="240" w:lineRule="auto" w:before="0" w:after="0"/>
        <w:ind w:left="102" w:right="0" w:firstLine="0"/>
        <w:jc w:val="both"/>
      </w:pPr>
      <w:r>
        <w:rPr/>
        <w:t>Criterios</w:t>
      </w:r>
      <w:r>
        <w:rPr>
          <w:spacing w:val="-15"/>
        </w:rPr>
        <w:t> </w:t>
      </w:r>
      <w:r>
        <w:rPr/>
        <w:t>metodológicos</w:t>
      </w:r>
    </w:p>
    <w:p>
      <w:pPr>
        <w:pStyle w:val="BodyText"/>
        <w:spacing w:before="5"/>
        <w:rPr>
          <w:b/>
          <w:sz w:val="38"/>
        </w:rPr>
      </w:pPr>
    </w:p>
    <w:p>
      <w:pPr>
        <w:pStyle w:val="BodyText"/>
        <w:spacing w:line="360" w:lineRule="auto"/>
        <w:ind w:left="102" w:right="114"/>
        <w:jc w:val="both"/>
      </w:pPr>
      <w:r>
        <w:rPr/>
        <w:t>Como se ha descrito en los capítulos II y III, la metodología que se seguirá en este capítulo, consiste en la identificación del modelo de asentamientos desde el proceso evolutivo; el cual consta de cuatro etapas, abordadas en este documento como el “ciclo de vida urbano”.</w:t>
      </w:r>
    </w:p>
    <w:p>
      <w:pPr>
        <w:pStyle w:val="BodyText"/>
        <w:spacing w:before="8"/>
      </w:pPr>
    </w:p>
    <w:p>
      <w:pPr>
        <w:pStyle w:val="BodyText"/>
        <w:spacing w:line="360" w:lineRule="auto"/>
        <w:ind w:left="102" w:right="116"/>
        <w:jc w:val="both"/>
      </w:pPr>
      <w:r>
        <w:rPr/>
        <w:t>En la fase inicial, la ciudad se caracteriza por desarrollar condiciones que atraen población consolidando y concentrándose en la ciudad central, a ello se le se denomina urbanización por concentración, las variables bajo análisis mostrarán la dinámica de urbanización (por concentración o desconcentración), es decir las tasas de crecimiento poblacional, vivienda y empleo serán mayores en la ciudad central; en  la  segunda fase, la  ciudad  es dinámica en  la parte externa  cercana,</w:t>
      </w:r>
    </w:p>
    <w:p>
      <w:pPr>
        <w:spacing w:after="0" w:line="360" w:lineRule="auto"/>
        <w:jc w:val="both"/>
        <w:sectPr>
          <w:pgSz w:w="12240" w:h="15840"/>
          <w:pgMar w:header="0" w:footer="659" w:top="1380" w:bottom="840" w:left="1600" w:right="1580"/>
        </w:sectPr>
      </w:pPr>
    </w:p>
    <w:p>
      <w:pPr>
        <w:pStyle w:val="BodyText"/>
        <w:spacing w:line="360" w:lineRule="auto" w:before="54"/>
        <w:ind w:left="102" w:right="115"/>
        <w:jc w:val="both"/>
      </w:pPr>
      <w:r>
        <w:rPr/>
        <w:t>aunque mantiene primacía y dominancia la ciudad central con ello surge la suburbanización, progresivamente la ciudad central deja de ser absolutamente dominante y comienza a decrecer en términos relativos, con ello aumenta el número de coronas periféricas, unas más dinámicas que otras, tal proceso </w:t>
      </w:r>
      <w:r>
        <w:rPr>
          <w:spacing w:val="-3"/>
        </w:rPr>
        <w:t>va </w:t>
      </w:r>
      <w:r>
        <w:rPr/>
        <w:t>integrando centros urbanos menores y poblados rurales, cada vez a mayor distancia; la tercera fase, reporta patrones de dispersión periurbana del tejido urbano, desconcentración de actividades y funciones, la migración de la vivienda y de la actividad es dinámica por lo que incrementan las relaciones funcionales a mayor distancia pero en la parte externa, esta fase se califica como desurbanización, es decir, menor concentración y mayor desconcentración del funcionamiento integrado diario. Finalmente la cuarta etapa en el proceso  evolutivo llamada de reurbanización, se presenta cuando el centro recobra importancia y los movimientos nuevamente se direccionan hacia el revitalizándolo. A las distintas etapas, teóricamente, se les conoce como el ciclo del sistema diario de la</w:t>
      </w:r>
      <w:r>
        <w:rPr>
          <w:spacing w:val="-5"/>
        </w:rPr>
        <w:t> </w:t>
      </w:r>
      <w:r>
        <w:rPr/>
        <w:t>metrópolis.</w:t>
      </w:r>
    </w:p>
    <w:p>
      <w:pPr>
        <w:pStyle w:val="BodyText"/>
        <w:spacing w:before="7"/>
      </w:pPr>
    </w:p>
    <w:p>
      <w:pPr>
        <w:pStyle w:val="BodyText"/>
        <w:spacing w:line="360" w:lineRule="auto"/>
        <w:ind w:left="102" w:right="122"/>
        <w:jc w:val="both"/>
      </w:pPr>
      <w:r>
        <w:rPr/>
        <w:t>Por ello el primer momento del procedimiento analítico, consiste en dividir la zona metropolitana en tres ámbitos, para poder corroborar la hipótesis, que se ubica en el cambio en los procesos externos, a saber de la fase segunda o suburbanización a la fase tercera o desurbanización con ello se calificaría la evolución hacia la desconcentración y descentralización, ello metodológicamente supone un esquema abstracto de: ciudad central, periferia inmediata y periferia lejana, aquí denominado estructura interna del funcionamiento</w:t>
      </w:r>
      <w:r>
        <w:rPr>
          <w:spacing w:val="-25"/>
        </w:rPr>
        <w:t> </w:t>
      </w:r>
      <w:r>
        <w:rPr/>
        <w:t>metropolitano.</w:t>
      </w:r>
    </w:p>
    <w:p>
      <w:pPr>
        <w:pStyle w:val="BodyText"/>
        <w:spacing w:before="7"/>
      </w:pPr>
    </w:p>
    <w:p>
      <w:pPr>
        <w:pStyle w:val="BodyText"/>
        <w:spacing w:line="360" w:lineRule="auto"/>
        <w:ind w:left="102" w:right="112"/>
        <w:jc w:val="both"/>
      </w:pPr>
      <w:r>
        <w:rPr/>
        <w:t>Posteriormente se realiza el examen de dos tipos de variables, de estática y magnitud (variables tipo I) y de flujos o movimientos (variables de tipo II). Las variables tipo I, incorpora población, vivienda, empleo, densidad y vehículos que permitirá identificar la fase de estructura (ver cuadro en el capítulo III, esquema metodológico 7). Con las variables tipo II, se analiza el funcionamiento de la zona metropolitana, identificando la interrelaciones de la población, usando fuentes de flujos de origen – destino y el motivo de los mismos, en los tres ámbitos descritos  y con otros ámbitos</w:t>
      </w:r>
      <w:r>
        <w:rPr>
          <w:spacing w:val="-7"/>
        </w:rPr>
        <w:t> </w:t>
      </w:r>
      <w:r>
        <w:rPr/>
        <w:t>geográficos.</w:t>
      </w:r>
    </w:p>
    <w:p>
      <w:pPr>
        <w:spacing w:after="0" w:line="360" w:lineRule="auto"/>
        <w:jc w:val="both"/>
        <w:sectPr>
          <w:pgSz w:w="12240" w:h="15840"/>
          <w:pgMar w:header="0" w:footer="659" w:top="1360" w:bottom="840" w:left="1600" w:right="1580"/>
        </w:sectPr>
      </w:pPr>
    </w:p>
    <w:p>
      <w:pPr>
        <w:spacing w:before="52"/>
        <w:ind w:left="122" w:right="0" w:firstLine="0"/>
        <w:jc w:val="both"/>
        <w:rPr>
          <w:i/>
          <w:sz w:val="24"/>
        </w:rPr>
      </w:pPr>
      <w:r>
        <w:rPr>
          <w:i/>
          <w:sz w:val="24"/>
        </w:rPr>
        <w:t>Estructura interna del funcionamiento metropolitano</w:t>
      </w:r>
    </w:p>
    <w:p>
      <w:pPr>
        <w:pStyle w:val="BodyText"/>
        <w:rPr>
          <w:i/>
        </w:rPr>
      </w:pPr>
    </w:p>
    <w:p>
      <w:pPr>
        <w:pStyle w:val="BodyText"/>
        <w:spacing w:line="360" w:lineRule="auto" w:before="146"/>
        <w:ind w:left="122" w:right="121"/>
        <w:jc w:val="both"/>
      </w:pPr>
      <w:r>
        <w:rPr/>
        <w:t>El área metropolitana adquiere formalidad jurídica como Zona Metropolitana de Toluca en el siglo XXI, con la divulgación de la Gaceta de Gobierno No. 99 el 19  de noviembre de 2009, en el Decreto 13, con el que la H. LVII Legislatura del Estado de México aprobó la “Declaratoria de Zona Metropolitana del Valle de Toluca” misma que quedó integrada por 22 municipios. Tal definición jurídica sucedió cuatro años después de la publicación del Plan Regional de Desarrollo Urbano del Valle de Toluca (PRDUVT, 2005) esta última, de competencia administrativa de la Secretaría de Desarrollo Urbano y Vivienda del Estado de México, dicho documento indica que el funcionamiento regional de la ciudad abarca 22 municipios (ver en  anexo cuadro A</w:t>
      </w:r>
      <w:r>
        <w:rPr>
          <w:spacing w:val="-16"/>
        </w:rPr>
        <w:t> </w:t>
      </w:r>
      <w:r>
        <w:rPr/>
        <w:t>4.1).</w:t>
      </w:r>
    </w:p>
    <w:p>
      <w:pPr>
        <w:pStyle w:val="BodyText"/>
        <w:spacing w:before="7"/>
      </w:pPr>
    </w:p>
    <w:p>
      <w:pPr>
        <w:pStyle w:val="BodyText"/>
        <w:spacing w:line="360" w:lineRule="auto"/>
        <w:ind w:left="122" w:right="115"/>
        <w:jc w:val="both"/>
      </w:pPr>
      <w:r>
        <w:rPr/>
        <w:t>Por su parte a nivel federal de gobierno, el Grupo Interinstitucional, formado por el CONAPO-INEGI-SEDESOL, realizan la </w:t>
      </w:r>
      <w:r>
        <w:rPr>
          <w:i/>
        </w:rPr>
        <w:t>Delimitación de zonas metropolitanas, </w:t>
      </w:r>
      <w:r>
        <w:rPr>
          <w:i/>
        </w:rPr>
        <w:t>(ediciones 2004, 2007 y 2012) </w:t>
      </w:r>
      <w:r>
        <w:rPr/>
        <w:t>para todo el sistema urbano nacional y en la última edición, dan la integración de los municipios metropolitanos, en la primera edición eran 12 los municipios situación que se amplía a 15 municipios en la tercera edición, además de que reporta dos zonas metropolitanas para la región Toluca; la zona metropolitana de Toluca con 15 municipios y por separado, la zona metropolitana de Santiago Tianguistenco con 6 municipios, en conjunto las dos zonas suman los 21 municipios considerados en la declaratoria de la legislatura</w:t>
      </w:r>
    </w:p>
    <w:p>
      <w:pPr>
        <w:pStyle w:val="BodyText"/>
        <w:spacing w:line="279" w:lineRule="exact"/>
        <w:ind w:left="122"/>
        <w:jc w:val="both"/>
      </w:pPr>
      <w:r>
        <w:rPr/>
        <w:t>local, exceptuando Tenango del valle</w:t>
      </w:r>
      <w:r>
        <w:rPr>
          <w:position w:val="11"/>
          <w:sz w:val="16"/>
        </w:rPr>
        <w:t>18</w:t>
      </w:r>
      <w:r>
        <w:rPr/>
        <w:t>.</w:t>
      </w:r>
    </w:p>
    <w:p>
      <w:pPr>
        <w:pStyle w:val="BodyText"/>
        <w:spacing w:before="6"/>
        <w:rPr>
          <w:sz w:val="36"/>
        </w:rPr>
      </w:pPr>
    </w:p>
    <w:p>
      <w:pPr>
        <w:pStyle w:val="BodyText"/>
        <w:spacing w:line="360" w:lineRule="auto"/>
        <w:ind w:left="122" w:right="119"/>
        <w:jc w:val="both"/>
      </w:pPr>
      <w:r>
        <w:rPr/>
        <w:pict>
          <v:line style="position:absolute;mso-position-horizontal-relative:page;mso-position-vertical-relative:paragraph;z-index:1816;mso-wrap-distance-left:0;mso-wrap-distance-right:0" from="85.103996pt,126.845848pt" to="229.123996pt,126.845848pt" stroked="true" strokeweight=".72003pt" strokecolor="#000000">
            <w10:wrap type="topAndBottom"/>
          </v:line>
        </w:pict>
      </w:r>
      <w:r>
        <w:rPr/>
        <w:t>Aquí en este trabajo se entenderá por Zona Metropolitana de Toluca (ZMT) a la integración funcional diaria formada por los 22 municipios de la región Toluca, esto es, abarca las tres delimitaciones: la Declaratoria de “zona metropolitana del valle de Toluca”, el PRDUVT, “región metropolitana del valle de Toluca” y a las dos zonas metropolitanas propuestas por el CONAPO-INEGI-SEDESOL, con ello se atiende el marco normativo estatal, el documento de planeación urbana vigente   y</w:t>
      </w:r>
    </w:p>
    <w:p>
      <w:pPr>
        <w:spacing w:before="39"/>
        <w:ind w:left="122" w:right="118" w:firstLine="0"/>
        <w:jc w:val="both"/>
        <w:rPr>
          <w:sz w:val="18"/>
        </w:rPr>
      </w:pPr>
      <w:r>
        <w:rPr>
          <w:position w:val="9"/>
          <w:sz w:val="12"/>
        </w:rPr>
        <w:t>18 </w:t>
      </w:r>
      <w:r>
        <w:rPr>
          <w:sz w:val="18"/>
        </w:rPr>
        <w:t>En el estado de México, existen otras delimitaciones de regionalizaciones de los distintos sectores con discrepancias según finalidades de la administración pública donde la ciudad de Toluca tiene diversos municipios asignados. En particular la que realiza el COPLADEM que es el organismo encargado de redactar el Plan Estatal de Desarrollo.</w:t>
      </w:r>
    </w:p>
    <w:p>
      <w:pPr>
        <w:spacing w:after="0"/>
        <w:jc w:val="both"/>
        <w:rPr>
          <w:sz w:val="18"/>
        </w:rPr>
        <w:sectPr>
          <w:pgSz w:w="12240" w:h="15840"/>
          <w:pgMar w:header="0" w:footer="659" w:top="1360" w:bottom="840" w:left="1580" w:right="1580"/>
        </w:sectPr>
      </w:pPr>
    </w:p>
    <w:p>
      <w:pPr>
        <w:pStyle w:val="BodyText"/>
        <w:spacing w:line="360" w:lineRule="auto" w:before="54"/>
        <w:ind w:left="242" w:right="117"/>
        <w:jc w:val="both"/>
      </w:pPr>
      <w:r>
        <w:rPr/>
        <w:t>se rescata la metodología federal lo cual permite realizar comparabilidad. Por tanto, la ZMT abarca el funcionamiento del área urbana físicamente integrada e incluye la periferia extendida de las relaciones funciones de toda la</w:t>
      </w:r>
      <w:r>
        <w:rPr>
          <w:spacing w:val="-31"/>
        </w:rPr>
        <w:t> </w:t>
      </w:r>
      <w:r>
        <w:rPr/>
        <w:t>región.</w:t>
      </w:r>
    </w:p>
    <w:p>
      <w:pPr>
        <w:pStyle w:val="BodyText"/>
        <w:spacing w:before="10"/>
      </w:pPr>
    </w:p>
    <w:p>
      <w:pPr>
        <w:pStyle w:val="BodyText"/>
        <w:spacing w:line="360" w:lineRule="auto"/>
        <w:ind w:left="242" w:right="120"/>
        <w:jc w:val="both"/>
      </w:pPr>
      <w:r>
        <w:rPr/>
        <w:t>Una vez indicada las fuentes que dan lugar a la delimitación y número de municipios que integran el funcionamiento diario de la ciudad, ahora corresponde la subdivisión de la ZMT en ámbitos de funcionamiento o estructura interna metropolitana, éstos serán: </w:t>
      </w:r>
      <w:r>
        <w:rPr>
          <w:i/>
        </w:rPr>
        <w:t>área urbana continua</w:t>
      </w:r>
      <w:r>
        <w:rPr/>
        <w:t>, se refiere al área central o tejido urbano continuo; el segundo ámbito pertenece a la primera periferia, nombrado </w:t>
      </w:r>
      <w:r>
        <w:rPr>
          <w:i/>
        </w:rPr>
        <w:t>interrelación funcional cercana o intermedia</w:t>
      </w:r>
      <w:r>
        <w:rPr/>
        <w:t>; y el tercer ámbito es la franja externa de interrelación o r</w:t>
      </w:r>
      <w:r>
        <w:rPr>
          <w:i/>
        </w:rPr>
        <w:t>esto de municipios</w:t>
      </w:r>
      <w:r>
        <w:rPr/>
        <w:t>, se refiere a la periferia funcional más alejada (Ver cuadro 4. y mapa</w:t>
      </w:r>
      <w:r>
        <w:rPr>
          <w:spacing w:val="-8"/>
        </w:rPr>
        <w:t> </w:t>
      </w:r>
      <w:r>
        <w:rPr/>
        <w:t>1).</w:t>
      </w:r>
    </w:p>
    <w:p>
      <w:pPr>
        <w:pStyle w:val="BodyText"/>
        <w:spacing w:before="6"/>
      </w:pPr>
    </w:p>
    <w:p>
      <w:pPr>
        <w:spacing w:before="0" w:after="3"/>
        <w:ind w:left="974" w:right="0" w:firstLine="0"/>
        <w:jc w:val="left"/>
        <w:rPr>
          <w:sz w:val="20"/>
        </w:rPr>
      </w:pPr>
      <w:r>
        <w:rPr>
          <w:sz w:val="20"/>
        </w:rPr>
        <w:t>Cuadro No. 4. Municipios según estructura interna de funcionamiento de la ZMT (*)</w:t>
      </w:r>
    </w:p>
    <w:tbl>
      <w:tblPr>
        <w:tblW w:w="0" w:type="auto"/>
        <w:jc w:val="left"/>
        <w:tblInd w:w="11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721"/>
        <w:gridCol w:w="3193"/>
        <w:gridCol w:w="3049"/>
      </w:tblGrid>
      <w:tr>
        <w:trPr>
          <w:trHeight w:val="441" w:hRule="exact"/>
        </w:trPr>
        <w:tc>
          <w:tcPr>
            <w:tcW w:w="2721" w:type="dxa"/>
            <w:tcBorders>
              <w:left w:val="nil"/>
              <w:bottom w:val="nil"/>
              <w:right w:val="nil"/>
            </w:tcBorders>
          </w:tcPr>
          <w:p>
            <w:pPr>
              <w:pStyle w:val="TableParagraph"/>
              <w:spacing w:line="206" w:lineRule="exact"/>
              <w:ind w:left="122"/>
              <w:rPr>
                <w:sz w:val="18"/>
              </w:rPr>
            </w:pPr>
            <w:r>
              <w:rPr>
                <w:sz w:val="18"/>
              </w:rPr>
              <w:t>Área urbana continua (AUC=9)</w:t>
            </w:r>
          </w:p>
        </w:tc>
        <w:tc>
          <w:tcPr>
            <w:tcW w:w="3193" w:type="dxa"/>
            <w:tcBorders>
              <w:left w:val="nil"/>
              <w:bottom w:val="nil"/>
              <w:right w:val="nil"/>
            </w:tcBorders>
          </w:tcPr>
          <w:p>
            <w:pPr>
              <w:pStyle w:val="TableParagraph"/>
              <w:ind w:left="123" w:right="147"/>
              <w:rPr>
                <w:sz w:val="18"/>
              </w:rPr>
            </w:pPr>
            <w:r>
              <w:rPr>
                <w:sz w:val="18"/>
              </w:rPr>
              <w:t>Municipios de interrelación funcional intermedia (MIFI=6)</w:t>
            </w:r>
          </w:p>
        </w:tc>
        <w:tc>
          <w:tcPr>
            <w:tcW w:w="3049" w:type="dxa"/>
            <w:tcBorders>
              <w:left w:val="nil"/>
              <w:bottom w:val="nil"/>
              <w:right w:val="nil"/>
            </w:tcBorders>
          </w:tcPr>
          <w:p>
            <w:pPr>
              <w:pStyle w:val="TableParagraph"/>
              <w:ind w:left="169" w:right="109"/>
              <w:rPr>
                <w:sz w:val="18"/>
              </w:rPr>
            </w:pPr>
            <w:r>
              <w:rPr>
                <w:sz w:val="18"/>
              </w:rPr>
              <w:t>Relación externa, resto municipios (RERM=7)</w:t>
            </w:r>
          </w:p>
        </w:tc>
      </w:tr>
      <w:tr>
        <w:trPr>
          <w:trHeight w:val="219" w:hRule="exact"/>
        </w:trPr>
        <w:tc>
          <w:tcPr>
            <w:tcW w:w="2721" w:type="dxa"/>
            <w:tcBorders>
              <w:top w:val="nil"/>
              <w:left w:val="nil"/>
              <w:right w:val="nil"/>
            </w:tcBorders>
          </w:tcPr>
          <w:p>
            <w:pPr>
              <w:pStyle w:val="TableParagraph"/>
              <w:spacing w:before="4"/>
              <w:ind w:left="122"/>
              <w:rPr>
                <w:i/>
                <w:sz w:val="18"/>
              </w:rPr>
            </w:pPr>
            <w:r>
              <w:rPr>
                <w:i/>
                <w:sz w:val="18"/>
              </w:rPr>
              <w:t>Toluca</w:t>
            </w:r>
          </w:p>
        </w:tc>
        <w:tc>
          <w:tcPr>
            <w:tcW w:w="3193" w:type="dxa"/>
            <w:tcBorders>
              <w:top w:val="nil"/>
              <w:left w:val="nil"/>
              <w:right w:val="nil"/>
            </w:tcBorders>
          </w:tcPr>
          <w:p>
            <w:pPr>
              <w:pStyle w:val="TableParagraph"/>
              <w:spacing w:before="7"/>
              <w:ind w:left="123" w:right="147"/>
              <w:rPr>
                <w:sz w:val="18"/>
              </w:rPr>
            </w:pPr>
            <w:r>
              <w:rPr>
                <w:sz w:val="18"/>
              </w:rPr>
              <w:t>Ocoyoacac</w:t>
            </w:r>
          </w:p>
        </w:tc>
        <w:tc>
          <w:tcPr>
            <w:tcW w:w="3049" w:type="dxa"/>
            <w:tcBorders>
              <w:top w:val="nil"/>
              <w:left w:val="nil"/>
              <w:right w:val="nil"/>
            </w:tcBorders>
          </w:tcPr>
          <w:p>
            <w:pPr>
              <w:pStyle w:val="TableParagraph"/>
              <w:spacing w:before="7"/>
              <w:ind w:left="169" w:right="109"/>
              <w:rPr>
                <w:sz w:val="18"/>
              </w:rPr>
            </w:pPr>
            <w:r>
              <w:rPr>
                <w:sz w:val="18"/>
              </w:rPr>
              <w:t>Tianguistenco</w:t>
            </w:r>
          </w:p>
        </w:tc>
      </w:tr>
      <w:tr>
        <w:trPr>
          <w:trHeight w:val="221" w:hRule="exact"/>
        </w:trPr>
        <w:tc>
          <w:tcPr>
            <w:tcW w:w="2721" w:type="dxa"/>
            <w:tcBorders>
              <w:left w:val="nil"/>
              <w:bottom w:val="nil"/>
              <w:right w:val="nil"/>
            </w:tcBorders>
          </w:tcPr>
          <w:p>
            <w:pPr>
              <w:pStyle w:val="TableParagraph"/>
              <w:spacing w:line="206" w:lineRule="exact"/>
              <w:ind w:left="122"/>
              <w:rPr>
                <w:sz w:val="18"/>
              </w:rPr>
            </w:pPr>
            <w:r>
              <w:rPr>
                <w:sz w:val="18"/>
              </w:rPr>
              <w:t>Metepec</w:t>
            </w:r>
          </w:p>
        </w:tc>
        <w:tc>
          <w:tcPr>
            <w:tcW w:w="3193" w:type="dxa"/>
            <w:tcBorders>
              <w:left w:val="nil"/>
              <w:bottom w:val="nil"/>
              <w:right w:val="nil"/>
            </w:tcBorders>
          </w:tcPr>
          <w:p>
            <w:pPr>
              <w:pStyle w:val="TableParagraph"/>
              <w:spacing w:line="206" w:lineRule="exact"/>
              <w:ind w:left="123" w:right="147"/>
              <w:rPr>
                <w:sz w:val="18"/>
              </w:rPr>
            </w:pPr>
            <w:r>
              <w:rPr>
                <w:sz w:val="18"/>
              </w:rPr>
              <w:t>Rayón</w:t>
            </w:r>
          </w:p>
        </w:tc>
        <w:tc>
          <w:tcPr>
            <w:tcW w:w="3049" w:type="dxa"/>
            <w:tcBorders>
              <w:left w:val="nil"/>
              <w:bottom w:val="nil"/>
              <w:right w:val="nil"/>
            </w:tcBorders>
          </w:tcPr>
          <w:p>
            <w:pPr>
              <w:pStyle w:val="TableParagraph"/>
              <w:spacing w:line="206" w:lineRule="exact"/>
              <w:ind w:left="169" w:right="109"/>
              <w:rPr>
                <w:sz w:val="18"/>
              </w:rPr>
            </w:pPr>
            <w:r>
              <w:rPr>
                <w:sz w:val="18"/>
              </w:rPr>
              <w:t>Capulhuác</w:t>
            </w:r>
          </w:p>
        </w:tc>
      </w:tr>
      <w:tr>
        <w:trPr>
          <w:trHeight w:val="242" w:hRule="exact"/>
        </w:trPr>
        <w:tc>
          <w:tcPr>
            <w:tcW w:w="2721" w:type="dxa"/>
            <w:tcBorders>
              <w:top w:val="nil"/>
              <w:left w:val="nil"/>
              <w:bottom w:val="nil"/>
              <w:right w:val="nil"/>
            </w:tcBorders>
          </w:tcPr>
          <w:p>
            <w:pPr>
              <w:pStyle w:val="TableParagraph"/>
              <w:spacing w:line="198" w:lineRule="exact"/>
              <w:ind w:left="122"/>
              <w:rPr>
                <w:sz w:val="18"/>
              </w:rPr>
            </w:pPr>
            <w:r>
              <w:rPr>
                <w:sz w:val="18"/>
              </w:rPr>
              <w:t>Lerma</w:t>
            </w:r>
          </w:p>
        </w:tc>
        <w:tc>
          <w:tcPr>
            <w:tcW w:w="3193" w:type="dxa"/>
            <w:tcBorders>
              <w:top w:val="nil"/>
              <w:left w:val="nil"/>
              <w:bottom w:val="nil"/>
              <w:right w:val="nil"/>
            </w:tcBorders>
          </w:tcPr>
          <w:p>
            <w:pPr>
              <w:pStyle w:val="TableParagraph"/>
              <w:spacing w:line="198" w:lineRule="exact"/>
              <w:ind w:left="123" w:right="147"/>
              <w:rPr>
                <w:sz w:val="18"/>
              </w:rPr>
            </w:pPr>
            <w:r>
              <w:rPr>
                <w:sz w:val="18"/>
              </w:rPr>
              <w:t>Xonacatlán</w:t>
            </w:r>
          </w:p>
        </w:tc>
        <w:tc>
          <w:tcPr>
            <w:tcW w:w="3049" w:type="dxa"/>
            <w:tcBorders>
              <w:top w:val="nil"/>
              <w:left w:val="nil"/>
              <w:bottom w:val="nil"/>
              <w:right w:val="nil"/>
            </w:tcBorders>
          </w:tcPr>
          <w:p>
            <w:pPr>
              <w:pStyle w:val="TableParagraph"/>
              <w:spacing w:line="198" w:lineRule="exact"/>
              <w:ind w:left="169" w:right="109"/>
              <w:rPr>
                <w:sz w:val="18"/>
              </w:rPr>
            </w:pPr>
            <w:r>
              <w:rPr>
                <w:sz w:val="18"/>
              </w:rPr>
              <w:t>Xalatlaco</w:t>
            </w:r>
          </w:p>
        </w:tc>
      </w:tr>
      <w:tr>
        <w:trPr>
          <w:trHeight w:val="241" w:hRule="exact"/>
        </w:trPr>
        <w:tc>
          <w:tcPr>
            <w:tcW w:w="2721" w:type="dxa"/>
            <w:tcBorders>
              <w:top w:val="nil"/>
              <w:left w:val="nil"/>
              <w:bottom w:val="nil"/>
              <w:right w:val="nil"/>
            </w:tcBorders>
          </w:tcPr>
          <w:p>
            <w:pPr>
              <w:pStyle w:val="TableParagraph"/>
              <w:spacing w:before="25"/>
              <w:ind w:left="122"/>
              <w:rPr>
                <w:sz w:val="18"/>
              </w:rPr>
            </w:pPr>
            <w:r>
              <w:rPr>
                <w:sz w:val="18"/>
              </w:rPr>
              <w:t>San Mateo Atenco</w:t>
            </w:r>
          </w:p>
        </w:tc>
        <w:tc>
          <w:tcPr>
            <w:tcW w:w="3193" w:type="dxa"/>
            <w:tcBorders>
              <w:top w:val="nil"/>
              <w:left w:val="nil"/>
              <w:bottom w:val="nil"/>
              <w:right w:val="nil"/>
            </w:tcBorders>
          </w:tcPr>
          <w:p>
            <w:pPr>
              <w:pStyle w:val="TableParagraph"/>
              <w:spacing w:before="25"/>
              <w:ind w:left="123" w:right="147"/>
              <w:rPr>
                <w:sz w:val="18"/>
              </w:rPr>
            </w:pPr>
            <w:r>
              <w:rPr>
                <w:sz w:val="18"/>
              </w:rPr>
              <w:t>Temoaya</w:t>
            </w:r>
          </w:p>
        </w:tc>
        <w:tc>
          <w:tcPr>
            <w:tcW w:w="3049" w:type="dxa"/>
            <w:tcBorders>
              <w:top w:val="nil"/>
              <w:left w:val="nil"/>
              <w:bottom w:val="nil"/>
              <w:right w:val="nil"/>
            </w:tcBorders>
          </w:tcPr>
          <w:p>
            <w:pPr>
              <w:pStyle w:val="TableParagraph"/>
              <w:spacing w:before="25"/>
              <w:ind w:left="169" w:right="109"/>
              <w:rPr>
                <w:sz w:val="18"/>
              </w:rPr>
            </w:pPr>
            <w:r>
              <w:rPr>
                <w:sz w:val="18"/>
              </w:rPr>
              <w:t>Almoloya del Río</w:t>
            </w:r>
          </w:p>
        </w:tc>
      </w:tr>
      <w:tr>
        <w:trPr>
          <w:trHeight w:val="206" w:hRule="exact"/>
        </w:trPr>
        <w:tc>
          <w:tcPr>
            <w:tcW w:w="2721" w:type="dxa"/>
            <w:tcBorders>
              <w:top w:val="nil"/>
              <w:left w:val="nil"/>
              <w:bottom w:val="nil"/>
              <w:right w:val="nil"/>
            </w:tcBorders>
          </w:tcPr>
          <w:p>
            <w:pPr>
              <w:pStyle w:val="TableParagraph"/>
              <w:spacing w:line="197" w:lineRule="exact"/>
              <w:ind w:left="122"/>
              <w:rPr>
                <w:sz w:val="18"/>
              </w:rPr>
            </w:pPr>
            <w:r>
              <w:rPr>
                <w:sz w:val="18"/>
              </w:rPr>
              <w:t>Zinacantepec</w:t>
            </w:r>
          </w:p>
        </w:tc>
        <w:tc>
          <w:tcPr>
            <w:tcW w:w="3193" w:type="dxa"/>
            <w:tcBorders>
              <w:top w:val="nil"/>
              <w:left w:val="nil"/>
              <w:bottom w:val="nil"/>
              <w:right w:val="nil"/>
            </w:tcBorders>
          </w:tcPr>
          <w:p>
            <w:pPr>
              <w:pStyle w:val="TableParagraph"/>
              <w:spacing w:line="197" w:lineRule="exact"/>
              <w:ind w:left="123" w:right="147"/>
              <w:rPr>
                <w:sz w:val="18"/>
              </w:rPr>
            </w:pPr>
            <w:r>
              <w:rPr>
                <w:sz w:val="18"/>
              </w:rPr>
              <w:t>San Antonio la Isla</w:t>
            </w:r>
          </w:p>
        </w:tc>
        <w:tc>
          <w:tcPr>
            <w:tcW w:w="3049" w:type="dxa"/>
            <w:tcBorders>
              <w:top w:val="nil"/>
              <w:left w:val="nil"/>
              <w:bottom w:val="nil"/>
              <w:right w:val="nil"/>
            </w:tcBorders>
          </w:tcPr>
          <w:p>
            <w:pPr>
              <w:pStyle w:val="TableParagraph"/>
              <w:spacing w:line="197" w:lineRule="exact"/>
              <w:ind w:left="169" w:right="109"/>
              <w:rPr>
                <w:sz w:val="18"/>
              </w:rPr>
            </w:pPr>
            <w:r>
              <w:rPr>
                <w:sz w:val="18"/>
              </w:rPr>
              <w:t>Atizapán</w:t>
            </w:r>
          </w:p>
        </w:tc>
      </w:tr>
      <w:tr>
        <w:trPr>
          <w:trHeight w:val="207" w:hRule="exact"/>
        </w:trPr>
        <w:tc>
          <w:tcPr>
            <w:tcW w:w="2721" w:type="dxa"/>
            <w:tcBorders>
              <w:top w:val="nil"/>
              <w:left w:val="nil"/>
              <w:bottom w:val="nil"/>
              <w:right w:val="nil"/>
            </w:tcBorders>
          </w:tcPr>
          <w:p>
            <w:pPr>
              <w:pStyle w:val="TableParagraph"/>
              <w:spacing w:line="197" w:lineRule="exact"/>
              <w:ind w:left="122"/>
              <w:rPr>
                <w:sz w:val="18"/>
              </w:rPr>
            </w:pPr>
            <w:r>
              <w:rPr>
                <w:sz w:val="18"/>
              </w:rPr>
              <w:t>Almoloya de Juárez</w:t>
            </w:r>
          </w:p>
        </w:tc>
        <w:tc>
          <w:tcPr>
            <w:tcW w:w="3193" w:type="dxa"/>
            <w:tcBorders>
              <w:top w:val="nil"/>
              <w:left w:val="nil"/>
              <w:bottom w:val="nil"/>
              <w:right w:val="nil"/>
            </w:tcBorders>
          </w:tcPr>
          <w:p>
            <w:pPr>
              <w:pStyle w:val="TableParagraph"/>
              <w:spacing w:line="197" w:lineRule="exact"/>
              <w:ind w:left="123" w:right="147"/>
              <w:rPr>
                <w:sz w:val="18"/>
              </w:rPr>
            </w:pPr>
            <w:r>
              <w:rPr>
                <w:sz w:val="18"/>
              </w:rPr>
              <w:t>Chapultepec</w:t>
            </w:r>
          </w:p>
        </w:tc>
        <w:tc>
          <w:tcPr>
            <w:tcW w:w="3049" w:type="dxa"/>
            <w:tcBorders>
              <w:top w:val="nil"/>
              <w:left w:val="nil"/>
              <w:bottom w:val="nil"/>
              <w:right w:val="nil"/>
            </w:tcBorders>
          </w:tcPr>
          <w:p>
            <w:pPr>
              <w:pStyle w:val="TableParagraph"/>
              <w:spacing w:line="197" w:lineRule="exact"/>
              <w:ind w:left="169" w:right="109"/>
              <w:rPr>
                <w:sz w:val="18"/>
              </w:rPr>
            </w:pPr>
            <w:r>
              <w:rPr>
                <w:sz w:val="18"/>
              </w:rPr>
              <w:t>Texcalyacac</w:t>
            </w:r>
          </w:p>
        </w:tc>
      </w:tr>
      <w:tr>
        <w:trPr>
          <w:trHeight w:val="208" w:hRule="exact"/>
        </w:trPr>
        <w:tc>
          <w:tcPr>
            <w:tcW w:w="2721" w:type="dxa"/>
            <w:tcBorders>
              <w:top w:val="nil"/>
              <w:left w:val="nil"/>
              <w:bottom w:val="nil"/>
              <w:right w:val="nil"/>
            </w:tcBorders>
          </w:tcPr>
          <w:p>
            <w:pPr>
              <w:pStyle w:val="TableParagraph"/>
              <w:spacing w:line="197" w:lineRule="exact"/>
              <w:ind w:left="122"/>
              <w:rPr>
                <w:sz w:val="18"/>
              </w:rPr>
            </w:pPr>
            <w:r>
              <w:rPr>
                <w:sz w:val="18"/>
              </w:rPr>
              <w:t>Otzolotepec</w:t>
            </w:r>
          </w:p>
        </w:tc>
        <w:tc>
          <w:tcPr>
            <w:tcW w:w="3193" w:type="dxa"/>
            <w:tcBorders>
              <w:top w:val="nil"/>
              <w:left w:val="nil"/>
              <w:bottom w:val="nil"/>
              <w:right w:val="nil"/>
            </w:tcBorders>
          </w:tcPr>
          <w:p>
            <w:pPr/>
          </w:p>
        </w:tc>
        <w:tc>
          <w:tcPr>
            <w:tcW w:w="3049" w:type="dxa"/>
            <w:tcBorders>
              <w:top w:val="nil"/>
              <w:left w:val="nil"/>
              <w:bottom w:val="nil"/>
              <w:right w:val="nil"/>
            </w:tcBorders>
          </w:tcPr>
          <w:p>
            <w:pPr>
              <w:pStyle w:val="TableParagraph"/>
              <w:spacing w:line="197" w:lineRule="exact"/>
              <w:ind w:left="169" w:right="109"/>
              <w:rPr>
                <w:sz w:val="18"/>
              </w:rPr>
            </w:pPr>
            <w:r>
              <w:rPr>
                <w:sz w:val="18"/>
              </w:rPr>
              <w:t>Tenango del Valle</w:t>
            </w:r>
          </w:p>
        </w:tc>
      </w:tr>
      <w:tr>
        <w:trPr>
          <w:trHeight w:val="208" w:hRule="exact"/>
        </w:trPr>
        <w:tc>
          <w:tcPr>
            <w:tcW w:w="2721" w:type="dxa"/>
            <w:tcBorders>
              <w:top w:val="nil"/>
              <w:left w:val="nil"/>
              <w:bottom w:val="nil"/>
              <w:right w:val="nil"/>
            </w:tcBorders>
          </w:tcPr>
          <w:p>
            <w:pPr>
              <w:pStyle w:val="TableParagraph"/>
              <w:spacing w:line="198" w:lineRule="exact"/>
              <w:ind w:left="122"/>
              <w:rPr>
                <w:sz w:val="18"/>
              </w:rPr>
            </w:pPr>
            <w:r>
              <w:rPr>
                <w:sz w:val="18"/>
              </w:rPr>
              <w:t>Calimaya</w:t>
            </w:r>
          </w:p>
        </w:tc>
        <w:tc>
          <w:tcPr>
            <w:tcW w:w="3193" w:type="dxa"/>
            <w:tcBorders>
              <w:top w:val="nil"/>
              <w:left w:val="nil"/>
              <w:bottom w:val="nil"/>
              <w:right w:val="nil"/>
            </w:tcBorders>
          </w:tcPr>
          <w:p>
            <w:pPr/>
          </w:p>
        </w:tc>
        <w:tc>
          <w:tcPr>
            <w:tcW w:w="3049" w:type="dxa"/>
            <w:tcBorders>
              <w:top w:val="nil"/>
              <w:left w:val="nil"/>
              <w:bottom w:val="nil"/>
              <w:right w:val="nil"/>
            </w:tcBorders>
          </w:tcPr>
          <w:p>
            <w:pPr/>
          </w:p>
        </w:tc>
      </w:tr>
      <w:tr>
        <w:trPr>
          <w:trHeight w:val="202" w:hRule="exact"/>
        </w:trPr>
        <w:tc>
          <w:tcPr>
            <w:tcW w:w="2721" w:type="dxa"/>
            <w:tcBorders>
              <w:top w:val="nil"/>
              <w:left w:val="nil"/>
              <w:right w:val="nil"/>
            </w:tcBorders>
          </w:tcPr>
          <w:p>
            <w:pPr>
              <w:pStyle w:val="TableParagraph"/>
              <w:spacing w:line="197" w:lineRule="exact"/>
              <w:ind w:left="122"/>
              <w:rPr>
                <w:sz w:val="18"/>
              </w:rPr>
            </w:pPr>
            <w:r>
              <w:rPr>
                <w:sz w:val="18"/>
              </w:rPr>
              <w:t>Mexicalcingo</w:t>
            </w:r>
          </w:p>
        </w:tc>
        <w:tc>
          <w:tcPr>
            <w:tcW w:w="3193" w:type="dxa"/>
            <w:tcBorders>
              <w:top w:val="nil"/>
              <w:left w:val="nil"/>
              <w:right w:val="nil"/>
            </w:tcBorders>
          </w:tcPr>
          <w:p>
            <w:pPr/>
          </w:p>
        </w:tc>
        <w:tc>
          <w:tcPr>
            <w:tcW w:w="3049" w:type="dxa"/>
            <w:tcBorders>
              <w:top w:val="nil"/>
              <w:left w:val="nil"/>
              <w:right w:val="nil"/>
            </w:tcBorders>
          </w:tcPr>
          <w:p>
            <w:pPr/>
          </w:p>
        </w:tc>
      </w:tr>
      <w:tr>
        <w:trPr>
          <w:trHeight w:val="218" w:hRule="exact"/>
        </w:trPr>
        <w:tc>
          <w:tcPr>
            <w:tcW w:w="2721" w:type="dxa"/>
            <w:tcBorders>
              <w:left w:val="nil"/>
              <w:right w:val="nil"/>
            </w:tcBorders>
          </w:tcPr>
          <w:p>
            <w:pPr/>
          </w:p>
        </w:tc>
        <w:tc>
          <w:tcPr>
            <w:tcW w:w="3193" w:type="dxa"/>
            <w:tcBorders>
              <w:left w:val="nil"/>
              <w:right w:val="nil"/>
            </w:tcBorders>
          </w:tcPr>
          <w:p>
            <w:pPr>
              <w:pStyle w:val="TableParagraph"/>
              <w:spacing w:line="206" w:lineRule="exact"/>
              <w:ind w:left="929" w:right="147"/>
              <w:rPr>
                <w:sz w:val="18"/>
              </w:rPr>
            </w:pPr>
            <w:r>
              <w:rPr>
                <w:sz w:val="18"/>
              </w:rPr>
              <w:t>ZMT = 22 municipios</w:t>
            </w:r>
          </w:p>
        </w:tc>
        <w:tc>
          <w:tcPr>
            <w:tcW w:w="3049" w:type="dxa"/>
            <w:tcBorders>
              <w:left w:val="nil"/>
              <w:right w:val="nil"/>
            </w:tcBorders>
          </w:tcPr>
          <w:p>
            <w:pPr/>
          </w:p>
        </w:tc>
      </w:tr>
    </w:tbl>
    <w:p>
      <w:pPr>
        <w:spacing w:line="240" w:lineRule="auto" w:before="0"/>
        <w:ind w:left="262" w:right="147" w:firstLine="0"/>
        <w:jc w:val="center"/>
        <w:rPr>
          <w:sz w:val="20"/>
        </w:rPr>
      </w:pPr>
      <w:r>
        <w:rPr>
          <w:sz w:val="20"/>
        </w:rPr>
        <w:t>(*) Los municipios están ordenados de mayor a menor población total en 2010 en su grupo de estructura respectiva.</w:t>
      </w:r>
    </w:p>
    <w:p>
      <w:pPr>
        <w:spacing w:line="228" w:lineRule="exact" w:before="0"/>
        <w:ind w:left="262" w:right="150" w:firstLine="0"/>
        <w:jc w:val="center"/>
        <w:rPr>
          <w:sz w:val="20"/>
        </w:rPr>
      </w:pPr>
      <w:r>
        <w:rPr>
          <w:sz w:val="20"/>
        </w:rPr>
        <w:t>Fuente: Elaboración propia con información del GEM, y SEDESOL, CONAPO E INEGI.</w:t>
      </w:r>
    </w:p>
    <w:p>
      <w:pPr>
        <w:spacing w:after="0" w:line="228" w:lineRule="exact"/>
        <w:jc w:val="center"/>
        <w:rPr>
          <w:sz w:val="20"/>
        </w:rPr>
        <w:sectPr>
          <w:pgSz w:w="12240" w:h="15840"/>
          <w:pgMar w:header="0" w:footer="659" w:top="1360" w:bottom="840" w:left="1460" w:right="1580"/>
        </w:sectPr>
      </w:pPr>
    </w:p>
    <w:p>
      <w:pPr>
        <w:spacing w:before="53"/>
        <w:ind w:left="1536" w:right="1937" w:firstLine="0"/>
        <w:jc w:val="center"/>
        <w:rPr>
          <w:sz w:val="20"/>
        </w:rPr>
      </w:pPr>
      <w:r>
        <w:rPr/>
        <w:drawing>
          <wp:anchor distT="0" distB="0" distL="0" distR="0" allowOverlap="1" layoutInCell="1" locked="0" behindDoc="0" simplePos="0" relativeHeight="1840">
            <wp:simplePos x="0" y="0"/>
            <wp:positionH relativeFrom="page">
              <wp:posOffset>1080135</wp:posOffset>
            </wp:positionH>
            <wp:positionV relativeFrom="paragraph">
              <wp:posOffset>255141</wp:posOffset>
            </wp:positionV>
            <wp:extent cx="5772844" cy="7469504"/>
            <wp:effectExtent l="0" t="0" r="0" b="0"/>
            <wp:wrapTopAndBottom/>
            <wp:docPr id="15" name="image13.jpeg" descr=""/>
            <wp:cNvGraphicFramePr>
              <a:graphicFrameLocks noChangeAspect="1"/>
            </wp:cNvGraphicFramePr>
            <a:graphic>
              <a:graphicData uri="http://schemas.openxmlformats.org/drawingml/2006/picture">
                <pic:pic>
                  <pic:nvPicPr>
                    <pic:cNvPr id="16" name="image13.jpeg"/>
                    <pic:cNvPicPr/>
                  </pic:nvPicPr>
                  <pic:blipFill>
                    <a:blip r:embed="rId30" cstate="print"/>
                    <a:stretch>
                      <a:fillRect/>
                    </a:stretch>
                  </pic:blipFill>
                  <pic:spPr>
                    <a:xfrm>
                      <a:off x="0" y="0"/>
                      <a:ext cx="5772844" cy="7469504"/>
                    </a:xfrm>
                    <a:prstGeom prst="rect">
                      <a:avLst/>
                    </a:prstGeom>
                  </pic:spPr>
                </pic:pic>
              </a:graphicData>
            </a:graphic>
          </wp:anchor>
        </w:drawing>
      </w:r>
      <w:r>
        <w:rPr>
          <w:sz w:val="20"/>
        </w:rPr>
        <w:t>Mapa 1. ZMT. Estructura interna según ámbitos de funcionamiento</w:t>
      </w:r>
    </w:p>
    <w:p>
      <w:pPr>
        <w:spacing w:before="156"/>
        <w:ind w:left="1535" w:right="1937" w:firstLine="0"/>
        <w:jc w:val="center"/>
        <w:rPr>
          <w:sz w:val="20"/>
        </w:rPr>
      </w:pPr>
      <w:r>
        <w:rPr>
          <w:sz w:val="20"/>
        </w:rPr>
        <w:t>Fuente: Elaboración propia</w:t>
      </w:r>
    </w:p>
    <w:p>
      <w:pPr>
        <w:spacing w:after="0"/>
        <w:jc w:val="center"/>
        <w:rPr>
          <w:sz w:val="20"/>
        </w:rPr>
        <w:sectPr>
          <w:pgSz w:w="12240" w:h="15840"/>
          <w:pgMar w:header="0" w:footer="659" w:top="1360" w:bottom="840" w:left="1600" w:right="1200"/>
        </w:sectPr>
      </w:pPr>
    </w:p>
    <w:p>
      <w:pPr>
        <w:spacing w:before="52"/>
        <w:ind w:left="102" w:right="0" w:firstLine="0"/>
        <w:jc w:val="both"/>
        <w:rPr>
          <w:i/>
          <w:sz w:val="24"/>
        </w:rPr>
      </w:pPr>
      <w:r>
        <w:rPr>
          <w:i/>
          <w:sz w:val="24"/>
        </w:rPr>
        <w:t>Dimensiones y variables para examinar la suburbanización y desurbanización.</w:t>
      </w:r>
    </w:p>
    <w:p>
      <w:pPr>
        <w:pStyle w:val="BodyText"/>
        <w:rPr>
          <w:i/>
        </w:rPr>
      </w:pPr>
    </w:p>
    <w:p>
      <w:pPr>
        <w:pStyle w:val="BodyText"/>
        <w:spacing w:line="360" w:lineRule="auto" w:before="146"/>
        <w:ind w:left="102" w:right="117"/>
        <w:jc w:val="both"/>
      </w:pPr>
      <w:r>
        <w:rPr/>
        <w:t>Son representativos de dicha evolución las siguientes transformaciones: en el uso de suelo, la expansión por uso habitacional, comercial y de servicios, el creciente aumento de viviendas en urbanizaciones cerradas o con patrón disperso en localidades pequeñas y de ello el mayor consumo de suelo por habitante y  cambios en las densidades que tienden a ser menores; entre los aspectos económicos esta la diversificación, el aumento y especialización del empleo en la parte externa y; los movimientos y traslados diarios por motivos laborales, residencia-trabajo, como resultado de la expansión metropolitana. Todos ellos son procesos dinámicos en el ámbito intermedio y externo, ello caracteriza las relaciones funcionales metropolitanas</w:t>
      </w:r>
      <w:r>
        <w:rPr>
          <w:spacing w:val="-17"/>
        </w:rPr>
        <w:t> </w:t>
      </w:r>
      <w:r>
        <w:rPr/>
        <w:t>externas.</w:t>
      </w:r>
    </w:p>
    <w:p>
      <w:pPr>
        <w:pStyle w:val="BodyText"/>
        <w:spacing w:before="7"/>
      </w:pPr>
    </w:p>
    <w:p>
      <w:pPr>
        <w:pStyle w:val="BodyText"/>
        <w:spacing w:line="360" w:lineRule="auto"/>
        <w:ind w:left="102" w:right="117"/>
        <w:jc w:val="both"/>
      </w:pPr>
      <w:r>
        <w:rPr/>
        <w:t>Las variables seleccionadas se organizan atendiendo los ámbitos de funcionamiento de la estructura interna metropolitana. La unidad básica es el municipio y el período de estudio de 1990 a 2010. Un primer grupo de datos cuantitativos (datos tipo I) permitirá identificar magnitud por ámbito y municipios. Las variables sociodemográficas son, la población total y las viviendas totales, y  se calculan tasas de crecimiento decenales. La distribución de la población por tamaño de localidades permite complementar la aseveración de la desconcentración de los asentamientos y también se considera el stock de vehículos por vivienda y municipio.  Dicha información se obtiene de los Censos  de Población y Vivienda 1990, 2000 y 2010, los Conteos de Población y Vivienda 1995, 2005 y del documento ITER 1990,1995, 2000, 2005 y 2010, información generada por el INEGI. La distribución de la actividad económica considera al empleo urbano, es decir, la población ocupada en la manufactura, el comercio y los servicios, datos que se obtienen de los Censos Económicos del INEGI, para los años 1988, 1998 y 2008. Otra variable en este tipo son los usos de suelo, con la que se identifican los impactos en el territorio de la ZMT., información dividida  en 7 tipo de usos área agrícola, área sin vegetación, bosque, pastizal, otros tipos de vegetación, cuerpos de agua y zona urbana, analizada en dos cortes de</w:t>
      </w:r>
      <w:r>
        <w:rPr>
          <w:spacing w:val="6"/>
        </w:rPr>
        <w:t> </w:t>
      </w:r>
      <w:r>
        <w:rPr/>
        <w:t>tiempo</w:t>
      </w:r>
    </w:p>
    <w:p>
      <w:pPr>
        <w:spacing w:after="0" w:line="360" w:lineRule="auto"/>
        <w:jc w:val="both"/>
        <w:sectPr>
          <w:footerReference w:type="default" r:id="rId31"/>
          <w:pgSz w:w="12240" w:h="15840"/>
          <w:pgMar w:footer="659" w:header="0" w:top="1360" w:bottom="840" w:left="1600" w:right="1580"/>
        </w:sectPr>
      </w:pPr>
    </w:p>
    <w:p>
      <w:pPr>
        <w:pStyle w:val="BodyText"/>
        <w:spacing w:line="360" w:lineRule="auto" w:before="54"/>
        <w:ind w:left="102" w:right="122"/>
        <w:jc w:val="both"/>
      </w:pPr>
      <w:r>
        <w:rPr/>
        <w:t>en el siglo XX, la información de los años 1992 y 1997, en el siglo XXI 2003 y 2010, los datos y la cartografía es información de</w:t>
      </w:r>
      <w:r>
        <w:rPr>
          <w:spacing w:val="-20"/>
        </w:rPr>
        <w:t> </w:t>
      </w:r>
      <w:r>
        <w:rPr/>
        <w:t>INEGI.</w:t>
      </w:r>
    </w:p>
    <w:p>
      <w:pPr>
        <w:pStyle w:val="BodyText"/>
        <w:spacing w:before="7"/>
      </w:pPr>
    </w:p>
    <w:p>
      <w:pPr>
        <w:pStyle w:val="BodyText"/>
        <w:spacing w:line="360" w:lineRule="auto"/>
        <w:ind w:left="102" w:right="112"/>
        <w:jc w:val="both"/>
      </w:pPr>
      <w:r>
        <w:rPr/>
        <w:t>Un segundo grupo de datos cuantitativos (datos tipo II), permitirá examinar las relaciones funcionales mediante flujos al considerar los movimientos de la población y las razones de traslados. Las variables de movimientos que ofrecen dos fuentes: la primera toma los datos de traslados de la población residencia- trabajo considerada en la delimitación metropolitana del CONAPO-INEGI- SEDESOL para las dos zonas metropolitanas de Toluca y de Tianguistenco. La segunda fuente, se trata de la encuesta origen-destino, realizada por la Junta de Caminos del Estado de México en 2007, aplicadas a los conductores automóvil privado, camiones, autobuses y pickup en la ciudad de Toluca.</w:t>
      </w:r>
    </w:p>
    <w:p>
      <w:pPr>
        <w:pStyle w:val="BodyText"/>
        <w:spacing w:before="7"/>
      </w:pPr>
    </w:p>
    <w:p>
      <w:pPr>
        <w:pStyle w:val="BodyText"/>
        <w:spacing w:line="360" w:lineRule="auto"/>
        <w:ind w:left="102" w:right="118"/>
        <w:jc w:val="both"/>
      </w:pPr>
      <w:r>
        <w:rPr/>
        <w:t>Ambos tipos de datos tienen una naturaleza distinta, con el primero se observa cómo se comporta cada ámbito en el tiempo y permite observar en qué fase de evolución se encuentra la ZMT –a saber urbanización, suburbanización o desurbanización- y con los datos de flujos se observa el cómo y el alcance de las relaciones, ello configura el funcionamiento real –a saber relación intrametropolitana versus relaciones externas en el estado o fuera de él.</w:t>
      </w:r>
    </w:p>
    <w:p>
      <w:pPr>
        <w:pStyle w:val="BodyText"/>
        <w:spacing w:before="7"/>
      </w:pPr>
    </w:p>
    <w:p>
      <w:pPr>
        <w:pStyle w:val="BodyText"/>
        <w:spacing w:line="360" w:lineRule="auto"/>
        <w:ind w:left="102" w:right="121"/>
        <w:jc w:val="both"/>
      </w:pPr>
      <w:r>
        <w:rPr/>
        <w:t>Siguiendo los criterios metodológicos, este capítulo, se encuentra organizado en los dos partes siguientes: evolución de la estructura interna metropolitana e Interrelaciones funcionales de la zona metropolitana de Toluca.</w:t>
      </w:r>
    </w:p>
    <w:p>
      <w:pPr>
        <w:pStyle w:val="BodyText"/>
        <w:spacing w:before="6"/>
      </w:pPr>
    </w:p>
    <w:p>
      <w:pPr>
        <w:pStyle w:val="Heading4"/>
        <w:numPr>
          <w:ilvl w:val="1"/>
          <w:numId w:val="5"/>
        </w:numPr>
        <w:tabs>
          <w:tab w:pos="690" w:val="left" w:leader="none"/>
        </w:tabs>
        <w:spacing w:line="357" w:lineRule="auto" w:before="0" w:after="0"/>
        <w:ind w:left="102" w:right="119" w:firstLine="0"/>
        <w:jc w:val="both"/>
      </w:pPr>
      <w:r>
        <w:rPr/>
        <w:t>Estructura interna metropolitana de la ZMT. Evolución de la suburbanización y surgimiento de la</w:t>
      </w:r>
      <w:r>
        <w:rPr>
          <w:spacing w:val="-27"/>
        </w:rPr>
        <w:t> </w:t>
      </w:r>
      <w:r>
        <w:rPr/>
        <w:t>desurbanización</w:t>
      </w:r>
    </w:p>
    <w:p>
      <w:pPr>
        <w:pStyle w:val="BodyText"/>
        <w:spacing w:before="5"/>
        <w:rPr>
          <w:b/>
          <w:sz w:val="25"/>
        </w:rPr>
      </w:pPr>
    </w:p>
    <w:p>
      <w:pPr>
        <w:pStyle w:val="BodyText"/>
        <w:spacing w:line="360" w:lineRule="auto"/>
        <w:ind w:left="102" w:right="125"/>
        <w:jc w:val="both"/>
      </w:pPr>
      <w:r>
        <w:rPr/>
        <w:t>Las características de la expansión física metropolitana se identifican con base en los siguientes variables i) distribución de la población total por ámbito de    estudio,</w:t>
      </w:r>
    </w:p>
    <w:p>
      <w:pPr>
        <w:pStyle w:val="BodyText"/>
        <w:spacing w:line="360" w:lineRule="auto" w:before="5"/>
        <w:ind w:left="102" w:right="124"/>
        <w:jc w:val="both"/>
      </w:pPr>
      <w:r>
        <w:rPr/>
        <w:t>ii) distribución de los asentamientos por tamaño de localidades, iii) distribución del total de viviendas, iv) densidades de población y vivienda y, v) distribución del empleo urbano. Son variables estáticas que permite reportar dónde se ubican   los</w:t>
      </w:r>
    </w:p>
    <w:p>
      <w:pPr>
        <w:spacing w:after="0" w:line="360" w:lineRule="auto"/>
        <w:jc w:val="both"/>
        <w:sectPr>
          <w:footerReference w:type="default" r:id="rId32"/>
          <w:pgSz w:w="12240" w:h="15840"/>
          <w:pgMar w:footer="659" w:header="0" w:top="1360" w:bottom="840" w:left="1600" w:right="1580"/>
          <w:pgNumType w:start="81"/>
        </w:sectPr>
      </w:pPr>
    </w:p>
    <w:p>
      <w:pPr>
        <w:pStyle w:val="BodyText"/>
        <w:spacing w:line="360" w:lineRule="auto" w:before="54"/>
        <w:ind w:left="102" w:right="127"/>
        <w:jc w:val="both"/>
      </w:pPr>
      <w:r>
        <w:rPr/>
        <w:t>procesos, en qué magnitud y en el tiempo calcular cambios. En conjunto permiten identificar magnitud y ritmo en cada ámbito de estudio en la ZMT.</w:t>
      </w:r>
    </w:p>
    <w:p>
      <w:pPr>
        <w:pStyle w:val="BodyText"/>
        <w:spacing w:before="7"/>
      </w:pPr>
    </w:p>
    <w:p>
      <w:pPr>
        <w:pStyle w:val="Heading5"/>
        <w:spacing w:line="276" w:lineRule="auto"/>
        <w:ind w:right="123"/>
      </w:pPr>
      <w:r>
        <w:rPr/>
        <w:t>4.2.1. Concentración urbana y maduración de la suburbanización, finales del siglo XX</w:t>
      </w:r>
    </w:p>
    <w:p>
      <w:pPr>
        <w:pStyle w:val="BodyText"/>
        <w:spacing w:before="3"/>
        <w:rPr>
          <w:b/>
        </w:rPr>
      </w:pPr>
    </w:p>
    <w:p>
      <w:pPr>
        <w:spacing w:before="0"/>
        <w:ind w:left="102" w:right="0" w:firstLine="0"/>
        <w:jc w:val="both"/>
        <w:rPr>
          <w:i/>
          <w:sz w:val="24"/>
        </w:rPr>
      </w:pPr>
      <w:r>
        <w:rPr>
          <w:i/>
          <w:sz w:val="24"/>
        </w:rPr>
        <w:t>Distribución de la población total</w:t>
      </w:r>
    </w:p>
    <w:p>
      <w:pPr>
        <w:pStyle w:val="BodyText"/>
        <w:rPr>
          <w:i/>
        </w:rPr>
      </w:pPr>
    </w:p>
    <w:p>
      <w:pPr>
        <w:pStyle w:val="BodyText"/>
        <w:spacing w:line="360" w:lineRule="auto" w:before="144"/>
        <w:ind w:left="102" w:right="116"/>
        <w:jc w:val="both"/>
      </w:pPr>
      <w:r>
        <w:rPr/>
        <w:t>La población total por ámbito de la estructura interna de la ZMT a finales del siglo XX registra aumento del volumen total en los 22 municipios. De 1990 a 1995, el área urbana continua integrada por 9 municipios, concentra magnitudes significativas, mientras que con inferioridad se encuentran los otros dos ámbitos externos El área central, con más de un millón de habitantes y una tasa de 3.3 durante 1990-2000, ligeramente menor a los otros dos ámbitos. En el ámbito de interrelación funcional intermedia en 1990 había 133,869 habitantes, para el año 1995 se ascendió a 163,243 habitantes, la tasa de crecimiento de 1990 al 2000  fue 3.31% y, el ámbito de relación externa, con 168 059 habitantes y tasa igual a  la del área central. (Ver gráficas 1 y 2, mapas 2 y 3, cuadro A 4.3 y</w:t>
      </w:r>
      <w:r>
        <w:rPr>
          <w:spacing w:val="-15"/>
        </w:rPr>
        <w:t> </w:t>
      </w:r>
      <w:r>
        <w:rPr/>
        <w:t>4.4).</w:t>
      </w:r>
    </w:p>
    <w:p>
      <w:pPr>
        <w:pStyle w:val="BodyText"/>
        <w:spacing w:before="7"/>
      </w:pPr>
    </w:p>
    <w:p>
      <w:pPr>
        <w:spacing w:before="0"/>
        <w:ind w:left="711" w:right="296" w:firstLine="0"/>
        <w:jc w:val="left"/>
        <w:rPr>
          <w:sz w:val="20"/>
        </w:rPr>
      </w:pPr>
      <w:r>
        <w:rPr>
          <w:sz w:val="20"/>
        </w:rPr>
        <w:t>Gráfica No. 1. ZMT. Participación absoluta de la población total por ámbito 1990-2010</w:t>
      </w:r>
    </w:p>
    <w:p>
      <w:pPr>
        <w:pStyle w:val="BodyText"/>
        <w:spacing w:before="6"/>
        <w:rPr>
          <w:sz w:val="22"/>
        </w:rPr>
      </w:pPr>
    </w:p>
    <w:p>
      <w:pPr>
        <w:spacing w:after="0"/>
        <w:rPr>
          <w:sz w:val="22"/>
        </w:rPr>
        <w:sectPr>
          <w:pgSz w:w="12240" w:h="15840"/>
          <w:pgMar w:header="0" w:footer="659" w:top="1360" w:bottom="840" w:left="1600" w:right="1580"/>
        </w:sectPr>
      </w:pPr>
    </w:p>
    <w:p>
      <w:pPr>
        <w:spacing w:before="69"/>
        <w:ind w:left="1070" w:right="-18" w:firstLine="0"/>
        <w:jc w:val="left"/>
        <w:rPr>
          <w:rFonts w:ascii="Calibri"/>
          <w:sz w:val="16"/>
        </w:rPr>
      </w:pPr>
      <w:r>
        <w:rPr>
          <w:rFonts w:ascii="Calibri"/>
          <w:sz w:val="16"/>
        </w:rPr>
        <w:t>1800000</w:t>
      </w:r>
    </w:p>
    <w:p>
      <w:pPr>
        <w:pStyle w:val="BodyText"/>
        <w:spacing w:before="6"/>
        <w:rPr>
          <w:rFonts w:ascii="Calibri"/>
          <w:sz w:val="16"/>
        </w:rPr>
      </w:pPr>
    </w:p>
    <w:p>
      <w:pPr>
        <w:spacing w:before="0"/>
        <w:ind w:left="1070" w:right="-18" w:firstLine="0"/>
        <w:jc w:val="left"/>
        <w:rPr>
          <w:rFonts w:ascii="Calibri"/>
          <w:sz w:val="16"/>
        </w:rPr>
      </w:pPr>
      <w:r>
        <w:rPr>
          <w:rFonts w:ascii="Calibri"/>
          <w:sz w:val="16"/>
        </w:rPr>
        <w:t>1600000</w:t>
      </w:r>
    </w:p>
    <w:p>
      <w:pPr>
        <w:pStyle w:val="BodyText"/>
        <w:spacing w:before="6"/>
        <w:rPr>
          <w:rFonts w:ascii="Calibri"/>
          <w:sz w:val="16"/>
        </w:rPr>
      </w:pPr>
    </w:p>
    <w:p>
      <w:pPr>
        <w:spacing w:before="0"/>
        <w:ind w:left="1070" w:right="-18" w:firstLine="0"/>
        <w:jc w:val="left"/>
        <w:rPr>
          <w:rFonts w:ascii="Calibri"/>
          <w:sz w:val="16"/>
        </w:rPr>
      </w:pPr>
      <w:r>
        <w:rPr>
          <w:rFonts w:ascii="Calibri"/>
          <w:sz w:val="16"/>
        </w:rPr>
        <w:t>1400000</w:t>
      </w:r>
    </w:p>
    <w:p>
      <w:pPr>
        <w:pStyle w:val="BodyText"/>
        <w:spacing w:before="6"/>
        <w:rPr>
          <w:rFonts w:ascii="Calibri"/>
          <w:sz w:val="16"/>
        </w:rPr>
      </w:pPr>
    </w:p>
    <w:p>
      <w:pPr>
        <w:spacing w:before="0"/>
        <w:ind w:left="1070" w:right="-18" w:firstLine="0"/>
        <w:jc w:val="left"/>
        <w:rPr>
          <w:rFonts w:ascii="Calibri"/>
          <w:sz w:val="16"/>
        </w:rPr>
      </w:pPr>
      <w:r>
        <w:rPr>
          <w:rFonts w:ascii="Calibri"/>
          <w:sz w:val="16"/>
        </w:rPr>
        <w:t>1200000</w:t>
      </w:r>
    </w:p>
    <w:p>
      <w:pPr>
        <w:pStyle w:val="BodyText"/>
        <w:spacing w:before="6"/>
        <w:rPr>
          <w:rFonts w:ascii="Calibri"/>
          <w:sz w:val="16"/>
        </w:rPr>
      </w:pPr>
    </w:p>
    <w:p>
      <w:pPr>
        <w:spacing w:before="0"/>
        <w:ind w:left="1070" w:right="-18" w:firstLine="0"/>
        <w:jc w:val="left"/>
        <w:rPr>
          <w:rFonts w:ascii="Calibri"/>
          <w:sz w:val="16"/>
        </w:rPr>
      </w:pPr>
      <w:r>
        <w:rPr>
          <w:rFonts w:ascii="Calibri"/>
          <w:sz w:val="16"/>
        </w:rPr>
        <w:t>1000000</w:t>
      </w:r>
    </w:p>
    <w:p>
      <w:pPr>
        <w:pStyle w:val="BodyText"/>
        <w:spacing w:before="6"/>
        <w:rPr>
          <w:rFonts w:ascii="Calibri"/>
          <w:sz w:val="16"/>
        </w:rPr>
      </w:pPr>
    </w:p>
    <w:p>
      <w:pPr>
        <w:spacing w:before="0"/>
        <w:ind w:left="0" w:right="0" w:firstLine="0"/>
        <w:jc w:val="right"/>
        <w:rPr>
          <w:rFonts w:ascii="Calibri"/>
          <w:sz w:val="16"/>
        </w:rPr>
      </w:pPr>
      <w:r>
        <w:rPr>
          <w:rFonts w:ascii="Calibri"/>
          <w:sz w:val="16"/>
        </w:rPr>
        <w:t>800000</w:t>
      </w:r>
    </w:p>
    <w:p>
      <w:pPr>
        <w:pStyle w:val="BodyText"/>
        <w:spacing w:before="6"/>
        <w:rPr>
          <w:rFonts w:ascii="Calibri"/>
          <w:sz w:val="16"/>
        </w:rPr>
      </w:pPr>
    </w:p>
    <w:p>
      <w:pPr>
        <w:spacing w:before="0"/>
        <w:ind w:left="0" w:right="0" w:firstLine="0"/>
        <w:jc w:val="right"/>
        <w:rPr>
          <w:rFonts w:ascii="Calibri"/>
          <w:sz w:val="16"/>
        </w:rPr>
      </w:pPr>
      <w:r>
        <w:rPr>
          <w:rFonts w:ascii="Calibri"/>
          <w:sz w:val="16"/>
        </w:rPr>
        <w:t>600000</w:t>
      </w:r>
    </w:p>
    <w:p>
      <w:pPr>
        <w:spacing w:before="177"/>
        <w:ind w:left="1051" w:right="1264" w:firstLine="0"/>
        <w:jc w:val="center"/>
        <w:rPr>
          <w:rFonts w:ascii="Calibri"/>
          <w:sz w:val="20"/>
        </w:rPr>
      </w:pPr>
      <w:r>
        <w:rPr/>
        <w:br w:type="column"/>
      </w:r>
      <w:r>
        <w:rPr>
          <w:rFonts w:ascii="Calibri"/>
          <w:sz w:val="20"/>
        </w:rPr>
        <w:t>1990</w:t>
      </w:r>
    </w:p>
    <w:p>
      <w:pPr>
        <w:pStyle w:val="BodyText"/>
        <w:spacing w:before="11"/>
        <w:rPr>
          <w:rFonts w:ascii="Calibri"/>
          <w:sz w:val="21"/>
        </w:rPr>
      </w:pPr>
    </w:p>
    <w:p>
      <w:pPr>
        <w:spacing w:before="0"/>
        <w:ind w:left="1051" w:right="1264" w:firstLine="0"/>
        <w:jc w:val="center"/>
        <w:rPr>
          <w:rFonts w:ascii="Calibri"/>
          <w:sz w:val="20"/>
        </w:rPr>
      </w:pPr>
      <w:r>
        <w:rPr/>
        <w:pict>
          <v:group style="position:absolute;margin-left:168.945007pt;margin-top:-26.083515pt;width:266.7pt;height:179.45pt;mso-position-horizontal-relative:page;mso-position-vertical-relative:paragraph;z-index:1864" coordorigin="3379,-522" coordsize="5334,3589">
            <v:rect style="position:absolute;left:3590;top:1120;width:274;height:1939" filled="true" fillcolor="#4f81bc" stroked="false">
              <v:fill type="solid"/>
            </v:rect>
            <v:rect style="position:absolute;left:3864;top:736;width:271;height:2323" filled="true" fillcolor="#c0504d" stroked="false">
              <v:fill type="solid"/>
            </v:rect>
            <v:rect style="position:absolute;left:4135;top:369;width:274;height:2690" filled="true" fillcolor="#9bba58" stroked="false">
              <v:fill type="solid"/>
            </v:rect>
            <v:rect style="position:absolute;left:4409;top:74;width:274;height:2986" filled="true" fillcolor="#8063a1" stroked="false">
              <v:fill type="solid"/>
            </v:rect>
            <v:rect style="position:absolute;left:4682;top:31;width:271;height:3029" filled="true" fillcolor="#4aacc5" stroked="false">
              <v:fill type="solid"/>
            </v:rect>
            <v:rect style="position:absolute;left:5364;top:2793;width:274;height:266" filled="true" fillcolor="#4f81bc" stroked="false">
              <v:fill type="solid"/>
            </v:rect>
            <v:rect style="position:absolute;left:5638;top:2735;width:271;height:324" filled="true" fillcolor="#c0504d" stroked="false">
              <v:fill type="solid"/>
            </v:rect>
            <v:rect style="position:absolute;left:5909;top:2692;width:274;height:367" filled="true" fillcolor="#9bba58" stroked="false">
              <v:fill type="solid"/>
            </v:rect>
            <v:rect style="position:absolute;left:6182;top:2651;width:271;height:408" filled="true" fillcolor="#8063a1" stroked="false">
              <v:fill type="solid"/>
            </v:rect>
            <v:rect style="position:absolute;left:6454;top:2577;width:274;height:482" filled="true" fillcolor="#4aacc5" stroked="false">
              <v:fill type="solid"/>
            </v:rect>
            <v:rect style="position:absolute;left:7138;top:2783;width:271;height:276" filled="true" fillcolor="#4f81bc" stroked="false">
              <v:fill type="solid"/>
            </v:rect>
            <v:rect style="position:absolute;left:7409;top:2726;width:274;height:334" filled="true" fillcolor="#c0504d" stroked="false">
              <v:fill type="solid"/>
            </v:rect>
            <v:rect style="position:absolute;left:7682;top:2678;width:274;height:382" filled="true" fillcolor="#9bba58" stroked="false">
              <v:fill type="solid"/>
            </v:rect>
            <v:rect style="position:absolute;left:7956;top:2649;width:271;height:410" filled="true" fillcolor="#8063a1" stroked="false">
              <v:fill type="solid"/>
            </v:rect>
            <v:rect style="position:absolute;left:8227;top:2591;width:274;height:468" filled="true" fillcolor="#4aacc5" stroked="false">
              <v:fill type="solid"/>
            </v:rect>
            <v:shape style="position:absolute;left:3386;top:-514;width:5319;height:3574" coordorigin="3386,-514" coordsize="5319,3574" path="m3386,3059l3386,-514m3386,3059l8705,3059e" filled="false" stroked="true" strokeweight=".72pt" strokecolor="#858585">
              <v:path arrowok="t"/>
            </v:shape>
            <w10:wrap type="none"/>
          </v:group>
        </w:pict>
      </w:r>
      <w:r>
        <w:rPr/>
        <w:pict>
          <v:rect style="position:absolute;margin-left:440.519989pt;margin-top:-21.748514pt;width:5.4pt;height:5.52pt;mso-position-horizontal-relative:page;mso-position-vertical-relative:paragraph;z-index:1888" filled="true" fillcolor="#4f81bc" stroked="false">
            <v:fill type="solid"/>
            <w10:wrap type="none"/>
          </v:rect>
        </w:pict>
      </w:r>
      <w:r>
        <w:rPr/>
        <w:pict>
          <v:rect style="position:absolute;margin-left:440.519989pt;margin-top:3.931486pt;width:5.4pt;height:5.4pt;mso-position-horizontal-relative:page;mso-position-vertical-relative:paragraph;z-index:1912" filled="true" fillcolor="#c0504d" stroked="false">
            <v:fill type="solid"/>
            <w10:wrap type="none"/>
          </v:rect>
        </w:pict>
      </w:r>
      <w:r>
        <w:rPr>
          <w:rFonts w:ascii="Calibri"/>
          <w:sz w:val="20"/>
        </w:rPr>
        <w:t>1995</w:t>
      </w:r>
    </w:p>
    <w:p>
      <w:pPr>
        <w:pStyle w:val="BodyText"/>
        <w:spacing w:before="12"/>
        <w:rPr>
          <w:rFonts w:ascii="Calibri"/>
          <w:sz w:val="21"/>
        </w:rPr>
      </w:pPr>
    </w:p>
    <w:p>
      <w:pPr>
        <w:spacing w:before="0"/>
        <w:ind w:left="1051" w:right="1264" w:firstLine="0"/>
        <w:jc w:val="center"/>
        <w:rPr>
          <w:rFonts w:ascii="Calibri"/>
          <w:sz w:val="20"/>
        </w:rPr>
      </w:pPr>
      <w:r>
        <w:rPr/>
        <w:pict>
          <v:rect style="position:absolute;margin-left:440.519989pt;margin-top:3.861481pt;width:5.4pt;height:5.52pt;mso-position-horizontal-relative:page;mso-position-vertical-relative:paragraph;z-index:1936" filled="true" fillcolor="#9bba58" stroked="false">
            <v:fill type="solid"/>
            <w10:wrap type="none"/>
          </v:rect>
        </w:pict>
      </w:r>
      <w:r>
        <w:rPr>
          <w:rFonts w:ascii="Calibri"/>
          <w:sz w:val="20"/>
        </w:rPr>
        <w:t>2000</w:t>
      </w:r>
    </w:p>
    <w:p>
      <w:pPr>
        <w:pStyle w:val="BodyText"/>
        <w:spacing w:before="11"/>
        <w:rPr>
          <w:rFonts w:ascii="Calibri"/>
          <w:sz w:val="21"/>
        </w:rPr>
      </w:pPr>
    </w:p>
    <w:p>
      <w:pPr>
        <w:spacing w:before="0"/>
        <w:ind w:left="1051" w:right="1264" w:firstLine="0"/>
        <w:jc w:val="center"/>
        <w:rPr>
          <w:rFonts w:ascii="Calibri"/>
          <w:sz w:val="20"/>
        </w:rPr>
      </w:pPr>
      <w:r>
        <w:rPr/>
        <w:pict>
          <v:rect style="position:absolute;margin-left:440.519989pt;margin-top:3.93148pt;width:5.4pt;height:5.4pt;mso-position-horizontal-relative:page;mso-position-vertical-relative:paragraph;z-index:1960" filled="true" fillcolor="#8063a1" stroked="false">
            <v:fill type="solid"/>
            <w10:wrap type="none"/>
          </v:rect>
        </w:pict>
      </w:r>
      <w:r>
        <w:rPr>
          <w:rFonts w:ascii="Calibri"/>
          <w:sz w:val="20"/>
        </w:rPr>
        <w:t>2005</w:t>
      </w:r>
    </w:p>
    <w:p>
      <w:pPr>
        <w:pStyle w:val="BodyText"/>
        <w:spacing w:before="11"/>
        <w:rPr>
          <w:rFonts w:ascii="Calibri"/>
          <w:sz w:val="21"/>
        </w:rPr>
      </w:pPr>
    </w:p>
    <w:p>
      <w:pPr>
        <w:spacing w:before="0"/>
        <w:ind w:left="1051" w:right="1264" w:firstLine="0"/>
        <w:jc w:val="center"/>
        <w:rPr>
          <w:rFonts w:ascii="Calibri"/>
          <w:sz w:val="20"/>
        </w:rPr>
      </w:pPr>
      <w:r>
        <w:rPr/>
        <w:pict>
          <v:rect style="position:absolute;margin-left:440.519989pt;margin-top:3.88148pt;width:5.4pt;height:5.52pt;mso-position-horizontal-relative:page;mso-position-vertical-relative:paragraph;z-index:1984" filled="true" fillcolor="#4aacc5" stroked="false">
            <v:fill type="solid"/>
            <w10:wrap type="none"/>
          </v:rect>
        </w:pict>
      </w:r>
      <w:r>
        <w:rPr>
          <w:rFonts w:ascii="Calibri"/>
          <w:sz w:val="20"/>
        </w:rPr>
        <w:t>2010</w:t>
      </w:r>
    </w:p>
    <w:p>
      <w:pPr>
        <w:spacing w:after="0"/>
        <w:jc w:val="center"/>
        <w:rPr>
          <w:rFonts w:ascii="Calibri"/>
          <w:sz w:val="20"/>
        </w:rPr>
        <w:sectPr>
          <w:type w:val="continuous"/>
          <w:pgSz w:w="12240" w:h="15840"/>
          <w:pgMar w:top="1500" w:bottom="280" w:left="1600" w:right="1580"/>
          <w:cols w:num="2" w:equalWidth="0">
            <w:col w:w="1640" w:space="4658"/>
            <w:col w:w="2762"/>
          </w:cols>
        </w:sectPr>
      </w:pPr>
    </w:p>
    <w:p>
      <w:pPr>
        <w:pStyle w:val="BodyText"/>
        <w:spacing w:before="11"/>
        <w:rPr>
          <w:rFonts w:ascii="Calibri"/>
          <w:sz w:val="10"/>
        </w:rPr>
      </w:pPr>
    </w:p>
    <w:p>
      <w:pPr>
        <w:spacing w:before="68"/>
        <w:ind w:left="1151" w:right="296" w:firstLine="0"/>
        <w:jc w:val="left"/>
        <w:rPr>
          <w:rFonts w:ascii="Calibri"/>
          <w:sz w:val="16"/>
        </w:rPr>
      </w:pPr>
      <w:r>
        <w:rPr>
          <w:rFonts w:ascii="Calibri"/>
          <w:sz w:val="16"/>
        </w:rPr>
        <w:t>400000</w:t>
      </w:r>
    </w:p>
    <w:p>
      <w:pPr>
        <w:pStyle w:val="BodyText"/>
        <w:spacing w:before="11"/>
        <w:rPr>
          <w:rFonts w:ascii="Calibri"/>
          <w:sz w:val="10"/>
        </w:rPr>
      </w:pPr>
    </w:p>
    <w:p>
      <w:pPr>
        <w:spacing w:before="69"/>
        <w:ind w:left="1151" w:right="296" w:firstLine="0"/>
        <w:jc w:val="left"/>
        <w:rPr>
          <w:rFonts w:ascii="Calibri"/>
          <w:sz w:val="16"/>
        </w:rPr>
      </w:pPr>
      <w:r>
        <w:rPr>
          <w:rFonts w:ascii="Calibri"/>
          <w:sz w:val="16"/>
        </w:rPr>
        <w:t>200000</w:t>
      </w:r>
    </w:p>
    <w:p>
      <w:pPr>
        <w:pStyle w:val="BodyText"/>
        <w:spacing w:before="11"/>
        <w:rPr>
          <w:rFonts w:ascii="Calibri"/>
          <w:sz w:val="10"/>
        </w:rPr>
      </w:pPr>
    </w:p>
    <w:p>
      <w:pPr>
        <w:spacing w:after="0"/>
        <w:rPr>
          <w:rFonts w:ascii="Calibri"/>
          <w:sz w:val="10"/>
        </w:rPr>
        <w:sectPr>
          <w:type w:val="continuous"/>
          <w:pgSz w:w="12240" w:h="15840"/>
          <w:pgMar w:top="1500" w:bottom="280" w:left="1600" w:right="1580"/>
        </w:sectPr>
      </w:pPr>
    </w:p>
    <w:p>
      <w:pPr>
        <w:spacing w:before="68"/>
        <w:ind w:left="0" w:right="354" w:firstLine="0"/>
        <w:jc w:val="center"/>
        <w:rPr>
          <w:rFonts w:ascii="Calibri"/>
          <w:sz w:val="16"/>
        </w:rPr>
      </w:pPr>
      <w:r>
        <w:rPr>
          <w:rFonts w:ascii="Calibri"/>
          <w:w w:val="100"/>
          <w:sz w:val="16"/>
        </w:rPr>
        <w:t>0</w:t>
      </w:r>
    </w:p>
    <w:p>
      <w:pPr>
        <w:spacing w:before="38"/>
        <w:ind w:left="2282" w:right="-14" w:hanging="490"/>
        <w:jc w:val="left"/>
        <w:rPr>
          <w:rFonts w:ascii="Calibri" w:hAnsi="Calibri"/>
          <w:sz w:val="20"/>
        </w:rPr>
      </w:pPr>
      <w:r>
        <w:rPr>
          <w:rFonts w:ascii="Calibri" w:hAnsi="Calibri"/>
          <w:sz w:val="20"/>
        </w:rPr>
        <w:t>Área urbana</w:t>
      </w:r>
      <w:r>
        <w:rPr>
          <w:rFonts w:ascii="Calibri" w:hAnsi="Calibri"/>
          <w:spacing w:val="-8"/>
          <w:sz w:val="20"/>
        </w:rPr>
        <w:t> </w:t>
      </w:r>
      <w:r>
        <w:rPr>
          <w:rFonts w:ascii="Calibri" w:hAnsi="Calibri"/>
          <w:sz w:val="20"/>
        </w:rPr>
        <w:t>continua de</w:t>
      </w:r>
      <w:r>
        <w:rPr>
          <w:rFonts w:ascii="Calibri" w:hAnsi="Calibri"/>
          <w:spacing w:val="-3"/>
          <w:sz w:val="20"/>
        </w:rPr>
        <w:t> </w:t>
      </w:r>
      <w:r>
        <w:rPr>
          <w:rFonts w:ascii="Calibri" w:hAnsi="Calibri"/>
          <w:sz w:val="20"/>
        </w:rPr>
        <w:t>Toluca</w:t>
      </w:r>
    </w:p>
    <w:p>
      <w:pPr>
        <w:pStyle w:val="BodyText"/>
        <w:spacing w:before="9"/>
        <w:rPr>
          <w:rFonts w:ascii="Calibri"/>
        </w:rPr>
      </w:pPr>
      <w:r>
        <w:rPr/>
        <w:br w:type="column"/>
      </w:r>
      <w:r>
        <w:rPr>
          <w:rFonts w:ascii="Calibri"/>
        </w:rPr>
      </w:r>
    </w:p>
    <w:p>
      <w:pPr>
        <w:spacing w:before="0"/>
        <w:ind w:left="-14" w:right="0" w:firstLine="348"/>
        <w:jc w:val="left"/>
        <w:rPr>
          <w:rFonts w:ascii="Calibri" w:hAnsi="Calibri"/>
          <w:sz w:val="20"/>
        </w:rPr>
      </w:pPr>
      <w:r>
        <w:rPr>
          <w:rFonts w:ascii="Calibri" w:hAnsi="Calibri"/>
          <w:sz w:val="20"/>
        </w:rPr>
        <w:t>Interrelación funcional intermedia</w:t>
      </w:r>
    </w:p>
    <w:p>
      <w:pPr>
        <w:pStyle w:val="BodyText"/>
        <w:spacing w:before="9"/>
        <w:rPr>
          <w:rFonts w:ascii="Calibri"/>
        </w:rPr>
      </w:pPr>
      <w:r>
        <w:rPr/>
        <w:br w:type="column"/>
      </w:r>
      <w:r>
        <w:rPr>
          <w:rFonts w:ascii="Calibri"/>
        </w:rPr>
      </w:r>
    </w:p>
    <w:p>
      <w:pPr>
        <w:spacing w:before="0"/>
        <w:ind w:left="169" w:right="2139" w:hanging="32"/>
        <w:jc w:val="left"/>
        <w:rPr>
          <w:rFonts w:ascii="Calibri" w:hAnsi="Calibri"/>
          <w:sz w:val="20"/>
        </w:rPr>
      </w:pPr>
      <w:r>
        <w:rPr>
          <w:rFonts w:ascii="Calibri" w:hAnsi="Calibri"/>
          <w:sz w:val="20"/>
        </w:rPr>
        <w:t>Relación externa, resto municipios</w:t>
      </w:r>
    </w:p>
    <w:p>
      <w:pPr>
        <w:spacing w:after="0"/>
        <w:jc w:val="left"/>
        <w:rPr>
          <w:rFonts w:ascii="Calibri" w:hAnsi="Calibri"/>
          <w:sz w:val="20"/>
        </w:rPr>
        <w:sectPr>
          <w:type w:val="continuous"/>
          <w:pgSz w:w="12240" w:h="15840"/>
          <w:pgMar w:top="1500" w:bottom="280" w:left="1600" w:right="1580"/>
          <w:cols w:num="3" w:equalWidth="0">
            <w:col w:w="3552" w:space="40"/>
            <w:col w:w="1722" w:space="40"/>
            <w:col w:w="3706"/>
          </w:cols>
        </w:sectPr>
      </w:pPr>
    </w:p>
    <w:p>
      <w:pPr>
        <w:pStyle w:val="BodyText"/>
        <w:rPr>
          <w:rFonts w:ascii="Calibri"/>
          <w:sz w:val="20"/>
        </w:rPr>
      </w:pPr>
    </w:p>
    <w:p>
      <w:pPr>
        <w:pStyle w:val="BodyText"/>
        <w:spacing w:before="6"/>
        <w:rPr>
          <w:rFonts w:ascii="Calibri"/>
          <w:sz w:val="16"/>
        </w:rPr>
      </w:pPr>
    </w:p>
    <w:p>
      <w:pPr>
        <w:spacing w:before="74"/>
        <w:ind w:left="970" w:right="296" w:hanging="620"/>
        <w:jc w:val="left"/>
        <w:rPr>
          <w:sz w:val="20"/>
        </w:rPr>
      </w:pPr>
      <w:r>
        <w:rPr>
          <w:sz w:val="20"/>
        </w:rPr>
        <w:t>Fuente: Elaboración propia con información del Censo General de Población y Vivienda 1990, 2000 y 2010, Conteo de Población y Vivienda 1995 y 2005 e ITER 1990 y 1995.</w:t>
      </w:r>
    </w:p>
    <w:p>
      <w:pPr>
        <w:spacing w:after="0"/>
        <w:jc w:val="left"/>
        <w:rPr>
          <w:sz w:val="20"/>
        </w:rPr>
        <w:sectPr>
          <w:type w:val="continuous"/>
          <w:pgSz w:w="12240" w:h="15840"/>
          <w:pgMar w:top="1500" w:bottom="280" w:left="1600" w:right="1580"/>
        </w:sectPr>
      </w:pPr>
    </w:p>
    <w:p>
      <w:pPr>
        <w:spacing w:before="53" w:after="4"/>
        <w:ind w:left="112" w:right="146" w:firstLine="0"/>
        <w:jc w:val="center"/>
        <w:rPr>
          <w:sz w:val="20"/>
        </w:rPr>
      </w:pPr>
      <w:r>
        <w:rPr>
          <w:sz w:val="20"/>
        </w:rPr>
        <w:t>Gráfica No.2. ZMT. Crecimiento de población total y  vivienda 1990-2000 y   2000- 2010</w:t>
      </w:r>
    </w:p>
    <w:p>
      <w:pPr>
        <w:pStyle w:val="BodyText"/>
        <w:ind w:left="605"/>
        <w:rPr>
          <w:sz w:val="20"/>
        </w:rPr>
      </w:pPr>
      <w:r>
        <w:rPr>
          <w:sz w:val="20"/>
        </w:rPr>
        <w:drawing>
          <wp:inline distT="0" distB="0" distL="0" distR="0">
            <wp:extent cx="4940617" cy="2117407"/>
            <wp:effectExtent l="0" t="0" r="0" b="0"/>
            <wp:docPr id="17" name="image14.png" descr=""/>
            <wp:cNvGraphicFramePr>
              <a:graphicFrameLocks noChangeAspect="1"/>
            </wp:cNvGraphicFramePr>
            <a:graphic>
              <a:graphicData uri="http://schemas.openxmlformats.org/drawingml/2006/picture">
                <pic:pic>
                  <pic:nvPicPr>
                    <pic:cNvPr id="18" name="image14.png"/>
                    <pic:cNvPicPr/>
                  </pic:nvPicPr>
                  <pic:blipFill>
                    <a:blip r:embed="rId33" cstate="print"/>
                    <a:stretch>
                      <a:fillRect/>
                    </a:stretch>
                  </pic:blipFill>
                  <pic:spPr>
                    <a:xfrm>
                      <a:off x="0" y="0"/>
                      <a:ext cx="4940617" cy="2117407"/>
                    </a:xfrm>
                    <a:prstGeom prst="rect">
                      <a:avLst/>
                    </a:prstGeom>
                  </pic:spPr>
                </pic:pic>
              </a:graphicData>
            </a:graphic>
          </wp:inline>
        </w:drawing>
      </w:r>
      <w:r>
        <w:rPr>
          <w:sz w:val="20"/>
        </w:rPr>
      </w:r>
    </w:p>
    <w:p>
      <w:pPr>
        <w:spacing w:before="20"/>
        <w:ind w:left="130" w:right="146" w:firstLine="0"/>
        <w:jc w:val="center"/>
        <w:rPr>
          <w:sz w:val="20"/>
        </w:rPr>
      </w:pPr>
      <w:r>
        <w:rPr>
          <w:b/>
          <w:sz w:val="20"/>
        </w:rPr>
        <w:t>Fuente: </w:t>
      </w:r>
      <w:r>
        <w:rPr>
          <w:sz w:val="20"/>
        </w:rPr>
        <w:t>Elaboración propia.</w:t>
      </w:r>
    </w:p>
    <w:p>
      <w:pPr>
        <w:pStyle w:val="BodyText"/>
        <w:spacing w:before="8"/>
      </w:pPr>
    </w:p>
    <w:p>
      <w:pPr>
        <w:pStyle w:val="BodyText"/>
        <w:spacing w:line="360" w:lineRule="auto"/>
        <w:ind w:left="102" w:right="117"/>
        <w:jc w:val="both"/>
        <w:rPr>
          <w:sz w:val="20"/>
        </w:rPr>
      </w:pPr>
      <w:r>
        <w:rPr/>
        <w:t>Hay que destacar el proceso de suburbanización dentro de los 9 municipios del área urbana, en ella existen diferencias de poblamiento y magnitud, dado que las tasas de crecimiento más altas, entre 1990-2000, corresponden a los municipios menos poblados; el municipio de Calimaya, el segundo más pequeño, reporta una tasa de 3.52%, en el ámbito intermedio, Chapultepec con tasa de 4.03% y, en el ámbito externo, Atizapán reporta una tasa de 4.35%. (Ver anexo cuadros A 4.3 y A 4.4). Por lo tanto en la última década del siglo XX, según el patrón de distribución de la población total, predomina el área urbana continua (AUC), enseguida el tercer ámbito y después en el ámbito intermedio, es decir la dinámica de crecimiento está tanto en el área central como en la externa. Con esta variable, se confirma el proceso de suburbanización (ver anexo Cuadro A 4.3  y</w:t>
      </w:r>
      <w:r>
        <w:rPr>
          <w:spacing w:val="-21"/>
        </w:rPr>
        <w:t> </w:t>
      </w:r>
      <w:r>
        <w:rPr/>
        <w:t>4.</w:t>
      </w:r>
      <w:r>
        <w:rPr>
          <w:sz w:val="20"/>
        </w:rPr>
        <w:t>4).</w:t>
      </w:r>
    </w:p>
    <w:p>
      <w:pPr>
        <w:spacing w:after="0" w:line="360" w:lineRule="auto"/>
        <w:jc w:val="both"/>
        <w:rPr>
          <w:sz w:val="20"/>
        </w:rPr>
        <w:sectPr>
          <w:pgSz w:w="12240" w:h="15840"/>
          <w:pgMar w:header="0" w:footer="659" w:top="1360" w:bottom="840" w:left="1600" w:right="1580"/>
        </w:sectPr>
      </w:pPr>
    </w:p>
    <w:p>
      <w:pPr>
        <w:spacing w:before="53" w:after="4"/>
        <w:ind w:left="1678" w:right="1241" w:firstLine="0"/>
        <w:jc w:val="left"/>
        <w:rPr>
          <w:sz w:val="20"/>
        </w:rPr>
      </w:pPr>
      <w:r>
        <w:rPr>
          <w:sz w:val="20"/>
        </w:rPr>
        <w:t>Mapa No. 2. ZMT. Población total por municipio,   1990</w:t>
      </w:r>
    </w:p>
    <w:p>
      <w:pPr>
        <w:pStyle w:val="BodyText"/>
        <w:ind w:left="1123"/>
        <w:rPr>
          <w:sz w:val="20"/>
        </w:rPr>
      </w:pPr>
      <w:r>
        <w:rPr>
          <w:sz w:val="20"/>
        </w:rPr>
        <w:drawing>
          <wp:inline distT="0" distB="0" distL="0" distR="0">
            <wp:extent cx="4273509" cy="3302508"/>
            <wp:effectExtent l="0" t="0" r="0" b="0"/>
            <wp:docPr id="19" name="image15.jpeg" descr=""/>
            <wp:cNvGraphicFramePr>
              <a:graphicFrameLocks noChangeAspect="1"/>
            </wp:cNvGraphicFramePr>
            <a:graphic>
              <a:graphicData uri="http://schemas.openxmlformats.org/drawingml/2006/picture">
                <pic:pic>
                  <pic:nvPicPr>
                    <pic:cNvPr id="20" name="image15.jpeg"/>
                    <pic:cNvPicPr/>
                  </pic:nvPicPr>
                  <pic:blipFill>
                    <a:blip r:embed="rId34" cstate="print"/>
                    <a:stretch>
                      <a:fillRect/>
                    </a:stretch>
                  </pic:blipFill>
                  <pic:spPr>
                    <a:xfrm>
                      <a:off x="0" y="0"/>
                      <a:ext cx="4273509" cy="3302508"/>
                    </a:xfrm>
                    <a:prstGeom prst="rect">
                      <a:avLst/>
                    </a:prstGeom>
                  </pic:spPr>
                </pic:pic>
              </a:graphicData>
            </a:graphic>
          </wp:inline>
        </w:drawing>
      </w:r>
      <w:r>
        <w:rPr>
          <w:sz w:val="20"/>
        </w:rPr>
      </w:r>
    </w:p>
    <w:p>
      <w:pPr>
        <w:pStyle w:val="BodyText"/>
        <w:spacing w:before="3"/>
        <w:rPr>
          <w:sz w:val="16"/>
        </w:rPr>
      </w:pPr>
    </w:p>
    <w:p>
      <w:pPr>
        <w:spacing w:before="0" w:after="2"/>
        <w:ind w:left="1678" w:right="1241" w:firstLine="0"/>
        <w:jc w:val="left"/>
        <w:rPr>
          <w:sz w:val="20"/>
        </w:rPr>
      </w:pPr>
      <w:r>
        <w:rPr>
          <w:sz w:val="20"/>
        </w:rPr>
        <w:t>Mapa No. 3. ZMT. Población total por municipio,   1995</w:t>
      </w:r>
    </w:p>
    <w:p>
      <w:pPr>
        <w:pStyle w:val="BodyText"/>
        <w:ind w:left="1156"/>
        <w:rPr>
          <w:sz w:val="20"/>
        </w:rPr>
      </w:pPr>
      <w:r>
        <w:rPr>
          <w:sz w:val="20"/>
        </w:rPr>
        <w:drawing>
          <wp:inline distT="0" distB="0" distL="0" distR="0">
            <wp:extent cx="4139406" cy="3198780"/>
            <wp:effectExtent l="0" t="0" r="0" b="0"/>
            <wp:docPr id="21" name="image16.jpeg" descr=""/>
            <wp:cNvGraphicFramePr>
              <a:graphicFrameLocks noChangeAspect="1"/>
            </wp:cNvGraphicFramePr>
            <a:graphic>
              <a:graphicData uri="http://schemas.openxmlformats.org/drawingml/2006/picture">
                <pic:pic>
                  <pic:nvPicPr>
                    <pic:cNvPr id="22" name="image16.jpeg"/>
                    <pic:cNvPicPr/>
                  </pic:nvPicPr>
                  <pic:blipFill>
                    <a:blip r:embed="rId35" cstate="print"/>
                    <a:stretch>
                      <a:fillRect/>
                    </a:stretch>
                  </pic:blipFill>
                  <pic:spPr>
                    <a:xfrm>
                      <a:off x="0" y="0"/>
                      <a:ext cx="4139406" cy="3198780"/>
                    </a:xfrm>
                    <a:prstGeom prst="rect">
                      <a:avLst/>
                    </a:prstGeom>
                  </pic:spPr>
                </pic:pic>
              </a:graphicData>
            </a:graphic>
          </wp:inline>
        </w:drawing>
      </w:r>
      <w:r>
        <w:rPr>
          <w:sz w:val="20"/>
        </w:rPr>
      </w:r>
    </w:p>
    <w:p>
      <w:pPr>
        <w:spacing w:after="0"/>
        <w:rPr>
          <w:sz w:val="20"/>
        </w:rPr>
        <w:sectPr>
          <w:pgSz w:w="12240" w:h="15840"/>
          <w:pgMar w:header="0" w:footer="659" w:top="1360" w:bottom="840" w:left="1660" w:right="1660"/>
        </w:sectPr>
      </w:pPr>
    </w:p>
    <w:p>
      <w:pPr>
        <w:spacing w:before="52"/>
        <w:ind w:left="124" w:right="146" w:firstLine="0"/>
        <w:jc w:val="center"/>
        <w:rPr>
          <w:i/>
          <w:sz w:val="24"/>
        </w:rPr>
      </w:pPr>
      <w:r>
        <w:rPr>
          <w:i/>
          <w:sz w:val="24"/>
        </w:rPr>
        <w:t>Distribución de población según tamaño de localidades</w:t>
      </w:r>
    </w:p>
    <w:p>
      <w:pPr>
        <w:pStyle w:val="BodyText"/>
        <w:rPr>
          <w:i/>
        </w:rPr>
      </w:pPr>
    </w:p>
    <w:p>
      <w:pPr>
        <w:pStyle w:val="BodyText"/>
        <w:spacing w:line="360" w:lineRule="auto" w:before="146"/>
        <w:ind w:left="102" w:right="116"/>
        <w:jc w:val="both"/>
      </w:pPr>
      <w:r>
        <w:rPr/>
        <w:t>Los asentamientos en la ZMT según tamaño de localidades permite conocer el patrón de ocupación del territorio: las localidades menores de 2,500 habitantes, localidades entre 2,500 y 14,999 habitantes o centros de población, las localidades consideradas ciudades pequeñas de 15,000 a 99,999 y, las ciudades medias con 100,000 a 999,999 habitantes. (Ver anexos Cuadro A.4.2 y 4.5). De acuerdo con el tamaño de localidades se observa al mismo tiempo concentración y dispersión en cada ámbito de funcionamiento. (Ver gráfica 3).</w:t>
      </w:r>
    </w:p>
    <w:p>
      <w:pPr>
        <w:pStyle w:val="BodyText"/>
        <w:spacing w:before="9"/>
      </w:pPr>
    </w:p>
    <w:p>
      <w:pPr>
        <w:spacing w:before="0"/>
        <w:ind w:left="121" w:right="146" w:firstLine="0"/>
        <w:jc w:val="center"/>
        <w:rPr>
          <w:sz w:val="20"/>
        </w:rPr>
      </w:pPr>
      <w:r>
        <w:rPr>
          <w:sz w:val="20"/>
        </w:rPr>
        <w:t>Gráfica No. 3. ZMT. Distribución de la población por tamaño de localidad</w:t>
      </w:r>
    </w:p>
    <w:p>
      <w:pPr>
        <w:pStyle w:val="BodyText"/>
        <w:spacing w:before="2"/>
        <w:rPr>
          <w:sz w:val="25"/>
        </w:rPr>
      </w:pPr>
    </w:p>
    <w:p>
      <w:pPr>
        <w:spacing w:before="68"/>
        <w:ind w:left="5862" w:right="296" w:firstLine="0"/>
        <w:jc w:val="left"/>
        <w:rPr>
          <w:rFonts w:ascii="Calibri"/>
          <w:sz w:val="16"/>
        </w:rPr>
      </w:pPr>
      <w:r>
        <w:rPr>
          <w:rFonts w:ascii="Calibri"/>
          <w:sz w:val="16"/>
        </w:rPr>
        <w:t>77.43</w:t>
      </w:r>
    </w:p>
    <w:p>
      <w:pPr>
        <w:pStyle w:val="BodyText"/>
        <w:spacing w:before="9"/>
        <w:rPr>
          <w:rFonts w:ascii="Calibri"/>
          <w:sz w:val="11"/>
        </w:rPr>
      </w:pPr>
    </w:p>
    <w:p>
      <w:pPr>
        <w:spacing w:after="0"/>
        <w:rPr>
          <w:rFonts w:ascii="Calibri"/>
          <w:sz w:val="11"/>
        </w:rPr>
        <w:sectPr>
          <w:pgSz w:w="12240" w:h="15840"/>
          <w:pgMar w:header="0" w:footer="659" w:top="1360" w:bottom="840" w:left="1600" w:right="1580"/>
        </w:sectPr>
      </w:pPr>
    </w:p>
    <w:p>
      <w:pPr>
        <w:pStyle w:val="BodyText"/>
        <w:rPr>
          <w:rFonts w:ascii="Calibri"/>
          <w:sz w:val="16"/>
        </w:rPr>
      </w:pPr>
    </w:p>
    <w:p>
      <w:pPr>
        <w:pStyle w:val="BodyText"/>
        <w:rPr>
          <w:rFonts w:ascii="Calibri"/>
          <w:sz w:val="16"/>
        </w:rPr>
      </w:pPr>
    </w:p>
    <w:p>
      <w:pPr>
        <w:pStyle w:val="BodyText"/>
        <w:rPr>
          <w:rFonts w:ascii="Calibri"/>
          <w:sz w:val="16"/>
        </w:rPr>
      </w:pPr>
    </w:p>
    <w:p>
      <w:pPr>
        <w:pStyle w:val="BodyText"/>
        <w:rPr>
          <w:rFonts w:ascii="Calibri"/>
          <w:sz w:val="16"/>
        </w:rPr>
      </w:pPr>
    </w:p>
    <w:p>
      <w:pPr>
        <w:pStyle w:val="BodyText"/>
        <w:rPr>
          <w:rFonts w:ascii="Calibri"/>
          <w:sz w:val="16"/>
        </w:rPr>
      </w:pPr>
    </w:p>
    <w:p>
      <w:pPr>
        <w:pStyle w:val="BodyText"/>
        <w:rPr>
          <w:rFonts w:ascii="Calibri"/>
          <w:sz w:val="16"/>
        </w:rPr>
      </w:pPr>
    </w:p>
    <w:p>
      <w:pPr>
        <w:pStyle w:val="BodyText"/>
        <w:rPr>
          <w:rFonts w:ascii="Calibri"/>
          <w:sz w:val="16"/>
        </w:rPr>
      </w:pPr>
    </w:p>
    <w:p>
      <w:pPr>
        <w:pStyle w:val="BodyText"/>
        <w:rPr>
          <w:rFonts w:ascii="Calibri"/>
          <w:sz w:val="16"/>
        </w:rPr>
      </w:pPr>
    </w:p>
    <w:p>
      <w:pPr>
        <w:pStyle w:val="BodyText"/>
        <w:spacing w:before="4"/>
        <w:rPr>
          <w:rFonts w:ascii="Calibri"/>
          <w:sz w:val="19"/>
        </w:rPr>
      </w:pPr>
    </w:p>
    <w:p>
      <w:pPr>
        <w:spacing w:line="176" w:lineRule="exact" w:before="0"/>
        <w:ind w:left="0" w:right="0" w:firstLine="0"/>
        <w:jc w:val="right"/>
        <w:rPr>
          <w:rFonts w:ascii="Calibri"/>
          <w:sz w:val="16"/>
        </w:rPr>
      </w:pPr>
      <w:r>
        <w:rPr>
          <w:rFonts w:ascii="Calibri"/>
          <w:sz w:val="16"/>
        </w:rPr>
        <w:t>25.11</w:t>
      </w:r>
    </w:p>
    <w:p>
      <w:pPr>
        <w:spacing w:line="176" w:lineRule="exact" w:before="0"/>
        <w:ind w:left="994" w:right="0" w:firstLine="0"/>
        <w:jc w:val="left"/>
        <w:rPr>
          <w:rFonts w:ascii="Calibri"/>
          <w:sz w:val="16"/>
        </w:rPr>
      </w:pPr>
      <w:r>
        <w:rPr>
          <w:rFonts w:ascii="Calibri"/>
          <w:sz w:val="16"/>
        </w:rPr>
        <w:t>21.25</w:t>
      </w:r>
    </w:p>
    <w:p>
      <w:pPr>
        <w:pStyle w:val="BodyText"/>
        <w:rPr>
          <w:rFonts w:ascii="Calibri"/>
          <w:sz w:val="16"/>
        </w:rPr>
      </w:pPr>
      <w:r>
        <w:rPr/>
        <w:br w:type="column"/>
      </w:r>
      <w:r>
        <w:rPr>
          <w:rFonts w:ascii="Calibri"/>
          <w:sz w:val="16"/>
        </w:rPr>
      </w:r>
    </w:p>
    <w:p>
      <w:pPr>
        <w:pStyle w:val="BodyText"/>
        <w:rPr>
          <w:rFonts w:ascii="Calibri"/>
          <w:sz w:val="16"/>
        </w:rPr>
      </w:pPr>
    </w:p>
    <w:p>
      <w:pPr>
        <w:pStyle w:val="BodyText"/>
        <w:rPr>
          <w:rFonts w:ascii="Calibri"/>
          <w:sz w:val="16"/>
        </w:rPr>
      </w:pPr>
    </w:p>
    <w:p>
      <w:pPr>
        <w:pStyle w:val="BodyText"/>
        <w:rPr>
          <w:rFonts w:ascii="Calibri"/>
          <w:sz w:val="16"/>
        </w:rPr>
      </w:pPr>
    </w:p>
    <w:p>
      <w:pPr>
        <w:pStyle w:val="BodyText"/>
        <w:spacing w:before="2"/>
        <w:rPr>
          <w:rFonts w:ascii="Calibri"/>
          <w:sz w:val="15"/>
        </w:rPr>
      </w:pPr>
    </w:p>
    <w:p>
      <w:pPr>
        <w:spacing w:before="0"/>
        <w:ind w:left="477" w:right="-17" w:firstLine="0"/>
        <w:jc w:val="left"/>
        <w:rPr>
          <w:rFonts w:ascii="Calibri"/>
          <w:sz w:val="16"/>
        </w:rPr>
      </w:pPr>
      <w:r>
        <w:rPr>
          <w:rFonts w:ascii="Calibri"/>
          <w:sz w:val="16"/>
        </w:rPr>
        <w:t>45.47</w:t>
      </w:r>
    </w:p>
    <w:p>
      <w:pPr>
        <w:pStyle w:val="BodyText"/>
        <w:rPr>
          <w:rFonts w:ascii="Calibri"/>
          <w:sz w:val="16"/>
        </w:rPr>
      </w:pPr>
      <w:r>
        <w:rPr/>
        <w:br w:type="column"/>
      </w:r>
      <w:r>
        <w:rPr>
          <w:rFonts w:ascii="Calibri"/>
          <w:sz w:val="16"/>
        </w:rPr>
      </w:r>
    </w:p>
    <w:p>
      <w:pPr>
        <w:pStyle w:val="BodyText"/>
        <w:rPr>
          <w:rFonts w:ascii="Calibri"/>
          <w:sz w:val="16"/>
        </w:rPr>
      </w:pPr>
    </w:p>
    <w:p>
      <w:pPr>
        <w:pStyle w:val="BodyText"/>
        <w:rPr>
          <w:rFonts w:ascii="Calibri"/>
          <w:sz w:val="16"/>
        </w:rPr>
      </w:pPr>
    </w:p>
    <w:p>
      <w:pPr>
        <w:pStyle w:val="BodyText"/>
        <w:rPr>
          <w:rFonts w:ascii="Calibri"/>
          <w:sz w:val="16"/>
        </w:rPr>
      </w:pPr>
    </w:p>
    <w:p>
      <w:pPr>
        <w:pStyle w:val="BodyText"/>
        <w:rPr>
          <w:rFonts w:ascii="Calibri"/>
          <w:sz w:val="16"/>
        </w:rPr>
      </w:pPr>
    </w:p>
    <w:p>
      <w:pPr>
        <w:pStyle w:val="BodyText"/>
        <w:rPr>
          <w:rFonts w:ascii="Calibri"/>
          <w:sz w:val="16"/>
        </w:rPr>
      </w:pPr>
    </w:p>
    <w:p>
      <w:pPr>
        <w:pStyle w:val="BodyText"/>
        <w:spacing w:before="7"/>
        <w:rPr>
          <w:rFonts w:ascii="Calibri"/>
          <w:sz w:val="12"/>
        </w:rPr>
      </w:pPr>
    </w:p>
    <w:p>
      <w:pPr>
        <w:spacing w:before="0"/>
        <w:ind w:left="478" w:right="-17" w:firstLine="0"/>
        <w:jc w:val="left"/>
        <w:rPr>
          <w:rFonts w:ascii="Calibri"/>
          <w:sz w:val="16"/>
        </w:rPr>
      </w:pPr>
      <w:r>
        <w:rPr>
          <w:rFonts w:ascii="Calibri"/>
          <w:sz w:val="16"/>
        </w:rPr>
        <w:t>36.69</w:t>
      </w:r>
    </w:p>
    <w:p>
      <w:pPr>
        <w:pStyle w:val="BodyText"/>
        <w:rPr>
          <w:rFonts w:ascii="Calibri"/>
          <w:sz w:val="16"/>
        </w:rPr>
      </w:pPr>
      <w:r>
        <w:rPr/>
        <w:br w:type="column"/>
      </w:r>
      <w:r>
        <w:rPr>
          <w:rFonts w:ascii="Calibri"/>
          <w:sz w:val="16"/>
        </w:rPr>
      </w:r>
    </w:p>
    <w:p>
      <w:pPr>
        <w:pStyle w:val="BodyText"/>
        <w:rPr>
          <w:rFonts w:ascii="Calibri"/>
          <w:sz w:val="16"/>
        </w:rPr>
      </w:pPr>
    </w:p>
    <w:p>
      <w:pPr>
        <w:pStyle w:val="BodyText"/>
        <w:rPr>
          <w:rFonts w:ascii="Calibri"/>
          <w:sz w:val="16"/>
        </w:rPr>
      </w:pPr>
    </w:p>
    <w:p>
      <w:pPr>
        <w:pStyle w:val="BodyText"/>
        <w:spacing w:before="7"/>
        <w:rPr>
          <w:rFonts w:ascii="Calibri"/>
          <w:sz w:val="15"/>
        </w:rPr>
      </w:pPr>
    </w:p>
    <w:p>
      <w:pPr>
        <w:spacing w:before="0"/>
        <w:ind w:left="35" w:right="-17" w:firstLine="0"/>
        <w:jc w:val="left"/>
        <w:rPr>
          <w:rFonts w:ascii="Calibri"/>
          <w:sz w:val="16"/>
        </w:rPr>
      </w:pPr>
      <w:r>
        <w:rPr>
          <w:rFonts w:ascii="Calibri"/>
          <w:sz w:val="16"/>
        </w:rPr>
        <w:t>50.14</w:t>
      </w:r>
    </w:p>
    <w:p>
      <w:pPr>
        <w:pStyle w:val="BodyText"/>
        <w:rPr>
          <w:rFonts w:ascii="Calibri"/>
          <w:sz w:val="16"/>
        </w:rPr>
      </w:pPr>
      <w:r>
        <w:rPr/>
        <w:br w:type="column"/>
      </w:r>
      <w:r>
        <w:rPr>
          <w:rFonts w:ascii="Calibri"/>
          <w:sz w:val="16"/>
        </w:rPr>
      </w:r>
    </w:p>
    <w:p>
      <w:pPr>
        <w:pStyle w:val="BodyText"/>
        <w:rPr>
          <w:rFonts w:ascii="Calibri"/>
          <w:sz w:val="16"/>
        </w:rPr>
      </w:pPr>
    </w:p>
    <w:p>
      <w:pPr>
        <w:pStyle w:val="BodyText"/>
        <w:rPr>
          <w:rFonts w:ascii="Calibri"/>
          <w:sz w:val="16"/>
        </w:rPr>
      </w:pPr>
    </w:p>
    <w:p>
      <w:pPr>
        <w:pStyle w:val="BodyText"/>
        <w:rPr>
          <w:rFonts w:ascii="Calibri"/>
          <w:sz w:val="16"/>
        </w:rPr>
      </w:pPr>
    </w:p>
    <w:p>
      <w:pPr>
        <w:pStyle w:val="BodyText"/>
        <w:rPr>
          <w:rFonts w:ascii="Calibri"/>
          <w:sz w:val="16"/>
        </w:rPr>
      </w:pPr>
    </w:p>
    <w:p>
      <w:pPr>
        <w:pStyle w:val="BodyText"/>
        <w:rPr>
          <w:rFonts w:ascii="Calibri"/>
          <w:sz w:val="16"/>
        </w:rPr>
      </w:pPr>
    </w:p>
    <w:p>
      <w:pPr>
        <w:pStyle w:val="BodyText"/>
        <w:rPr>
          <w:rFonts w:ascii="Calibri"/>
          <w:sz w:val="16"/>
        </w:rPr>
      </w:pPr>
    </w:p>
    <w:p>
      <w:pPr>
        <w:pStyle w:val="BodyText"/>
        <w:rPr>
          <w:rFonts w:ascii="Calibri"/>
          <w:sz w:val="16"/>
        </w:rPr>
      </w:pPr>
    </w:p>
    <w:p>
      <w:pPr>
        <w:pStyle w:val="BodyText"/>
        <w:rPr>
          <w:rFonts w:ascii="Calibri"/>
          <w:sz w:val="16"/>
        </w:rPr>
      </w:pPr>
    </w:p>
    <w:p>
      <w:pPr>
        <w:pStyle w:val="BodyText"/>
        <w:spacing w:before="10"/>
        <w:rPr>
          <w:rFonts w:ascii="Calibri"/>
          <w:sz w:val="11"/>
        </w:rPr>
      </w:pPr>
    </w:p>
    <w:p>
      <w:pPr>
        <w:spacing w:before="1"/>
        <w:ind w:left="0" w:right="0" w:firstLine="0"/>
        <w:jc w:val="right"/>
        <w:rPr>
          <w:rFonts w:ascii="Calibri"/>
          <w:sz w:val="16"/>
        </w:rPr>
      </w:pPr>
      <w:r>
        <w:rPr>
          <w:rFonts w:ascii="Calibri"/>
          <w:sz w:val="16"/>
        </w:rPr>
        <w:t>22.57</w:t>
      </w:r>
    </w:p>
    <w:p>
      <w:pPr>
        <w:spacing w:before="64"/>
        <w:ind w:left="994" w:right="518" w:firstLine="0"/>
        <w:jc w:val="left"/>
        <w:rPr>
          <w:rFonts w:ascii="Calibri"/>
          <w:sz w:val="18"/>
        </w:rPr>
      </w:pPr>
      <w:r>
        <w:rPr/>
        <w:br w:type="column"/>
      </w:r>
      <w:r>
        <w:rPr>
          <w:rFonts w:ascii="Calibri"/>
          <w:sz w:val="18"/>
        </w:rPr>
        <w:t>Localidades rurales(1 a 2 499 hab.)</w:t>
      </w:r>
    </w:p>
    <w:p>
      <w:pPr>
        <w:spacing w:before="158"/>
        <w:ind w:left="994" w:right="451" w:firstLine="0"/>
        <w:jc w:val="left"/>
        <w:rPr>
          <w:rFonts w:ascii="Calibri" w:hAnsi="Calibri"/>
          <w:sz w:val="18"/>
        </w:rPr>
      </w:pPr>
      <w:r>
        <w:rPr/>
        <w:pict>
          <v:group style="position:absolute;margin-left:116.385002pt;margin-top:-27.930666pt;width:332.55pt;height:158.550pt;mso-position-horizontal-relative:page;mso-position-vertical-relative:paragraph;z-index:-300736" coordorigin="2328,-559" coordsize="6651,3171">
            <v:shape style="position:absolute;left:2602;top:1105;width:4779;height:1500" coordorigin="2602,1105" coordsize="4779,1500" path="m2954,1736l2602,1736,2602,2605,2954,2605,2954,1736m5167,1105l4814,1105,4814,2605,5167,2605,5167,1105m7380,1683l7025,1683,7025,2605,7380,2605,7380,1683e" filled="true" fillcolor="#4f81bc" stroked="false">
              <v:path arrowok="t"/>
              <v:fill type="solid"/>
            </v:shape>
            <v:shape style="position:absolute;left:3043;top:-559;width:4779;height:3164" coordorigin="3043,-559" coordsize="4779,3164" path="m3398,1580l3043,1580,3043,2605,3398,2605,3398,1580m5609,557l5256,557,5256,2605,5609,2605,5609,557m7822,-559l7469,-559,7469,2605,7822,2605,7822,-559e" filled="true" fillcolor="#c0504d" stroked="false">
              <v:path arrowok="t"/>
              <v:fill type="solid"/>
            </v:shape>
            <v:shape style="position:absolute;left:3487;top:2067;width:2566;height:538" coordorigin="3487,2067" coordsize="2566,538" path="m3840,2271l3487,2271,3487,2605,3840,2605,3840,2271m6053,2067l5698,2067,5698,2605,6053,2605,6053,2067e" filled="true" fillcolor="#9bba58" stroked="false">
              <v:path arrowok="t"/>
              <v:fill type="solid"/>
            </v:shape>
            <v:rect style="position:absolute;left:3929;top:747;width:353;height:1858" filled="true" fillcolor="#8063a1" stroked="false">
              <v:fill type="solid"/>
            </v:rect>
            <v:line style="position:absolute" from="2335,2605" to="8971,2605" stroked="true" strokeweight=".72pt" strokecolor="#858585"/>
            <v:line style="position:absolute" from="8356,-371" to="8356,-273" stroked="true" strokeweight="4.92pt" strokecolor="#4f81bc"/>
            <v:line style="position:absolute" from="8356,226" to="8356,327" stroked="true" strokeweight="4.92pt" strokecolor="#c0504d"/>
            <v:line style="position:absolute" from="8356,826" to="8356,925" stroked="true" strokeweight="4.92pt" strokecolor="#9bba58"/>
            <v:line style="position:absolute" from="8356,1424" to="8356,1522" stroked="true" strokeweight="4.92pt" strokecolor="#8063a1"/>
            <v:shape style="position:absolute;left:3521;top:2018;width:286;height:161" type="#_x0000_t202" filled="false" stroked="false">
              <v:textbox inset="0,0,0,0">
                <w:txbxContent>
                  <w:p>
                    <w:pPr>
                      <w:spacing w:line="161" w:lineRule="exact" w:before="0"/>
                      <w:ind w:left="0" w:right="-18" w:firstLine="0"/>
                      <w:jc w:val="left"/>
                      <w:rPr>
                        <w:rFonts w:ascii="Calibri"/>
                        <w:sz w:val="16"/>
                      </w:rPr>
                    </w:pPr>
                    <w:r>
                      <w:rPr>
                        <w:rFonts w:ascii="Calibri"/>
                        <w:sz w:val="16"/>
                      </w:rPr>
                      <w:t>8.18</w:t>
                    </w:r>
                  </w:p>
                </w:txbxContent>
              </v:textbox>
              <w10:wrap type="none"/>
            </v:shape>
            <v:shape style="position:absolute;left:5212;top:1709;width:2213;height:358" type="#_x0000_t202" filled="false" stroked="false">
              <v:textbox inset="0,0,0,0">
                <w:txbxContent>
                  <w:p>
                    <w:pPr>
                      <w:spacing w:before="73"/>
                      <w:ind w:left="480" w:right="0" w:firstLine="0"/>
                      <w:jc w:val="left"/>
                      <w:rPr>
                        <w:rFonts w:ascii="Calibri"/>
                        <w:sz w:val="16"/>
                      </w:rPr>
                    </w:pPr>
                    <w:r>
                      <w:rPr>
                        <w:rFonts w:ascii="Calibri"/>
                        <w:sz w:val="16"/>
                      </w:rPr>
                      <w:t>13.17</w:t>
                    </w:r>
                  </w:p>
                </w:txbxContent>
              </v:textbox>
              <w10:wrap type="none"/>
            </v:shape>
            <w10:wrap type="none"/>
          </v:group>
        </w:pict>
      </w:r>
      <w:r>
        <w:rPr>
          <w:rFonts w:ascii="Calibri" w:hAnsi="Calibri"/>
          <w:sz w:val="18"/>
        </w:rPr>
        <w:t>Centros de población (2 500 a  14 999 hab.)</w:t>
      </w:r>
    </w:p>
    <w:p>
      <w:pPr>
        <w:spacing w:before="158"/>
        <w:ind w:left="994" w:right="305" w:firstLine="0"/>
        <w:jc w:val="left"/>
        <w:rPr>
          <w:rFonts w:ascii="Calibri" w:hAnsi="Calibri"/>
          <w:sz w:val="18"/>
        </w:rPr>
      </w:pPr>
      <w:r>
        <w:rPr>
          <w:rFonts w:ascii="Calibri" w:hAnsi="Calibri"/>
          <w:sz w:val="18"/>
        </w:rPr>
        <w:t>Ciudades pequeñas (15</w:t>
      </w:r>
    </w:p>
    <w:p>
      <w:pPr>
        <w:spacing w:before="1"/>
        <w:ind w:left="994" w:right="305" w:firstLine="0"/>
        <w:jc w:val="left"/>
        <w:rPr>
          <w:rFonts w:ascii="Calibri"/>
          <w:sz w:val="18"/>
        </w:rPr>
      </w:pPr>
      <w:r>
        <w:rPr>
          <w:rFonts w:ascii="Calibri"/>
          <w:sz w:val="18"/>
        </w:rPr>
        <w:t>000 a 99 999 hab.)</w:t>
      </w:r>
    </w:p>
    <w:p>
      <w:pPr>
        <w:spacing w:before="158"/>
        <w:ind w:left="994" w:right="305" w:firstLine="0"/>
        <w:jc w:val="left"/>
        <w:rPr>
          <w:rFonts w:ascii="Calibri"/>
          <w:sz w:val="18"/>
        </w:rPr>
      </w:pPr>
      <w:r>
        <w:rPr>
          <w:rFonts w:ascii="Calibri"/>
          <w:sz w:val="18"/>
        </w:rPr>
        <w:t>Ciudades medias (100</w:t>
      </w:r>
    </w:p>
    <w:p>
      <w:pPr>
        <w:spacing w:before="1"/>
        <w:ind w:left="994" w:right="305" w:firstLine="0"/>
        <w:jc w:val="left"/>
        <w:rPr>
          <w:rFonts w:ascii="Calibri"/>
          <w:sz w:val="18"/>
        </w:rPr>
      </w:pPr>
      <w:r>
        <w:rPr>
          <w:rFonts w:ascii="Calibri"/>
          <w:sz w:val="18"/>
        </w:rPr>
        <w:t>000 a 999 999 hab.)</w:t>
      </w:r>
    </w:p>
    <w:p>
      <w:pPr>
        <w:spacing w:after="0"/>
        <w:jc w:val="left"/>
        <w:rPr>
          <w:rFonts w:ascii="Calibri"/>
          <w:sz w:val="18"/>
        </w:rPr>
        <w:sectPr>
          <w:type w:val="continuous"/>
          <w:pgSz w:w="12240" w:h="15840"/>
          <w:pgMar w:top="1500" w:bottom="280" w:left="1600" w:right="1580"/>
          <w:cols w:num="6" w:equalWidth="0">
            <w:col w:w="1805" w:space="40"/>
            <w:col w:w="845" w:space="40"/>
            <w:col w:w="846" w:space="40"/>
            <w:col w:w="403" w:space="408"/>
            <w:col w:w="1362" w:space="67"/>
            <w:col w:w="3204"/>
          </w:cols>
        </w:sectPr>
      </w:pPr>
    </w:p>
    <w:p>
      <w:pPr>
        <w:pStyle w:val="BodyText"/>
        <w:rPr>
          <w:rFonts w:ascii="Calibri"/>
          <w:sz w:val="20"/>
        </w:rPr>
      </w:pPr>
    </w:p>
    <w:p>
      <w:pPr>
        <w:pStyle w:val="BodyText"/>
        <w:rPr>
          <w:rFonts w:ascii="Calibri"/>
          <w:sz w:val="20"/>
        </w:rPr>
      </w:pPr>
    </w:p>
    <w:p>
      <w:pPr>
        <w:pStyle w:val="BodyText"/>
        <w:rPr>
          <w:rFonts w:ascii="Calibri"/>
          <w:sz w:val="20"/>
        </w:rPr>
      </w:pPr>
    </w:p>
    <w:p>
      <w:pPr>
        <w:spacing w:after="0"/>
        <w:rPr>
          <w:rFonts w:ascii="Calibri"/>
          <w:sz w:val="20"/>
        </w:rPr>
        <w:sectPr>
          <w:type w:val="continuous"/>
          <w:pgSz w:w="12240" w:h="15840"/>
          <w:pgMar w:top="1500" w:bottom="280" w:left="1600" w:right="1580"/>
        </w:sectPr>
      </w:pPr>
    </w:p>
    <w:p>
      <w:pPr>
        <w:pStyle w:val="BodyText"/>
        <w:spacing w:before="9"/>
        <w:rPr>
          <w:rFonts w:ascii="Calibri"/>
          <w:sz w:val="16"/>
        </w:rPr>
      </w:pPr>
    </w:p>
    <w:p>
      <w:pPr>
        <w:spacing w:before="0"/>
        <w:ind w:left="1576" w:right="-12" w:hanging="740"/>
        <w:jc w:val="left"/>
        <w:rPr>
          <w:rFonts w:ascii="Calibri" w:hAnsi="Calibri"/>
          <w:sz w:val="20"/>
        </w:rPr>
      </w:pPr>
      <w:r>
        <w:rPr>
          <w:rFonts w:ascii="Calibri" w:hAnsi="Calibri"/>
          <w:sz w:val="20"/>
        </w:rPr>
        <w:t>Área urbana continua</w:t>
      </w:r>
      <w:r>
        <w:rPr>
          <w:rFonts w:ascii="Calibri" w:hAnsi="Calibri"/>
          <w:spacing w:val="-9"/>
          <w:sz w:val="20"/>
        </w:rPr>
        <w:t> </w:t>
      </w:r>
      <w:r>
        <w:rPr>
          <w:rFonts w:ascii="Calibri" w:hAnsi="Calibri"/>
          <w:sz w:val="20"/>
        </w:rPr>
        <w:t>de Toluca</w:t>
      </w:r>
    </w:p>
    <w:p>
      <w:pPr>
        <w:pStyle w:val="BodyText"/>
        <w:spacing w:before="9"/>
        <w:rPr>
          <w:rFonts w:ascii="Calibri"/>
          <w:sz w:val="16"/>
        </w:rPr>
      </w:pPr>
      <w:r>
        <w:rPr/>
        <w:br w:type="column"/>
      </w:r>
      <w:r>
        <w:rPr>
          <w:rFonts w:ascii="Calibri"/>
          <w:sz w:val="16"/>
        </w:rPr>
      </w:r>
    </w:p>
    <w:p>
      <w:pPr>
        <w:spacing w:before="0"/>
        <w:ind w:left="722" w:right="-20" w:hanging="476"/>
        <w:jc w:val="left"/>
        <w:rPr>
          <w:rFonts w:ascii="Calibri" w:hAnsi="Calibri"/>
          <w:sz w:val="20"/>
        </w:rPr>
      </w:pPr>
      <w:r>
        <w:rPr>
          <w:rFonts w:ascii="Calibri" w:hAnsi="Calibri"/>
          <w:sz w:val="20"/>
        </w:rPr>
        <w:t>Interrelación funcional intermedia</w:t>
      </w:r>
    </w:p>
    <w:p>
      <w:pPr>
        <w:pStyle w:val="BodyText"/>
        <w:spacing w:before="9"/>
        <w:rPr>
          <w:rFonts w:ascii="Calibri"/>
          <w:sz w:val="16"/>
        </w:rPr>
      </w:pPr>
      <w:r>
        <w:rPr/>
        <w:br w:type="column"/>
      </w:r>
      <w:r>
        <w:rPr>
          <w:rFonts w:ascii="Calibri"/>
          <w:sz w:val="16"/>
        </w:rPr>
      </w:r>
    </w:p>
    <w:p>
      <w:pPr>
        <w:spacing w:before="0"/>
        <w:ind w:left="789" w:right="1858" w:hanging="498"/>
        <w:jc w:val="left"/>
        <w:rPr>
          <w:rFonts w:ascii="Calibri" w:hAnsi="Calibri"/>
          <w:sz w:val="20"/>
        </w:rPr>
      </w:pPr>
      <w:r>
        <w:rPr>
          <w:rFonts w:ascii="Calibri" w:hAnsi="Calibri"/>
          <w:sz w:val="20"/>
        </w:rPr>
        <w:t>Relación externa, resto municipios</w:t>
      </w:r>
    </w:p>
    <w:p>
      <w:pPr>
        <w:spacing w:after="0"/>
        <w:jc w:val="left"/>
        <w:rPr>
          <w:rFonts w:ascii="Calibri" w:hAnsi="Calibri"/>
          <w:sz w:val="20"/>
        </w:rPr>
        <w:sectPr>
          <w:type w:val="continuous"/>
          <w:pgSz w:w="12240" w:h="15840"/>
          <w:pgMar w:top="1500" w:bottom="280" w:left="1600" w:right="1580"/>
          <w:cols w:num="3" w:equalWidth="0">
            <w:col w:w="2847" w:space="40"/>
            <w:col w:w="2089" w:space="40"/>
            <w:col w:w="4044"/>
          </w:cols>
        </w:sectPr>
      </w:pPr>
    </w:p>
    <w:p>
      <w:pPr>
        <w:pStyle w:val="BodyText"/>
        <w:spacing w:before="7"/>
        <w:rPr>
          <w:rFonts w:ascii="Calibri"/>
          <w:sz w:val="14"/>
        </w:rPr>
      </w:pPr>
    </w:p>
    <w:p>
      <w:pPr>
        <w:spacing w:before="74"/>
        <w:ind w:left="129" w:right="146" w:firstLine="0"/>
        <w:jc w:val="center"/>
        <w:rPr>
          <w:sz w:val="20"/>
        </w:rPr>
      </w:pPr>
      <w:r>
        <w:rPr>
          <w:sz w:val="20"/>
        </w:rPr>
        <w:t>Fuente</w:t>
      </w:r>
      <w:r>
        <w:rPr>
          <w:b/>
          <w:sz w:val="20"/>
        </w:rPr>
        <w:t>: </w:t>
      </w:r>
      <w:r>
        <w:rPr>
          <w:sz w:val="20"/>
        </w:rPr>
        <w:t>Elaboración propia.</w:t>
      </w:r>
    </w:p>
    <w:p>
      <w:pPr>
        <w:pStyle w:val="BodyText"/>
        <w:rPr>
          <w:sz w:val="20"/>
        </w:rPr>
      </w:pPr>
    </w:p>
    <w:p>
      <w:pPr>
        <w:pStyle w:val="BodyText"/>
        <w:spacing w:before="169"/>
        <w:ind w:left="102"/>
        <w:jc w:val="both"/>
      </w:pPr>
      <w:r>
        <w:rPr/>
        <w:t>El área urbana continua, en 1990, registra asentamientos de los cuatro grupos, </w:t>
      </w:r>
      <w:r>
        <w:rPr>
          <w:spacing w:val="63"/>
        </w:rPr>
        <w:t> </w:t>
      </w:r>
      <w:r>
        <w:rPr/>
        <w:t>el</w:t>
      </w:r>
    </w:p>
    <w:p>
      <w:pPr>
        <w:pStyle w:val="BodyText"/>
        <w:spacing w:line="360" w:lineRule="auto" w:before="137"/>
        <w:ind w:left="102" w:right="120"/>
        <w:jc w:val="both"/>
      </w:pPr>
      <w:r>
        <w:rPr/>
        <w:t>91.82 % de los habitantes se distribuyen en tres grupos; en el primer lugar con 444,068 habitantes, en asentamientos de 100,000 a 999,999, los 2 municipios más poblados, Toluca y Metepec; le siguen los centros de población donde viven 245,184, el tercer grupo representa las localidades rurales que suman 207,516 habitantes. El patrón de asentamientos en este ámbito, indica el doble proceso, concentración y dispersión. En el ámbito de interrelación funcional intermedia, la población se distribuye en localidades de los primeros tres grupos; ocupa el primer lugar</w:t>
      </w:r>
      <w:r>
        <w:rPr>
          <w:spacing w:val="50"/>
        </w:rPr>
        <w:t> </w:t>
      </w:r>
      <w:r>
        <w:rPr/>
        <w:t>los</w:t>
      </w:r>
      <w:r>
        <w:rPr>
          <w:spacing w:val="51"/>
        </w:rPr>
        <w:t> </w:t>
      </w:r>
      <w:r>
        <w:rPr/>
        <w:t>asentamientos</w:t>
      </w:r>
      <w:r>
        <w:rPr>
          <w:spacing w:val="51"/>
        </w:rPr>
        <w:t> </w:t>
      </w:r>
      <w:r>
        <w:rPr/>
        <w:t>de</w:t>
      </w:r>
      <w:r>
        <w:rPr>
          <w:spacing w:val="52"/>
        </w:rPr>
        <w:t> </w:t>
      </w:r>
      <w:r>
        <w:rPr/>
        <w:t>2,500 a</w:t>
      </w:r>
      <w:r>
        <w:rPr>
          <w:spacing w:val="52"/>
        </w:rPr>
        <w:t> </w:t>
      </w:r>
      <w:r>
        <w:rPr/>
        <w:t>14,999</w:t>
      </w:r>
      <w:r>
        <w:rPr>
          <w:spacing w:val="52"/>
        </w:rPr>
        <w:t> </w:t>
      </w:r>
      <w:r>
        <w:rPr/>
        <w:t>que</w:t>
      </w:r>
      <w:r>
        <w:rPr>
          <w:spacing w:val="52"/>
        </w:rPr>
        <w:t> </w:t>
      </w:r>
      <w:r>
        <w:rPr/>
        <w:t>registra</w:t>
      </w:r>
      <w:r>
        <w:rPr>
          <w:spacing w:val="51"/>
        </w:rPr>
        <w:t> </w:t>
      </w:r>
      <w:r>
        <w:rPr/>
        <w:t>67,119 habitantes, en</w:t>
      </w:r>
    </w:p>
    <w:p>
      <w:pPr>
        <w:spacing w:after="0" w:line="360" w:lineRule="auto"/>
        <w:jc w:val="both"/>
        <w:sectPr>
          <w:type w:val="continuous"/>
          <w:pgSz w:w="12240" w:h="15840"/>
          <w:pgMar w:top="1500" w:bottom="280" w:left="1600" w:right="1580"/>
        </w:sectPr>
      </w:pPr>
    </w:p>
    <w:p>
      <w:pPr>
        <w:pStyle w:val="BodyText"/>
        <w:spacing w:line="360" w:lineRule="auto" w:before="54"/>
        <w:ind w:left="102" w:right="116"/>
        <w:jc w:val="both"/>
      </w:pPr>
      <w:r>
        <w:rPr/>
        <w:t>segundo lugar, las localidades menores de 2,500 habitantes donde viven 49,119 habitantes y el resto en localidades llamadas ciudades pequeñas, por tanto este ámbito presenta dispersión con alta proporción de asentamientos rurales, siendo Ocoyoacac el único municipio con ciudad pequeña. El tercer ámbito </w:t>
      </w:r>
      <w:r>
        <w:rPr>
          <w:spacing w:val="5"/>
        </w:rPr>
        <w:t>de </w:t>
      </w:r>
      <w:r>
        <w:rPr/>
        <w:t>relación externa, presenta sólo 2 tamaños de asentamientos, los centros de población, con 107,461 habitantes y las localidades rurales, en el grupo sólo los municipios de Texcalyacac y Almoloya del Río no presentan localidades rurales, es un ámbito con rasgos y patrones rurales (ver gráfica</w:t>
      </w:r>
      <w:r>
        <w:rPr>
          <w:spacing w:val="-11"/>
        </w:rPr>
        <w:t> </w:t>
      </w:r>
      <w:r>
        <w:rPr/>
        <w:t>3).</w:t>
      </w:r>
    </w:p>
    <w:p>
      <w:pPr>
        <w:pStyle w:val="BodyText"/>
        <w:spacing w:before="8"/>
      </w:pPr>
    </w:p>
    <w:p>
      <w:pPr>
        <w:pStyle w:val="BodyText"/>
        <w:spacing w:line="360" w:lineRule="auto"/>
        <w:ind w:left="102" w:right="115"/>
        <w:jc w:val="both"/>
      </w:pPr>
      <w:r>
        <w:rPr/>
        <w:t>Con la distribución de los asentamientos se observa un modelo de urbanización por dispersión en los tres ámbitos, solo el área urbana continua tiene mayor concentración relativa al presentar localidades calificadas de ciudades medias y ciudades pequeñas que juntas suman el 53%, en el caso de la interrelación funcional el patrón de asentamientos es dominantemente disperso con más de 86% de localidades inferiores a quince mil habitantes presentando un grado de dispersión alta. La parte externa, tiene un patrón disperso, casi el 100% se encuentran en localidades rurales y los centros de población.</w:t>
      </w:r>
    </w:p>
    <w:p>
      <w:pPr>
        <w:pStyle w:val="BodyText"/>
        <w:spacing w:before="8"/>
      </w:pPr>
    </w:p>
    <w:p>
      <w:pPr>
        <w:spacing w:before="0"/>
        <w:ind w:left="102" w:right="0" w:firstLine="0"/>
        <w:jc w:val="both"/>
        <w:rPr>
          <w:i/>
          <w:sz w:val="24"/>
        </w:rPr>
      </w:pPr>
      <w:r>
        <w:rPr>
          <w:i/>
          <w:sz w:val="24"/>
        </w:rPr>
        <w:t>Distribución de la vivienda</w:t>
      </w:r>
    </w:p>
    <w:p>
      <w:pPr>
        <w:pStyle w:val="BodyText"/>
        <w:rPr>
          <w:i/>
        </w:rPr>
      </w:pPr>
    </w:p>
    <w:p>
      <w:pPr>
        <w:pStyle w:val="BodyText"/>
        <w:spacing w:line="360" w:lineRule="auto" w:before="144"/>
        <w:ind w:left="102" w:right="116"/>
        <w:jc w:val="both"/>
      </w:pPr>
      <w:r>
        <w:rPr/>
        <w:t>El indicador vivienda, sirve para conocer la dinámica espacial del tejido construido en municipios centrales y externos. El área urbana continua presenta la mayor concentración del total de viviendas, en 1990 existían 181,884 viviendas y aumentan otras 51,119 viviendas en 1995, con fuertes contrastes entre municipios del grupo. El municipio de Mexicaltzingo en 5 años aumenta 380 nuevas  viviendas, en contraparte en el de Metepec aumenta 22,639 nuevas viviendas, este municipio tiene una tasa de crecimiento de vivienda de 4.68% superior al ritmo de su población total, el municipio de Chapultepec registra una cifra inferior de viviendas en contraparte el de Temoaya mayor cantidad de viviendas. (Ver gráfica 4 y anexos cuadro A. 4.6 y</w:t>
      </w:r>
      <w:r>
        <w:rPr>
          <w:spacing w:val="-10"/>
        </w:rPr>
        <w:t> </w:t>
      </w:r>
      <w:r>
        <w:rPr/>
        <w:t>A.4.7).</w:t>
      </w:r>
    </w:p>
    <w:p>
      <w:pPr>
        <w:pStyle w:val="BodyText"/>
        <w:spacing w:before="7"/>
      </w:pPr>
    </w:p>
    <w:p>
      <w:pPr>
        <w:pStyle w:val="BodyText"/>
        <w:spacing w:line="360" w:lineRule="auto"/>
        <w:ind w:left="102" w:right="123"/>
        <w:jc w:val="both"/>
      </w:pPr>
      <w:r>
        <w:rPr/>
        <w:t>Se posicionan en segundo lugar en importancia de viviendas, los municipios de la relación externa, en 1990 con 24,830 viviendas y en 1995 aumenta en 7,223  </w:t>
      </w:r>
      <w:r>
        <w:rPr>
          <w:spacing w:val="61"/>
        </w:rPr>
        <w:t> </w:t>
      </w:r>
      <w:r>
        <w:rPr/>
        <w:t>con</w:t>
      </w:r>
    </w:p>
    <w:p>
      <w:pPr>
        <w:spacing w:after="0" w:line="360" w:lineRule="auto"/>
        <w:jc w:val="both"/>
        <w:sectPr>
          <w:pgSz w:w="12240" w:h="15840"/>
          <w:pgMar w:header="0" w:footer="659" w:top="1360" w:bottom="840" w:left="1600" w:right="1580"/>
        </w:sectPr>
      </w:pPr>
    </w:p>
    <w:p>
      <w:pPr>
        <w:pStyle w:val="BodyText"/>
        <w:spacing w:line="360" w:lineRule="auto" w:before="54"/>
        <w:ind w:left="102" w:right="116"/>
        <w:jc w:val="both"/>
      </w:pPr>
      <w:r>
        <w:rPr/>
        <w:t>una tasa de crecimiento de 4.48%. Tal comportamiento se explica por tres municipios, de 1,401 viviendas en Capulhuac, 2,204 en Tenango del Valle y de 1,909 en Tianguistenco, los restantes cuatro municipios tienen aumentos inferiores a mil viviendas, el municipio de Texcalyacac es el de menor tasa de incremento de viviendas, en cambio en Atizapán es alta, de 5.64%. El ámbito de interrelación funcional intermedia, se ubica en tercer lugar de número de viviendas, en 1990 contabilizaban 22,475 viviendas, cinco años después otras 29,496 viviendas, esto significa una tasa de crecimiento de 4.61%. En los tres ámbitos la tasa de incremento de viviendas es muy alta (ver gráfica 4).</w:t>
      </w:r>
    </w:p>
    <w:p>
      <w:pPr>
        <w:pStyle w:val="BodyText"/>
        <w:spacing w:before="8"/>
      </w:pPr>
    </w:p>
    <w:p>
      <w:pPr>
        <w:pStyle w:val="BodyText"/>
        <w:spacing w:line="360" w:lineRule="auto"/>
        <w:ind w:left="102" w:right="117"/>
        <w:jc w:val="both"/>
      </w:pPr>
      <w:r>
        <w:rPr/>
        <w:t>La vivienda tiene un ritmo de crecimiento más acelerado que el de la población, es un factor sustancial que determina hacia dónde se expande la ciudad y la velocidad en que lo hace, el patrón de localización de las altas tasas indica la disponibilidad de suelo y es lo que marca la pauta de la dispersión de la construcción de</w:t>
      </w:r>
      <w:r>
        <w:rPr>
          <w:spacing w:val="-7"/>
        </w:rPr>
        <w:t> </w:t>
      </w:r>
      <w:r>
        <w:rPr/>
        <w:t>viviendas.</w:t>
      </w:r>
    </w:p>
    <w:p>
      <w:pPr>
        <w:pStyle w:val="BodyText"/>
        <w:spacing w:before="9"/>
      </w:pPr>
    </w:p>
    <w:p>
      <w:pPr>
        <w:spacing w:before="0"/>
        <w:ind w:left="1095" w:right="296" w:firstLine="0"/>
        <w:jc w:val="left"/>
        <w:rPr>
          <w:sz w:val="20"/>
        </w:rPr>
      </w:pPr>
      <w:r>
        <w:rPr>
          <w:sz w:val="20"/>
        </w:rPr>
        <w:t>Gráfica No. 4. ZMT. Distribución del total de viviendas por ámbito, 1990-2010</w:t>
      </w:r>
    </w:p>
    <w:p>
      <w:pPr>
        <w:pStyle w:val="BodyText"/>
        <w:spacing w:before="6"/>
        <w:rPr>
          <w:sz w:val="12"/>
        </w:rPr>
      </w:pPr>
    </w:p>
    <w:p>
      <w:pPr>
        <w:tabs>
          <w:tab w:pos="4080" w:val="left" w:leader="none"/>
          <w:tab w:pos="4802" w:val="left" w:leader="none"/>
          <w:tab w:pos="5523" w:val="left" w:leader="none"/>
          <w:tab w:pos="6244" w:val="left" w:leader="none"/>
        </w:tabs>
        <w:spacing w:before="68"/>
        <w:ind w:left="3359" w:right="296" w:firstLine="0"/>
        <w:jc w:val="left"/>
        <w:rPr>
          <w:rFonts w:ascii="Calibri"/>
          <w:sz w:val="16"/>
        </w:rPr>
      </w:pPr>
      <w:r>
        <w:rPr/>
        <w:pict>
          <v:line style="position:absolute;mso-position-horizontal-relative:page;mso-position-vertical-relative:paragraph;z-index:2296" from="241.679993pt,8.67718pt" to="246.119993pt,8.67718pt" stroked="true" strokeweight="4.440pt" strokecolor="#4f81bc">
            <w10:wrap type="none"/>
          </v:line>
        </w:pict>
      </w:r>
      <w:r>
        <w:rPr/>
        <w:pict>
          <v:line style="position:absolute;mso-position-horizontal-relative:page;mso-position-vertical-relative:paragraph;z-index:-300472" from="277.799988pt,8.67718pt" to="282.119988pt,8.67718pt" stroked="true" strokeweight="4.440pt" strokecolor="#c0504d">
            <w10:wrap type="none"/>
          </v:line>
        </w:pict>
      </w:r>
      <w:r>
        <w:rPr/>
        <w:pict>
          <v:line style="position:absolute;mso-position-horizontal-relative:page;mso-position-vertical-relative:paragraph;z-index:-300448" from="313.799988pt,8.67718pt" to="318.239988pt,8.67718pt" stroked="true" strokeweight="4.440pt" strokecolor="#9bba58">
            <w10:wrap type="none"/>
          </v:line>
        </w:pict>
      </w:r>
      <w:r>
        <w:rPr/>
        <w:pict>
          <v:line style="position:absolute;mso-position-horizontal-relative:page;mso-position-vertical-relative:paragraph;z-index:-300424" from="349.920013pt,8.67718pt" to="354.240013pt,8.67718pt" stroked="true" strokeweight="4.440pt" strokecolor="#8063a1">
            <w10:wrap type="none"/>
          </v:line>
        </w:pict>
      </w:r>
      <w:r>
        <w:rPr/>
        <w:pict>
          <v:line style="position:absolute;mso-position-horizontal-relative:page;mso-position-vertical-relative:paragraph;z-index:-300400" from="385.920013pt,8.67718pt" to="390.360013pt,8.67718pt" stroked="true" strokeweight="4.440pt" strokecolor="#4aacc5">
            <w10:wrap type="none"/>
          </v:line>
        </w:pict>
      </w:r>
      <w:r>
        <w:rPr>
          <w:rFonts w:ascii="Calibri"/>
          <w:sz w:val="16"/>
        </w:rPr>
        <w:t>1990</w:t>
        <w:tab/>
        <w:t>1995</w:t>
        <w:tab/>
        <w:t>2000</w:t>
        <w:tab/>
        <w:t>2005</w:t>
        <w:tab/>
        <w:t>2010</w:t>
      </w:r>
    </w:p>
    <w:p>
      <w:pPr>
        <w:pStyle w:val="BodyText"/>
        <w:spacing w:before="4"/>
        <w:rPr>
          <w:rFonts w:ascii="Calibri"/>
        </w:rPr>
      </w:pPr>
    </w:p>
    <w:p>
      <w:pPr>
        <w:spacing w:before="71"/>
        <w:ind w:left="2438" w:right="296" w:firstLine="0"/>
        <w:jc w:val="left"/>
        <w:rPr>
          <w:rFonts w:ascii="Calibri"/>
          <w:sz w:val="14"/>
        </w:rPr>
      </w:pPr>
      <w:r>
        <w:rPr/>
        <w:pict>
          <v:group style="position:absolute;margin-left:105.464996pt;margin-top:16.455042pt;width:399.3pt;height:168.75pt;mso-position-horizontal-relative:page;mso-position-vertical-relative:paragraph;z-index:2272;mso-wrap-distance-left:0;mso-wrap-distance-right:0" coordorigin="2109,329" coordsize="7986,3375">
            <v:rect style="position:absolute;left:2424;top:2141;width:408;height:1500" filled="true" fillcolor="#4f81bc" stroked="false">
              <v:fill type="solid"/>
            </v:rect>
            <v:rect style="position:absolute;left:2832;top:1719;width:410;height:1922" filled="true" fillcolor="#c0504d" stroked="false">
              <v:fill type="solid"/>
            </v:rect>
            <v:rect style="position:absolute;left:3242;top:1272;width:408;height:2369" filled="true" fillcolor="#9bba58" stroked="false">
              <v:fill type="solid"/>
            </v:rect>
            <v:rect style="position:absolute;left:3650;top:848;width:408;height:2794" filled="true" fillcolor="#8063a1" stroked="false">
              <v:fill type="solid"/>
            </v:rect>
            <v:rect style="position:absolute;left:4058;top:329;width:410;height:3312" filled="true" fillcolor="#4aacc5" stroked="false">
              <v:fill type="solid"/>
            </v:rect>
            <v:rect style="position:absolute;left:5081;top:3454;width:408;height:187" filled="true" fillcolor="#4f81bc" stroked="false">
              <v:fill type="solid"/>
            </v:rect>
            <v:rect style="position:absolute;left:5489;top:3396;width:410;height:245" filled="true" fillcolor="#c0504d" stroked="false">
              <v:fill type="solid"/>
            </v:rect>
            <v:rect style="position:absolute;left:5899;top:3351;width:408;height:290" filled="true" fillcolor="#9bba58" stroked="false">
              <v:fill type="solid"/>
            </v:rect>
            <v:rect style="position:absolute;left:6307;top:3303;width:408;height:338" filled="true" fillcolor="#8063a1" stroked="false">
              <v:fill type="solid"/>
            </v:rect>
            <v:rect style="position:absolute;left:6715;top:3207;width:410;height:434" filled="true" fillcolor="#4aacc5" stroked="false">
              <v:fill type="solid"/>
            </v:rect>
            <v:rect style="position:absolute;left:7738;top:3435;width:408;height:206" filled="true" fillcolor="#4f81bc" stroked="false">
              <v:fill type="solid"/>
            </v:rect>
            <v:rect style="position:absolute;left:8146;top:3377;width:410;height:264" filled="true" fillcolor="#c0504d" stroked="false">
              <v:fill type="solid"/>
            </v:rect>
            <v:rect style="position:absolute;left:8556;top:3322;width:408;height:319" filled="true" fillcolor="#9bba58" stroked="false">
              <v:fill type="solid"/>
            </v:rect>
            <v:rect style="position:absolute;left:8964;top:3286;width:408;height:355" filled="true" fillcolor="#8063a1" stroked="false">
              <v:fill type="solid"/>
            </v:rect>
            <v:rect style="position:absolute;left:9372;top:3214;width:410;height:427" filled="true" fillcolor="#4aacc5" stroked="false">
              <v:fill type="solid"/>
            </v:rect>
            <v:line style="position:absolute" from="2117,3641" to="10087,3641" stroked="true" strokeweight=".72pt" strokecolor="#858585"/>
            <v:line style="position:absolute" from="2117,3641" to="2117,3696" stroked="true" strokeweight=".72pt" strokecolor="#858585"/>
            <v:line style="position:absolute" from="4774,3641" to="4774,3696" stroked="true" strokeweight=".72pt" strokecolor="#858585"/>
            <v:line style="position:absolute" from="7430,3641" to="7430,3696" stroked="true" strokeweight=".72pt" strokecolor="#858585"/>
            <v:line style="position:absolute" from="10087,3641" to="10087,3696" stroked="true" strokeweight=".72pt" strokecolor="#858585"/>
            <v:shape style="position:absolute;left:2403;top:618;width:1679;height:1434" type="#_x0000_t202" filled="false" stroked="false">
              <v:textbox inset="0,0,0,0">
                <w:txbxContent>
                  <w:p>
                    <w:pPr>
                      <w:spacing w:line="142" w:lineRule="exact" w:before="0"/>
                      <w:ind w:left="0" w:right="0" w:firstLine="0"/>
                      <w:jc w:val="right"/>
                      <w:rPr>
                        <w:rFonts w:ascii="Calibri"/>
                        <w:sz w:val="14"/>
                      </w:rPr>
                    </w:pPr>
                    <w:r>
                      <w:rPr>
                        <w:rFonts w:ascii="Calibri"/>
                        <w:w w:val="95"/>
                        <w:sz w:val="14"/>
                      </w:rPr>
                      <w:t>339,016</w:t>
                    </w:r>
                  </w:p>
                  <w:p>
                    <w:pPr>
                      <w:spacing w:line="240" w:lineRule="auto" w:before="10"/>
                      <w:rPr>
                        <w:rFonts w:ascii="Calibri"/>
                        <w:sz w:val="20"/>
                      </w:rPr>
                    </w:pPr>
                  </w:p>
                  <w:p>
                    <w:pPr>
                      <w:spacing w:before="0"/>
                      <w:ind w:left="817" w:right="0" w:firstLine="0"/>
                      <w:jc w:val="left"/>
                      <w:rPr>
                        <w:rFonts w:ascii="Calibri"/>
                        <w:sz w:val="14"/>
                      </w:rPr>
                    </w:pPr>
                    <w:r>
                      <w:rPr>
                        <w:rFonts w:ascii="Calibri"/>
                        <w:sz w:val="14"/>
                      </w:rPr>
                      <w:t>287,374</w:t>
                    </w:r>
                  </w:p>
                  <w:p>
                    <w:pPr>
                      <w:spacing w:line="240" w:lineRule="auto" w:before="0"/>
                      <w:rPr>
                        <w:rFonts w:ascii="Calibri"/>
                        <w:sz w:val="14"/>
                      </w:rPr>
                    </w:pPr>
                  </w:p>
                  <w:p>
                    <w:pPr>
                      <w:spacing w:before="105"/>
                      <w:ind w:left="409" w:right="0" w:firstLine="0"/>
                      <w:jc w:val="left"/>
                      <w:rPr>
                        <w:rFonts w:ascii="Calibri"/>
                        <w:sz w:val="14"/>
                      </w:rPr>
                    </w:pPr>
                    <w:r>
                      <w:rPr>
                        <w:rFonts w:ascii="Calibri"/>
                        <w:sz w:val="14"/>
                      </w:rPr>
                      <w:t>233,083</w:t>
                    </w:r>
                  </w:p>
                  <w:p>
                    <w:pPr>
                      <w:spacing w:line="240" w:lineRule="auto" w:before="6"/>
                      <w:rPr>
                        <w:rFonts w:ascii="Calibri"/>
                        <w:sz w:val="20"/>
                      </w:rPr>
                    </w:pPr>
                  </w:p>
                  <w:p>
                    <w:pPr>
                      <w:spacing w:line="168" w:lineRule="exact" w:before="1"/>
                      <w:ind w:left="0" w:right="0" w:firstLine="0"/>
                      <w:jc w:val="left"/>
                      <w:rPr>
                        <w:rFonts w:ascii="Calibri"/>
                        <w:sz w:val="14"/>
                      </w:rPr>
                    </w:pPr>
                    <w:r>
                      <w:rPr>
                        <w:rFonts w:ascii="Calibri"/>
                        <w:sz w:val="14"/>
                      </w:rPr>
                      <w:t>181,884</w:t>
                    </w:r>
                  </w:p>
                </w:txbxContent>
              </v:textbox>
              <w10:wrap type="none"/>
            </v:shape>
            <v:shape style="position:absolute;left:6961;top:2932;width:383;height:140" type="#_x0000_t202" filled="false" stroked="false">
              <v:textbox inset="0,0,0,0">
                <w:txbxContent>
                  <w:p>
                    <w:pPr>
                      <w:spacing w:line="139" w:lineRule="exact" w:before="0"/>
                      <w:ind w:left="0" w:right="-8" w:firstLine="0"/>
                      <w:jc w:val="left"/>
                      <w:rPr>
                        <w:rFonts w:ascii="Calibri"/>
                        <w:sz w:val="14"/>
                      </w:rPr>
                    </w:pPr>
                    <w:r>
                      <w:rPr>
                        <w:rFonts w:ascii="Calibri"/>
                        <w:w w:val="95"/>
                        <w:sz w:val="14"/>
                      </w:rPr>
                      <w:t>52,680</w:t>
                    </w:r>
                  </w:p>
                </w:txbxContent>
              </v:textbox>
              <w10:wrap type="none"/>
            </v:shape>
            <v:shape style="position:absolute;left:5356;top:3166;width:897;height:142" type="#_x0000_t202" filled="false" stroked="false">
              <v:textbox inset="0,0,0,0">
                <w:txbxContent>
                  <w:p>
                    <w:pPr>
                      <w:spacing w:line="142" w:lineRule="exact" w:before="0"/>
                      <w:ind w:left="0" w:right="0" w:firstLine="0"/>
                      <w:jc w:val="left"/>
                      <w:rPr>
                        <w:rFonts w:ascii="Calibri"/>
                        <w:sz w:val="14"/>
                      </w:rPr>
                    </w:pPr>
                    <w:r>
                      <w:rPr>
                        <w:rFonts w:ascii="Calibri"/>
                        <w:sz w:val="14"/>
                      </w:rPr>
                      <w:t>29,496   35,261</w:t>
                    </w:r>
                  </w:p>
                </w:txbxContent>
              </v:textbox>
              <w10:wrap type="none"/>
            </v:shape>
            <v:shape style="position:absolute;left:6405;top:3075;width:383;height:140" type="#_x0000_t202" filled="false" stroked="false">
              <v:textbox inset="0,0,0,0">
                <w:txbxContent>
                  <w:p>
                    <w:pPr>
                      <w:spacing w:line="139" w:lineRule="exact" w:before="0"/>
                      <w:ind w:left="0" w:right="-8" w:firstLine="0"/>
                      <w:jc w:val="left"/>
                      <w:rPr>
                        <w:rFonts w:ascii="Calibri"/>
                        <w:sz w:val="14"/>
                      </w:rPr>
                    </w:pPr>
                    <w:r>
                      <w:rPr>
                        <w:rFonts w:ascii="Calibri"/>
                        <w:w w:val="95"/>
                        <w:sz w:val="14"/>
                      </w:rPr>
                      <w:t>40,898</w:t>
                    </w:r>
                  </w:p>
                </w:txbxContent>
              </v:textbox>
              <w10:wrap type="none"/>
            </v:shape>
            <v:shape style="position:absolute;left:7625;top:3207;width:383;height:140" type="#_x0000_t202" filled="false" stroked="false">
              <v:textbox inset="0,0,0,0">
                <w:txbxContent>
                  <w:p>
                    <w:pPr>
                      <w:spacing w:line="139" w:lineRule="exact" w:before="0"/>
                      <w:ind w:left="0" w:right="-8" w:firstLine="0"/>
                      <w:jc w:val="left"/>
                      <w:rPr>
                        <w:rFonts w:ascii="Calibri"/>
                        <w:sz w:val="14"/>
                      </w:rPr>
                    </w:pPr>
                    <w:r>
                      <w:rPr>
                        <w:rFonts w:ascii="Calibri"/>
                        <w:w w:val="95"/>
                        <w:sz w:val="14"/>
                      </w:rPr>
                      <w:t>24,830</w:t>
                    </w:r>
                  </w:p>
                </w:txbxContent>
              </v:textbox>
              <w10:wrap type="none"/>
            </v:shape>
            <v:shape style="position:absolute;left:8160;top:3095;width:792;height:192" type="#_x0000_t202" filled="false" stroked="false">
              <v:textbox inset="0,0,0,0">
                <w:txbxContent>
                  <w:p>
                    <w:pPr>
                      <w:spacing w:line="192" w:lineRule="exact" w:before="0"/>
                      <w:ind w:left="0" w:right="-17" w:firstLine="0"/>
                      <w:jc w:val="left"/>
                      <w:rPr>
                        <w:rFonts w:ascii="Calibri"/>
                        <w:sz w:val="14"/>
                      </w:rPr>
                    </w:pPr>
                    <w:r>
                      <w:rPr>
                        <w:rFonts w:ascii="Calibri"/>
                        <w:position w:val="-4"/>
                        <w:sz w:val="14"/>
                      </w:rPr>
                      <w:t>32,053</w:t>
                    </w:r>
                    <w:r>
                      <w:rPr>
                        <w:rFonts w:ascii="Calibri"/>
                        <w:spacing w:val="-23"/>
                        <w:position w:val="-4"/>
                        <w:sz w:val="14"/>
                      </w:rPr>
                      <w:t> </w:t>
                    </w:r>
                    <w:r>
                      <w:rPr>
                        <w:rFonts w:ascii="Calibri"/>
                        <w:sz w:val="14"/>
                      </w:rPr>
                      <w:t>38,483</w:t>
                    </w:r>
                  </w:p>
                </w:txbxContent>
              </v:textbox>
              <w10:wrap type="none"/>
            </v:shape>
            <v:shape style="position:absolute;left:8978;top:2985;width:791;height:213" type="#_x0000_t202" filled="false" stroked="false">
              <v:textbox inset="0,0,0,0">
                <w:txbxContent>
                  <w:p>
                    <w:pPr>
                      <w:spacing w:line="212" w:lineRule="exact" w:before="0"/>
                      <w:ind w:left="0" w:right="-18" w:firstLine="0"/>
                      <w:jc w:val="left"/>
                      <w:rPr>
                        <w:rFonts w:ascii="Calibri"/>
                        <w:sz w:val="14"/>
                      </w:rPr>
                    </w:pPr>
                    <w:r>
                      <w:rPr>
                        <w:rFonts w:ascii="Calibri"/>
                        <w:position w:val="-6"/>
                        <w:sz w:val="14"/>
                      </w:rPr>
                      <w:t>42,934</w:t>
                    </w:r>
                    <w:r>
                      <w:rPr>
                        <w:rFonts w:ascii="Calibri"/>
                        <w:spacing w:val="-23"/>
                        <w:position w:val="-6"/>
                        <w:sz w:val="14"/>
                      </w:rPr>
                      <w:t> </w:t>
                    </w:r>
                    <w:r>
                      <w:rPr>
                        <w:rFonts w:ascii="Calibri"/>
                        <w:sz w:val="14"/>
                      </w:rPr>
                      <w:t>51,837</w:t>
                    </w:r>
                  </w:p>
                </w:txbxContent>
              </v:textbox>
              <w10:wrap type="none"/>
            </v:shape>
            <v:shape style="position:absolute;left:4884;top:3317;width:383;height:140" type="#_x0000_t202" filled="false" stroked="false">
              <v:textbox inset="0,0,0,0">
                <w:txbxContent>
                  <w:p>
                    <w:pPr>
                      <w:spacing w:line="139" w:lineRule="exact" w:before="0"/>
                      <w:ind w:left="0" w:right="-8" w:firstLine="0"/>
                      <w:jc w:val="left"/>
                      <w:rPr>
                        <w:rFonts w:ascii="Calibri"/>
                        <w:sz w:val="14"/>
                      </w:rPr>
                    </w:pPr>
                    <w:r>
                      <w:rPr>
                        <w:rFonts w:ascii="Calibri"/>
                        <w:w w:val="95"/>
                        <w:sz w:val="14"/>
                      </w:rPr>
                      <w:t>22,475</w:t>
                    </w:r>
                  </w:p>
                </w:txbxContent>
              </v:textbox>
              <w10:wrap type="none"/>
            </v:shape>
            <w10:wrap type="topAndBottom"/>
          </v:group>
        </w:pict>
      </w:r>
      <w:r>
        <w:rPr>
          <w:rFonts w:ascii="Calibri"/>
          <w:sz w:val="14"/>
        </w:rPr>
        <w:t>401,899</w:t>
      </w:r>
    </w:p>
    <w:p>
      <w:pPr>
        <w:tabs>
          <w:tab w:pos="3231" w:val="left" w:leader="none"/>
        </w:tabs>
        <w:spacing w:before="23"/>
        <w:ind w:left="680" w:right="296" w:firstLine="0"/>
        <w:jc w:val="left"/>
        <w:rPr>
          <w:rFonts w:ascii="Calibri" w:hAnsi="Calibri"/>
          <w:sz w:val="18"/>
        </w:rPr>
      </w:pPr>
      <w:r>
        <w:rPr>
          <w:rFonts w:ascii="Calibri" w:hAnsi="Calibri"/>
          <w:sz w:val="18"/>
        </w:rPr>
        <w:t>Área urbana continua</w:t>
      </w:r>
      <w:r>
        <w:rPr>
          <w:rFonts w:ascii="Calibri" w:hAnsi="Calibri"/>
          <w:spacing w:val="-4"/>
          <w:sz w:val="18"/>
        </w:rPr>
        <w:t> </w:t>
      </w:r>
      <w:r>
        <w:rPr>
          <w:rFonts w:ascii="Calibri" w:hAnsi="Calibri"/>
          <w:sz w:val="18"/>
        </w:rPr>
        <w:t>de</w:t>
      </w:r>
      <w:r>
        <w:rPr>
          <w:rFonts w:ascii="Calibri" w:hAnsi="Calibri"/>
          <w:spacing w:val="-2"/>
          <w:sz w:val="18"/>
        </w:rPr>
        <w:t> </w:t>
      </w:r>
      <w:r>
        <w:rPr>
          <w:rFonts w:ascii="Calibri" w:hAnsi="Calibri"/>
          <w:sz w:val="18"/>
        </w:rPr>
        <w:t>Toluca</w:t>
        <w:tab/>
        <w:t>Interrelación funcional  intermedia  Relación externa, resto</w:t>
      </w:r>
      <w:r>
        <w:rPr>
          <w:rFonts w:ascii="Calibri" w:hAnsi="Calibri"/>
          <w:spacing w:val="2"/>
          <w:sz w:val="18"/>
        </w:rPr>
        <w:t> </w:t>
      </w:r>
      <w:r>
        <w:rPr>
          <w:rFonts w:ascii="Calibri" w:hAnsi="Calibri"/>
          <w:sz w:val="18"/>
        </w:rPr>
        <w:t>municipios</w:t>
      </w:r>
    </w:p>
    <w:p>
      <w:pPr>
        <w:pStyle w:val="BodyText"/>
        <w:rPr>
          <w:rFonts w:ascii="Calibri"/>
          <w:sz w:val="20"/>
        </w:rPr>
      </w:pPr>
    </w:p>
    <w:p>
      <w:pPr>
        <w:pStyle w:val="BodyText"/>
        <w:spacing w:before="4"/>
        <w:rPr>
          <w:rFonts w:ascii="Calibri"/>
          <w:sz w:val="25"/>
        </w:rPr>
      </w:pPr>
    </w:p>
    <w:p>
      <w:pPr>
        <w:spacing w:line="242" w:lineRule="auto" w:before="74"/>
        <w:ind w:left="1945" w:right="296" w:hanging="1599"/>
        <w:jc w:val="left"/>
        <w:rPr>
          <w:sz w:val="20"/>
        </w:rPr>
      </w:pPr>
      <w:r>
        <w:rPr>
          <w:sz w:val="20"/>
        </w:rPr>
        <w:t>Fuente</w:t>
      </w:r>
      <w:r>
        <w:rPr>
          <w:b/>
          <w:sz w:val="20"/>
        </w:rPr>
        <w:t>: </w:t>
      </w:r>
      <w:r>
        <w:rPr>
          <w:sz w:val="20"/>
        </w:rPr>
        <w:t>Elaboración propia con información del Censo General de Población y Vivienda 1990, 2000 y 2010 Conteo de Población y Vivienda 1995 y 2005</w:t>
      </w:r>
    </w:p>
    <w:p>
      <w:pPr>
        <w:spacing w:after="0" w:line="242" w:lineRule="auto"/>
        <w:jc w:val="left"/>
        <w:rPr>
          <w:sz w:val="20"/>
        </w:rPr>
        <w:sectPr>
          <w:pgSz w:w="12240" w:h="15840"/>
          <w:pgMar w:header="0" w:footer="659" w:top="1360" w:bottom="840" w:left="1600" w:right="1580"/>
        </w:sectPr>
      </w:pPr>
    </w:p>
    <w:p>
      <w:pPr>
        <w:spacing w:before="53" w:after="4"/>
        <w:ind w:left="161" w:right="165" w:firstLine="0"/>
        <w:jc w:val="center"/>
        <w:rPr>
          <w:sz w:val="20"/>
        </w:rPr>
      </w:pPr>
      <w:r>
        <w:rPr>
          <w:sz w:val="20"/>
        </w:rPr>
        <w:t>Mapa No. 4. ZMT. Distribución del total de viviendas por municipio, 1990</w:t>
      </w:r>
    </w:p>
    <w:p>
      <w:pPr>
        <w:pStyle w:val="BodyText"/>
        <w:ind w:left="1053"/>
        <w:rPr>
          <w:sz w:val="20"/>
        </w:rPr>
      </w:pPr>
      <w:r>
        <w:rPr>
          <w:sz w:val="20"/>
        </w:rPr>
        <w:drawing>
          <wp:inline distT="0" distB="0" distL="0" distR="0">
            <wp:extent cx="4370991" cy="3377946"/>
            <wp:effectExtent l="0" t="0" r="0" b="0"/>
            <wp:docPr id="23" name="image17.jpeg" descr=""/>
            <wp:cNvGraphicFramePr>
              <a:graphicFrameLocks noChangeAspect="1"/>
            </wp:cNvGraphicFramePr>
            <a:graphic>
              <a:graphicData uri="http://schemas.openxmlformats.org/drawingml/2006/picture">
                <pic:pic>
                  <pic:nvPicPr>
                    <pic:cNvPr id="24" name="image17.jpeg"/>
                    <pic:cNvPicPr/>
                  </pic:nvPicPr>
                  <pic:blipFill>
                    <a:blip r:embed="rId36" cstate="print"/>
                    <a:stretch>
                      <a:fillRect/>
                    </a:stretch>
                  </pic:blipFill>
                  <pic:spPr>
                    <a:xfrm>
                      <a:off x="0" y="0"/>
                      <a:ext cx="4370991" cy="3377946"/>
                    </a:xfrm>
                    <a:prstGeom prst="rect">
                      <a:avLst/>
                    </a:prstGeom>
                  </pic:spPr>
                </pic:pic>
              </a:graphicData>
            </a:graphic>
          </wp:inline>
        </w:drawing>
      </w:r>
      <w:r>
        <w:rPr>
          <w:sz w:val="20"/>
        </w:rPr>
      </w:r>
    </w:p>
    <w:p>
      <w:pPr>
        <w:pStyle w:val="BodyText"/>
        <w:spacing w:before="4"/>
        <w:rPr>
          <w:sz w:val="16"/>
        </w:rPr>
      </w:pPr>
    </w:p>
    <w:p>
      <w:pPr>
        <w:spacing w:before="0" w:after="2"/>
        <w:ind w:left="148" w:right="168" w:firstLine="0"/>
        <w:jc w:val="center"/>
        <w:rPr>
          <w:sz w:val="20"/>
        </w:rPr>
      </w:pPr>
      <w:r>
        <w:rPr>
          <w:spacing w:val="10"/>
          <w:sz w:val="20"/>
        </w:rPr>
        <w:t>Mapa </w:t>
      </w:r>
      <w:r>
        <w:rPr>
          <w:spacing w:val="11"/>
          <w:sz w:val="20"/>
        </w:rPr>
        <w:t>No.5. ZMT. </w:t>
      </w:r>
      <w:r>
        <w:rPr>
          <w:spacing w:val="13"/>
          <w:sz w:val="20"/>
        </w:rPr>
        <w:t>Distribución </w:t>
      </w:r>
      <w:r>
        <w:rPr>
          <w:spacing w:val="9"/>
          <w:sz w:val="20"/>
        </w:rPr>
        <w:t>del </w:t>
      </w:r>
      <w:r>
        <w:rPr>
          <w:spacing w:val="12"/>
          <w:sz w:val="20"/>
        </w:rPr>
        <w:t>total </w:t>
      </w:r>
      <w:r>
        <w:rPr>
          <w:spacing w:val="6"/>
          <w:sz w:val="20"/>
        </w:rPr>
        <w:t>de </w:t>
      </w:r>
      <w:r>
        <w:rPr>
          <w:spacing w:val="12"/>
          <w:sz w:val="20"/>
        </w:rPr>
        <w:t>viviendas </w:t>
      </w:r>
      <w:r>
        <w:rPr>
          <w:spacing w:val="8"/>
          <w:sz w:val="20"/>
        </w:rPr>
        <w:t>por </w:t>
      </w:r>
      <w:r>
        <w:rPr>
          <w:spacing w:val="13"/>
          <w:sz w:val="20"/>
        </w:rPr>
        <w:t>municipio,  </w:t>
      </w:r>
      <w:r>
        <w:rPr>
          <w:spacing w:val="76"/>
          <w:sz w:val="20"/>
        </w:rPr>
        <w:t> </w:t>
      </w:r>
      <w:r>
        <w:rPr>
          <w:spacing w:val="11"/>
          <w:sz w:val="20"/>
        </w:rPr>
        <w:t>1995</w:t>
      </w:r>
    </w:p>
    <w:p>
      <w:pPr>
        <w:pStyle w:val="BodyText"/>
        <w:ind w:left="1021"/>
        <w:rPr>
          <w:sz w:val="20"/>
        </w:rPr>
      </w:pPr>
      <w:r>
        <w:rPr>
          <w:sz w:val="20"/>
        </w:rPr>
        <w:drawing>
          <wp:inline distT="0" distB="0" distL="0" distR="0">
            <wp:extent cx="4303770" cy="3325749"/>
            <wp:effectExtent l="0" t="0" r="0" b="0"/>
            <wp:docPr id="25" name="image18.jpeg" descr=""/>
            <wp:cNvGraphicFramePr>
              <a:graphicFrameLocks noChangeAspect="1"/>
            </wp:cNvGraphicFramePr>
            <a:graphic>
              <a:graphicData uri="http://schemas.openxmlformats.org/drawingml/2006/picture">
                <pic:pic>
                  <pic:nvPicPr>
                    <pic:cNvPr id="26" name="image18.jpeg"/>
                    <pic:cNvPicPr/>
                  </pic:nvPicPr>
                  <pic:blipFill>
                    <a:blip r:embed="rId37" cstate="print"/>
                    <a:stretch>
                      <a:fillRect/>
                    </a:stretch>
                  </pic:blipFill>
                  <pic:spPr>
                    <a:xfrm>
                      <a:off x="0" y="0"/>
                      <a:ext cx="4303770" cy="3325749"/>
                    </a:xfrm>
                    <a:prstGeom prst="rect">
                      <a:avLst/>
                    </a:prstGeom>
                  </pic:spPr>
                </pic:pic>
              </a:graphicData>
            </a:graphic>
          </wp:inline>
        </w:drawing>
      </w:r>
      <w:r>
        <w:rPr>
          <w:sz w:val="20"/>
        </w:rPr>
      </w:r>
    </w:p>
    <w:p>
      <w:pPr>
        <w:spacing w:after="0"/>
        <w:rPr>
          <w:sz w:val="20"/>
        </w:rPr>
        <w:sectPr>
          <w:pgSz w:w="12240" w:h="15840"/>
          <w:pgMar w:header="0" w:footer="659" w:top="1360" w:bottom="840" w:left="1660" w:right="1660"/>
        </w:sectPr>
      </w:pPr>
    </w:p>
    <w:p>
      <w:pPr>
        <w:spacing w:before="52"/>
        <w:ind w:left="102" w:right="0" w:firstLine="0"/>
        <w:jc w:val="both"/>
        <w:rPr>
          <w:i/>
          <w:sz w:val="24"/>
        </w:rPr>
      </w:pPr>
      <w:r>
        <w:rPr>
          <w:i/>
          <w:sz w:val="24"/>
        </w:rPr>
        <w:t>Las densidades</w:t>
      </w:r>
    </w:p>
    <w:p>
      <w:pPr>
        <w:pStyle w:val="BodyText"/>
        <w:rPr>
          <w:i/>
        </w:rPr>
      </w:pPr>
    </w:p>
    <w:p>
      <w:pPr>
        <w:pStyle w:val="BodyText"/>
        <w:spacing w:line="338" w:lineRule="auto" w:before="146"/>
        <w:ind w:left="102" w:right="117"/>
        <w:jc w:val="both"/>
      </w:pPr>
      <w:r>
        <w:rPr/>
        <w:t>En este apartado se analiza la relación de población y vivienda con respecto a la superficie del municipio. El área urbana continua es la que presenta la mayor densidad de población en la ZMT, con 552.51 habitantes por kilómetro cuadrados en 1990 y en 1995 sube a 661.86 hab./km.</w:t>
      </w:r>
      <w:r>
        <w:rPr>
          <w:position w:val="11"/>
          <w:sz w:val="16"/>
        </w:rPr>
        <w:t>2</w:t>
      </w:r>
      <w:r>
        <w:rPr/>
        <w:t>, la densidad de vivienda en 1990 fue de 102.4 viv./km.</w:t>
      </w:r>
      <w:r>
        <w:rPr>
          <w:position w:val="11"/>
          <w:sz w:val="16"/>
        </w:rPr>
        <w:t>2 </w:t>
      </w:r>
      <w:r>
        <w:rPr/>
        <w:t>y subió a 131.37 en 1995. En el área central, el consumo de suelo le corresponde 1.81m</w:t>
      </w:r>
      <w:r>
        <w:rPr>
          <w:position w:val="11"/>
          <w:sz w:val="16"/>
        </w:rPr>
        <w:t>2 </w:t>
      </w:r>
      <w:r>
        <w:rPr/>
        <w:t>por persona en 1990 y disminuye a 1.51 m2 en 1995. El municipio de Toluca, en 1990, registra una proporción de 0.86 m</w:t>
      </w:r>
      <w:r>
        <w:rPr>
          <w:position w:val="11"/>
          <w:sz w:val="16"/>
        </w:rPr>
        <w:t>2</w:t>
      </w:r>
      <w:r>
        <w:rPr/>
        <w:t>/hab., y en Metepec de 0.5 m</w:t>
      </w:r>
      <w:r>
        <w:rPr>
          <w:position w:val="11"/>
          <w:sz w:val="16"/>
        </w:rPr>
        <w:t>2</w:t>
      </w:r>
      <w:r>
        <w:rPr/>
        <w:t>/hab. (ver gráficas 5, 6 7 y anexo cuadro A. 4.8, A. 4.9 y A.</w:t>
      </w:r>
    </w:p>
    <w:p>
      <w:pPr>
        <w:pStyle w:val="BodyText"/>
        <w:spacing w:before="11"/>
        <w:ind w:left="102"/>
        <w:jc w:val="both"/>
      </w:pPr>
      <w:r>
        <w:rPr/>
        <w:t>4.10).</w:t>
      </w:r>
    </w:p>
    <w:p>
      <w:pPr>
        <w:pStyle w:val="BodyText"/>
      </w:pPr>
    </w:p>
    <w:p>
      <w:pPr>
        <w:pStyle w:val="BodyText"/>
        <w:spacing w:line="345" w:lineRule="auto" w:before="144"/>
        <w:ind w:left="102" w:right="116"/>
        <w:jc w:val="both"/>
      </w:pPr>
      <w:r>
        <w:rPr/>
        <w:t>El ámbito de interrelación funcional intermedia, la densidad de población en 1990 era de 315.73hab./km.</w:t>
      </w:r>
      <w:r>
        <w:rPr>
          <w:position w:val="11"/>
          <w:sz w:val="16"/>
        </w:rPr>
        <w:t>2 </w:t>
      </w:r>
      <w:r>
        <w:rPr/>
        <w:t>con un ascenso a 385.01 en 1995, la densidad de vivienda en 1990 fue de 53.01 viv./km.</w:t>
      </w:r>
      <w:r>
        <w:rPr>
          <w:position w:val="11"/>
          <w:sz w:val="16"/>
        </w:rPr>
        <w:t>2 </w:t>
      </w:r>
      <w:r>
        <w:rPr/>
        <w:t>en los siguientes cinco años aumentó a 69.66 en 1995, el consumo de suelo es mayor que del ámbito central, 3.17m2/hab., y desciende a 2.60 metros cuadrados por persona en 1995. (ver gráficas 5, 6 , 7 y</w:t>
      </w:r>
    </w:p>
    <w:p>
      <w:pPr>
        <w:pStyle w:val="BodyText"/>
        <w:spacing w:before="19"/>
        <w:ind w:left="102"/>
        <w:jc w:val="both"/>
      </w:pPr>
      <w:r>
        <w:rPr/>
        <w:t>anexo cuadro A. 4.8, A. 4.9 y A. 4.10).</w:t>
      </w:r>
    </w:p>
    <w:p>
      <w:pPr>
        <w:pStyle w:val="BodyText"/>
        <w:spacing w:before="9"/>
        <w:rPr>
          <w:sz w:val="29"/>
        </w:rPr>
      </w:pPr>
    </w:p>
    <w:p>
      <w:pPr>
        <w:spacing w:after="0"/>
        <w:rPr>
          <w:sz w:val="29"/>
        </w:rPr>
        <w:sectPr>
          <w:pgSz w:w="12240" w:h="15840"/>
          <w:pgMar w:header="0" w:footer="659" w:top="1360" w:bottom="840" w:left="1600" w:right="1580"/>
        </w:sectPr>
      </w:pPr>
    </w:p>
    <w:p>
      <w:pPr>
        <w:pStyle w:val="BodyText"/>
        <w:rPr>
          <w:sz w:val="16"/>
        </w:rPr>
      </w:pPr>
    </w:p>
    <w:p>
      <w:pPr>
        <w:pStyle w:val="BodyText"/>
        <w:rPr>
          <w:sz w:val="16"/>
        </w:rPr>
      </w:pPr>
    </w:p>
    <w:p>
      <w:pPr>
        <w:pStyle w:val="BodyText"/>
        <w:spacing w:before="2"/>
        <w:rPr>
          <w:sz w:val="13"/>
        </w:rPr>
      </w:pPr>
    </w:p>
    <w:p>
      <w:pPr>
        <w:spacing w:before="1"/>
        <w:ind w:left="356" w:right="-18" w:firstLine="0"/>
        <w:jc w:val="left"/>
        <w:rPr>
          <w:rFonts w:ascii="Calibri"/>
          <w:sz w:val="16"/>
        </w:rPr>
      </w:pPr>
      <w:r>
        <w:rPr>
          <w:rFonts w:ascii="Calibri"/>
          <w:sz w:val="16"/>
        </w:rPr>
        <w:t>1000.00</w:t>
      </w:r>
    </w:p>
    <w:p>
      <w:pPr>
        <w:spacing w:before="115"/>
        <w:ind w:left="437" w:right="0" w:firstLine="0"/>
        <w:jc w:val="center"/>
        <w:rPr>
          <w:rFonts w:ascii="Calibri"/>
          <w:sz w:val="16"/>
        </w:rPr>
      </w:pPr>
      <w:r>
        <w:rPr>
          <w:rFonts w:ascii="Calibri"/>
          <w:sz w:val="16"/>
        </w:rPr>
        <w:t>900.00</w:t>
      </w:r>
    </w:p>
    <w:p>
      <w:pPr>
        <w:spacing w:before="115"/>
        <w:ind w:left="437" w:right="0" w:firstLine="0"/>
        <w:jc w:val="center"/>
        <w:rPr>
          <w:rFonts w:ascii="Calibri"/>
          <w:sz w:val="16"/>
        </w:rPr>
      </w:pPr>
      <w:r>
        <w:rPr>
          <w:rFonts w:ascii="Calibri"/>
          <w:sz w:val="16"/>
        </w:rPr>
        <w:t>800.00</w:t>
      </w:r>
    </w:p>
    <w:p>
      <w:pPr>
        <w:spacing w:before="115"/>
        <w:ind w:left="437" w:right="0" w:firstLine="0"/>
        <w:jc w:val="center"/>
        <w:rPr>
          <w:rFonts w:ascii="Calibri"/>
          <w:sz w:val="16"/>
        </w:rPr>
      </w:pPr>
      <w:r>
        <w:rPr/>
        <w:pict>
          <v:shape style="position:absolute;margin-left:90.337997pt;margin-top:11.31103pt;width:11pt;height:36.1pt;mso-position-horizontal-relative:page;mso-position-vertical-relative:paragraph;z-index:2680" type="#_x0000_t202" filled="false" stroked="false">
            <v:textbox inset="0,0,0,0" style="layout-flow:vertical;mso-layout-flow-alt:bottom-to-top">
              <w:txbxContent>
                <w:p>
                  <w:pPr>
                    <w:spacing w:line="203" w:lineRule="exact" w:before="0"/>
                    <w:ind w:left="20" w:right="-501" w:firstLine="0"/>
                    <w:jc w:val="left"/>
                    <w:rPr>
                      <w:rFonts w:ascii="Calibri"/>
                      <w:b/>
                      <w:sz w:val="18"/>
                    </w:rPr>
                  </w:pPr>
                  <w:r>
                    <w:rPr>
                      <w:rFonts w:ascii="Calibri"/>
                      <w:b/>
                      <w:spacing w:val="-1"/>
                      <w:sz w:val="18"/>
                    </w:rPr>
                    <w:t>h</w:t>
                  </w:r>
                  <w:r>
                    <w:rPr>
                      <w:rFonts w:ascii="Calibri"/>
                      <w:b/>
                      <w:sz w:val="18"/>
                    </w:rPr>
                    <w:t>a</w:t>
                  </w:r>
                  <w:r>
                    <w:rPr>
                      <w:rFonts w:ascii="Calibri"/>
                      <w:b/>
                      <w:spacing w:val="-1"/>
                      <w:sz w:val="18"/>
                    </w:rPr>
                    <w:t>b/</w:t>
                  </w:r>
                  <w:r>
                    <w:rPr>
                      <w:rFonts w:ascii="Calibri"/>
                      <w:b/>
                      <w:sz w:val="18"/>
                    </w:rPr>
                    <w:t>km2</w:t>
                  </w:r>
                </w:p>
              </w:txbxContent>
            </v:textbox>
            <w10:wrap type="none"/>
          </v:shape>
        </w:pict>
      </w:r>
      <w:r>
        <w:rPr>
          <w:rFonts w:ascii="Calibri"/>
          <w:sz w:val="16"/>
        </w:rPr>
        <w:t>700.00</w:t>
      </w:r>
    </w:p>
    <w:p>
      <w:pPr>
        <w:spacing w:before="116"/>
        <w:ind w:left="437" w:right="0" w:firstLine="0"/>
        <w:jc w:val="center"/>
        <w:rPr>
          <w:rFonts w:ascii="Calibri"/>
          <w:sz w:val="16"/>
        </w:rPr>
      </w:pPr>
      <w:r>
        <w:rPr>
          <w:rFonts w:ascii="Calibri"/>
          <w:sz w:val="16"/>
        </w:rPr>
        <w:t>600.00</w:t>
      </w:r>
    </w:p>
    <w:p>
      <w:pPr>
        <w:spacing w:before="115"/>
        <w:ind w:left="437" w:right="0" w:firstLine="0"/>
        <w:jc w:val="center"/>
        <w:rPr>
          <w:rFonts w:ascii="Calibri"/>
          <w:sz w:val="16"/>
        </w:rPr>
      </w:pPr>
      <w:r>
        <w:rPr>
          <w:rFonts w:ascii="Calibri"/>
          <w:sz w:val="16"/>
        </w:rPr>
        <w:t>500.00</w:t>
      </w:r>
    </w:p>
    <w:p>
      <w:pPr>
        <w:spacing w:before="116"/>
        <w:ind w:left="437" w:right="0" w:firstLine="0"/>
        <w:jc w:val="center"/>
        <w:rPr>
          <w:rFonts w:ascii="Calibri"/>
          <w:sz w:val="16"/>
        </w:rPr>
      </w:pPr>
      <w:r>
        <w:rPr>
          <w:rFonts w:ascii="Calibri"/>
          <w:sz w:val="16"/>
        </w:rPr>
        <w:t>400.00</w:t>
      </w:r>
    </w:p>
    <w:p>
      <w:pPr>
        <w:spacing w:before="115"/>
        <w:ind w:left="437" w:right="0" w:firstLine="0"/>
        <w:jc w:val="center"/>
        <w:rPr>
          <w:rFonts w:ascii="Calibri"/>
          <w:sz w:val="16"/>
        </w:rPr>
      </w:pPr>
      <w:r>
        <w:rPr>
          <w:rFonts w:ascii="Calibri"/>
          <w:sz w:val="16"/>
        </w:rPr>
        <w:t>300.00</w:t>
      </w:r>
    </w:p>
    <w:p>
      <w:pPr>
        <w:spacing w:before="115"/>
        <w:ind w:left="437" w:right="0" w:firstLine="0"/>
        <w:jc w:val="center"/>
        <w:rPr>
          <w:rFonts w:ascii="Calibri"/>
          <w:sz w:val="16"/>
        </w:rPr>
      </w:pPr>
      <w:r>
        <w:rPr>
          <w:rFonts w:ascii="Calibri"/>
          <w:sz w:val="16"/>
        </w:rPr>
        <w:t>200.00</w:t>
      </w:r>
    </w:p>
    <w:p>
      <w:pPr>
        <w:spacing w:before="115"/>
        <w:ind w:left="437" w:right="0" w:firstLine="0"/>
        <w:jc w:val="center"/>
        <w:rPr>
          <w:rFonts w:ascii="Calibri"/>
          <w:sz w:val="16"/>
        </w:rPr>
      </w:pPr>
      <w:r>
        <w:rPr>
          <w:rFonts w:ascii="Calibri"/>
          <w:sz w:val="16"/>
        </w:rPr>
        <w:t>100.00</w:t>
      </w:r>
    </w:p>
    <w:p>
      <w:pPr>
        <w:spacing w:before="115"/>
        <w:ind w:left="0" w:right="0" w:firstLine="0"/>
        <w:jc w:val="right"/>
        <w:rPr>
          <w:rFonts w:ascii="Calibri"/>
          <w:sz w:val="16"/>
        </w:rPr>
      </w:pPr>
      <w:r>
        <w:rPr>
          <w:rFonts w:ascii="Calibri"/>
          <w:sz w:val="16"/>
        </w:rPr>
        <w:t>0.00</w:t>
      </w:r>
    </w:p>
    <w:p>
      <w:pPr>
        <w:spacing w:before="74"/>
        <w:ind w:left="356" w:right="-6" w:firstLine="0"/>
        <w:jc w:val="left"/>
        <w:rPr>
          <w:sz w:val="20"/>
        </w:rPr>
      </w:pPr>
      <w:r>
        <w:rPr/>
        <w:br w:type="column"/>
      </w:r>
      <w:r>
        <w:rPr>
          <w:sz w:val="20"/>
        </w:rPr>
        <w:t>Gráfica No 5. ZMT. Densidad de población, 1990 a</w:t>
      </w:r>
      <w:r>
        <w:rPr>
          <w:spacing w:val="-18"/>
          <w:sz w:val="20"/>
        </w:rPr>
        <w:t> </w:t>
      </w:r>
      <w:r>
        <w:rPr>
          <w:sz w:val="20"/>
        </w:rPr>
        <w:t>2010</w:t>
      </w:r>
    </w:p>
    <w:p>
      <w:pPr>
        <w:spacing w:before="143"/>
        <w:ind w:left="967" w:right="-6" w:firstLine="0"/>
        <w:jc w:val="left"/>
        <w:rPr>
          <w:rFonts w:ascii="Calibri"/>
          <w:sz w:val="18"/>
        </w:rPr>
      </w:pPr>
      <w:r>
        <w:rPr/>
        <w:pict>
          <v:group style="position:absolute;margin-left:128.744995pt;margin-top:15.684321pt;width:349.5pt;height:156.3pt;mso-position-horizontal-relative:page;mso-position-vertical-relative:paragraph;z-index:-300256" coordorigin="2575,314" coordsize="6990,3126">
            <v:rect style="position:absolute;left:2926;top:1713;width:343;height:1718" filled="true" fillcolor="#4f81bc" stroked="false">
              <v:fill type="solid"/>
            </v:rect>
            <v:rect style="position:absolute;left:3269;top:1372;width:346;height:2059" filled="true" fillcolor="#c0504d" stroked="false">
              <v:fill type="solid"/>
            </v:rect>
            <v:rect style="position:absolute;left:3614;top:1048;width:343;height:2383" filled="true" fillcolor="#9bba58" stroked="false">
              <v:fill type="solid"/>
            </v:rect>
            <v:rect style="position:absolute;left:3958;top:784;width:346;height:2647" filled="true" fillcolor="#8063a1" stroked="false">
              <v:fill type="solid"/>
            </v:rect>
            <v:rect style="position:absolute;left:4303;top:453;width:343;height:2978" filled="true" fillcolor="#4aacc5" stroked="false">
              <v:fill type="solid"/>
            </v:rect>
            <v:rect style="position:absolute;left:5232;top:2450;width:346;height:982" filled="true" fillcolor="#4f81bc" stroked="false">
              <v:fill type="solid"/>
            </v:rect>
            <v:rect style="position:absolute;left:5578;top:2234;width:343;height:1198" filled="true" fillcolor="#c0504d" stroked="false">
              <v:fill type="solid"/>
            </v:rect>
            <v:rect style="position:absolute;left:5921;top:2071;width:346;height:1361" filled="true" fillcolor="#9bba58" stroked="false">
              <v:fill type="solid"/>
            </v:rect>
            <v:rect style="position:absolute;left:6266;top:1920;width:346;height:1512" filled="true" fillcolor="#8063a1" stroked="false">
              <v:fill type="solid"/>
            </v:rect>
            <v:rect style="position:absolute;left:6612;top:1651;width:343;height:1781" filled="true" fillcolor="#4aacc5" stroked="false">
              <v:fill type="solid"/>
            </v:rect>
            <v:rect style="position:absolute;left:7541;top:2527;width:346;height:905" filled="true" fillcolor="#4f81bc" stroked="false">
              <v:fill type="solid"/>
            </v:rect>
            <v:rect style="position:absolute;left:7886;top:2337;width:343;height:1094" filled="true" fillcolor="#c0504d" stroked="false">
              <v:fill type="solid"/>
            </v:rect>
            <v:rect style="position:absolute;left:8230;top:2179;width:346;height:1253" filled="true" fillcolor="#9bba58" stroked="false">
              <v:fill type="solid"/>
            </v:rect>
            <v:rect style="position:absolute;left:8575;top:2090;width:343;height:1342" filled="true" fillcolor="#8063a1" stroked="false">
              <v:fill type="solid"/>
            </v:rect>
            <v:rect style="position:absolute;left:8918;top:1896;width:346;height:1536" filled="true" fillcolor="#4aacc5" stroked="false">
              <v:fill type="solid"/>
            </v:rect>
            <v:shape style="position:absolute;left:2582;top:321;width:6975;height:3111" coordorigin="2582,321" coordsize="6975,3111" path="m2633,3432l2633,321m2582,3432l2633,3432m2582,3120l2633,3120m2582,2808l2633,2808m2582,2498l2633,2498m2582,2186l2633,2186m2582,1876l2633,1876m2582,1564l2633,1564m2582,1255l2633,1255m2582,943l2633,943m2582,633l2633,633m2582,321l2633,321m2633,3432l9557,3432e" filled="false" stroked="true" strokeweight=".72pt" strokecolor="#858585">
              <v:path arrowok="t"/>
            </v:shape>
            <v:shape style="position:absolute;left:8918;top:1896;width:346;height:1536" type="#_x0000_t202" filled="false" stroked="false">
              <v:textbox inset="0,0,0,0">
                <w:txbxContent>
                  <w:p>
                    <w:pPr>
                      <w:spacing w:line="105" w:lineRule="exact" w:before="0"/>
                      <w:ind w:left="-103" w:right="0" w:firstLine="0"/>
                      <w:jc w:val="left"/>
                      <w:rPr>
                        <w:rFonts w:ascii="Calibri"/>
                        <w:sz w:val="18"/>
                      </w:rPr>
                    </w:pPr>
                    <w:r>
                      <w:rPr>
                        <w:rFonts w:ascii="Calibri"/>
                        <w:sz w:val="18"/>
                      </w:rPr>
                      <w:t>46</w:t>
                    </w:r>
                  </w:p>
                </w:txbxContent>
              </v:textbox>
              <w10:wrap type="none"/>
            </v:shape>
            <v:shape style="position:absolute;left:2692;top:512;width:1584;height:1109" type="#_x0000_t202" filled="false" stroked="false">
              <v:textbox inset="0,0,0,0">
                <w:txbxContent>
                  <w:p>
                    <w:pPr>
                      <w:spacing w:line="183" w:lineRule="exact" w:before="0"/>
                      <w:ind w:left="0" w:right="0" w:firstLine="0"/>
                      <w:jc w:val="right"/>
                      <w:rPr>
                        <w:rFonts w:ascii="Calibri"/>
                        <w:sz w:val="18"/>
                      </w:rPr>
                    </w:pPr>
                    <w:r>
                      <w:rPr>
                        <w:rFonts w:ascii="Calibri"/>
                        <w:sz w:val="18"/>
                      </w:rPr>
                      <w:t>851.27</w:t>
                    </w:r>
                  </w:p>
                  <w:p>
                    <w:pPr>
                      <w:spacing w:before="131"/>
                      <w:ind w:left="710" w:right="0" w:firstLine="0"/>
                      <w:jc w:val="left"/>
                      <w:rPr>
                        <w:rFonts w:ascii="Calibri"/>
                        <w:sz w:val="18"/>
                      </w:rPr>
                    </w:pPr>
                    <w:r>
                      <w:rPr>
                        <w:rFonts w:ascii="Calibri"/>
                        <w:sz w:val="18"/>
                      </w:rPr>
                      <w:t>766.59</w:t>
                    </w:r>
                  </w:p>
                  <w:p>
                    <w:pPr>
                      <w:spacing w:before="85"/>
                      <w:ind w:left="393" w:right="0" w:firstLine="0"/>
                      <w:jc w:val="left"/>
                      <w:rPr>
                        <w:rFonts w:ascii="Calibri"/>
                        <w:sz w:val="18"/>
                      </w:rPr>
                    </w:pPr>
                    <w:r>
                      <w:rPr>
                        <w:rFonts w:ascii="Calibri"/>
                        <w:sz w:val="18"/>
                      </w:rPr>
                      <w:t>661.86</w:t>
                    </w:r>
                  </w:p>
                  <w:p>
                    <w:pPr>
                      <w:spacing w:line="216" w:lineRule="exact" w:before="53"/>
                      <w:ind w:left="0" w:right="0" w:firstLine="0"/>
                      <w:jc w:val="left"/>
                      <w:rPr>
                        <w:rFonts w:ascii="Calibri"/>
                        <w:sz w:val="18"/>
                      </w:rPr>
                    </w:pPr>
                    <w:r>
                      <w:rPr>
                        <w:rFonts w:ascii="Calibri"/>
                        <w:sz w:val="18"/>
                      </w:rPr>
                      <w:t>552.51</w:t>
                    </w:r>
                  </w:p>
                </w:txbxContent>
              </v:textbox>
              <w10:wrap type="none"/>
            </v:shape>
            <v:shape style="position:absolute;left:5026;top:1377;width:1973;height:1083" type="#_x0000_t202" filled="false" stroked="false">
              <v:textbox inset="0,0,0,0">
                <w:txbxContent>
                  <w:p>
                    <w:pPr>
                      <w:spacing w:line="183" w:lineRule="exact" w:before="0"/>
                      <w:ind w:left="0" w:right="0" w:firstLine="0"/>
                      <w:jc w:val="right"/>
                      <w:rPr>
                        <w:rFonts w:ascii="Calibri"/>
                        <w:sz w:val="18"/>
                      </w:rPr>
                    </w:pPr>
                    <w:r>
                      <w:rPr>
                        <w:rFonts w:ascii="Calibri"/>
                        <w:sz w:val="18"/>
                      </w:rPr>
                      <w:t>572.46</w:t>
                    </w:r>
                  </w:p>
                  <w:p>
                    <w:pPr>
                      <w:spacing w:before="51"/>
                      <w:ind w:left="1077" w:right="0" w:firstLine="0"/>
                      <w:jc w:val="left"/>
                      <w:rPr>
                        <w:rFonts w:ascii="Calibri"/>
                        <w:sz w:val="18"/>
                      </w:rPr>
                    </w:pPr>
                    <w:r>
                      <w:rPr>
                        <w:rFonts w:ascii="Calibri"/>
                        <w:sz w:val="18"/>
                      </w:rPr>
                      <w:t>485.99</w:t>
                    </w:r>
                  </w:p>
                  <w:p>
                    <w:pPr>
                      <w:spacing w:line="194" w:lineRule="exact" w:before="15"/>
                      <w:ind w:left="748" w:right="683" w:firstLine="0"/>
                      <w:jc w:val="center"/>
                      <w:rPr>
                        <w:rFonts w:ascii="Calibri"/>
                        <w:sz w:val="18"/>
                      </w:rPr>
                    </w:pPr>
                    <w:r>
                      <w:rPr>
                        <w:rFonts w:ascii="Calibri"/>
                        <w:sz w:val="18"/>
                      </w:rPr>
                      <w:t>437.34</w:t>
                    </w:r>
                  </w:p>
                  <w:p>
                    <w:pPr>
                      <w:spacing w:line="194" w:lineRule="exact" w:before="0"/>
                      <w:ind w:left="346" w:right="0" w:firstLine="0"/>
                      <w:jc w:val="left"/>
                      <w:rPr>
                        <w:rFonts w:ascii="Calibri"/>
                        <w:sz w:val="18"/>
                      </w:rPr>
                    </w:pPr>
                    <w:r>
                      <w:rPr>
                        <w:rFonts w:ascii="Calibri"/>
                        <w:sz w:val="18"/>
                      </w:rPr>
                      <w:t>385.01</w:t>
                    </w:r>
                  </w:p>
                  <w:p>
                    <w:pPr>
                      <w:spacing w:line="216" w:lineRule="exact" w:before="9"/>
                      <w:ind w:left="0" w:right="0" w:firstLine="0"/>
                      <w:jc w:val="left"/>
                      <w:rPr>
                        <w:rFonts w:ascii="Calibri"/>
                        <w:sz w:val="18"/>
                      </w:rPr>
                    </w:pPr>
                    <w:r>
                      <w:rPr>
                        <w:rFonts w:ascii="Calibri"/>
                        <w:sz w:val="18"/>
                      </w:rPr>
                      <w:t>315.73</w:t>
                    </w:r>
                  </w:p>
                </w:txbxContent>
              </v:textbox>
              <w10:wrap type="none"/>
            </v:shape>
            <v:shape style="position:absolute;left:8953;top:1598;width:502;height:180" type="#_x0000_t202" filled="false" stroked="false">
              <v:textbox inset="0,0,0,0">
                <w:txbxContent>
                  <w:p>
                    <w:pPr>
                      <w:spacing w:line="180" w:lineRule="exact" w:before="0"/>
                      <w:ind w:left="0" w:right="-20" w:firstLine="0"/>
                      <w:jc w:val="left"/>
                      <w:rPr>
                        <w:rFonts w:ascii="Calibri"/>
                        <w:sz w:val="18"/>
                      </w:rPr>
                    </w:pPr>
                    <w:r>
                      <w:rPr>
                        <w:rFonts w:ascii="Calibri"/>
                        <w:sz w:val="18"/>
                      </w:rPr>
                      <w:t>493.53</w:t>
                    </w:r>
                  </w:p>
                </w:txbxContent>
              </v:textbox>
              <w10:wrap type="none"/>
            </v:shape>
            <v:shape style="position:absolute;left:7308;top:1817;width:1508;height:743" type="#_x0000_t202" filled="false" stroked="false">
              <v:textbox inset="0,0,0,0">
                <w:txbxContent>
                  <w:p>
                    <w:pPr>
                      <w:spacing w:line="161" w:lineRule="exact" w:before="0"/>
                      <w:ind w:left="0" w:right="0" w:firstLine="0"/>
                      <w:jc w:val="right"/>
                      <w:rPr>
                        <w:rFonts w:ascii="Calibri"/>
                        <w:sz w:val="18"/>
                      </w:rPr>
                    </w:pPr>
                    <w:r>
                      <w:rPr>
                        <w:rFonts w:ascii="Calibri"/>
                        <w:sz w:val="18"/>
                      </w:rPr>
                      <w:t>431.</w:t>
                    </w:r>
                  </w:p>
                  <w:p>
                    <w:pPr>
                      <w:spacing w:line="197" w:lineRule="exact" w:before="0"/>
                      <w:ind w:left="721" w:right="0" w:firstLine="0"/>
                      <w:jc w:val="left"/>
                      <w:rPr>
                        <w:rFonts w:ascii="Calibri"/>
                        <w:sz w:val="18"/>
                      </w:rPr>
                    </w:pPr>
                    <w:r>
                      <w:rPr>
                        <w:rFonts w:ascii="Calibri"/>
                        <w:sz w:val="18"/>
                      </w:rPr>
                      <w:t>402.79</w:t>
                    </w:r>
                  </w:p>
                  <w:p>
                    <w:pPr>
                      <w:spacing w:line="189" w:lineRule="exact" w:before="10"/>
                      <w:ind w:left="414" w:right="0" w:firstLine="0"/>
                      <w:jc w:val="left"/>
                      <w:rPr>
                        <w:rFonts w:ascii="Calibri"/>
                        <w:sz w:val="18"/>
                      </w:rPr>
                    </w:pPr>
                    <w:r>
                      <w:rPr>
                        <w:rFonts w:ascii="Calibri"/>
                        <w:sz w:val="18"/>
                      </w:rPr>
                      <w:t>351.59</w:t>
                    </w:r>
                  </w:p>
                  <w:p>
                    <w:pPr>
                      <w:spacing w:line="185" w:lineRule="exact" w:before="0"/>
                      <w:ind w:left="0" w:right="0" w:firstLine="0"/>
                      <w:jc w:val="left"/>
                      <w:rPr>
                        <w:rFonts w:ascii="Calibri"/>
                        <w:sz w:val="18"/>
                      </w:rPr>
                    </w:pPr>
                    <w:r>
                      <w:rPr>
                        <w:rFonts w:ascii="Calibri"/>
                        <w:sz w:val="18"/>
                      </w:rPr>
                      <w:t>290.34</w:t>
                    </w:r>
                  </w:p>
                </w:txbxContent>
              </v:textbox>
              <w10:wrap type="none"/>
            </v:shape>
            <w10:wrap type="none"/>
          </v:group>
        </w:pict>
      </w:r>
      <w:r>
        <w:rPr>
          <w:rFonts w:ascii="Calibri"/>
          <w:sz w:val="18"/>
        </w:rPr>
        <w:t>958.02</w:t>
      </w:r>
    </w:p>
    <w:p>
      <w:pPr>
        <w:pStyle w:val="BodyText"/>
        <w:rPr>
          <w:rFonts w:ascii="Calibri"/>
          <w:sz w:val="18"/>
        </w:rPr>
      </w:pPr>
      <w:r>
        <w:rPr/>
        <w:br w:type="column"/>
      </w:r>
      <w:r>
        <w:rPr>
          <w:rFonts w:ascii="Calibri"/>
          <w:sz w:val="18"/>
        </w:rPr>
      </w:r>
    </w:p>
    <w:p>
      <w:pPr>
        <w:pStyle w:val="BodyText"/>
        <w:rPr>
          <w:rFonts w:ascii="Calibri"/>
          <w:sz w:val="18"/>
        </w:rPr>
      </w:pPr>
    </w:p>
    <w:p>
      <w:pPr>
        <w:pStyle w:val="BodyText"/>
        <w:rPr>
          <w:rFonts w:ascii="Calibri"/>
          <w:sz w:val="18"/>
        </w:rPr>
      </w:pPr>
    </w:p>
    <w:p>
      <w:pPr>
        <w:pStyle w:val="BodyText"/>
        <w:spacing w:before="7"/>
        <w:rPr>
          <w:rFonts w:ascii="Calibri"/>
          <w:sz w:val="16"/>
        </w:rPr>
      </w:pPr>
    </w:p>
    <w:p>
      <w:pPr>
        <w:spacing w:before="0"/>
        <w:ind w:left="356" w:right="0" w:firstLine="0"/>
        <w:jc w:val="left"/>
        <w:rPr>
          <w:rFonts w:ascii="Calibri"/>
          <w:sz w:val="18"/>
        </w:rPr>
      </w:pPr>
      <w:r>
        <w:rPr/>
        <w:pict>
          <v:line style="position:absolute;mso-position-horizontal-relative:page;mso-position-vertical-relative:paragraph;z-index:2560" from="491.220001pt,3.529331pt" to="491.220001pt,8.449331pt" stroked="true" strokeweight="4.92pt" strokecolor="#4f81bc">
            <w10:wrap type="none"/>
          </v:line>
        </w:pict>
      </w:r>
      <w:r>
        <w:rPr>
          <w:rFonts w:ascii="Calibri"/>
          <w:sz w:val="18"/>
        </w:rPr>
        <w:t>1990</w:t>
      </w:r>
    </w:p>
    <w:p>
      <w:pPr>
        <w:pStyle w:val="BodyText"/>
        <w:spacing w:before="5"/>
        <w:rPr>
          <w:rFonts w:ascii="Calibri"/>
          <w:sz w:val="21"/>
        </w:rPr>
      </w:pPr>
    </w:p>
    <w:p>
      <w:pPr>
        <w:spacing w:before="0"/>
        <w:ind w:left="356" w:right="0" w:firstLine="0"/>
        <w:jc w:val="left"/>
        <w:rPr>
          <w:rFonts w:ascii="Calibri"/>
          <w:sz w:val="18"/>
        </w:rPr>
      </w:pPr>
      <w:r>
        <w:rPr/>
        <w:pict>
          <v:line style="position:absolute;mso-position-horizontal-relative:page;mso-position-vertical-relative:paragraph;z-index:2584" from="491.220001pt,3.459324pt" to="491.220001pt,8.499324pt" stroked="true" strokeweight="4.92pt" strokecolor="#c0504d">
            <w10:wrap type="none"/>
          </v:line>
        </w:pict>
      </w:r>
      <w:r>
        <w:rPr>
          <w:rFonts w:ascii="Calibri"/>
          <w:sz w:val="18"/>
        </w:rPr>
        <w:t>1995</w:t>
      </w:r>
    </w:p>
    <w:p>
      <w:pPr>
        <w:pStyle w:val="BodyText"/>
        <w:spacing w:before="5"/>
        <w:rPr>
          <w:rFonts w:ascii="Calibri"/>
          <w:sz w:val="21"/>
        </w:rPr>
      </w:pPr>
    </w:p>
    <w:p>
      <w:pPr>
        <w:spacing w:before="1"/>
        <w:ind w:left="356" w:right="0" w:firstLine="0"/>
        <w:jc w:val="left"/>
        <w:rPr>
          <w:rFonts w:ascii="Calibri"/>
          <w:sz w:val="18"/>
        </w:rPr>
      </w:pPr>
      <w:r>
        <w:rPr/>
        <w:pict>
          <v:line style="position:absolute;mso-position-horizontal-relative:page;mso-position-vertical-relative:paragraph;z-index:2608" from="491.220001pt,3.529333pt" to="491.220001pt,8.449333pt" stroked="true" strokeweight="4.92pt" strokecolor="#9bba58">
            <w10:wrap type="none"/>
          </v:line>
        </w:pict>
      </w:r>
      <w:r>
        <w:rPr>
          <w:rFonts w:ascii="Calibri"/>
          <w:sz w:val="18"/>
        </w:rPr>
        <w:t>2000</w:t>
      </w:r>
    </w:p>
    <w:p>
      <w:pPr>
        <w:pStyle w:val="BodyText"/>
        <w:spacing w:before="5"/>
        <w:rPr>
          <w:rFonts w:ascii="Calibri"/>
          <w:sz w:val="21"/>
        </w:rPr>
      </w:pPr>
    </w:p>
    <w:p>
      <w:pPr>
        <w:spacing w:before="0"/>
        <w:ind w:left="356" w:right="0" w:firstLine="0"/>
        <w:jc w:val="left"/>
        <w:rPr>
          <w:rFonts w:ascii="Calibri"/>
          <w:sz w:val="18"/>
        </w:rPr>
      </w:pPr>
      <w:r>
        <w:rPr/>
        <w:pict>
          <v:line style="position:absolute;mso-position-horizontal-relative:page;mso-position-vertical-relative:paragraph;z-index:2632" from="491.220001pt,3.529341pt" to="491.220001pt,8.449341pt" stroked="true" strokeweight="4.92pt" strokecolor="#8063a1">
            <w10:wrap type="none"/>
          </v:line>
        </w:pict>
      </w:r>
      <w:r>
        <w:rPr>
          <w:rFonts w:ascii="Calibri"/>
          <w:sz w:val="18"/>
        </w:rPr>
        <w:t>2005</w:t>
      </w:r>
    </w:p>
    <w:p>
      <w:pPr>
        <w:pStyle w:val="BodyText"/>
        <w:spacing w:before="5"/>
        <w:rPr>
          <w:rFonts w:ascii="Calibri"/>
          <w:sz w:val="21"/>
        </w:rPr>
      </w:pPr>
    </w:p>
    <w:p>
      <w:pPr>
        <w:spacing w:before="1"/>
        <w:ind w:left="356" w:right="0" w:firstLine="0"/>
        <w:jc w:val="left"/>
        <w:rPr>
          <w:rFonts w:ascii="Calibri"/>
          <w:sz w:val="18"/>
        </w:rPr>
      </w:pPr>
      <w:r>
        <w:rPr/>
        <w:pict>
          <v:line style="position:absolute;mso-position-horizontal-relative:page;mso-position-vertical-relative:paragraph;z-index:2656" from="491.220001pt,3.479335pt" to="491.220001pt,8.519335pt" stroked="true" strokeweight="4.92pt" strokecolor="#4aacc5">
            <w10:wrap type="none"/>
          </v:line>
        </w:pict>
      </w:r>
      <w:r>
        <w:rPr>
          <w:rFonts w:ascii="Calibri"/>
          <w:sz w:val="18"/>
        </w:rPr>
        <w:t>2010</w:t>
      </w:r>
    </w:p>
    <w:p>
      <w:pPr>
        <w:spacing w:after="0"/>
        <w:jc w:val="left"/>
        <w:rPr>
          <w:rFonts w:ascii="Calibri"/>
          <w:sz w:val="18"/>
        </w:rPr>
        <w:sectPr>
          <w:type w:val="continuous"/>
          <w:pgSz w:w="12240" w:h="15840"/>
          <w:pgMar w:top="1500" w:bottom="280" w:left="1600" w:right="1580"/>
          <w:cols w:num="3" w:equalWidth="0">
            <w:col w:w="885" w:space="770"/>
            <w:col w:w="5367" w:space="937"/>
            <w:col w:w="1101"/>
          </w:cols>
        </w:sectPr>
      </w:pPr>
    </w:p>
    <w:p>
      <w:pPr>
        <w:spacing w:before="38"/>
        <w:ind w:left="1919" w:right="-20" w:hanging="740"/>
        <w:jc w:val="left"/>
        <w:rPr>
          <w:rFonts w:ascii="Calibri" w:hAnsi="Calibri"/>
          <w:sz w:val="20"/>
        </w:rPr>
      </w:pPr>
      <w:r>
        <w:rPr>
          <w:rFonts w:ascii="Calibri" w:hAnsi="Calibri"/>
          <w:sz w:val="20"/>
        </w:rPr>
        <w:t>Área urbana continua de Toluca</w:t>
      </w:r>
    </w:p>
    <w:p>
      <w:pPr>
        <w:spacing w:before="38"/>
        <w:ind w:left="817" w:right="-20" w:hanging="476"/>
        <w:jc w:val="left"/>
        <w:rPr>
          <w:rFonts w:ascii="Calibri" w:hAnsi="Calibri"/>
          <w:sz w:val="20"/>
        </w:rPr>
      </w:pPr>
      <w:r>
        <w:rPr/>
        <w:br w:type="column"/>
      </w:r>
      <w:r>
        <w:rPr>
          <w:rFonts w:ascii="Calibri" w:hAnsi="Calibri"/>
          <w:sz w:val="20"/>
        </w:rPr>
        <w:t>Interrelación funcional intermedia</w:t>
      </w:r>
    </w:p>
    <w:p>
      <w:pPr>
        <w:spacing w:before="38"/>
        <w:ind w:left="885" w:right="481" w:hanging="497"/>
        <w:jc w:val="left"/>
        <w:rPr>
          <w:rFonts w:ascii="Calibri" w:hAnsi="Calibri"/>
          <w:sz w:val="20"/>
        </w:rPr>
      </w:pPr>
      <w:r>
        <w:rPr/>
        <w:br w:type="column"/>
      </w:r>
      <w:r>
        <w:rPr>
          <w:rFonts w:ascii="Calibri" w:hAnsi="Calibri"/>
          <w:sz w:val="20"/>
        </w:rPr>
        <w:t>Relación externa, resto municipios</w:t>
      </w:r>
    </w:p>
    <w:p>
      <w:pPr>
        <w:spacing w:after="0"/>
        <w:jc w:val="left"/>
        <w:rPr>
          <w:rFonts w:ascii="Calibri" w:hAnsi="Calibri"/>
          <w:sz w:val="20"/>
        </w:rPr>
        <w:sectPr>
          <w:type w:val="continuous"/>
          <w:pgSz w:w="12240" w:h="15840"/>
          <w:pgMar w:top="1500" w:bottom="280" w:left="1600" w:right="1580"/>
          <w:cols w:num="3" w:equalWidth="0">
            <w:col w:w="3191" w:space="40"/>
            <w:col w:w="2184" w:space="40"/>
            <w:col w:w="3605"/>
          </w:cols>
        </w:sectPr>
      </w:pPr>
    </w:p>
    <w:p>
      <w:pPr>
        <w:pStyle w:val="BodyText"/>
        <w:spacing w:before="8"/>
        <w:rPr>
          <w:rFonts w:ascii="Calibri"/>
          <w:sz w:val="8"/>
        </w:rPr>
      </w:pPr>
    </w:p>
    <w:p>
      <w:pPr>
        <w:spacing w:before="74"/>
        <w:ind w:left="2325" w:right="296" w:hanging="2003"/>
        <w:jc w:val="left"/>
        <w:rPr>
          <w:sz w:val="20"/>
        </w:rPr>
      </w:pPr>
      <w:r>
        <w:rPr>
          <w:sz w:val="20"/>
        </w:rPr>
        <w:t>Fuente: Elaboración propia con información de los respectivos Censos General de Población y Vivienda, Conteo de Población y Vivienda e ITER</w:t>
      </w:r>
    </w:p>
    <w:p>
      <w:pPr>
        <w:spacing w:after="0"/>
        <w:jc w:val="left"/>
        <w:rPr>
          <w:sz w:val="20"/>
        </w:rPr>
        <w:sectPr>
          <w:type w:val="continuous"/>
          <w:pgSz w:w="12240" w:h="15840"/>
          <w:pgMar w:top="1500" w:bottom="280" w:left="1600" w:right="1580"/>
        </w:sectPr>
      </w:pPr>
    </w:p>
    <w:p>
      <w:pPr>
        <w:pStyle w:val="BodyText"/>
        <w:spacing w:line="328" w:lineRule="auto" w:before="57"/>
        <w:ind w:left="102" w:right="117"/>
        <w:jc w:val="both"/>
      </w:pPr>
      <w:r>
        <w:rPr/>
        <w:t>En el ámbito de relación externa, la densidad de población registrada en 1990 fue de 290.34 hab./km.</w:t>
      </w:r>
      <w:r>
        <w:rPr>
          <w:position w:val="11"/>
          <w:sz w:val="16"/>
        </w:rPr>
        <w:t>2 </w:t>
      </w:r>
      <w:r>
        <w:rPr/>
        <w:t>y ascendió a 351.59 en 1995, la densidad de vivienda en  1990 fue de 51.95 y de 67.06 viv./km.</w:t>
      </w:r>
      <w:r>
        <w:rPr>
          <w:position w:val="11"/>
          <w:sz w:val="16"/>
        </w:rPr>
        <w:t>2 </w:t>
      </w:r>
      <w:r>
        <w:rPr/>
        <w:t>en 1995. Los municipios con mayor consumo de suelo por habitante, Xalataco con 6.63 m.</w:t>
      </w:r>
      <w:r>
        <w:rPr>
          <w:position w:val="11"/>
          <w:sz w:val="16"/>
        </w:rPr>
        <w:t>2</w:t>
      </w:r>
      <w:r>
        <w:rPr/>
        <w:t>/hab. y en contraste Texcalyacac con 6.05 m.</w:t>
      </w:r>
      <w:r>
        <w:rPr>
          <w:position w:val="11"/>
          <w:sz w:val="16"/>
        </w:rPr>
        <w:t>2</w:t>
      </w:r>
      <w:r>
        <w:rPr/>
        <w:t>/hab. en 1990. En este ámbito se registra menor</w:t>
      </w:r>
      <w:r>
        <w:rPr>
          <w:spacing w:val="49"/>
        </w:rPr>
        <w:t> </w:t>
      </w:r>
      <w:r>
        <w:rPr/>
        <w:t>número</w:t>
      </w:r>
    </w:p>
    <w:p>
      <w:pPr>
        <w:pStyle w:val="BodyText"/>
        <w:spacing w:line="360" w:lineRule="auto" w:before="26"/>
        <w:ind w:left="102" w:right="116"/>
        <w:jc w:val="both"/>
      </w:pPr>
      <w:r>
        <w:rPr/>
        <w:t>de unidades de vivienda y de población por superficie y con una proporción de suelo urbanizable mayor por habitante (ver gráficas 5, 6 7 y anexo cuadro A. 4.8,  A. 4.9 y A.</w:t>
      </w:r>
      <w:r>
        <w:rPr>
          <w:spacing w:val="-6"/>
        </w:rPr>
        <w:t> </w:t>
      </w:r>
      <w:r>
        <w:rPr/>
        <w:t>4.10).</w:t>
      </w:r>
    </w:p>
    <w:p>
      <w:pPr>
        <w:pStyle w:val="BodyText"/>
        <w:spacing w:before="2"/>
        <w:rPr>
          <w:sz w:val="18"/>
        </w:rPr>
      </w:pPr>
    </w:p>
    <w:p>
      <w:pPr>
        <w:spacing w:before="74"/>
        <w:ind w:left="2074" w:right="296" w:firstLine="0"/>
        <w:jc w:val="left"/>
        <w:rPr>
          <w:sz w:val="20"/>
        </w:rPr>
      </w:pPr>
      <w:r>
        <w:rPr>
          <w:sz w:val="20"/>
        </w:rPr>
        <w:t>Gráfica No 6. ZMT. Densidad de vivienda, 1990 a 2010</w:t>
      </w:r>
    </w:p>
    <w:p>
      <w:pPr>
        <w:spacing w:before="57"/>
        <w:ind w:left="602" w:right="296" w:firstLine="0"/>
        <w:jc w:val="left"/>
        <w:rPr>
          <w:rFonts w:ascii="Calibri"/>
          <w:sz w:val="16"/>
        </w:rPr>
      </w:pPr>
      <w:r>
        <w:rPr/>
        <w:pict>
          <v:group style="position:absolute;margin-left:136.904999pt;margin-top:7.88217pt;width:347.55pt;height:147.65pt;mso-position-horizontal-relative:page;mso-position-vertical-relative:paragraph;z-index:2896" coordorigin="2738,158" coordsize="6951,2953">
            <v:rect style="position:absolute;left:3086;top:1893;width:343;height:1210" filled="true" fillcolor="#4f81bc" stroked="false">
              <v:fill type="solid"/>
            </v:rect>
            <v:rect style="position:absolute;left:3430;top:1552;width:343;height:1550" filled="true" fillcolor="#c0504d" stroked="false">
              <v:fill type="solid"/>
            </v:rect>
            <v:rect style="position:absolute;left:3773;top:1192;width:341;height:1910" filled="true" fillcolor="#9bba58" stroked="false">
              <v:fill type="solid"/>
            </v:rect>
            <v:rect style="position:absolute;left:4114;top:849;width:343;height:2254" filled="true" fillcolor="#8063a1" stroked="false">
              <v:fill type="solid"/>
            </v:rect>
            <v:rect style="position:absolute;left:4457;top:429;width:343;height:2674" filled="true" fillcolor="#4aacc5" stroked="false">
              <v:fill type="solid"/>
            </v:rect>
            <v:rect style="position:absolute;left:5381;top:2479;width:343;height:624" filled="true" fillcolor="#4f81bc" stroked="false">
              <v:fill type="solid"/>
            </v:rect>
            <v:rect style="position:absolute;left:5724;top:2284;width:343;height:818" filled="true" fillcolor="#c0504d" stroked="false">
              <v:fill type="solid"/>
            </v:rect>
            <v:rect style="position:absolute;left:6067;top:2126;width:343;height:977" filled="true" fillcolor="#9bba58" stroked="false">
              <v:fill type="solid"/>
            </v:rect>
            <v:rect style="position:absolute;left:6410;top:1970;width:341;height:1133" filled="true" fillcolor="#8063a1" stroked="false">
              <v:fill type="solid"/>
            </v:rect>
            <v:rect style="position:absolute;left:6751;top:1641;width:343;height:1462" filled="true" fillcolor="#4aacc5" stroked="false">
              <v:fill type="solid"/>
            </v:rect>
            <v:rect style="position:absolute;left:7678;top:2493;width:341;height:610" filled="true" fillcolor="#4f81bc" stroked="false">
              <v:fill type="solid"/>
            </v:rect>
            <v:rect style="position:absolute;left:8018;top:2316;width:343;height:787" filled="true" fillcolor="#c0504d" stroked="false">
              <v:fill type="solid"/>
            </v:rect>
            <v:rect style="position:absolute;left:8362;top:2157;width:343;height:946" filled="true" fillcolor="#9bba58" stroked="false">
              <v:fill type="solid"/>
            </v:rect>
            <v:rect style="position:absolute;left:8705;top:2047;width:343;height:1056" filled="true" fillcolor="#8063a1" stroked="false">
              <v:fill type="solid"/>
            </v:rect>
            <v:rect style="position:absolute;left:9048;top:1828;width:341;height:1274" filled="true" fillcolor="#4aacc5" stroked="false">
              <v:fill type="solid"/>
            </v:rect>
            <v:shape style="position:absolute;left:2746;top:165;width:6936;height:2938" coordorigin="2746,165" coordsize="6936,2938" path="m2796,3103l2796,165m2746,3103l2796,3103m2746,2515l2796,2515m2746,1927l2796,1927m2746,1339l2796,1339m2746,751l2796,751m2746,165l2796,165m2796,3103l9682,3103e" filled="false" stroked="true" strokeweight=".72pt" strokecolor="#858585">
              <v:path arrowok="t"/>
            </v:shape>
            <v:shape style="position:absolute;left:4405;top:176;width:449;height:161" type="#_x0000_t202" filled="false" stroked="false">
              <v:textbox inset="0,0,0,0">
                <w:txbxContent>
                  <w:p>
                    <w:pPr>
                      <w:spacing w:line="161" w:lineRule="exact" w:before="0"/>
                      <w:ind w:left="0" w:right="-17" w:firstLine="0"/>
                      <w:jc w:val="left"/>
                      <w:rPr>
                        <w:rFonts w:ascii="Calibri"/>
                        <w:sz w:val="16"/>
                      </w:rPr>
                    </w:pPr>
                    <w:r>
                      <w:rPr>
                        <w:rFonts w:ascii="Calibri"/>
                        <w:sz w:val="16"/>
                      </w:rPr>
                      <w:t>227.37</w:t>
                    </w:r>
                  </w:p>
                </w:txbxContent>
              </v:textbox>
              <w10:wrap type="none"/>
            </v:shape>
            <v:shape style="position:absolute;left:3194;top:594;width:1160;height:963" type="#_x0000_t202" filled="false" stroked="false">
              <v:textbox inset="0,0,0,0">
                <w:txbxContent>
                  <w:p>
                    <w:pPr>
                      <w:spacing w:line="164" w:lineRule="exact" w:before="0"/>
                      <w:ind w:left="711" w:right="-17" w:firstLine="0"/>
                      <w:jc w:val="left"/>
                      <w:rPr>
                        <w:rFonts w:ascii="Calibri"/>
                        <w:sz w:val="16"/>
                      </w:rPr>
                    </w:pPr>
                    <w:r>
                      <w:rPr>
                        <w:rFonts w:ascii="Calibri"/>
                        <w:sz w:val="16"/>
                      </w:rPr>
                      <w:t>191.79</w:t>
                    </w:r>
                  </w:p>
                  <w:p>
                    <w:pPr>
                      <w:spacing w:line="240" w:lineRule="auto" w:before="7"/>
                      <w:rPr>
                        <w:sz w:val="19"/>
                      </w:rPr>
                    </w:pPr>
                  </w:p>
                  <w:p>
                    <w:pPr>
                      <w:spacing w:before="0"/>
                      <w:ind w:left="342" w:right="-17" w:firstLine="0"/>
                      <w:jc w:val="left"/>
                      <w:rPr>
                        <w:rFonts w:ascii="Calibri"/>
                        <w:sz w:val="16"/>
                      </w:rPr>
                    </w:pPr>
                    <w:r>
                      <w:rPr>
                        <w:rFonts w:ascii="Calibri"/>
                        <w:sz w:val="16"/>
                      </w:rPr>
                      <w:t>162.58</w:t>
                    </w:r>
                  </w:p>
                  <w:p>
                    <w:pPr>
                      <w:spacing w:line="240" w:lineRule="auto" w:before="1"/>
                      <w:rPr>
                        <w:sz w:val="16"/>
                      </w:rPr>
                    </w:pPr>
                  </w:p>
                  <w:p>
                    <w:pPr>
                      <w:spacing w:line="193" w:lineRule="exact" w:before="0"/>
                      <w:ind w:left="0" w:right="-17" w:firstLine="0"/>
                      <w:jc w:val="left"/>
                      <w:rPr>
                        <w:rFonts w:ascii="Calibri"/>
                        <w:sz w:val="16"/>
                      </w:rPr>
                    </w:pPr>
                    <w:r>
                      <w:rPr>
                        <w:rFonts w:ascii="Calibri"/>
                        <w:sz w:val="16"/>
                      </w:rPr>
                      <w:t>131.86</w:t>
                    </w:r>
                  </w:p>
                </w:txbxContent>
              </v:textbox>
              <w10:wrap type="none"/>
            </v:shape>
            <v:shape style="position:absolute;left:6701;top:1388;width:449;height:161" type="#_x0000_t202" filled="false" stroked="false">
              <v:textbox inset="0,0,0,0">
                <w:txbxContent>
                  <w:p>
                    <w:pPr>
                      <w:spacing w:line="161" w:lineRule="exact" w:before="0"/>
                      <w:ind w:left="0" w:right="-17" w:firstLine="0"/>
                      <w:jc w:val="left"/>
                      <w:rPr>
                        <w:rFonts w:ascii="Calibri"/>
                        <w:sz w:val="16"/>
                      </w:rPr>
                    </w:pPr>
                    <w:r>
                      <w:rPr>
                        <w:rFonts w:ascii="Calibri"/>
                        <w:sz w:val="16"/>
                      </w:rPr>
                      <w:t>124.25</w:t>
                    </w:r>
                  </w:p>
                </w:txbxContent>
              </v:textbox>
              <w10:wrap type="none"/>
            </v:shape>
            <v:shape style="position:absolute;left:2878;top:1574;width:6568;height:537" type="#_x0000_t202" filled="false" stroked="false">
              <v:textbox inset="0,0,0,0">
                <w:txbxContent>
                  <w:p>
                    <w:pPr>
                      <w:spacing w:line="137" w:lineRule="exact" w:before="0"/>
                      <w:ind w:left="0" w:right="0" w:firstLine="0"/>
                      <w:jc w:val="right"/>
                      <w:rPr>
                        <w:rFonts w:ascii="Calibri"/>
                        <w:sz w:val="16"/>
                      </w:rPr>
                    </w:pPr>
                    <w:r>
                      <w:rPr>
                        <w:rFonts w:ascii="Calibri"/>
                        <w:sz w:val="16"/>
                      </w:rPr>
                      <w:t>108.45</w:t>
                    </w:r>
                  </w:p>
                  <w:p>
                    <w:pPr>
                      <w:tabs>
                        <w:tab w:pos="3521" w:val="left" w:leader="none"/>
                        <w:tab w:pos="5816" w:val="left" w:leader="none"/>
                      </w:tabs>
                      <w:spacing w:line="228" w:lineRule="exact" w:before="0"/>
                      <w:ind w:left="0" w:right="0" w:firstLine="0"/>
                      <w:jc w:val="left"/>
                      <w:rPr>
                        <w:rFonts w:ascii="Calibri"/>
                        <w:sz w:val="16"/>
                      </w:rPr>
                    </w:pPr>
                    <w:r>
                      <w:rPr>
                        <w:rFonts w:ascii="Calibri"/>
                        <w:sz w:val="16"/>
                      </w:rPr>
                      <w:t>102.90</w:t>
                      <w:tab/>
                    </w:r>
                    <w:r>
                      <w:rPr>
                        <w:rFonts w:ascii="Calibri"/>
                        <w:position w:val="2"/>
                        <w:sz w:val="16"/>
                      </w:rPr>
                      <w:t>96.46</w:t>
                      <w:tab/>
                    </w:r>
                    <w:r>
                      <w:rPr>
                        <w:rFonts w:ascii="Calibri"/>
                        <w:position w:val="-5"/>
                        <w:sz w:val="16"/>
                      </w:rPr>
                      <w:t>89.82</w:t>
                    </w:r>
                  </w:p>
                  <w:p>
                    <w:pPr>
                      <w:spacing w:line="171" w:lineRule="exact" w:before="0"/>
                      <w:ind w:left="3030" w:right="3132" w:firstLine="0"/>
                      <w:jc w:val="center"/>
                      <w:rPr>
                        <w:rFonts w:ascii="Calibri"/>
                        <w:sz w:val="16"/>
                      </w:rPr>
                    </w:pPr>
                    <w:r>
                      <w:rPr>
                        <w:rFonts w:ascii="Calibri"/>
                        <w:sz w:val="16"/>
                      </w:rPr>
                      <w:t>83.16</w:t>
                    </w:r>
                  </w:p>
                </w:txbxContent>
              </v:textbox>
              <w10:wrap type="none"/>
            </v:shape>
            <v:shape style="position:absolute;left:5556;top:2109;width:367;height:161" type="#_x0000_t202" filled="false" stroked="false">
              <v:textbox inset="0,0,0,0">
                <w:txbxContent>
                  <w:p>
                    <w:pPr>
                      <w:spacing w:line="161" w:lineRule="exact" w:before="0"/>
                      <w:ind w:left="0" w:right="-18" w:firstLine="0"/>
                      <w:jc w:val="left"/>
                      <w:rPr>
                        <w:rFonts w:ascii="Calibri"/>
                        <w:sz w:val="16"/>
                      </w:rPr>
                    </w:pPr>
                    <w:r>
                      <w:rPr>
                        <w:rFonts w:ascii="Calibri"/>
                        <w:sz w:val="16"/>
                      </w:rPr>
                      <w:t>69.57</w:t>
                    </w:r>
                  </w:p>
                </w:txbxContent>
              </v:textbox>
              <w10:wrap type="none"/>
            </v:shape>
            <v:shape style="position:absolute;left:8220;top:2000;width:368;height:162" type="#_x0000_t202" filled="false" stroked="false">
              <v:textbox inset="0,0,0,0">
                <w:txbxContent>
                  <w:p>
                    <w:pPr>
                      <w:spacing w:line="161" w:lineRule="exact" w:before="0"/>
                      <w:ind w:left="0" w:right="-17" w:firstLine="0"/>
                      <w:jc w:val="left"/>
                      <w:rPr>
                        <w:rFonts w:ascii="Calibri"/>
                        <w:sz w:val="16"/>
                      </w:rPr>
                    </w:pPr>
                    <w:r>
                      <w:rPr>
                        <w:rFonts w:ascii="Calibri"/>
                        <w:sz w:val="16"/>
                      </w:rPr>
                      <w:t>80.51</w:t>
                    </w:r>
                  </w:p>
                </w:txbxContent>
              </v:textbox>
              <w10:wrap type="none"/>
            </v:shape>
            <v:shape style="position:absolute;left:5187;top:2284;width:367;height:161" type="#_x0000_t202" filled="false" stroked="false">
              <v:textbox inset="0,0,0,0">
                <w:txbxContent>
                  <w:p>
                    <w:pPr>
                      <w:spacing w:line="161" w:lineRule="exact" w:before="0"/>
                      <w:ind w:left="0" w:right="-18" w:firstLine="0"/>
                      <w:jc w:val="left"/>
                      <w:rPr>
                        <w:rFonts w:ascii="Calibri"/>
                        <w:sz w:val="16"/>
                      </w:rPr>
                    </w:pPr>
                    <w:r>
                      <w:rPr>
                        <w:rFonts w:ascii="Calibri"/>
                        <w:sz w:val="16"/>
                      </w:rPr>
                      <w:t>53.01</w:t>
                    </w:r>
                  </w:p>
                </w:txbxContent>
              </v:textbox>
              <w10:wrap type="none"/>
            </v:shape>
            <v:shape style="position:absolute;left:7535;top:2178;width:684;height:319" type="#_x0000_t202" filled="false" stroked="false">
              <v:textbox inset="0,0,0,0">
                <w:txbxContent>
                  <w:p>
                    <w:pPr>
                      <w:spacing w:line="145" w:lineRule="exact" w:before="0"/>
                      <w:ind w:left="316" w:right="-17" w:firstLine="0"/>
                      <w:jc w:val="left"/>
                      <w:rPr>
                        <w:rFonts w:ascii="Calibri"/>
                        <w:sz w:val="16"/>
                      </w:rPr>
                    </w:pPr>
                    <w:r>
                      <w:rPr>
                        <w:rFonts w:ascii="Calibri"/>
                        <w:sz w:val="16"/>
                      </w:rPr>
                      <w:t>67.06</w:t>
                    </w:r>
                  </w:p>
                  <w:p>
                    <w:pPr>
                      <w:spacing w:line="174" w:lineRule="exact" w:before="0"/>
                      <w:ind w:left="0" w:right="-17" w:firstLine="0"/>
                      <w:jc w:val="left"/>
                      <w:rPr>
                        <w:rFonts w:ascii="Calibri"/>
                        <w:sz w:val="16"/>
                      </w:rPr>
                    </w:pPr>
                    <w:r>
                      <w:rPr>
                        <w:rFonts w:ascii="Calibri"/>
                        <w:sz w:val="16"/>
                      </w:rPr>
                      <w:t>51.95</w:t>
                    </w:r>
                  </w:p>
                </w:txbxContent>
              </v:textbox>
              <w10:wrap type="none"/>
            </v:shape>
            <w10:wrap type="none"/>
          </v:group>
        </w:pict>
      </w:r>
      <w:r>
        <w:rPr>
          <w:rFonts w:ascii="Calibri"/>
          <w:sz w:val="16"/>
        </w:rPr>
        <w:t>250.00</w:t>
      </w:r>
    </w:p>
    <w:p>
      <w:pPr>
        <w:pStyle w:val="BodyText"/>
        <w:spacing w:before="6"/>
        <w:rPr>
          <w:rFonts w:ascii="Calibri"/>
          <w:sz w:val="26"/>
        </w:rPr>
      </w:pPr>
    </w:p>
    <w:p>
      <w:pPr>
        <w:spacing w:before="68"/>
        <w:ind w:left="602" w:right="296" w:firstLine="0"/>
        <w:jc w:val="left"/>
        <w:rPr>
          <w:rFonts w:ascii="Calibri"/>
          <w:sz w:val="16"/>
        </w:rPr>
      </w:pPr>
      <w:r>
        <w:rPr>
          <w:rFonts w:ascii="Calibri"/>
          <w:sz w:val="16"/>
        </w:rPr>
        <w:t>200.00</w:t>
      </w:r>
    </w:p>
    <w:p>
      <w:pPr>
        <w:pStyle w:val="BodyText"/>
        <w:spacing w:before="11"/>
        <w:rPr>
          <w:rFonts w:ascii="Calibri"/>
          <w:sz w:val="18"/>
        </w:rPr>
      </w:pPr>
    </w:p>
    <w:p>
      <w:pPr>
        <w:spacing w:after="0"/>
        <w:rPr>
          <w:rFonts w:ascii="Calibri"/>
          <w:sz w:val="18"/>
        </w:rPr>
        <w:sectPr>
          <w:footerReference w:type="default" r:id="rId38"/>
          <w:pgSz w:w="12240" w:h="15840"/>
          <w:pgMar w:footer="659" w:header="0" w:top="1360" w:bottom="840" w:left="1600" w:right="1580"/>
        </w:sectPr>
      </w:pPr>
    </w:p>
    <w:p>
      <w:pPr>
        <w:pStyle w:val="BodyText"/>
        <w:spacing w:before="3"/>
        <w:rPr>
          <w:rFonts w:ascii="Calibri"/>
          <w:sz w:val="13"/>
        </w:rPr>
      </w:pPr>
    </w:p>
    <w:p>
      <w:pPr>
        <w:spacing w:before="0"/>
        <w:ind w:left="602" w:right="-19" w:firstLine="0"/>
        <w:jc w:val="left"/>
        <w:rPr>
          <w:rFonts w:ascii="Calibri"/>
          <w:sz w:val="16"/>
        </w:rPr>
      </w:pPr>
      <w:r>
        <w:rPr/>
        <w:pict>
          <v:shape style="position:absolute;margin-left:94.629997pt;margin-top:9.246165pt;width:11.55pt;height:30.05pt;mso-position-horizontal-relative:page;mso-position-vertical-relative:paragraph;z-index:3568" type="#_x0000_t202" filled="false" stroked="false">
            <v:textbox inset="0,0,0,0" style="layout-flow:vertical;mso-layout-flow-alt:bottom-to-top">
              <w:txbxContent>
                <w:p>
                  <w:pPr>
                    <w:spacing w:line="214" w:lineRule="exact" w:before="0"/>
                    <w:ind w:left="20" w:right="-369" w:firstLine="0"/>
                    <w:jc w:val="left"/>
                    <w:rPr>
                      <w:rFonts w:ascii="Calibri"/>
                      <w:sz w:val="12"/>
                    </w:rPr>
                  </w:pPr>
                  <w:r>
                    <w:rPr>
                      <w:rFonts w:ascii="Calibri"/>
                      <w:sz w:val="18"/>
                    </w:rPr>
                    <w:t>viv/km</w:t>
                  </w:r>
                  <w:r>
                    <w:rPr>
                      <w:rFonts w:ascii="Calibri"/>
                      <w:position w:val="6"/>
                      <w:sz w:val="12"/>
                    </w:rPr>
                    <w:t>2</w:t>
                  </w:r>
                </w:p>
              </w:txbxContent>
            </v:textbox>
            <w10:wrap type="none"/>
          </v:shape>
        </w:pict>
      </w:r>
      <w:r>
        <w:rPr>
          <w:rFonts w:ascii="Calibri"/>
          <w:sz w:val="16"/>
        </w:rPr>
        <w:t>150.00</w:t>
      </w:r>
    </w:p>
    <w:p>
      <w:pPr>
        <w:pStyle w:val="BodyText"/>
        <w:rPr>
          <w:rFonts w:ascii="Calibri"/>
          <w:sz w:val="16"/>
        </w:rPr>
      </w:pPr>
    </w:p>
    <w:p>
      <w:pPr>
        <w:pStyle w:val="BodyText"/>
        <w:spacing w:before="1"/>
        <w:rPr>
          <w:rFonts w:ascii="Calibri"/>
          <w:sz w:val="16"/>
        </w:rPr>
      </w:pPr>
    </w:p>
    <w:p>
      <w:pPr>
        <w:spacing w:before="0"/>
        <w:ind w:left="602" w:right="-19" w:firstLine="0"/>
        <w:jc w:val="left"/>
        <w:rPr>
          <w:rFonts w:ascii="Calibri"/>
          <w:sz w:val="16"/>
        </w:rPr>
      </w:pPr>
      <w:r>
        <w:rPr>
          <w:rFonts w:ascii="Calibri"/>
          <w:sz w:val="16"/>
        </w:rPr>
        <w:t>100.00</w:t>
      </w:r>
    </w:p>
    <w:p>
      <w:pPr>
        <w:pStyle w:val="BodyText"/>
        <w:rPr>
          <w:rFonts w:ascii="Calibri"/>
          <w:sz w:val="16"/>
        </w:rPr>
      </w:pPr>
    </w:p>
    <w:p>
      <w:pPr>
        <w:pStyle w:val="BodyText"/>
        <w:spacing w:before="2"/>
        <w:rPr>
          <w:rFonts w:ascii="Calibri"/>
          <w:sz w:val="16"/>
        </w:rPr>
      </w:pPr>
    </w:p>
    <w:p>
      <w:pPr>
        <w:spacing w:before="0"/>
        <w:ind w:left="683" w:right="-19" w:firstLine="0"/>
        <w:jc w:val="left"/>
        <w:rPr>
          <w:rFonts w:ascii="Calibri"/>
          <w:sz w:val="16"/>
        </w:rPr>
      </w:pPr>
      <w:r>
        <w:rPr>
          <w:rFonts w:ascii="Calibri"/>
          <w:sz w:val="16"/>
        </w:rPr>
        <w:t>50.00</w:t>
      </w:r>
    </w:p>
    <w:p>
      <w:pPr>
        <w:spacing w:before="63"/>
        <w:ind w:left="602" w:right="0" w:firstLine="0"/>
        <w:jc w:val="left"/>
        <w:rPr>
          <w:rFonts w:ascii="Calibri"/>
          <w:sz w:val="18"/>
        </w:rPr>
      </w:pPr>
      <w:r>
        <w:rPr/>
        <w:br w:type="column"/>
      </w:r>
      <w:r>
        <w:rPr>
          <w:rFonts w:ascii="Calibri"/>
          <w:sz w:val="18"/>
        </w:rPr>
        <w:t>1990</w:t>
      </w:r>
    </w:p>
    <w:p>
      <w:pPr>
        <w:spacing w:before="118"/>
        <w:ind w:left="602" w:right="0" w:firstLine="0"/>
        <w:jc w:val="left"/>
        <w:rPr>
          <w:rFonts w:ascii="Calibri"/>
          <w:sz w:val="18"/>
        </w:rPr>
      </w:pPr>
      <w:r>
        <w:rPr/>
        <w:pict>
          <v:line style="position:absolute;mso-position-horizontal-relative:page;mso-position-vertical-relative:paragraph;z-index:2920" from="488.700012pt,-7.470653pt" to="488.700012pt,-2.550653pt" stroked="true" strokeweight="4.92pt" strokecolor="#4f81bc">
            <w10:wrap type="none"/>
          </v:line>
        </w:pict>
      </w:r>
      <w:r>
        <w:rPr/>
        <w:pict>
          <v:line style="position:absolute;mso-position-horizontal-relative:page;mso-position-vertical-relative:paragraph;z-index:2944" from="488.700012pt,9.449347pt" to="488.700012pt,14.369347pt" stroked="true" strokeweight="4.92pt" strokecolor="#c0504d">
            <w10:wrap type="none"/>
          </v:line>
        </w:pict>
      </w:r>
      <w:r>
        <w:rPr>
          <w:rFonts w:ascii="Calibri"/>
          <w:sz w:val="18"/>
        </w:rPr>
        <w:t>1995</w:t>
      </w:r>
    </w:p>
    <w:p>
      <w:pPr>
        <w:spacing w:before="117"/>
        <w:ind w:left="602" w:right="0" w:firstLine="0"/>
        <w:jc w:val="left"/>
        <w:rPr>
          <w:rFonts w:ascii="Calibri"/>
          <w:sz w:val="18"/>
        </w:rPr>
      </w:pPr>
      <w:r>
        <w:rPr/>
        <w:pict>
          <v:line style="position:absolute;mso-position-horizontal-relative:page;mso-position-vertical-relative:paragraph;z-index:2968" from="488.700012pt,9.449322pt" to="488.700012pt,14.369322pt" stroked="true" strokeweight="4.92pt" strokecolor="#9bba58">
            <w10:wrap type="none"/>
          </v:line>
        </w:pict>
      </w:r>
      <w:r>
        <w:rPr>
          <w:rFonts w:ascii="Calibri"/>
          <w:sz w:val="18"/>
        </w:rPr>
        <w:t>2000</w:t>
      </w:r>
    </w:p>
    <w:p>
      <w:pPr>
        <w:spacing w:before="117"/>
        <w:ind w:left="602" w:right="0" w:firstLine="0"/>
        <w:jc w:val="left"/>
        <w:rPr>
          <w:rFonts w:ascii="Calibri"/>
          <w:sz w:val="18"/>
        </w:rPr>
      </w:pPr>
      <w:r>
        <w:rPr/>
        <w:pict>
          <v:line style="position:absolute;mso-position-horizontal-relative:page;mso-position-vertical-relative:paragraph;z-index:2992" from="488.700012pt,9.379326pt" to="488.700012pt,14.299326pt" stroked="true" strokeweight="4.92pt" strokecolor="#8063a1">
            <w10:wrap type="none"/>
          </v:line>
        </w:pict>
      </w:r>
      <w:r>
        <w:rPr>
          <w:rFonts w:ascii="Calibri"/>
          <w:sz w:val="18"/>
        </w:rPr>
        <w:t>2005</w:t>
      </w:r>
    </w:p>
    <w:p>
      <w:pPr>
        <w:spacing w:before="118"/>
        <w:ind w:left="602" w:right="0" w:firstLine="0"/>
        <w:jc w:val="left"/>
        <w:rPr>
          <w:rFonts w:ascii="Calibri"/>
          <w:sz w:val="18"/>
        </w:rPr>
      </w:pPr>
      <w:r>
        <w:rPr/>
        <w:pict>
          <v:line style="position:absolute;mso-position-horizontal-relative:page;mso-position-vertical-relative:paragraph;z-index:3016" from="488.700012pt,9.449332pt" to="488.700012pt,14.369332pt" stroked="true" strokeweight="4.92pt" strokecolor="#4aacc5">
            <w10:wrap type="none"/>
          </v:line>
        </w:pict>
      </w:r>
      <w:r>
        <w:rPr>
          <w:rFonts w:ascii="Calibri"/>
          <w:sz w:val="18"/>
        </w:rPr>
        <w:t>2010</w:t>
      </w:r>
    </w:p>
    <w:p>
      <w:pPr>
        <w:spacing w:after="0"/>
        <w:jc w:val="left"/>
        <w:rPr>
          <w:rFonts w:ascii="Calibri"/>
          <w:sz w:val="18"/>
        </w:rPr>
        <w:sectPr>
          <w:type w:val="continuous"/>
          <w:pgSz w:w="12240" w:h="15840"/>
          <w:pgMar w:top="1500" w:bottom="280" w:left="1600" w:right="1580"/>
          <w:cols w:num="2" w:equalWidth="0">
            <w:col w:w="1049" w:space="6616"/>
            <w:col w:w="1395"/>
          </w:cols>
        </w:sectPr>
      </w:pPr>
    </w:p>
    <w:p>
      <w:pPr>
        <w:pStyle w:val="BodyText"/>
        <w:spacing w:before="3"/>
        <w:rPr>
          <w:rFonts w:ascii="Calibri"/>
          <w:sz w:val="18"/>
        </w:rPr>
      </w:pPr>
    </w:p>
    <w:p>
      <w:pPr>
        <w:spacing w:after="0"/>
        <w:rPr>
          <w:rFonts w:ascii="Calibri"/>
          <w:sz w:val="18"/>
        </w:rPr>
        <w:sectPr>
          <w:type w:val="continuous"/>
          <w:pgSz w:w="12240" w:h="15840"/>
          <w:pgMar w:top="1500" w:bottom="280" w:left="1600" w:right="1580"/>
        </w:sectPr>
      </w:pPr>
    </w:p>
    <w:p>
      <w:pPr>
        <w:spacing w:before="69"/>
        <w:ind w:left="764" w:right="-20" w:firstLine="0"/>
        <w:jc w:val="left"/>
        <w:rPr>
          <w:rFonts w:ascii="Calibri"/>
          <w:sz w:val="16"/>
        </w:rPr>
      </w:pPr>
      <w:r>
        <w:rPr>
          <w:rFonts w:ascii="Calibri"/>
          <w:sz w:val="16"/>
        </w:rPr>
        <w:t>0.00</w:t>
      </w:r>
    </w:p>
    <w:p>
      <w:pPr>
        <w:spacing w:before="38"/>
        <w:ind w:left="2077" w:right="-20" w:hanging="740"/>
        <w:jc w:val="left"/>
        <w:rPr>
          <w:rFonts w:ascii="Calibri" w:hAnsi="Calibri"/>
          <w:sz w:val="20"/>
        </w:rPr>
      </w:pPr>
      <w:r>
        <w:rPr>
          <w:rFonts w:ascii="Calibri" w:hAnsi="Calibri"/>
          <w:sz w:val="20"/>
        </w:rPr>
        <w:t>Área urbana continua de Toluca</w:t>
      </w:r>
    </w:p>
    <w:p>
      <w:pPr>
        <w:pStyle w:val="BodyText"/>
        <w:spacing w:before="9"/>
        <w:rPr>
          <w:rFonts w:ascii="Calibri"/>
        </w:rPr>
      </w:pPr>
      <w:r>
        <w:rPr/>
        <w:br w:type="column"/>
      </w:r>
      <w:r>
        <w:rPr>
          <w:rFonts w:ascii="Calibri"/>
        </w:rPr>
      </w:r>
    </w:p>
    <w:p>
      <w:pPr>
        <w:spacing w:before="0"/>
        <w:ind w:left="804" w:right="-20" w:hanging="476"/>
        <w:jc w:val="left"/>
        <w:rPr>
          <w:rFonts w:ascii="Calibri" w:hAnsi="Calibri"/>
          <w:sz w:val="20"/>
        </w:rPr>
      </w:pPr>
      <w:r>
        <w:rPr>
          <w:rFonts w:ascii="Calibri" w:hAnsi="Calibri"/>
          <w:sz w:val="20"/>
        </w:rPr>
        <w:t>Interrelación funcional intermedia</w:t>
      </w:r>
    </w:p>
    <w:p>
      <w:pPr>
        <w:pStyle w:val="BodyText"/>
        <w:spacing w:before="9"/>
        <w:rPr>
          <w:rFonts w:ascii="Calibri"/>
        </w:rPr>
      </w:pPr>
      <w:r>
        <w:rPr/>
        <w:br w:type="column"/>
      </w:r>
      <w:r>
        <w:rPr>
          <w:rFonts w:ascii="Calibri"/>
        </w:rPr>
      </w:r>
    </w:p>
    <w:p>
      <w:pPr>
        <w:spacing w:before="0"/>
        <w:ind w:left="872" w:right="349" w:hanging="497"/>
        <w:jc w:val="left"/>
        <w:rPr>
          <w:rFonts w:ascii="Calibri" w:hAnsi="Calibri"/>
          <w:sz w:val="20"/>
        </w:rPr>
      </w:pPr>
      <w:r>
        <w:rPr>
          <w:rFonts w:ascii="Calibri" w:hAnsi="Calibri"/>
          <w:sz w:val="20"/>
        </w:rPr>
        <w:t>Relación externa, resto municipios</w:t>
      </w:r>
    </w:p>
    <w:p>
      <w:pPr>
        <w:spacing w:after="0"/>
        <w:jc w:val="left"/>
        <w:rPr>
          <w:rFonts w:ascii="Calibri" w:hAnsi="Calibri"/>
          <w:sz w:val="20"/>
        </w:rPr>
        <w:sectPr>
          <w:type w:val="continuous"/>
          <w:pgSz w:w="12240" w:h="15840"/>
          <w:pgMar w:top="1500" w:bottom="280" w:left="1600" w:right="1580"/>
          <w:cols w:num="3" w:equalWidth="0">
            <w:col w:w="3349" w:space="40"/>
            <w:col w:w="2171" w:space="40"/>
            <w:col w:w="3460"/>
          </w:cols>
        </w:sectPr>
      </w:pPr>
    </w:p>
    <w:p>
      <w:pPr>
        <w:spacing w:before="136"/>
        <w:ind w:left="2325" w:right="324" w:hanging="2003"/>
        <w:jc w:val="left"/>
        <w:rPr>
          <w:sz w:val="20"/>
        </w:rPr>
      </w:pPr>
      <w:r>
        <w:rPr>
          <w:sz w:val="20"/>
        </w:rPr>
        <w:t>Fuente: Elaboración propia con información de los respectivos Censos General de Población y Vivienda, Conteo de Población y Vivienda e ITER</w:t>
      </w:r>
    </w:p>
    <w:p>
      <w:pPr>
        <w:pStyle w:val="BodyText"/>
        <w:spacing w:before="7"/>
        <w:rPr>
          <w:sz w:val="13"/>
        </w:rPr>
      </w:pPr>
    </w:p>
    <w:p>
      <w:pPr>
        <w:spacing w:after="0"/>
        <w:rPr>
          <w:sz w:val="13"/>
        </w:rPr>
        <w:sectPr>
          <w:type w:val="continuous"/>
          <w:pgSz w:w="12240" w:h="15840"/>
          <w:pgMar w:top="1500" w:bottom="280" w:left="1600" w:right="1580"/>
        </w:sectPr>
      </w:pPr>
    </w:p>
    <w:p>
      <w:pPr>
        <w:pStyle w:val="BodyText"/>
        <w:rPr>
          <w:sz w:val="16"/>
        </w:rPr>
      </w:pPr>
    </w:p>
    <w:p>
      <w:pPr>
        <w:pStyle w:val="BodyText"/>
        <w:spacing w:before="10"/>
        <w:rPr>
          <w:sz w:val="20"/>
        </w:rPr>
      </w:pPr>
    </w:p>
    <w:p>
      <w:pPr>
        <w:spacing w:before="0"/>
        <w:ind w:left="0" w:right="0" w:firstLine="0"/>
        <w:jc w:val="right"/>
        <w:rPr>
          <w:rFonts w:ascii="Calibri"/>
          <w:sz w:val="16"/>
        </w:rPr>
      </w:pPr>
      <w:r>
        <w:rPr>
          <w:rFonts w:ascii="Calibri"/>
          <w:sz w:val="16"/>
        </w:rPr>
        <w:t>4.00</w:t>
      </w:r>
    </w:p>
    <w:p>
      <w:pPr>
        <w:spacing w:before="104"/>
        <w:ind w:left="0" w:right="0" w:firstLine="0"/>
        <w:jc w:val="right"/>
        <w:rPr>
          <w:rFonts w:ascii="Calibri"/>
          <w:sz w:val="16"/>
        </w:rPr>
      </w:pPr>
      <w:r>
        <w:rPr>
          <w:rFonts w:ascii="Calibri"/>
          <w:sz w:val="16"/>
        </w:rPr>
        <w:t>3.50</w:t>
      </w:r>
    </w:p>
    <w:p>
      <w:pPr>
        <w:spacing w:before="104"/>
        <w:ind w:left="0" w:right="0" w:firstLine="0"/>
        <w:jc w:val="right"/>
        <w:rPr>
          <w:rFonts w:ascii="Calibri"/>
          <w:sz w:val="16"/>
        </w:rPr>
      </w:pPr>
      <w:r>
        <w:rPr/>
        <w:pict>
          <v:shape style="position:absolute;margin-left:93.332001pt;margin-top:13.694702pt;width:11.55pt;height:29.45pt;mso-position-horizontal-relative:page;mso-position-vertical-relative:paragraph;z-index:3544" type="#_x0000_t202" filled="false" stroked="false">
            <v:textbox inset="0,0,0,0" style="layout-flow:vertical;mso-layout-flow-alt:bottom-to-top">
              <w:txbxContent>
                <w:p>
                  <w:pPr>
                    <w:spacing w:line="213" w:lineRule="exact" w:before="0"/>
                    <w:ind w:left="20" w:right="-356" w:firstLine="0"/>
                    <w:jc w:val="left"/>
                    <w:rPr>
                      <w:rFonts w:ascii="Calibri"/>
                      <w:sz w:val="18"/>
                    </w:rPr>
                  </w:pPr>
                  <w:r>
                    <w:rPr>
                      <w:rFonts w:ascii="Calibri"/>
                      <w:sz w:val="18"/>
                    </w:rPr>
                    <w:t>m</w:t>
                  </w:r>
                  <w:r>
                    <w:rPr>
                      <w:rFonts w:ascii="Calibri"/>
                      <w:spacing w:val="-1"/>
                      <w:position w:val="6"/>
                      <w:sz w:val="12"/>
                    </w:rPr>
                    <w:t>2</w:t>
                  </w:r>
                  <w:r>
                    <w:rPr>
                      <w:rFonts w:ascii="Calibri"/>
                      <w:spacing w:val="-1"/>
                      <w:sz w:val="18"/>
                    </w:rPr>
                    <w:t>/h</w:t>
                  </w:r>
                  <w:r>
                    <w:rPr>
                      <w:rFonts w:ascii="Calibri"/>
                      <w:sz w:val="18"/>
                    </w:rPr>
                    <w:t>ab</w:t>
                  </w:r>
                </w:p>
              </w:txbxContent>
            </v:textbox>
            <w10:wrap type="none"/>
          </v:shape>
        </w:pict>
      </w:r>
      <w:r>
        <w:rPr>
          <w:rFonts w:ascii="Calibri"/>
          <w:sz w:val="16"/>
        </w:rPr>
        <w:t>3.00</w:t>
      </w:r>
    </w:p>
    <w:p>
      <w:pPr>
        <w:spacing w:before="104"/>
        <w:ind w:left="0" w:right="0" w:firstLine="0"/>
        <w:jc w:val="right"/>
        <w:rPr>
          <w:rFonts w:ascii="Calibri"/>
          <w:sz w:val="16"/>
        </w:rPr>
      </w:pPr>
      <w:r>
        <w:rPr>
          <w:rFonts w:ascii="Calibri"/>
          <w:sz w:val="16"/>
        </w:rPr>
        <w:t>2.50</w:t>
      </w:r>
    </w:p>
    <w:p>
      <w:pPr>
        <w:spacing w:before="104"/>
        <w:ind w:left="0" w:right="0" w:firstLine="0"/>
        <w:jc w:val="right"/>
        <w:rPr>
          <w:rFonts w:ascii="Calibri"/>
          <w:sz w:val="16"/>
        </w:rPr>
      </w:pPr>
      <w:r>
        <w:rPr>
          <w:rFonts w:ascii="Calibri"/>
          <w:sz w:val="16"/>
        </w:rPr>
        <w:t>2.00</w:t>
      </w:r>
    </w:p>
    <w:p>
      <w:pPr>
        <w:spacing w:before="104"/>
        <w:ind w:left="0" w:right="0" w:firstLine="0"/>
        <w:jc w:val="right"/>
        <w:rPr>
          <w:rFonts w:ascii="Calibri"/>
          <w:sz w:val="16"/>
        </w:rPr>
      </w:pPr>
      <w:r>
        <w:rPr>
          <w:rFonts w:ascii="Calibri"/>
          <w:sz w:val="16"/>
        </w:rPr>
        <w:t>1.50</w:t>
      </w:r>
    </w:p>
    <w:p>
      <w:pPr>
        <w:spacing w:before="104"/>
        <w:ind w:left="0" w:right="0" w:firstLine="0"/>
        <w:jc w:val="right"/>
        <w:rPr>
          <w:rFonts w:ascii="Calibri"/>
          <w:sz w:val="16"/>
        </w:rPr>
      </w:pPr>
      <w:r>
        <w:rPr>
          <w:rFonts w:ascii="Calibri"/>
          <w:sz w:val="16"/>
        </w:rPr>
        <w:t>1.00</w:t>
      </w:r>
    </w:p>
    <w:p>
      <w:pPr>
        <w:spacing w:before="104"/>
        <w:ind w:left="0" w:right="0" w:firstLine="0"/>
        <w:jc w:val="right"/>
        <w:rPr>
          <w:rFonts w:ascii="Calibri"/>
          <w:sz w:val="16"/>
        </w:rPr>
      </w:pPr>
      <w:r>
        <w:rPr>
          <w:rFonts w:ascii="Calibri"/>
          <w:sz w:val="16"/>
        </w:rPr>
        <w:t>0.50</w:t>
      </w:r>
    </w:p>
    <w:p>
      <w:pPr>
        <w:spacing w:before="104"/>
        <w:ind w:left="0" w:right="0" w:firstLine="0"/>
        <w:jc w:val="right"/>
        <w:rPr>
          <w:rFonts w:ascii="Calibri"/>
          <w:sz w:val="16"/>
        </w:rPr>
      </w:pPr>
      <w:r>
        <w:rPr>
          <w:rFonts w:ascii="Calibri"/>
          <w:sz w:val="16"/>
        </w:rPr>
        <w:t>0.00</w:t>
      </w:r>
    </w:p>
    <w:p>
      <w:pPr>
        <w:spacing w:before="74"/>
        <w:ind w:left="596" w:right="-5" w:firstLine="0"/>
        <w:jc w:val="left"/>
        <w:rPr>
          <w:sz w:val="20"/>
        </w:rPr>
      </w:pPr>
      <w:r>
        <w:rPr/>
        <w:br w:type="column"/>
      </w:r>
      <w:r>
        <w:rPr>
          <w:sz w:val="20"/>
        </w:rPr>
        <w:t>Gráfica No 7. ZMT. Metros de superficie por habitante, 1990 a</w:t>
      </w:r>
      <w:r>
        <w:rPr>
          <w:spacing w:val="-20"/>
          <w:sz w:val="20"/>
        </w:rPr>
        <w:t> </w:t>
      </w:r>
      <w:r>
        <w:rPr>
          <w:sz w:val="20"/>
        </w:rPr>
        <w:t>2010</w:t>
      </w:r>
    </w:p>
    <w:p>
      <w:pPr>
        <w:pStyle w:val="BodyText"/>
        <w:rPr>
          <w:sz w:val="16"/>
        </w:rPr>
      </w:pPr>
      <w:r>
        <w:rPr/>
        <w:br w:type="column"/>
      </w:r>
      <w:r>
        <w:rPr>
          <w:sz w:val="16"/>
        </w:rPr>
      </w: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spacing w:before="1"/>
        <w:rPr>
          <w:sz w:val="16"/>
        </w:rPr>
      </w:pPr>
    </w:p>
    <w:p>
      <w:pPr>
        <w:spacing w:before="0"/>
        <w:ind w:left="596" w:right="0" w:firstLine="0"/>
        <w:jc w:val="left"/>
        <w:rPr>
          <w:rFonts w:ascii="Calibri"/>
          <w:sz w:val="16"/>
        </w:rPr>
      </w:pPr>
      <w:r>
        <w:rPr/>
        <w:pict>
          <v:group style="position:absolute;margin-left:128.505005pt;margin-top:-38.377808pt;width:367.5pt;height:120.75pt;mso-position-horizontal-relative:page;mso-position-vertical-relative:paragraph;z-index:3400" coordorigin="2570,-768" coordsize="7350,2415">
            <v:rect style="position:absolute;left:2938;top:555;width:362;height:1085" filled="true" fillcolor="#4f81bc" stroked="false">
              <v:fill type="solid"/>
            </v:rect>
            <v:rect style="position:absolute;left:3300;top:733;width:362;height:907" filled="true" fillcolor="#c0504d" stroked="false">
              <v:fill type="solid"/>
            </v:rect>
            <v:rect style="position:absolute;left:3662;top:858;width:362;height:782" filled="true" fillcolor="#9bba58" stroked="false">
              <v:fill type="solid"/>
            </v:rect>
            <v:rect style="position:absolute;left:4025;top:934;width:362;height:706" filled="true" fillcolor="#8063a1" stroked="false">
              <v:fill type="solid"/>
            </v:rect>
            <v:rect style="position:absolute;left:4387;top:1014;width:362;height:626" filled="true" fillcolor="#4aacc5" stroked="false">
              <v:fill type="solid"/>
            </v:rect>
            <v:rect style="position:absolute;left:5364;top:-261;width:362;height:1901" filled="true" fillcolor="#4f81bc" stroked="false">
              <v:fill type="solid"/>
            </v:rect>
            <v:rect style="position:absolute;left:5726;top:82;width:362;height:1558" filled="true" fillcolor="#c0504d" stroked="false">
              <v:fill type="solid"/>
            </v:rect>
            <v:rect style="position:absolute;left:6089;top:267;width:362;height:1373" filled="true" fillcolor="#9bba58" stroked="false">
              <v:fill type="solid"/>
            </v:rect>
            <v:rect style="position:absolute;left:6451;top:406;width:362;height:1234" filled="true" fillcolor="#8063a1" stroked="false">
              <v:fill type="solid"/>
            </v:rect>
            <v:rect style="position:absolute;left:6814;top:591;width:362;height:1049" filled="true" fillcolor="#4aacc5" stroked="false">
              <v:fill type="solid"/>
            </v:rect>
            <v:rect style="position:absolute;left:7793;top:-426;width:362;height:2066" filled="true" fillcolor="#4f81bc" stroked="false">
              <v:fill type="solid"/>
            </v:rect>
            <v:rect style="position:absolute;left:8155;top:-66;width:362;height:1706" filled="true" fillcolor="#c0504d" stroked="false">
              <v:fill type="solid"/>
            </v:rect>
            <v:rect style="position:absolute;left:8518;top:150;width:362;height:1490" filled="true" fillcolor="#9bba58" stroked="false">
              <v:fill type="solid"/>
            </v:rect>
            <v:rect style="position:absolute;left:8880;top:250;width:362;height:1390" filled="true" fillcolor="#8063a1" stroked="false">
              <v:fill type="solid"/>
            </v:rect>
            <v:rect style="position:absolute;left:9242;top:423;width:362;height:1217" filled="true" fillcolor="#4aacc5" stroked="false">
              <v:fill type="solid"/>
            </v:rect>
            <v:shape style="position:absolute;left:2578;top:-760;width:7335;height:2400" coordorigin="2578,-760" coordsize="7335,2400" path="m2628,1640l2628,-760m2578,1640l2628,1640m2578,1340l2628,1340m2578,1040l2628,1040m2578,740l2628,740m2578,440l2628,440m2578,140l2628,140m2578,-160l2628,-160m2578,-460l2628,-460m2578,-760l2628,-760m2628,1640l9912,1640e" filled="false" stroked="true" strokeweight=".72pt" strokecolor="#858585">
              <v:path arrowok="t"/>
            </v:shape>
            <v:shape style="position:absolute;left:7831;top:-679;width:286;height:161" type="#_x0000_t202" filled="false" stroked="false">
              <v:textbox inset="0,0,0,0">
                <w:txbxContent>
                  <w:p>
                    <w:pPr>
                      <w:spacing w:line="161" w:lineRule="exact" w:before="0"/>
                      <w:ind w:left="0" w:right="-18" w:firstLine="0"/>
                      <w:jc w:val="left"/>
                      <w:rPr>
                        <w:rFonts w:ascii="Calibri"/>
                        <w:sz w:val="16"/>
                      </w:rPr>
                    </w:pPr>
                    <w:r>
                      <w:rPr>
                        <w:rFonts w:ascii="Calibri"/>
                        <w:sz w:val="16"/>
                      </w:rPr>
                      <w:t>3.44</w:t>
                    </w:r>
                  </w:p>
                </w:txbxContent>
              </v:textbox>
              <w10:wrap type="none"/>
            </v:shape>
            <v:shape style="position:absolute;left:5403;top:-513;width:286;height:161" type="#_x0000_t202" filled="false" stroked="false">
              <v:textbox inset="0,0,0,0">
                <w:txbxContent>
                  <w:p>
                    <w:pPr>
                      <w:spacing w:line="161" w:lineRule="exact" w:before="0"/>
                      <w:ind w:left="0" w:right="-18" w:firstLine="0"/>
                      <w:jc w:val="left"/>
                      <w:rPr>
                        <w:rFonts w:ascii="Calibri"/>
                        <w:sz w:val="16"/>
                      </w:rPr>
                    </w:pPr>
                    <w:r>
                      <w:rPr>
                        <w:rFonts w:ascii="Calibri"/>
                        <w:sz w:val="16"/>
                      </w:rPr>
                      <w:t>3.17</w:t>
                    </w:r>
                  </w:p>
                </w:txbxContent>
              </v:textbox>
              <w10:wrap type="none"/>
            </v:shape>
            <v:shape style="position:absolute;left:8193;top:-319;width:286;height:161" type="#_x0000_t202" filled="false" stroked="false">
              <v:textbox inset="0,0,0,0">
                <w:txbxContent>
                  <w:p>
                    <w:pPr>
                      <w:spacing w:line="161" w:lineRule="exact" w:before="0"/>
                      <w:ind w:left="0" w:right="-18" w:firstLine="0"/>
                      <w:jc w:val="left"/>
                      <w:rPr>
                        <w:rFonts w:ascii="Calibri"/>
                        <w:sz w:val="16"/>
                      </w:rPr>
                    </w:pPr>
                    <w:r>
                      <w:rPr>
                        <w:rFonts w:ascii="Calibri"/>
                        <w:sz w:val="16"/>
                      </w:rPr>
                      <w:t>2.84</w:t>
                    </w:r>
                  </w:p>
                </w:txbxContent>
              </v:textbox>
              <w10:wrap type="none"/>
            </v:shape>
            <v:shape style="position:absolute;left:5765;top:-171;width:286;height:161" type="#_x0000_t202" filled="false" stroked="false">
              <v:textbox inset="0,0,0,0">
                <w:txbxContent>
                  <w:p>
                    <w:pPr>
                      <w:spacing w:line="161" w:lineRule="exact" w:before="0"/>
                      <w:ind w:left="0" w:right="-18" w:firstLine="0"/>
                      <w:jc w:val="left"/>
                      <w:rPr>
                        <w:rFonts w:ascii="Calibri"/>
                        <w:sz w:val="16"/>
                      </w:rPr>
                    </w:pPr>
                    <w:r>
                      <w:rPr>
                        <w:rFonts w:ascii="Calibri"/>
                        <w:sz w:val="16"/>
                      </w:rPr>
                      <w:t>2.60</w:t>
                    </w:r>
                  </w:p>
                </w:txbxContent>
              </v:textbox>
              <w10:wrap type="none"/>
            </v:shape>
            <v:shape style="position:absolute;left:6128;top:16;width:286;height:161" type="#_x0000_t202" filled="false" stroked="false">
              <v:textbox inset="0,0,0,0">
                <w:txbxContent>
                  <w:p>
                    <w:pPr>
                      <w:spacing w:line="161" w:lineRule="exact" w:before="0"/>
                      <w:ind w:left="0" w:right="-18" w:firstLine="0"/>
                      <w:jc w:val="left"/>
                      <w:rPr>
                        <w:rFonts w:ascii="Calibri"/>
                        <w:sz w:val="16"/>
                      </w:rPr>
                    </w:pPr>
                    <w:r>
                      <w:rPr>
                        <w:rFonts w:ascii="Calibri"/>
                        <w:sz w:val="16"/>
                      </w:rPr>
                      <w:t>2.29</w:t>
                    </w:r>
                  </w:p>
                </w:txbxContent>
              </v:textbox>
              <w10:wrap type="none"/>
            </v:shape>
            <v:shape style="position:absolute;left:8556;top:-102;width:286;height:161" type="#_x0000_t202" filled="false" stroked="false">
              <v:textbox inset="0,0,0,0">
                <w:txbxContent>
                  <w:p>
                    <w:pPr>
                      <w:spacing w:line="161" w:lineRule="exact" w:before="0"/>
                      <w:ind w:left="0" w:right="-18" w:firstLine="0"/>
                      <w:jc w:val="left"/>
                      <w:rPr>
                        <w:rFonts w:ascii="Calibri"/>
                        <w:sz w:val="16"/>
                      </w:rPr>
                    </w:pPr>
                    <w:r>
                      <w:rPr>
                        <w:rFonts w:ascii="Calibri"/>
                        <w:sz w:val="16"/>
                      </w:rPr>
                      <w:t>2.48</w:t>
                    </w:r>
                  </w:p>
                </w:txbxContent>
              </v:textbox>
              <w10:wrap type="none"/>
            </v:shape>
            <v:shape style="position:absolute;left:8918;top:-3;width:286;height:161" type="#_x0000_t202" filled="false" stroked="false">
              <v:textbox inset="0,0,0,0">
                <w:txbxContent>
                  <w:p>
                    <w:pPr>
                      <w:spacing w:line="161" w:lineRule="exact" w:before="0"/>
                      <w:ind w:left="0" w:right="-18" w:firstLine="0"/>
                      <w:jc w:val="left"/>
                      <w:rPr>
                        <w:rFonts w:ascii="Calibri"/>
                        <w:sz w:val="16"/>
                      </w:rPr>
                    </w:pPr>
                    <w:r>
                      <w:rPr>
                        <w:rFonts w:ascii="Calibri"/>
                        <w:sz w:val="16"/>
                      </w:rPr>
                      <w:t>2.32</w:t>
                    </w:r>
                  </w:p>
                </w:txbxContent>
              </v:textbox>
              <w10:wrap type="none"/>
            </v:shape>
            <v:shape style="position:absolute;left:6490;top:153;width:287;height:162" type="#_x0000_t202" filled="false" stroked="false">
              <v:textbox inset="0,0,0,0">
                <w:txbxContent>
                  <w:p>
                    <w:pPr>
                      <w:spacing w:line="161" w:lineRule="exact" w:before="0"/>
                      <w:ind w:left="0" w:right="-17" w:firstLine="0"/>
                      <w:jc w:val="left"/>
                      <w:rPr>
                        <w:rFonts w:ascii="Calibri"/>
                        <w:sz w:val="16"/>
                      </w:rPr>
                    </w:pPr>
                    <w:r>
                      <w:rPr>
                        <w:rFonts w:ascii="Calibri"/>
                        <w:sz w:val="16"/>
                      </w:rPr>
                      <w:t>2.06</w:t>
                    </w:r>
                  </w:p>
                </w:txbxContent>
              </v:textbox>
              <w10:wrap type="none"/>
            </v:shape>
            <v:shape style="position:absolute;left:9358;top:206;width:286;height:161" type="#_x0000_t202" filled="false" stroked="false">
              <v:textbox inset="0,0,0,0">
                <w:txbxContent>
                  <w:p>
                    <w:pPr>
                      <w:spacing w:line="161" w:lineRule="exact" w:before="0"/>
                      <w:ind w:left="0" w:right="-18" w:firstLine="0"/>
                      <w:jc w:val="left"/>
                      <w:rPr>
                        <w:rFonts w:ascii="Calibri"/>
                        <w:sz w:val="16"/>
                      </w:rPr>
                    </w:pPr>
                    <w:r>
                      <w:rPr>
                        <w:rFonts w:ascii="Calibri"/>
                        <w:sz w:val="16"/>
                      </w:rPr>
                      <w:t>2.03</w:t>
                    </w:r>
                  </w:p>
                </w:txbxContent>
              </v:textbox>
              <w10:wrap type="none"/>
            </v:shape>
            <v:shape style="position:absolute;left:2820;top:336;width:286;height:161" type="#_x0000_t202" filled="false" stroked="false">
              <v:textbox inset="0,0,0,0">
                <w:txbxContent>
                  <w:p>
                    <w:pPr>
                      <w:spacing w:line="161" w:lineRule="exact" w:before="0"/>
                      <w:ind w:left="0" w:right="-18" w:firstLine="0"/>
                      <w:jc w:val="left"/>
                      <w:rPr>
                        <w:rFonts w:ascii="Calibri"/>
                        <w:sz w:val="16"/>
                      </w:rPr>
                    </w:pPr>
                    <w:r>
                      <w:rPr>
                        <w:rFonts w:ascii="Calibri"/>
                        <w:sz w:val="16"/>
                      </w:rPr>
                      <w:t>1.81</w:t>
                    </w:r>
                  </w:p>
                </w:txbxContent>
              </v:textbox>
              <w10:wrap type="none"/>
            </v:shape>
            <v:shape style="position:absolute;left:3337;top:481;width:286;height:161" type="#_x0000_t202" filled="false" stroked="false">
              <v:textbox inset="0,0,0,0">
                <w:txbxContent>
                  <w:p>
                    <w:pPr>
                      <w:spacing w:line="161" w:lineRule="exact" w:before="0"/>
                      <w:ind w:left="0" w:right="-18" w:firstLine="0"/>
                      <w:jc w:val="left"/>
                      <w:rPr>
                        <w:rFonts w:ascii="Calibri"/>
                        <w:sz w:val="16"/>
                      </w:rPr>
                    </w:pPr>
                    <w:r>
                      <w:rPr>
                        <w:rFonts w:ascii="Calibri"/>
                        <w:sz w:val="16"/>
                      </w:rPr>
                      <w:t>1.51</w:t>
                    </w:r>
                  </w:p>
                </w:txbxContent>
              </v:textbox>
              <w10:wrap type="none"/>
            </v:shape>
            <v:shape style="position:absolute;left:6930;top:408;width:287;height:162" type="#_x0000_t202" filled="false" stroked="false">
              <v:textbox inset="0,0,0,0">
                <w:txbxContent>
                  <w:p>
                    <w:pPr>
                      <w:spacing w:line="161" w:lineRule="exact" w:before="0"/>
                      <w:ind w:left="0" w:right="-17" w:firstLine="0"/>
                      <w:jc w:val="left"/>
                      <w:rPr>
                        <w:rFonts w:ascii="Calibri"/>
                        <w:sz w:val="16"/>
                      </w:rPr>
                    </w:pPr>
                    <w:r>
                      <w:rPr>
                        <w:rFonts w:ascii="Calibri"/>
                        <w:sz w:val="16"/>
                      </w:rPr>
                      <w:t>1.75</w:t>
                    </w:r>
                  </w:p>
                </w:txbxContent>
              </v:textbox>
              <w10:wrap type="none"/>
            </v:shape>
            <v:shape style="position:absolute;left:3699;top:656;width:286;height:161" type="#_x0000_t202" filled="false" stroked="false">
              <v:textbox inset="0,0,0,0">
                <w:txbxContent>
                  <w:p>
                    <w:pPr>
                      <w:spacing w:line="161" w:lineRule="exact" w:before="0"/>
                      <w:ind w:left="0" w:right="-18" w:firstLine="0"/>
                      <w:jc w:val="left"/>
                      <w:rPr>
                        <w:rFonts w:ascii="Calibri"/>
                        <w:sz w:val="16"/>
                      </w:rPr>
                    </w:pPr>
                    <w:r>
                      <w:rPr>
                        <w:rFonts w:ascii="Calibri"/>
                        <w:sz w:val="16"/>
                      </w:rPr>
                      <w:t>1.30</w:t>
                    </w:r>
                  </w:p>
                </w:txbxContent>
              </v:textbox>
              <w10:wrap type="none"/>
            </v:shape>
            <v:shape style="position:absolute;left:4140;top:717;width:287;height:162" type="#_x0000_t202" filled="false" stroked="false">
              <v:textbox inset="0,0,0,0">
                <w:txbxContent>
                  <w:p>
                    <w:pPr>
                      <w:spacing w:line="161" w:lineRule="exact" w:before="0"/>
                      <w:ind w:left="0" w:right="-17" w:firstLine="0"/>
                      <w:jc w:val="left"/>
                      <w:rPr>
                        <w:rFonts w:ascii="Calibri"/>
                        <w:sz w:val="16"/>
                      </w:rPr>
                    </w:pPr>
                    <w:r>
                      <w:rPr>
                        <w:rFonts w:ascii="Calibri"/>
                        <w:sz w:val="16"/>
                      </w:rPr>
                      <w:t>1.17</w:t>
                    </w:r>
                  </w:p>
                </w:txbxContent>
              </v:textbox>
              <w10:wrap type="none"/>
            </v:shape>
            <v:shape style="position:absolute;left:4476;top:847;width:286;height:161" type="#_x0000_t202" filled="false" stroked="false">
              <v:textbox inset="0,0,0,0">
                <w:txbxContent>
                  <w:p>
                    <w:pPr>
                      <w:spacing w:line="161" w:lineRule="exact" w:before="0"/>
                      <w:ind w:left="0" w:right="-18" w:firstLine="0"/>
                      <w:jc w:val="left"/>
                      <w:rPr>
                        <w:rFonts w:ascii="Calibri"/>
                        <w:sz w:val="16"/>
                      </w:rPr>
                    </w:pPr>
                    <w:r>
                      <w:rPr>
                        <w:rFonts w:ascii="Calibri"/>
                        <w:sz w:val="16"/>
                      </w:rPr>
                      <w:t>1.04</w:t>
                    </w:r>
                  </w:p>
                </w:txbxContent>
              </v:textbox>
              <w10:wrap type="none"/>
            </v:shape>
            <w10:wrap type="none"/>
          </v:group>
        </w:pict>
      </w:r>
      <w:r>
        <w:rPr/>
        <w:pict>
          <v:line style="position:absolute;mso-position-horizontal-relative:page;mso-position-vertical-relative:paragraph;z-index:3424" from="501pt,5.257194pt" to="505.44pt,5.257194pt" stroked="true" strokeweight="4.440pt" strokecolor="#4f81bc">
            <w10:wrap type="none"/>
          </v:line>
        </w:pict>
      </w:r>
      <w:r>
        <w:rPr>
          <w:rFonts w:ascii="Calibri"/>
          <w:sz w:val="16"/>
        </w:rPr>
        <w:t>1990</w:t>
      </w:r>
    </w:p>
    <w:p>
      <w:pPr>
        <w:spacing w:before="118"/>
        <w:ind w:left="596" w:right="0" w:firstLine="0"/>
        <w:jc w:val="left"/>
        <w:rPr>
          <w:rFonts w:ascii="Calibri"/>
          <w:sz w:val="16"/>
        </w:rPr>
      </w:pPr>
      <w:r>
        <w:rPr/>
        <w:pict>
          <v:line style="position:absolute;mso-position-horizontal-relative:page;mso-position-vertical-relative:paragraph;z-index:3448" from="501pt,11.137186pt" to="505.44pt,11.137186pt" stroked="true" strokeweight="4.32pt" strokecolor="#c0504d">
            <w10:wrap type="none"/>
          </v:line>
        </w:pict>
      </w:r>
      <w:r>
        <w:rPr>
          <w:rFonts w:ascii="Calibri"/>
          <w:sz w:val="16"/>
        </w:rPr>
        <w:t>1995</w:t>
      </w:r>
    </w:p>
    <w:p>
      <w:pPr>
        <w:spacing w:before="117"/>
        <w:ind w:left="596" w:right="0" w:firstLine="0"/>
        <w:jc w:val="left"/>
        <w:rPr>
          <w:rFonts w:ascii="Calibri"/>
          <w:sz w:val="16"/>
        </w:rPr>
      </w:pPr>
      <w:r>
        <w:rPr/>
        <w:pict>
          <v:line style="position:absolute;mso-position-horizontal-relative:page;mso-position-vertical-relative:paragraph;z-index:3472" from="501pt,11.107187pt" to="505.44pt,11.107187pt" stroked="true" strokeweight="4.440pt" strokecolor="#9bba58">
            <w10:wrap type="none"/>
          </v:line>
        </w:pict>
      </w:r>
      <w:r>
        <w:rPr>
          <w:rFonts w:ascii="Calibri"/>
          <w:sz w:val="16"/>
        </w:rPr>
        <w:t>2000</w:t>
      </w:r>
    </w:p>
    <w:p>
      <w:pPr>
        <w:spacing w:before="118"/>
        <w:ind w:left="596" w:right="0" w:firstLine="0"/>
        <w:jc w:val="left"/>
        <w:rPr>
          <w:rFonts w:ascii="Calibri"/>
          <w:sz w:val="16"/>
        </w:rPr>
      </w:pPr>
      <w:r>
        <w:rPr/>
        <w:pict>
          <v:line style="position:absolute;mso-position-horizontal-relative:page;mso-position-vertical-relative:paragraph;z-index:3496" from="501pt,11.137195pt" to="505.44pt,11.137195pt" stroked="true" strokeweight="4.32pt" strokecolor="#8063a1">
            <w10:wrap type="none"/>
          </v:line>
        </w:pict>
      </w:r>
      <w:r>
        <w:rPr>
          <w:rFonts w:ascii="Calibri"/>
          <w:sz w:val="16"/>
        </w:rPr>
        <w:t>2005</w:t>
      </w:r>
    </w:p>
    <w:p>
      <w:pPr>
        <w:spacing w:before="118"/>
        <w:ind w:left="596" w:right="0" w:firstLine="0"/>
        <w:jc w:val="left"/>
        <w:rPr>
          <w:rFonts w:ascii="Calibri"/>
          <w:sz w:val="16"/>
        </w:rPr>
      </w:pPr>
      <w:r>
        <w:rPr/>
        <w:pict>
          <v:line style="position:absolute;mso-position-horizontal-relative:page;mso-position-vertical-relative:paragraph;z-index:3520" from="501pt,11.127181pt" to="505.44pt,11.127181pt" stroked="true" strokeweight="4.440pt" strokecolor="#4aacc5">
            <w10:wrap type="none"/>
          </v:line>
        </w:pict>
      </w:r>
      <w:r>
        <w:rPr>
          <w:rFonts w:ascii="Calibri"/>
          <w:sz w:val="16"/>
        </w:rPr>
        <w:t>2010</w:t>
      </w:r>
    </w:p>
    <w:p>
      <w:pPr>
        <w:spacing w:after="0"/>
        <w:jc w:val="left"/>
        <w:rPr>
          <w:rFonts w:ascii="Calibri"/>
          <w:sz w:val="16"/>
        </w:rPr>
        <w:sectPr>
          <w:type w:val="continuous"/>
          <w:pgSz w:w="12240" w:h="15840"/>
          <w:pgMar w:top="1500" w:bottom="280" w:left="1600" w:right="1580"/>
          <w:cols w:num="3" w:equalWidth="0">
            <w:col w:w="880" w:space="42"/>
            <w:col w:w="6595" w:space="433"/>
            <w:col w:w="1110"/>
          </w:cols>
        </w:sectPr>
      </w:pPr>
    </w:p>
    <w:p>
      <w:pPr>
        <w:spacing w:before="39"/>
        <w:ind w:left="1976" w:right="-12" w:hanging="740"/>
        <w:jc w:val="left"/>
        <w:rPr>
          <w:rFonts w:ascii="Calibri" w:hAnsi="Calibri"/>
          <w:sz w:val="20"/>
        </w:rPr>
      </w:pPr>
      <w:r>
        <w:rPr>
          <w:rFonts w:ascii="Calibri" w:hAnsi="Calibri"/>
          <w:sz w:val="20"/>
        </w:rPr>
        <w:t>Área urbana continua</w:t>
      </w:r>
      <w:r>
        <w:rPr>
          <w:rFonts w:ascii="Calibri" w:hAnsi="Calibri"/>
          <w:spacing w:val="-9"/>
          <w:sz w:val="20"/>
        </w:rPr>
        <w:t> </w:t>
      </w:r>
      <w:r>
        <w:rPr>
          <w:rFonts w:ascii="Calibri" w:hAnsi="Calibri"/>
          <w:sz w:val="20"/>
        </w:rPr>
        <w:t>de Toluca</w:t>
      </w:r>
    </w:p>
    <w:p>
      <w:pPr>
        <w:spacing w:before="39"/>
        <w:ind w:left="937" w:right="-20" w:hanging="476"/>
        <w:jc w:val="left"/>
        <w:rPr>
          <w:rFonts w:ascii="Calibri" w:hAnsi="Calibri"/>
          <w:sz w:val="20"/>
        </w:rPr>
      </w:pPr>
      <w:r>
        <w:rPr/>
        <w:br w:type="column"/>
      </w:r>
      <w:r>
        <w:rPr>
          <w:rFonts w:ascii="Calibri" w:hAnsi="Calibri"/>
          <w:sz w:val="20"/>
        </w:rPr>
        <w:t>Interrelación funcional intermedia</w:t>
      </w:r>
    </w:p>
    <w:p>
      <w:pPr>
        <w:spacing w:before="39"/>
        <w:ind w:left="1005" w:right="1026" w:hanging="497"/>
        <w:jc w:val="left"/>
        <w:rPr>
          <w:rFonts w:ascii="Calibri" w:hAnsi="Calibri"/>
          <w:sz w:val="20"/>
        </w:rPr>
      </w:pPr>
      <w:r>
        <w:rPr/>
        <w:br w:type="column"/>
      </w:r>
      <w:r>
        <w:rPr>
          <w:rFonts w:ascii="Calibri" w:hAnsi="Calibri"/>
          <w:sz w:val="20"/>
        </w:rPr>
        <w:t>Relación externa, resto municipios</w:t>
      </w:r>
    </w:p>
    <w:p>
      <w:pPr>
        <w:spacing w:after="0"/>
        <w:jc w:val="left"/>
        <w:rPr>
          <w:rFonts w:ascii="Calibri" w:hAnsi="Calibri"/>
          <w:sz w:val="20"/>
        </w:rPr>
        <w:sectPr>
          <w:type w:val="continuous"/>
          <w:pgSz w:w="12240" w:h="15840"/>
          <w:pgMar w:top="1500" w:bottom="280" w:left="1600" w:right="1580"/>
          <w:cols w:num="3" w:equalWidth="0">
            <w:col w:w="3247" w:space="40"/>
            <w:col w:w="2304" w:space="40"/>
            <w:col w:w="3429"/>
          </w:cols>
        </w:sectPr>
      </w:pPr>
    </w:p>
    <w:p>
      <w:pPr>
        <w:pStyle w:val="BodyText"/>
        <w:spacing w:before="9"/>
        <w:rPr>
          <w:rFonts w:ascii="Calibri"/>
          <w:sz w:val="9"/>
        </w:rPr>
      </w:pPr>
    </w:p>
    <w:p>
      <w:pPr>
        <w:spacing w:line="228" w:lineRule="exact" w:before="79"/>
        <w:ind w:left="2325" w:right="324" w:hanging="2003"/>
        <w:jc w:val="left"/>
        <w:rPr>
          <w:sz w:val="20"/>
        </w:rPr>
      </w:pPr>
      <w:r>
        <w:rPr>
          <w:sz w:val="20"/>
        </w:rPr>
        <w:t>Fuente: Elaboración propia con información de los respectivos Censos General de Población y Vivienda, Conteo de Población y Vivienda e ITER</w:t>
      </w:r>
    </w:p>
    <w:p>
      <w:pPr>
        <w:spacing w:after="0" w:line="228" w:lineRule="exact"/>
        <w:jc w:val="left"/>
        <w:rPr>
          <w:sz w:val="20"/>
        </w:rPr>
        <w:sectPr>
          <w:type w:val="continuous"/>
          <w:pgSz w:w="12240" w:h="15840"/>
          <w:pgMar w:top="1500" w:bottom="280" w:left="1600" w:right="1580"/>
        </w:sectPr>
      </w:pPr>
    </w:p>
    <w:p>
      <w:pPr>
        <w:spacing w:before="51"/>
        <w:ind w:left="102" w:right="0" w:firstLine="0"/>
        <w:jc w:val="both"/>
        <w:rPr>
          <w:i/>
          <w:sz w:val="20"/>
        </w:rPr>
      </w:pPr>
      <w:r>
        <w:rPr>
          <w:i/>
          <w:sz w:val="20"/>
        </w:rPr>
        <w:t>Distribución del empleo urbano</w:t>
      </w:r>
    </w:p>
    <w:p>
      <w:pPr>
        <w:pStyle w:val="BodyText"/>
        <w:rPr>
          <w:i/>
          <w:sz w:val="20"/>
        </w:rPr>
      </w:pPr>
    </w:p>
    <w:p>
      <w:pPr>
        <w:pStyle w:val="BodyText"/>
        <w:spacing w:line="360" w:lineRule="auto" w:before="170"/>
        <w:ind w:left="102" w:right="101"/>
        <w:jc w:val="both"/>
      </w:pPr>
      <w:r>
        <w:rPr/>
        <w:t>La distribución del empleo urbano –la suma del empleo en manufactura, comercio y servicios- indica aumento absoluto, relativo y también dinámico por sus tasas de crecimiento, durante la última década del siglo XX (1988 y 1998). En el área urbana continua se concentra la mayor proporción numérica del empleo, en 1988 con 84,171 empleos urbanos y asciende a 191,460 en 1998, con una tasa de 4.71%.</w:t>
      </w:r>
    </w:p>
    <w:p>
      <w:pPr>
        <w:pStyle w:val="BodyText"/>
        <w:spacing w:before="6"/>
      </w:pPr>
    </w:p>
    <w:p>
      <w:pPr>
        <w:spacing w:before="0"/>
        <w:ind w:left="867" w:right="294" w:firstLine="0"/>
        <w:jc w:val="left"/>
        <w:rPr>
          <w:sz w:val="20"/>
        </w:rPr>
      </w:pPr>
      <w:r>
        <w:rPr>
          <w:sz w:val="20"/>
        </w:rPr>
        <w:t>Gráfica No. 8.  Distribución porcentual del empleo urbano del periodo 1988 a 2008</w:t>
      </w:r>
    </w:p>
    <w:p>
      <w:pPr>
        <w:pStyle w:val="BodyText"/>
        <w:spacing w:before="10"/>
        <w:rPr>
          <w:sz w:val="10"/>
        </w:rPr>
      </w:pPr>
    </w:p>
    <w:p>
      <w:pPr>
        <w:spacing w:after="0"/>
        <w:rPr>
          <w:sz w:val="10"/>
        </w:rPr>
        <w:sectPr>
          <w:footerReference w:type="default" r:id="rId39"/>
          <w:pgSz w:w="12240" w:h="15840"/>
          <w:pgMar w:footer="659" w:header="0" w:top="1360" w:bottom="840" w:left="1600" w:right="1600"/>
          <w:pgNumType w:start="91"/>
        </w:sectPr>
      </w:pPr>
    </w:p>
    <w:p>
      <w:pPr>
        <w:tabs>
          <w:tab w:pos="1637" w:val="left" w:leader="none"/>
        </w:tabs>
        <w:spacing w:before="59"/>
        <w:ind w:left="786" w:right="0" w:firstLine="0"/>
        <w:jc w:val="left"/>
        <w:rPr>
          <w:rFonts w:ascii="Calibri"/>
          <w:sz w:val="20"/>
        </w:rPr>
      </w:pPr>
      <w:r>
        <w:rPr/>
        <w:pict>
          <v:group style="position:absolute;margin-left:114.105003pt;margin-top:19.571457pt;width:353.2pt;height:129.9pt;mso-position-horizontal-relative:page;mso-position-vertical-relative:paragraph;z-index:-299176" coordorigin="2282,391" coordsize="7064,2598">
            <v:shape style="position:absolute;left:2642;top:391;width:5170;height:2590" coordorigin="2642,391" coordsize="5170,2590" path="m3113,391l2642,391,2642,2981,3113,2981,3113,391m5462,2818l4992,2818,4992,2981,5462,2981,5462,2818m7812,2813l7342,2813,7342,2981,7812,2981,7812,2813e" filled="true" fillcolor="#4f81bc" stroked="false">
              <v:path arrowok="t"/>
              <v:fill type="solid"/>
            </v:shape>
            <v:shape style="position:absolute;left:3230;top:516;width:5170;height:2465" coordorigin="3230,516" coordsize="5170,2465" path="m3701,516l3230,516,3230,2981,3701,2981,3701,516m6050,2772l5580,2772,5580,2981,6050,2981,6050,2772m8400,2736l7930,2736,7930,2981,8400,2981,8400,2736e" filled="true" fillcolor="#6f2f9f" stroked="false">
              <v:path arrowok="t"/>
              <v:fill type="solid"/>
            </v:shape>
            <v:shape style="position:absolute;left:3816;top:581;width:5170;height:2400" coordorigin="3816,581" coordsize="5170,2400" path="m4286,581l3816,581,3816,2981,4286,2981,4286,581m6636,2683l6168,2683,6168,2981,6636,2981,6636,2683m8986,2760l8518,2760,8518,2981,8986,2981,8986,2760e" filled="true" fillcolor="#9bba58" stroked="false">
              <v:path arrowok="t"/>
              <v:fill type="solid"/>
            </v:shape>
            <v:line style="position:absolute" from="2290,2981" to="9338,2981" stroked="true" strokeweight=".72pt" strokecolor="#858585"/>
            <w10:wrap type="none"/>
          </v:group>
        </w:pict>
      </w:r>
      <w:r>
        <w:rPr>
          <w:rFonts w:ascii="Calibri"/>
          <w:sz w:val="20"/>
        </w:rPr>
        <w:t>88.69</w:t>
        <w:tab/>
      </w:r>
      <w:r>
        <w:rPr>
          <w:rFonts w:ascii="Calibri"/>
          <w:w w:val="95"/>
          <w:position w:val="-11"/>
          <w:sz w:val="20"/>
        </w:rPr>
        <w:t>84.49</w:t>
      </w:r>
    </w:p>
    <w:p>
      <w:pPr>
        <w:pStyle w:val="BodyText"/>
        <w:spacing w:before="7"/>
        <w:rPr>
          <w:rFonts w:ascii="Calibri"/>
          <w:sz w:val="23"/>
        </w:rPr>
      </w:pPr>
      <w:r>
        <w:rPr/>
        <w:br w:type="column"/>
      </w:r>
      <w:r>
        <w:rPr>
          <w:rFonts w:ascii="Calibri"/>
          <w:sz w:val="23"/>
        </w:rPr>
      </w:r>
    </w:p>
    <w:p>
      <w:pPr>
        <w:spacing w:before="0"/>
        <w:ind w:left="290" w:right="-20" w:firstLine="0"/>
        <w:jc w:val="left"/>
        <w:rPr>
          <w:rFonts w:ascii="Calibri"/>
          <w:sz w:val="20"/>
        </w:rPr>
      </w:pPr>
      <w:r>
        <w:rPr>
          <w:rFonts w:ascii="Calibri"/>
          <w:sz w:val="20"/>
        </w:rPr>
        <w:t>82.26</w:t>
      </w:r>
    </w:p>
    <w:p>
      <w:pPr>
        <w:pStyle w:val="BodyText"/>
        <w:rPr>
          <w:rFonts w:ascii="Calibri"/>
          <w:sz w:val="18"/>
        </w:rPr>
      </w:pPr>
      <w:r>
        <w:rPr/>
        <w:br w:type="column"/>
      </w:r>
      <w:r>
        <w:rPr>
          <w:rFonts w:ascii="Calibri"/>
          <w:sz w:val="18"/>
        </w:rPr>
      </w:r>
    </w:p>
    <w:p>
      <w:pPr>
        <w:pStyle w:val="BodyText"/>
        <w:spacing w:before="3"/>
        <w:rPr>
          <w:rFonts w:ascii="Calibri"/>
          <w:sz w:val="21"/>
        </w:rPr>
      </w:pPr>
    </w:p>
    <w:p>
      <w:pPr>
        <w:spacing w:before="0"/>
        <w:ind w:left="766" w:right="649" w:firstLine="0"/>
        <w:jc w:val="center"/>
        <w:rPr>
          <w:rFonts w:ascii="Calibri"/>
          <w:sz w:val="18"/>
        </w:rPr>
      </w:pPr>
      <w:r>
        <w:rPr/>
        <w:pict>
          <v:line style="position:absolute;mso-position-horizontal-relative:page;mso-position-vertical-relative:paragraph;z-index:3640" from="475.73999pt,3.529342pt" to="475.73999pt,8.449342pt" stroked="true" strokeweight="4.92pt" strokecolor="#4f81bc">
            <w10:wrap type="none"/>
          </v:line>
        </w:pict>
      </w:r>
      <w:r>
        <w:rPr>
          <w:rFonts w:ascii="Calibri"/>
          <w:sz w:val="18"/>
        </w:rPr>
        <w:t>1988</w:t>
      </w:r>
    </w:p>
    <w:p>
      <w:pPr>
        <w:spacing w:after="0"/>
        <w:jc w:val="center"/>
        <w:rPr>
          <w:rFonts w:ascii="Calibri"/>
          <w:sz w:val="18"/>
        </w:rPr>
        <w:sectPr>
          <w:type w:val="continuous"/>
          <w:pgSz w:w="12240" w:h="15840"/>
          <w:pgMar w:top="1500" w:bottom="280" w:left="1600" w:right="1600"/>
          <w:cols w:num="3" w:equalWidth="0">
            <w:col w:w="2092" w:space="40"/>
            <w:col w:w="746" w:space="4342"/>
            <w:col w:w="1820"/>
          </w:cols>
        </w:sectPr>
      </w:pPr>
    </w:p>
    <w:p>
      <w:pPr>
        <w:pStyle w:val="BodyText"/>
        <w:spacing w:before="6"/>
        <w:rPr>
          <w:rFonts w:ascii="Calibri"/>
        </w:rPr>
      </w:pPr>
    </w:p>
    <w:p>
      <w:pPr>
        <w:spacing w:before="64"/>
        <w:ind w:left="0" w:right="667" w:firstLine="0"/>
        <w:jc w:val="right"/>
        <w:rPr>
          <w:rFonts w:ascii="Calibri"/>
          <w:sz w:val="18"/>
        </w:rPr>
      </w:pPr>
      <w:r>
        <w:rPr/>
        <w:pict>
          <v:line style="position:absolute;mso-position-horizontal-relative:page;mso-position-vertical-relative:paragraph;z-index:3664" from="475.73999pt,6.749327pt" to="475.73999pt,11.669327pt" stroked="true" strokeweight="4.92pt" strokecolor="#6f2f9f">
            <w10:wrap type="none"/>
          </v:line>
        </w:pict>
      </w:r>
      <w:r>
        <w:rPr>
          <w:rFonts w:ascii="Calibri"/>
          <w:sz w:val="18"/>
        </w:rPr>
        <w:t>1998</w:t>
      </w:r>
    </w:p>
    <w:p>
      <w:pPr>
        <w:pStyle w:val="BodyText"/>
        <w:spacing w:before="6"/>
        <w:rPr>
          <w:rFonts w:ascii="Calibri"/>
        </w:rPr>
      </w:pPr>
    </w:p>
    <w:p>
      <w:pPr>
        <w:spacing w:before="64"/>
        <w:ind w:left="0" w:right="667" w:firstLine="0"/>
        <w:jc w:val="right"/>
        <w:rPr>
          <w:rFonts w:ascii="Calibri"/>
          <w:sz w:val="18"/>
        </w:rPr>
      </w:pPr>
      <w:r>
        <w:rPr/>
        <w:pict>
          <v:line style="position:absolute;mso-position-horizontal-relative:page;mso-position-vertical-relative:paragraph;z-index:3688" from="475.73999pt,6.659323pt" to="475.73999pt,11.579323pt" stroked="true" strokeweight="4.92pt" strokecolor="#9bba58">
            <w10:wrap type="none"/>
          </v:line>
        </w:pict>
      </w:r>
      <w:r>
        <w:rPr>
          <w:rFonts w:ascii="Calibri"/>
          <w:sz w:val="18"/>
        </w:rPr>
        <w:t>2008</w:t>
      </w:r>
    </w:p>
    <w:p>
      <w:pPr>
        <w:pStyle w:val="BodyText"/>
        <w:rPr>
          <w:rFonts w:ascii="Calibri"/>
          <w:sz w:val="20"/>
        </w:rPr>
      </w:pPr>
    </w:p>
    <w:p>
      <w:pPr>
        <w:pStyle w:val="BodyText"/>
        <w:spacing w:before="11"/>
        <w:rPr>
          <w:rFonts w:ascii="Calibri"/>
          <w:sz w:val="14"/>
        </w:rPr>
      </w:pPr>
    </w:p>
    <w:p>
      <w:pPr>
        <w:spacing w:after="0"/>
        <w:rPr>
          <w:rFonts w:ascii="Calibri"/>
          <w:sz w:val="14"/>
        </w:rPr>
        <w:sectPr>
          <w:type w:val="continuous"/>
          <w:pgSz w:w="12240" w:h="15840"/>
          <w:pgMar w:top="1500" w:bottom="280" w:left="1600" w:right="1600"/>
        </w:sectPr>
      </w:pPr>
    </w:p>
    <w:p>
      <w:pPr>
        <w:tabs>
          <w:tab w:pos="686" w:val="left" w:leader="none"/>
        </w:tabs>
        <w:spacing w:before="147"/>
        <w:ind w:left="0" w:right="0" w:firstLine="0"/>
        <w:jc w:val="right"/>
        <w:rPr>
          <w:rFonts w:ascii="Calibri"/>
          <w:sz w:val="20"/>
        </w:rPr>
      </w:pPr>
      <w:r>
        <w:rPr>
          <w:rFonts w:ascii="Calibri"/>
          <w:position w:val="-4"/>
          <w:sz w:val="20"/>
        </w:rPr>
        <w:t>5.59</w:t>
        <w:tab/>
      </w:r>
      <w:r>
        <w:rPr>
          <w:rFonts w:ascii="Calibri"/>
          <w:w w:val="95"/>
          <w:sz w:val="20"/>
        </w:rPr>
        <w:t>7.17</w:t>
      </w:r>
    </w:p>
    <w:p>
      <w:pPr>
        <w:spacing w:before="59"/>
        <w:ind w:left="142" w:right="-16" w:firstLine="0"/>
        <w:jc w:val="left"/>
        <w:rPr>
          <w:rFonts w:ascii="Calibri"/>
          <w:sz w:val="20"/>
        </w:rPr>
      </w:pPr>
      <w:r>
        <w:rPr/>
        <w:br w:type="column"/>
      </w:r>
      <w:r>
        <w:rPr>
          <w:rFonts w:ascii="Calibri"/>
          <w:spacing w:val="-1"/>
          <w:sz w:val="20"/>
        </w:rPr>
        <w:t>10.21</w:t>
      </w:r>
    </w:p>
    <w:p>
      <w:pPr>
        <w:pStyle w:val="BodyText"/>
        <w:spacing w:before="7"/>
        <w:rPr>
          <w:rFonts w:ascii="Calibri"/>
          <w:sz w:val="15"/>
        </w:rPr>
      </w:pPr>
      <w:r>
        <w:rPr/>
        <w:br w:type="column"/>
      </w:r>
      <w:r>
        <w:rPr>
          <w:rFonts w:ascii="Calibri"/>
          <w:sz w:val="15"/>
        </w:rPr>
      </w:r>
    </w:p>
    <w:p>
      <w:pPr>
        <w:spacing w:before="0"/>
        <w:ind w:left="0" w:right="0" w:firstLine="0"/>
        <w:jc w:val="right"/>
        <w:rPr>
          <w:rFonts w:ascii="Calibri"/>
          <w:sz w:val="20"/>
        </w:rPr>
      </w:pPr>
      <w:r>
        <w:rPr>
          <w:rFonts w:ascii="Calibri"/>
          <w:w w:val="95"/>
          <w:sz w:val="20"/>
        </w:rPr>
        <w:t>5.73</w:t>
      </w:r>
    </w:p>
    <w:p>
      <w:pPr>
        <w:spacing w:before="113"/>
        <w:ind w:left="194" w:right="-3" w:firstLine="0"/>
        <w:jc w:val="left"/>
        <w:rPr>
          <w:rFonts w:ascii="Calibri"/>
          <w:sz w:val="20"/>
        </w:rPr>
      </w:pPr>
      <w:r>
        <w:rPr/>
        <w:br w:type="column"/>
      </w:r>
      <w:r>
        <w:rPr>
          <w:rFonts w:ascii="Calibri"/>
          <w:w w:val="95"/>
          <w:sz w:val="20"/>
        </w:rPr>
        <w:t>8.35</w:t>
      </w:r>
    </w:p>
    <w:p>
      <w:pPr>
        <w:spacing w:before="137"/>
        <w:ind w:left="194" w:right="0" w:firstLine="0"/>
        <w:jc w:val="left"/>
        <w:rPr>
          <w:rFonts w:ascii="Calibri"/>
          <w:sz w:val="20"/>
        </w:rPr>
      </w:pPr>
      <w:r>
        <w:rPr/>
        <w:br w:type="column"/>
      </w:r>
      <w:r>
        <w:rPr>
          <w:rFonts w:ascii="Calibri"/>
          <w:sz w:val="20"/>
        </w:rPr>
        <w:t>7.53</w:t>
      </w:r>
    </w:p>
    <w:p>
      <w:pPr>
        <w:spacing w:after="0"/>
        <w:jc w:val="left"/>
        <w:rPr>
          <w:rFonts w:ascii="Calibri"/>
          <w:sz w:val="20"/>
        </w:rPr>
        <w:sectPr>
          <w:type w:val="continuous"/>
          <w:pgSz w:w="12240" w:h="15840"/>
          <w:pgMar w:top="1500" w:bottom="280" w:left="1600" w:right="1600"/>
          <w:cols w:num="5" w:equalWidth="0">
            <w:col w:w="4393" w:space="40"/>
            <w:col w:w="597" w:space="40"/>
            <w:col w:w="1085" w:space="40"/>
            <w:col w:w="548" w:space="40"/>
            <w:col w:w="2257"/>
          </w:cols>
        </w:sectPr>
      </w:pPr>
    </w:p>
    <w:p>
      <w:pPr>
        <w:pStyle w:val="BodyText"/>
        <w:rPr>
          <w:rFonts w:ascii="Calibri"/>
          <w:sz w:val="26"/>
        </w:rPr>
      </w:pPr>
    </w:p>
    <w:p>
      <w:pPr>
        <w:spacing w:after="0"/>
        <w:rPr>
          <w:rFonts w:ascii="Calibri"/>
          <w:sz w:val="26"/>
        </w:rPr>
        <w:sectPr>
          <w:type w:val="continuous"/>
          <w:pgSz w:w="12240" w:h="15840"/>
          <w:pgMar w:top="1500" w:bottom="280" w:left="1600" w:right="1600"/>
        </w:sectPr>
      </w:pPr>
    </w:p>
    <w:p>
      <w:pPr>
        <w:spacing w:before="59"/>
        <w:ind w:left="1597" w:right="-20" w:hanging="740"/>
        <w:jc w:val="left"/>
        <w:rPr>
          <w:rFonts w:ascii="Calibri" w:hAnsi="Calibri"/>
          <w:sz w:val="20"/>
        </w:rPr>
      </w:pPr>
      <w:r>
        <w:rPr>
          <w:rFonts w:ascii="Calibri" w:hAnsi="Calibri"/>
          <w:sz w:val="20"/>
        </w:rPr>
        <w:t>Área urbana continua de Toluca</w:t>
      </w:r>
    </w:p>
    <w:p>
      <w:pPr>
        <w:spacing w:before="59"/>
        <w:ind w:left="859" w:right="-19" w:hanging="476"/>
        <w:jc w:val="left"/>
        <w:rPr>
          <w:rFonts w:ascii="Calibri" w:hAnsi="Calibri"/>
          <w:sz w:val="20"/>
        </w:rPr>
      </w:pPr>
      <w:r>
        <w:rPr/>
        <w:br w:type="column"/>
      </w:r>
      <w:r>
        <w:rPr>
          <w:rFonts w:ascii="Calibri" w:hAnsi="Calibri"/>
          <w:sz w:val="20"/>
        </w:rPr>
        <w:t>Interrelación funcional intermedia</w:t>
      </w:r>
    </w:p>
    <w:p>
      <w:pPr>
        <w:spacing w:before="59"/>
        <w:ind w:left="927" w:right="698" w:hanging="497"/>
        <w:jc w:val="left"/>
        <w:rPr>
          <w:rFonts w:ascii="Calibri" w:hAnsi="Calibri"/>
          <w:sz w:val="20"/>
        </w:rPr>
      </w:pPr>
      <w:r>
        <w:rPr/>
        <w:br w:type="column"/>
      </w:r>
      <w:r>
        <w:rPr>
          <w:rFonts w:ascii="Calibri" w:hAnsi="Calibri"/>
          <w:sz w:val="20"/>
        </w:rPr>
        <w:t>Relación externa, resto municipios</w:t>
      </w:r>
    </w:p>
    <w:p>
      <w:pPr>
        <w:spacing w:after="0"/>
        <w:jc w:val="left"/>
        <w:rPr>
          <w:rFonts w:ascii="Calibri" w:hAnsi="Calibri"/>
          <w:sz w:val="20"/>
        </w:rPr>
        <w:sectPr>
          <w:type w:val="continuous"/>
          <w:pgSz w:w="12240" w:h="15840"/>
          <w:pgMar w:top="1500" w:bottom="280" w:left="1600" w:right="1600"/>
          <w:cols w:num="3" w:equalWidth="0">
            <w:col w:w="2869" w:space="40"/>
            <w:col w:w="2227" w:space="40"/>
            <w:col w:w="3864"/>
          </w:cols>
        </w:sectPr>
      </w:pPr>
    </w:p>
    <w:p>
      <w:pPr>
        <w:pStyle w:val="BodyText"/>
        <w:rPr>
          <w:rFonts w:ascii="Calibri"/>
          <w:sz w:val="17"/>
        </w:rPr>
      </w:pPr>
    </w:p>
    <w:p>
      <w:pPr>
        <w:spacing w:before="74"/>
        <w:ind w:left="89" w:right="90" w:firstLine="0"/>
        <w:jc w:val="center"/>
        <w:rPr>
          <w:sz w:val="20"/>
        </w:rPr>
      </w:pPr>
      <w:r>
        <w:rPr>
          <w:sz w:val="20"/>
        </w:rPr>
        <w:t>Fuente: Elaboración propia con información de INEGI de los censos económicos, 1988, 1998 y 2008.</w:t>
      </w:r>
    </w:p>
    <w:p>
      <w:pPr>
        <w:pStyle w:val="BodyText"/>
        <w:spacing w:before="7"/>
        <w:rPr>
          <w:sz w:val="19"/>
        </w:rPr>
      </w:pPr>
    </w:p>
    <w:p>
      <w:pPr>
        <w:spacing w:before="0"/>
        <w:ind w:left="89" w:right="93" w:firstLine="0"/>
        <w:jc w:val="center"/>
        <w:rPr>
          <w:i/>
          <w:sz w:val="20"/>
        </w:rPr>
      </w:pPr>
      <w:r>
        <w:rPr>
          <w:sz w:val="20"/>
        </w:rPr>
        <w:t>Gráfica </w:t>
      </w:r>
      <w:r>
        <w:rPr>
          <w:i/>
          <w:sz w:val="20"/>
        </w:rPr>
        <w:t>No. 9  Tasa de crecimiento del empleo urbanos por ámbito de funcionamiento, 1988 a 2008</w:t>
      </w:r>
    </w:p>
    <w:p>
      <w:pPr>
        <w:pStyle w:val="BodyText"/>
        <w:spacing w:before="2"/>
        <w:rPr>
          <w:i/>
          <w:sz w:val="17"/>
        </w:rPr>
      </w:pPr>
    </w:p>
    <w:p>
      <w:pPr>
        <w:tabs>
          <w:tab w:pos="5519" w:val="left" w:leader="none"/>
        </w:tabs>
        <w:spacing w:before="59"/>
        <w:ind w:left="3140" w:right="294" w:firstLine="0"/>
        <w:jc w:val="left"/>
        <w:rPr>
          <w:rFonts w:ascii="Calibri"/>
          <w:sz w:val="20"/>
        </w:rPr>
      </w:pPr>
      <w:r>
        <w:rPr/>
        <w:drawing>
          <wp:anchor distT="0" distB="0" distL="0" distR="0" allowOverlap="1" layoutInCell="1" locked="0" behindDoc="0" simplePos="0" relativeHeight="3832">
            <wp:simplePos x="0" y="0"/>
            <wp:positionH relativeFrom="page">
              <wp:posOffset>2726435</wp:posOffset>
            </wp:positionH>
            <wp:positionV relativeFrom="paragraph">
              <wp:posOffset>78758</wp:posOffset>
            </wp:positionV>
            <wp:extent cx="271272" cy="85344"/>
            <wp:effectExtent l="0" t="0" r="0" b="0"/>
            <wp:wrapNone/>
            <wp:docPr id="27" name="image19.png" descr=""/>
            <wp:cNvGraphicFramePr>
              <a:graphicFrameLocks noChangeAspect="1"/>
            </wp:cNvGraphicFramePr>
            <a:graphic>
              <a:graphicData uri="http://schemas.openxmlformats.org/drawingml/2006/picture">
                <pic:pic>
                  <pic:nvPicPr>
                    <pic:cNvPr id="28" name="image19.png"/>
                    <pic:cNvPicPr/>
                  </pic:nvPicPr>
                  <pic:blipFill>
                    <a:blip r:embed="rId40" cstate="print"/>
                    <a:stretch>
                      <a:fillRect/>
                    </a:stretch>
                  </pic:blipFill>
                  <pic:spPr>
                    <a:xfrm>
                      <a:off x="0" y="0"/>
                      <a:ext cx="271272" cy="85344"/>
                    </a:xfrm>
                    <a:prstGeom prst="rect">
                      <a:avLst/>
                    </a:prstGeom>
                  </pic:spPr>
                </pic:pic>
              </a:graphicData>
            </a:graphic>
          </wp:anchor>
        </w:drawing>
      </w:r>
      <w:r>
        <w:rPr/>
        <w:pict>
          <v:group style="position:absolute;margin-left:333.579987pt;margin-top:6.146486pt;width:21.4pt;height:6.75pt;mso-position-horizontal-relative:page;mso-position-vertical-relative:paragraph;z-index:-298936" coordorigin="6672,123" coordsize="428,135">
            <v:shape style="position:absolute;left:6694;top:190;width:384;height:2" coordorigin="6694,190" coordsize="384,0" path="m6946,190l7078,190m6694,190l6826,190e" filled="false" stroked="true" strokeweight="2.16pt" strokecolor="#bd4a47">
              <v:path arrowok="t"/>
            </v:shape>
            <v:rect style="position:absolute;left:6826;top:130;width:120;height:120" filled="true" fillcolor="#c0504d" stroked="false">
              <v:fill type="solid"/>
            </v:rect>
            <v:rect style="position:absolute;left:6826;top:130;width:120;height:120" filled="false" stroked="true" strokeweight=".72pt" strokecolor="#bd4a47"/>
            <w10:wrap type="none"/>
          </v:group>
        </w:pict>
      </w:r>
      <w:r>
        <w:rPr>
          <w:rFonts w:ascii="Calibri"/>
          <w:sz w:val="20"/>
        </w:rPr>
        <w:t>1988-1998</w:t>
        <w:tab/>
        <w:t>1998-2008</w:t>
      </w:r>
    </w:p>
    <w:p>
      <w:pPr>
        <w:pStyle w:val="BodyText"/>
        <w:rPr>
          <w:rFonts w:ascii="Calibri"/>
          <w:sz w:val="20"/>
        </w:rPr>
      </w:pPr>
    </w:p>
    <w:p>
      <w:pPr>
        <w:pStyle w:val="BodyText"/>
        <w:spacing w:before="3"/>
        <w:rPr>
          <w:rFonts w:ascii="Calibri"/>
          <w:sz w:val="16"/>
        </w:rPr>
      </w:pPr>
    </w:p>
    <w:p>
      <w:pPr>
        <w:spacing w:before="60"/>
        <w:ind w:left="0" w:right="1772" w:firstLine="0"/>
        <w:jc w:val="right"/>
        <w:rPr>
          <w:rFonts w:ascii="Calibri"/>
          <w:sz w:val="20"/>
        </w:rPr>
      </w:pPr>
      <w:r>
        <w:rPr/>
        <w:pict>
          <v:group style="position:absolute;margin-left:180.720001pt;margin-top:4.241478pt;width:234.15pt;height:66.8pt;mso-position-horizontal-relative:page;mso-position-vertical-relative:paragraph;z-index:3808" coordorigin="3614,85" coordsize="4683,1336">
            <v:shape style="position:absolute;left:3919;top:182;width:4301;height:593" coordorigin="3919,182" coordsize="4301,593" path="m3919,775l6070,362,8220,182e" filled="false" stroked="true" strokeweight="2.16pt" strokecolor="#497dba">
              <v:path arrowok="t"/>
            </v:shape>
            <v:shape style="position:absolute;left:3839;top:695;width:154;height:154" type="#_x0000_t75" stroked="false">
              <v:imagedata r:id="rId41" o:title=""/>
            </v:shape>
            <v:shape style="position:absolute;left:5989;top:284;width:154;height:154" type="#_x0000_t75" stroked="false">
              <v:imagedata r:id="rId41" o:title=""/>
            </v:shape>
            <v:shape style="position:absolute;left:8142;top:102;width:154;height:154" type="#_x0000_t75" stroked="false">
              <v:imagedata r:id="rId42" o:title=""/>
            </v:shape>
            <v:shape style="position:absolute;left:3919;top:731;width:4301;height:612" coordorigin="3919,731" coordsize="4301,612" path="m3919,1243l6070,731,8220,1343e" filled="false" stroked="true" strokeweight="2.16pt" strokecolor="#bd4a47">
              <v:path arrowok="t"/>
            </v:shape>
            <v:rect style="position:absolute;left:3847;top:1173;width:139;height:139" filled="true" fillcolor="#c0504d" stroked="false">
              <v:fill type="solid"/>
            </v:rect>
            <v:rect style="position:absolute;left:3847;top:1173;width:139;height:139" filled="false" stroked="true" strokeweight=".75pt" strokecolor="#bd4a47"/>
            <v:rect style="position:absolute;left:5997;top:662;width:139;height:139" filled="true" fillcolor="#c0504d" stroked="false">
              <v:fill type="solid"/>
            </v:rect>
            <v:rect style="position:absolute;left:5997;top:662;width:139;height:139" filled="false" stroked="true" strokeweight=".75pt" strokecolor="#bd4a47"/>
            <v:rect style="position:absolute;left:8150;top:1274;width:139;height:139" filled="true" fillcolor="#c0504d" stroked="false">
              <v:fill type="solid"/>
            </v:rect>
            <v:rect style="position:absolute;left:8150;top:1274;width:139;height:139" filled="false" stroked="true" strokeweight=".75pt" strokecolor="#bd4a47"/>
            <v:shape style="position:absolute;left:5530;top:85;width:455;height:200" type="#_x0000_t202" filled="false" stroked="false">
              <v:textbox inset="0,0,0,0">
                <w:txbxContent>
                  <w:p>
                    <w:pPr>
                      <w:spacing w:line="199" w:lineRule="exact" w:before="0"/>
                      <w:ind w:left="0" w:right="-16" w:firstLine="0"/>
                      <w:jc w:val="left"/>
                      <w:rPr>
                        <w:rFonts w:ascii="Calibri"/>
                        <w:sz w:val="20"/>
                      </w:rPr>
                    </w:pPr>
                    <w:r>
                      <w:rPr>
                        <w:rFonts w:ascii="Calibri"/>
                        <w:w w:val="95"/>
                        <w:sz w:val="20"/>
                      </w:rPr>
                      <w:t>11.84</w:t>
                    </w:r>
                  </w:p>
                </w:txbxContent>
              </v:textbox>
              <w10:wrap type="none"/>
            </v:shape>
            <v:shape style="position:absolute;left:3614;top:381;width:354;height:200" type="#_x0000_t202" filled="false" stroked="false">
              <v:textbox inset="0,0,0,0">
                <w:txbxContent>
                  <w:p>
                    <w:pPr>
                      <w:spacing w:line="199" w:lineRule="exact" w:before="0"/>
                      <w:ind w:left="0" w:right="-3" w:firstLine="0"/>
                      <w:jc w:val="left"/>
                      <w:rPr>
                        <w:rFonts w:ascii="Calibri"/>
                        <w:sz w:val="20"/>
                      </w:rPr>
                    </w:pPr>
                    <w:r>
                      <w:rPr>
                        <w:rFonts w:ascii="Calibri"/>
                        <w:w w:val="95"/>
                        <w:sz w:val="20"/>
                      </w:rPr>
                      <w:t>8.57</w:t>
                    </w:r>
                  </w:p>
                </w:txbxContent>
              </v:textbox>
              <w10:wrap type="none"/>
            </v:shape>
            <v:shape style="position:absolute;left:6259;top:652;width:253;height:200" type="#_x0000_t202" filled="false" stroked="false">
              <v:textbox inset="0,0,0,0">
                <w:txbxContent>
                  <w:p>
                    <w:pPr>
                      <w:spacing w:line="199" w:lineRule="exact" w:before="0"/>
                      <w:ind w:left="0" w:right="-8" w:firstLine="0"/>
                      <w:jc w:val="left"/>
                      <w:rPr>
                        <w:rFonts w:ascii="Calibri"/>
                        <w:sz w:val="20"/>
                      </w:rPr>
                    </w:pPr>
                    <w:r>
                      <w:rPr>
                        <w:rFonts w:ascii="Calibri"/>
                        <w:w w:val="95"/>
                        <w:sz w:val="20"/>
                      </w:rPr>
                      <w:t>8.9</w:t>
                    </w:r>
                  </w:p>
                </w:txbxContent>
              </v:textbox>
              <w10:wrap type="none"/>
            </v:shape>
            <v:shape style="position:absolute;left:4108;top:1163;width:354;height:200" type="#_x0000_t202" filled="false" stroked="false">
              <v:textbox inset="0,0,0,0">
                <w:txbxContent>
                  <w:p>
                    <w:pPr>
                      <w:spacing w:line="200" w:lineRule="exact" w:before="0"/>
                      <w:ind w:left="0" w:right="-17" w:firstLine="0"/>
                      <w:jc w:val="left"/>
                      <w:rPr>
                        <w:rFonts w:ascii="Calibri"/>
                        <w:sz w:val="20"/>
                      </w:rPr>
                    </w:pPr>
                    <w:r>
                      <w:rPr>
                        <w:rFonts w:ascii="Calibri"/>
                        <w:spacing w:val="-1"/>
                        <w:sz w:val="20"/>
                      </w:rPr>
                      <w:t>4.83</w:t>
                    </w:r>
                  </w:p>
                </w:txbxContent>
              </v:textbox>
              <w10:wrap type="none"/>
            </v:shape>
            <w10:wrap type="none"/>
          </v:group>
        </w:pict>
      </w:r>
      <w:r>
        <w:rPr>
          <w:rFonts w:ascii="Calibri"/>
          <w:w w:val="95"/>
          <w:sz w:val="20"/>
        </w:rPr>
        <w:t>13.28</w:t>
      </w:r>
    </w:p>
    <w:p>
      <w:pPr>
        <w:pStyle w:val="BodyText"/>
        <w:rPr>
          <w:rFonts w:ascii="Calibri"/>
          <w:sz w:val="20"/>
        </w:rPr>
      </w:pPr>
    </w:p>
    <w:p>
      <w:pPr>
        <w:pStyle w:val="BodyText"/>
        <w:rPr>
          <w:rFonts w:ascii="Calibri"/>
          <w:sz w:val="20"/>
        </w:rPr>
      </w:pPr>
    </w:p>
    <w:p>
      <w:pPr>
        <w:pStyle w:val="BodyText"/>
        <w:rPr>
          <w:rFonts w:ascii="Calibri"/>
          <w:sz w:val="20"/>
        </w:rPr>
      </w:pPr>
    </w:p>
    <w:p>
      <w:pPr>
        <w:pStyle w:val="BodyText"/>
        <w:spacing w:before="3"/>
        <w:rPr>
          <w:rFonts w:ascii="Calibri"/>
          <w:sz w:val="15"/>
        </w:rPr>
      </w:pPr>
    </w:p>
    <w:p>
      <w:pPr>
        <w:spacing w:before="0"/>
        <w:ind w:left="0" w:right="1873" w:firstLine="0"/>
        <w:jc w:val="right"/>
        <w:rPr>
          <w:rFonts w:ascii="Calibri"/>
          <w:sz w:val="20"/>
        </w:rPr>
      </w:pPr>
      <w:r>
        <w:rPr>
          <w:rFonts w:ascii="Calibri"/>
          <w:w w:val="95"/>
          <w:sz w:val="20"/>
        </w:rPr>
        <w:t>4.03</w:t>
      </w:r>
    </w:p>
    <w:p>
      <w:pPr>
        <w:pStyle w:val="BodyText"/>
        <w:spacing w:before="6"/>
        <w:rPr>
          <w:rFonts w:ascii="Calibri"/>
          <w:sz w:val="27"/>
        </w:rPr>
      </w:pPr>
      <w:r>
        <w:rPr/>
        <w:pict>
          <v:line style="position:absolute;mso-position-horizontal-relative:page;mso-position-vertical-relative:paragraph;z-index:3592;mso-wrap-distance-left:0;mso-wrap-distance-right:0" from="142.080002pt,19.134453pt" to="464.760002pt,19.134453pt" stroked="true" strokeweight=".72pt" strokecolor="#858585">
            <w10:wrap type="topAndBottom"/>
          </v:line>
        </w:pict>
      </w:r>
    </w:p>
    <w:p>
      <w:pPr>
        <w:pStyle w:val="BodyText"/>
        <w:spacing w:before="8"/>
        <w:rPr>
          <w:rFonts w:ascii="Calibri"/>
          <w:sz w:val="5"/>
        </w:rPr>
      </w:pPr>
    </w:p>
    <w:p>
      <w:pPr>
        <w:spacing w:after="0"/>
        <w:rPr>
          <w:rFonts w:ascii="Calibri"/>
          <w:sz w:val="5"/>
        </w:rPr>
        <w:sectPr>
          <w:type w:val="continuous"/>
          <w:pgSz w:w="12240" w:h="15840"/>
          <w:pgMar w:top="1500" w:bottom="280" w:left="1600" w:right="1600"/>
        </w:sectPr>
      </w:pPr>
    </w:p>
    <w:p>
      <w:pPr>
        <w:spacing w:before="23"/>
        <w:ind w:left="2051" w:right="-20" w:hanging="740"/>
        <w:jc w:val="left"/>
        <w:rPr>
          <w:rFonts w:ascii="Calibri" w:hAnsi="Calibri"/>
          <w:sz w:val="20"/>
        </w:rPr>
      </w:pPr>
      <w:r>
        <w:rPr>
          <w:rFonts w:ascii="Calibri" w:hAnsi="Calibri"/>
          <w:sz w:val="20"/>
        </w:rPr>
        <w:t>Área urbana continua de Toluca</w:t>
      </w:r>
    </w:p>
    <w:p>
      <w:pPr>
        <w:spacing w:before="23"/>
        <w:ind w:left="660" w:right="-20" w:hanging="476"/>
        <w:jc w:val="left"/>
        <w:rPr>
          <w:rFonts w:ascii="Calibri" w:hAnsi="Calibri"/>
          <w:sz w:val="20"/>
        </w:rPr>
      </w:pPr>
      <w:r>
        <w:rPr/>
        <w:br w:type="column"/>
      </w:r>
      <w:r>
        <w:rPr>
          <w:rFonts w:ascii="Calibri" w:hAnsi="Calibri"/>
          <w:sz w:val="20"/>
        </w:rPr>
        <w:t>Interrelación funcional intermedia</w:t>
      </w:r>
    </w:p>
    <w:p>
      <w:pPr>
        <w:spacing w:before="23"/>
        <w:ind w:left="728" w:right="1484" w:hanging="497"/>
        <w:jc w:val="left"/>
        <w:rPr>
          <w:rFonts w:ascii="Calibri" w:hAnsi="Calibri"/>
          <w:sz w:val="20"/>
        </w:rPr>
      </w:pPr>
      <w:r>
        <w:rPr/>
        <w:br w:type="column"/>
      </w:r>
      <w:r>
        <w:rPr>
          <w:rFonts w:ascii="Calibri" w:hAnsi="Calibri"/>
          <w:sz w:val="20"/>
        </w:rPr>
        <w:t>Relación externa, resto municipios</w:t>
      </w:r>
    </w:p>
    <w:p>
      <w:pPr>
        <w:spacing w:after="0"/>
        <w:jc w:val="left"/>
        <w:rPr>
          <w:rFonts w:ascii="Calibri" w:hAnsi="Calibri"/>
          <w:sz w:val="20"/>
        </w:rPr>
        <w:sectPr>
          <w:type w:val="continuous"/>
          <w:pgSz w:w="12240" w:h="15840"/>
          <w:pgMar w:top="1500" w:bottom="280" w:left="1600" w:right="1600"/>
          <w:cols w:num="3" w:equalWidth="0">
            <w:col w:w="3323" w:space="40"/>
            <w:col w:w="2027" w:space="40"/>
            <w:col w:w="3610"/>
          </w:cols>
        </w:sectPr>
      </w:pPr>
    </w:p>
    <w:p>
      <w:pPr>
        <w:spacing w:before="144"/>
        <w:ind w:left="4269" w:right="294" w:hanging="3959"/>
        <w:jc w:val="left"/>
        <w:rPr>
          <w:sz w:val="20"/>
        </w:rPr>
      </w:pPr>
      <w:r>
        <w:rPr>
          <w:sz w:val="20"/>
        </w:rPr>
        <w:t>Fuente: Elaboración propia con información de INEGI de los censos económicos, 1988, 1998 y 2008.</w:t>
      </w:r>
    </w:p>
    <w:p>
      <w:pPr>
        <w:spacing w:after="0"/>
        <w:jc w:val="left"/>
        <w:rPr>
          <w:sz w:val="20"/>
        </w:rPr>
        <w:sectPr>
          <w:type w:val="continuous"/>
          <w:pgSz w:w="12240" w:h="15840"/>
          <w:pgMar w:top="1500" w:bottom="280" w:left="1600" w:right="1600"/>
        </w:sectPr>
      </w:pPr>
    </w:p>
    <w:p>
      <w:pPr>
        <w:pStyle w:val="BodyText"/>
        <w:spacing w:line="360" w:lineRule="auto" w:before="57"/>
        <w:ind w:left="102" w:right="123"/>
        <w:jc w:val="both"/>
      </w:pPr>
      <w:r>
        <w:rPr/>
        <w:t>El ámbito de interrelación funcional intermedia, en 1988 concentró la menor cantidad de empleos urbanos con una cifra de 5,303 la cual aumentó a 16,237 en 1998 y con una tasa de crecimiento del 11.84%; lo que indica una dinámica superior con respecto al área urbana continua con desconcentración del empleo urbano (ver gráfica 8 y 9).</w:t>
      </w:r>
    </w:p>
    <w:p>
      <w:pPr>
        <w:pStyle w:val="BodyText"/>
        <w:spacing w:before="10"/>
      </w:pPr>
    </w:p>
    <w:p>
      <w:pPr>
        <w:pStyle w:val="BodyText"/>
        <w:spacing w:line="360" w:lineRule="auto"/>
        <w:ind w:left="102" w:right="121"/>
        <w:jc w:val="both"/>
      </w:pPr>
      <w:r>
        <w:rPr/>
        <w:t>El ámbito de relación externa, ocupa el segundo lugar de empleos urbanos, con 5,435 empleos urbanos en 1988 cifra que en la siguiente década asciende a 18,913 con una tasa de crecimiento del empleo urbano de 13.28%, con ello se posiciona como el ámbito hacia el cual se genera la principal desconcentración del empleo urbano en las periferias del AUC. Por tanto, es este lapso de diez años, la distribución del empleo urbano en números absolutos muestra una concentración decreciente del AUC aunque sigue siendo dominante, mientras que el ritmo devela dinamismo externo, el ámbito intermedio cuenta con muy baja actividad (ver gráfica 8 y</w:t>
      </w:r>
      <w:r>
        <w:rPr>
          <w:spacing w:val="-4"/>
        </w:rPr>
        <w:t> </w:t>
      </w:r>
      <w:r>
        <w:rPr/>
        <w:t>9).</w:t>
      </w:r>
    </w:p>
    <w:p>
      <w:pPr>
        <w:pStyle w:val="BodyText"/>
        <w:spacing w:before="7"/>
      </w:pPr>
    </w:p>
    <w:p>
      <w:pPr>
        <w:spacing w:before="0"/>
        <w:ind w:left="102" w:right="0" w:firstLine="0"/>
        <w:jc w:val="both"/>
        <w:rPr>
          <w:i/>
          <w:sz w:val="24"/>
        </w:rPr>
      </w:pPr>
      <w:r>
        <w:rPr>
          <w:i/>
          <w:sz w:val="24"/>
        </w:rPr>
        <w:t>Los vehículos</w:t>
      </w:r>
    </w:p>
    <w:p>
      <w:pPr>
        <w:pStyle w:val="BodyText"/>
        <w:rPr>
          <w:i/>
        </w:rPr>
      </w:pPr>
    </w:p>
    <w:p>
      <w:pPr>
        <w:pStyle w:val="BodyText"/>
        <w:spacing w:line="360" w:lineRule="auto" w:before="144"/>
        <w:ind w:left="102" w:right="117"/>
        <w:jc w:val="both"/>
      </w:pPr>
      <w:r>
        <w:rPr/>
        <w:t>El número de automóviles registrados es una variable indirecta del potencial de traslados, permite inducir potencial de desplazamiento dado que el aumento del stock o uso del automóvil privado, es una características del proceso de desurbanización, ya que la vivienda se desconcentra pero no así las fuentes de empleo y servicios, propiciando las relaciones externas y traslados en automóvil o transporte público, y si el patrón de oferta general es centro-periferia hay mayor dependencia del centro (ver gráfica 10 y anexo A 4.11).</w:t>
      </w:r>
    </w:p>
    <w:p>
      <w:pPr>
        <w:pStyle w:val="BodyText"/>
        <w:spacing w:before="7"/>
      </w:pPr>
    </w:p>
    <w:p>
      <w:pPr>
        <w:pStyle w:val="BodyText"/>
        <w:spacing w:line="360" w:lineRule="auto"/>
        <w:ind w:left="102" w:right="116"/>
        <w:jc w:val="both"/>
      </w:pPr>
      <w:r>
        <w:rPr/>
        <w:t>En la ZMT, entre 1985 y 1990, sólo los municipios centrales tienen registro de vehículos con el 100 por ciento un total de 740,749 vehículos, con ello se puede suponer que la población de los otros ámbitos hacían uso de otros modos de desplazamiento, como el transporte público o quizás quienes poseían éste bien hacen el registro en los municipios centrales. De 1990 al 2000 la cantidad de vehículos sigue manteniéndose con mayor concentración en ámbito central con 2,103,775 del total de 2,320,007 vehículos.</w:t>
      </w:r>
    </w:p>
    <w:p>
      <w:pPr>
        <w:spacing w:after="0" w:line="360" w:lineRule="auto"/>
        <w:jc w:val="both"/>
        <w:sectPr>
          <w:pgSz w:w="12240" w:h="15840"/>
          <w:pgMar w:header="0" w:footer="659" w:top="1360" w:bottom="840" w:left="1600" w:right="1580"/>
        </w:sectPr>
      </w:pPr>
    </w:p>
    <w:p>
      <w:pPr>
        <w:spacing w:before="53"/>
        <w:ind w:left="1618" w:right="296" w:firstLine="0"/>
        <w:jc w:val="left"/>
        <w:rPr>
          <w:sz w:val="20"/>
        </w:rPr>
      </w:pPr>
      <w:r>
        <w:rPr>
          <w:sz w:val="20"/>
        </w:rPr>
        <w:t>Gráfica 10. ZMT. Participación relativa de vehículos, 1990 a 2010</w:t>
      </w:r>
    </w:p>
    <w:p>
      <w:pPr>
        <w:pStyle w:val="BodyText"/>
        <w:rPr>
          <w:sz w:val="13"/>
        </w:rPr>
      </w:pPr>
    </w:p>
    <w:p>
      <w:pPr>
        <w:tabs>
          <w:tab w:pos="4168" w:val="left" w:leader="none"/>
          <w:tab w:pos="5830" w:val="left" w:leader="none"/>
        </w:tabs>
        <w:spacing w:before="59"/>
        <w:ind w:left="2506" w:right="296" w:firstLine="0"/>
        <w:jc w:val="left"/>
        <w:rPr>
          <w:rFonts w:ascii="Calibri"/>
          <w:sz w:val="20"/>
        </w:rPr>
      </w:pPr>
      <w:r>
        <w:rPr/>
        <w:pict>
          <v:rect style="position:absolute;margin-left:197.399994pt;margin-top:6.81147pt;width:5.52pt;height:5.52pt;mso-position-horizontal-relative:page;mso-position-vertical-relative:paragraph;z-index:3904" filled="true" fillcolor="#4f81bc" stroked="false">
            <v:fill type="solid"/>
            <w10:wrap type="none"/>
          </v:rect>
        </w:pict>
      </w:r>
      <w:r>
        <w:rPr/>
        <w:pict>
          <v:rect style="position:absolute;margin-left:280.559998pt;margin-top:6.81147pt;width:5.4pt;height:5.52pt;mso-position-horizontal-relative:page;mso-position-vertical-relative:paragraph;z-index:-298864" filled="true" fillcolor="#6f2f9f" stroked="false">
            <v:fill type="solid"/>
            <w10:wrap type="none"/>
          </v:rect>
        </w:pict>
      </w:r>
      <w:r>
        <w:rPr/>
        <w:pict>
          <v:rect style="position:absolute;margin-left:363.600006pt;margin-top:6.81147pt;width:5.52pt;height:5.52pt;mso-position-horizontal-relative:page;mso-position-vertical-relative:paragraph;z-index:-298840" filled="true" fillcolor="#9bba58" stroked="false">
            <v:fill type="solid"/>
            <w10:wrap type="none"/>
          </v:rect>
        </w:pict>
      </w:r>
      <w:r>
        <w:rPr>
          <w:rFonts w:ascii="Calibri"/>
          <w:sz w:val="20"/>
        </w:rPr>
        <w:t>1985-1990</w:t>
        <w:tab/>
        <w:t>1990-2000</w:t>
        <w:tab/>
        <w:t>2000-2010</w:t>
      </w:r>
    </w:p>
    <w:p>
      <w:pPr>
        <w:pStyle w:val="BodyText"/>
        <w:spacing w:before="8"/>
        <w:rPr>
          <w:rFonts w:ascii="Calibri"/>
          <w:sz w:val="26"/>
        </w:rPr>
      </w:pPr>
    </w:p>
    <w:p>
      <w:pPr>
        <w:spacing w:after="0"/>
        <w:rPr>
          <w:rFonts w:ascii="Calibri"/>
          <w:sz w:val="26"/>
        </w:rPr>
        <w:sectPr>
          <w:pgSz w:w="12240" w:h="15840"/>
          <w:pgMar w:header="0" w:footer="659" w:top="1360" w:bottom="840" w:left="1600" w:right="1580"/>
        </w:sectPr>
      </w:pPr>
    </w:p>
    <w:p>
      <w:pPr>
        <w:spacing w:line="217" w:lineRule="exact" w:before="58"/>
        <w:ind w:left="1055" w:right="826" w:firstLine="0"/>
        <w:jc w:val="center"/>
        <w:rPr>
          <w:rFonts w:ascii="Calibri"/>
          <w:sz w:val="21"/>
        </w:rPr>
      </w:pPr>
      <w:r>
        <w:rPr>
          <w:rFonts w:ascii="Calibri"/>
          <w:sz w:val="21"/>
        </w:rPr>
        <w:t>100</w:t>
      </w:r>
    </w:p>
    <w:p>
      <w:pPr>
        <w:spacing w:line="217" w:lineRule="exact" w:before="0"/>
        <w:ind w:left="0" w:right="0" w:firstLine="0"/>
        <w:jc w:val="right"/>
        <w:rPr>
          <w:rFonts w:ascii="Calibri"/>
          <w:sz w:val="21"/>
        </w:rPr>
      </w:pPr>
      <w:r>
        <w:rPr/>
        <w:pict>
          <v:group style="position:absolute;margin-left:104.025002pt;margin-top:6.468856pt;width:404.8pt;height:131.450pt;mso-position-horizontal-relative:page;mso-position-vertical-relative:paragraph;z-index:-298912" coordorigin="2081,129" coordsize="8096,2629">
            <v:rect style="position:absolute;left:2537;top:129;width:598;height:2621" filled="true" fillcolor="#4f81bc" stroked="false">
              <v:fill type="solid"/>
            </v:rect>
            <v:rect style="position:absolute;left:3134;top:374;width:600;height:2376" filled="true" fillcolor="#6f2f9f" stroked="false">
              <v:fill type="solid"/>
            </v:rect>
            <v:rect style="position:absolute;left:3734;top:528;width:598;height:2222" filled="true" fillcolor="#9bba58" stroked="false">
              <v:fill type="solid"/>
            </v:rect>
            <v:line style="position:absolute" from="5830,2708" to="6427,2708" stroked="true" strokeweight="4.2pt" strokecolor="#6f2f9f"/>
            <v:rect style="position:absolute;left:6427;top:2609;width:600;height:142" filled="true" fillcolor="#9bba58" stroked="false">
              <v:fill type="solid"/>
            </v:rect>
            <v:rect style="position:absolute;left:8522;top:2589;width:600;height:161" filled="true" fillcolor="#6f2f9f" stroked="false">
              <v:fill type="solid"/>
            </v:rect>
            <v:rect style="position:absolute;left:9122;top:2493;width:598;height:257" filled="true" fillcolor="#9bba58" stroked="false">
              <v:fill type="solid"/>
            </v:rect>
            <v:line style="position:absolute" from="2088,2750" to="10169,2750" stroked="true" strokeweight=".72pt" strokecolor="#858585"/>
            <w10:wrap type="none"/>
          </v:group>
        </w:pict>
      </w:r>
      <w:r>
        <w:rPr>
          <w:rFonts w:ascii="Calibri"/>
          <w:sz w:val="21"/>
        </w:rPr>
        <w:t>90.68</w:t>
      </w:r>
    </w:p>
    <w:p>
      <w:pPr>
        <w:pStyle w:val="BodyText"/>
        <w:rPr>
          <w:rFonts w:ascii="Calibri"/>
          <w:sz w:val="20"/>
        </w:rPr>
      </w:pPr>
      <w:r>
        <w:rPr/>
        <w:br w:type="column"/>
      </w:r>
      <w:r>
        <w:rPr>
          <w:rFonts w:ascii="Calibri"/>
          <w:sz w:val="20"/>
        </w:rPr>
      </w:r>
    </w:p>
    <w:p>
      <w:pPr>
        <w:spacing w:before="148"/>
        <w:ind w:left="147" w:right="0" w:firstLine="0"/>
        <w:jc w:val="left"/>
        <w:rPr>
          <w:rFonts w:ascii="Calibri"/>
          <w:sz w:val="21"/>
        </w:rPr>
      </w:pPr>
      <w:r>
        <w:rPr>
          <w:rFonts w:ascii="Calibri"/>
          <w:sz w:val="21"/>
        </w:rPr>
        <w:t>84.76</w:t>
      </w:r>
    </w:p>
    <w:p>
      <w:pPr>
        <w:spacing w:after="0"/>
        <w:jc w:val="left"/>
        <w:rPr>
          <w:rFonts w:ascii="Calibri"/>
          <w:sz w:val="21"/>
        </w:rPr>
        <w:sectPr>
          <w:type w:val="continuous"/>
          <w:pgSz w:w="12240" w:h="15840"/>
          <w:pgMar w:top="1500" w:bottom="280" w:left="1600" w:right="1580"/>
          <w:cols w:num="2" w:equalWidth="0">
            <w:col w:w="2241" w:space="40"/>
            <w:col w:w="6779"/>
          </w:cols>
        </w:sect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spacing w:before="8"/>
        <w:rPr>
          <w:rFonts w:ascii="Calibri"/>
          <w:sz w:val="20"/>
        </w:rPr>
      </w:pPr>
    </w:p>
    <w:p>
      <w:pPr>
        <w:spacing w:after="0"/>
        <w:rPr>
          <w:rFonts w:ascii="Calibri"/>
          <w:sz w:val="20"/>
        </w:rPr>
        <w:sectPr>
          <w:type w:val="continuous"/>
          <w:pgSz w:w="12240" w:h="15840"/>
          <w:pgMar w:top="1500" w:bottom="280" w:left="1600" w:right="1580"/>
        </w:sectPr>
      </w:pPr>
    </w:p>
    <w:p>
      <w:pPr>
        <w:tabs>
          <w:tab w:pos="598" w:val="left" w:leader="none"/>
        </w:tabs>
        <w:spacing w:before="172"/>
        <w:ind w:left="0" w:right="0" w:firstLine="0"/>
        <w:jc w:val="right"/>
        <w:rPr>
          <w:rFonts w:ascii="Calibri"/>
          <w:sz w:val="21"/>
        </w:rPr>
      </w:pPr>
      <w:r>
        <w:rPr>
          <w:rFonts w:ascii="Calibri"/>
          <w:position w:val="-5"/>
          <w:sz w:val="21"/>
        </w:rPr>
        <w:t>3.19</w:t>
        <w:tab/>
      </w:r>
      <w:r>
        <w:rPr>
          <w:rFonts w:ascii="Calibri"/>
          <w:spacing w:val="-1"/>
          <w:sz w:val="21"/>
        </w:rPr>
        <w:t>5.45</w:t>
      </w:r>
    </w:p>
    <w:p>
      <w:pPr>
        <w:spacing w:before="154"/>
        <w:ind w:left="0" w:right="0" w:firstLine="0"/>
        <w:jc w:val="right"/>
        <w:rPr>
          <w:rFonts w:ascii="Calibri"/>
          <w:sz w:val="21"/>
        </w:rPr>
      </w:pPr>
      <w:r>
        <w:rPr/>
        <w:br w:type="column"/>
      </w:r>
      <w:r>
        <w:rPr>
          <w:rFonts w:ascii="Calibri"/>
          <w:sz w:val="21"/>
        </w:rPr>
        <w:t>6.13</w:t>
      </w:r>
    </w:p>
    <w:p>
      <w:pPr>
        <w:spacing w:before="58"/>
        <w:ind w:left="183" w:right="0" w:firstLine="0"/>
        <w:jc w:val="left"/>
        <w:rPr>
          <w:rFonts w:ascii="Calibri"/>
          <w:sz w:val="21"/>
        </w:rPr>
      </w:pPr>
      <w:r>
        <w:rPr/>
        <w:br w:type="column"/>
      </w:r>
      <w:r>
        <w:rPr>
          <w:rFonts w:ascii="Calibri"/>
          <w:sz w:val="21"/>
        </w:rPr>
        <w:t>9.79</w:t>
      </w:r>
    </w:p>
    <w:p>
      <w:pPr>
        <w:spacing w:after="0"/>
        <w:jc w:val="left"/>
        <w:rPr>
          <w:rFonts w:ascii="Calibri"/>
          <w:sz w:val="21"/>
        </w:rPr>
        <w:sectPr>
          <w:type w:val="continuous"/>
          <w:pgSz w:w="12240" w:h="15840"/>
          <w:pgMar w:top="1500" w:bottom="280" w:left="1600" w:right="1580"/>
          <w:cols w:num="3" w:equalWidth="0">
            <w:col w:w="5314" w:space="40"/>
            <w:col w:w="2057" w:space="40"/>
            <w:col w:w="1609"/>
          </w:cols>
        </w:sectPr>
      </w:pPr>
    </w:p>
    <w:p>
      <w:pPr>
        <w:pStyle w:val="BodyText"/>
        <w:spacing w:before="8"/>
        <w:rPr>
          <w:rFonts w:ascii="Calibri"/>
          <w:sz w:val="19"/>
        </w:rPr>
      </w:pPr>
    </w:p>
    <w:p>
      <w:pPr>
        <w:spacing w:after="0"/>
        <w:rPr>
          <w:rFonts w:ascii="Calibri"/>
          <w:sz w:val="19"/>
        </w:rPr>
        <w:sectPr>
          <w:type w:val="continuous"/>
          <w:pgSz w:w="12240" w:h="15840"/>
          <w:pgMar w:top="1500" w:bottom="280" w:left="1600" w:right="1580"/>
        </w:sectPr>
      </w:pPr>
    </w:p>
    <w:p>
      <w:pPr>
        <w:tabs>
          <w:tab w:pos="3607" w:val="left" w:leader="none"/>
        </w:tabs>
        <w:spacing w:before="60"/>
        <w:ind w:left="538" w:right="0" w:firstLine="0"/>
        <w:jc w:val="left"/>
        <w:rPr>
          <w:rFonts w:ascii="Calibri" w:hAnsi="Calibri"/>
          <w:sz w:val="20"/>
        </w:rPr>
      </w:pPr>
      <w:r>
        <w:rPr>
          <w:rFonts w:ascii="Calibri" w:hAnsi="Calibri"/>
          <w:sz w:val="20"/>
        </w:rPr>
        <w:t>Área urbana continua</w:t>
      </w:r>
      <w:r>
        <w:rPr>
          <w:rFonts w:ascii="Calibri" w:hAnsi="Calibri"/>
          <w:spacing w:val="-6"/>
          <w:sz w:val="20"/>
        </w:rPr>
        <w:t> </w:t>
      </w:r>
      <w:r>
        <w:rPr>
          <w:rFonts w:ascii="Calibri" w:hAnsi="Calibri"/>
          <w:sz w:val="20"/>
        </w:rPr>
        <w:t>de</w:t>
      </w:r>
      <w:r>
        <w:rPr>
          <w:rFonts w:ascii="Calibri" w:hAnsi="Calibri"/>
          <w:spacing w:val="-3"/>
          <w:sz w:val="20"/>
        </w:rPr>
        <w:t> </w:t>
      </w:r>
      <w:r>
        <w:rPr>
          <w:rFonts w:ascii="Calibri" w:hAnsi="Calibri"/>
          <w:sz w:val="20"/>
        </w:rPr>
        <w:t>Toluca</w:t>
        <w:tab/>
        <w:t>Interrelación</w:t>
      </w:r>
      <w:r>
        <w:rPr>
          <w:rFonts w:ascii="Calibri" w:hAnsi="Calibri"/>
          <w:spacing w:val="-8"/>
          <w:sz w:val="20"/>
        </w:rPr>
        <w:t> </w:t>
      </w:r>
      <w:r>
        <w:rPr>
          <w:rFonts w:ascii="Calibri" w:hAnsi="Calibri"/>
          <w:sz w:val="20"/>
        </w:rPr>
        <w:t>funcional</w:t>
      </w:r>
    </w:p>
    <w:p>
      <w:pPr>
        <w:spacing w:before="0"/>
        <w:ind w:left="0" w:right="472" w:firstLine="0"/>
        <w:jc w:val="right"/>
        <w:rPr>
          <w:rFonts w:ascii="Calibri"/>
          <w:sz w:val="20"/>
        </w:rPr>
      </w:pPr>
      <w:r>
        <w:rPr>
          <w:rFonts w:ascii="Calibri"/>
          <w:w w:val="95"/>
          <w:sz w:val="20"/>
        </w:rPr>
        <w:t>intermedia</w:t>
      </w:r>
    </w:p>
    <w:p>
      <w:pPr>
        <w:spacing w:before="60"/>
        <w:ind w:left="1035" w:right="901" w:hanging="497"/>
        <w:jc w:val="left"/>
        <w:rPr>
          <w:rFonts w:ascii="Calibri" w:hAnsi="Calibri"/>
          <w:sz w:val="20"/>
        </w:rPr>
      </w:pPr>
      <w:r>
        <w:rPr/>
        <w:br w:type="column"/>
      </w:r>
      <w:r>
        <w:rPr>
          <w:rFonts w:ascii="Calibri" w:hAnsi="Calibri"/>
          <w:sz w:val="20"/>
        </w:rPr>
        <w:t>Relación externa, resto municipios</w:t>
      </w:r>
    </w:p>
    <w:p>
      <w:pPr>
        <w:spacing w:after="0"/>
        <w:jc w:val="left"/>
        <w:rPr>
          <w:rFonts w:ascii="Calibri" w:hAnsi="Calibri"/>
          <w:sz w:val="20"/>
        </w:rPr>
        <w:sectPr>
          <w:type w:val="continuous"/>
          <w:pgSz w:w="12240" w:h="15840"/>
          <w:pgMar w:top="1500" w:bottom="280" w:left="1600" w:right="1580"/>
          <w:cols w:num="2" w:equalWidth="0">
            <w:col w:w="5450" w:space="276"/>
            <w:col w:w="3334"/>
          </w:cols>
        </w:sectPr>
      </w:pPr>
    </w:p>
    <w:p>
      <w:pPr>
        <w:pStyle w:val="BodyText"/>
        <w:spacing w:before="4"/>
        <w:rPr>
          <w:rFonts w:ascii="Calibri"/>
          <w:sz w:val="20"/>
        </w:rPr>
      </w:pPr>
    </w:p>
    <w:p>
      <w:pPr>
        <w:spacing w:before="74"/>
        <w:ind w:left="661" w:right="296" w:firstLine="0"/>
        <w:jc w:val="left"/>
        <w:rPr>
          <w:sz w:val="20"/>
        </w:rPr>
      </w:pPr>
      <w:r>
        <w:rPr>
          <w:sz w:val="20"/>
        </w:rPr>
        <w:t>Fuente: Elaboración propia con información de INEGI registro de vehículos 1985-2010.</w:t>
      </w:r>
    </w:p>
    <w:p>
      <w:pPr>
        <w:pStyle w:val="BodyText"/>
        <w:rPr>
          <w:sz w:val="20"/>
        </w:rPr>
      </w:pPr>
    </w:p>
    <w:p>
      <w:pPr>
        <w:pStyle w:val="BodyText"/>
        <w:rPr>
          <w:sz w:val="20"/>
        </w:rPr>
      </w:pPr>
    </w:p>
    <w:p>
      <w:pPr>
        <w:pStyle w:val="Heading5"/>
        <w:spacing w:before="165"/>
      </w:pPr>
      <w:r>
        <w:rPr/>
        <w:t>4.2.2. Transformación de los patrones de crecimiento, inicios del siglo XXI</w:t>
      </w:r>
    </w:p>
    <w:p>
      <w:pPr>
        <w:pStyle w:val="BodyText"/>
        <w:rPr>
          <w:b/>
        </w:rPr>
      </w:pPr>
    </w:p>
    <w:p>
      <w:pPr>
        <w:spacing w:before="139"/>
        <w:ind w:left="102" w:right="0" w:firstLine="0"/>
        <w:jc w:val="both"/>
        <w:rPr>
          <w:i/>
          <w:sz w:val="24"/>
        </w:rPr>
      </w:pPr>
      <w:r>
        <w:rPr>
          <w:i/>
          <w:sz w:val="24"/>
        </w:rPr>
        <w:t>Distribución de la población total</w:t>
      </w:r>
    </w:p>
    <w:p>
      <w:pPr>
        <w:pStyle w:val="BodyText"/>
        <w:rPr>
          <w:i/>
        </w:rPr>
      </w:pPr>
    </w:p>
    <w:p>
      <w:pPr>
        <w:pStyle w:val="BodyText"/>
        <w:spacing w:line="360" w:lineRule="auto" w:before="147"/>
        <w:ind w:left="102" w:right="116"/>
        <w:jc w:val="both"/>
      </w:pPr>
      <w:r>
        <w:rPr/>
        <w:t>La población total por ámbito de la estructura interna de la ZMT en la primera década del siglo XXI, mantiene una dinámica de ascenso del volumen total en los 22 municipios, con la particularidad de descenso en el área urbana continua pero mantiene su dominio y jerarquía al ser el ámbito más poblado con 1, 355,021 habitantes en el 2000 en la siguiente década 1, 693,404 y una tasa de 2.25% siendo el ámbito con menor crecimiento en los primeros diez años del siglo XXI. Los municipios con mayor cantidad </w:t>
      </w:r>
      <w:r>
        <w:rPr>
          <w:spacing w:val="2"/>
        </w:rPr>
        <w:t>de </w:t>
      </w:r>
      <w:r>
        <w:rPr/>
        <w:t>población son Toluca y Metepec, este último es el de menor crecimiento con una tasa de 0.97% lo que indica que el centro comienza a decrecer y se fortalece la desconcentración hacia Calimaya que comenzó en la década anterior, para el periodo 2000-2010 registró una tasa de crecimiento del 2.94%, orientándose la suburbanización hacia Otzolotepec con  una tasa de crecimiento del 3.10% (ver gráficas 1, 2, mapas 6, 7 y cuadro A 4.3  </w:t>
      </w:r>
      <w:r>
        <w:rPr>
          <w:spacing w:val="20"/>
        </w:rPr>
        <w:t> </w:t>
      </w:r>
      <w:r>
        <w:rPr/>
        <w:t>y</w:t>
      </w:r>
    </w:p>
    <w:p>
      <w:pPr>
        <w:pStyle w:val="BodyText"/>
        <w:spacing w:before="2"/>
        <w:ind w:left="102"/>
        <w:jc w:val="both"/>
      </w:pPr>
      <w:r>
        <w:rPr/>
        <w:t>A. 4.4)</w:t>
      </w:r>
    </w:p>
    <w:p>
      <w:pPr>
        <w:spacing w:after="0"/>
        <w:jc w:val="both"/>
        <w:sectPr>
          <w:type w:val="continuous"/>
          <w:pgSz w:w="12240" w:h="15840"/>
          <w:pgMar w:top="1500" w:bottom="280" w:left="1600" w:right="1580"/>
        </w:sectPr>
      </w:pPr>
    </w:p>
    <w:p>
      <w:pPr>
        <w:pStyle w:val="BodyText"/>
        <w:spacing w:line="360" w:lineRule="auto" w:before="54"/>
        <w:ind w:left="102" w:right="115"/>
        <w:jc w:val="both"/>
      </w:pPr>
      <w:r>
        <w:rPr/>
        <w:t>El ámbito de interrelación funcional intermedia, en el 2000 es el espacio con  menor cantidad de población (185,431), cambiando su posición en el 2010 posicionándose en el segundo ámbito más poblado con 242,722 habitantes y el más emprendedor en su crecimiento con una tasa de 2.73%, con ello se marca la fase de suburbanización, al conducirse la desconcentración hacia esta periferia inmediata denominada de interrelación funcional intermedia, la desconcentración en esta zona se dirige por las tasas de crecimiento hacia los municipios de San Antonio la Isla con 7.94%, seguida de Chapultepec con 5.37% (ver gráficas 1, 2 , mapas 6 , 7 y cuadro A 4.3 y A.</w:t>
      </w:r>
      <w:r>
        <w:rPr>
          <w:spacing w:val="-9"/>
        </w:rPr>
        <w:t> </w:t>
      </w:r>
      <w:r>
        <w:rPr/>
        <w:t>4.4).</w:t>
      </w:r>
    </w:p>
    <w:p>
      <w:pPr>
        <w:pStyle w:val="BodyText"/>
        <w:spacing w:before="8"/>
      </w:pPr>
    </w:p>
    <w:p>
      <w:pPr>
        <w:pStyle w:val="BodyText"/>
        <w:spacing w:line="360" w:lineRule="auto"/>
        <w:ind w:left="102" w:right="117"/>
        <w:jc w:val="both"/>
      </w:pPr>
      <w:r>
        <w:rPr/>
        <w:t>El ámbito de relación funcional externa disminuye su crecimiento con una tasa del 2.05% en el periodo 2000-2010, aminorando la concentración de la población en el ámbito, pese a que aumenta el volumen de la misma, cambia su lugar del segundo que había mantenido de 1990 hasta 2005 al tercero en el 2010 con una población de 242,722 habitantes. Esta situación indica la maduración de la suburbanización, manteniendo los indicios de desurbanización por la desconcentración de población hasta los primeros cinco años del siglo XXI y en el 2010 hacia municipios como Xalatlaco que tiene una tasa superior a las registradas en los otros ámbitos al ser de 3.43% (ver gráficas 1, 2, mapas 6, 7 y cuadro A 4.3 y A. 4.4).</w:t>
      </w:r>
    </w:p>
    <w:p>
      <w:pPr>
        <w:spacing w:after="0" w:line="360" w:lineRule="auto"/>
        <w:jc w:val="both"/>
        <w:sectPr>
          <w:pgSz w:w="12240" w:h="15840"/>
          <w:pgMar w:header="0" w:footer="659" w:top="1360" w:bottom="840" w:left="1600" w:right="1580"/>
        </w:sectPr>
      </w:pPr>
    </w:p>
    <w:p>
      <w:pPr>
        <w:spacing w:before="53" w:after="4"/>
        <w:ind w:left="1923" w:right="1241" w:firstLine="0"/>
        <w:jc w:val="left"/>
        <w:rPr>
          <w:sz w:val="20"/>
        </w:rPr>
      </w:pPr>
      <w:r>
        <w:rPr>
          <w:sz w:val="20"/>
        </w:rPr>
        <w:t>Mapa 6. Población total por municipio de la ZMT en 2000</w:t>
      </w:r>
    </w:p>
    <w:p>
      <w:pPr>
        <w:pStyle w:val="BodyText"/>
        <w:ind w:left="965"/>
        <w:rPr>
          <w:sz w:val="20"/>
        </w:rPr>
      </w:pPr>
      <w:r>
        <w:rPr>
          <w:sz w:val="20"/>
        </w:rPr>
        <w:drawing>
          <wp:inline distT="0" distB="0" distL="0" distR="0">
            <wp:extent cx="4396806" cy="3397853"/>
            <wp:effectExtent l="0" t="0" r="0" b="0"/>
            <wp:docPr id="29" name="image22.jpeg" descr=""/>
            <wp:cNvGraphicFramePr>
              <a:graphicFrameLocks noChangeAspect="1"/>
            </wp:cNvGraphicFramePr>
            <a:graphic>
              <a:graphicData uri="http://schemas.openxmlformats.org/drawingml/2006/picture">
                <pic:pic>
                  <pic:nvPicPr>
                    <pic:cNvPr id="30" name="image22.jpeg"/>
                    <pic:cNvPicPr/>
                  </pic:nvPicPr>
                  <pic:blipFill>
                    <a:blip r:embed="rId43" cstate="print"/>
                    <a:stretch>
                      <a:fillRect/>
                    </a:stretch>
                  </pic:blipFill>
                  <pic:spPr>
                    <a:xfrm>
                      <a:off x="0" y="0"/>
                      <a:ext cx="4396806" cy="3397853"/>
                    </a:xfrm>
                    <a:prstGeom prst="rect">
                      <a:avLst/>
                    </a:prstGeom>
                  </pic:spPr>
                </pic:pic>
              </a:graphicData>
            </a:graphic>
          </wp:inline>
        </w:drawing>
      </w:r>
      <w:r>
        <w:rPr>
          <w:sz w:val="20"/>
        </w:rPr>
      </w:r>
    </w:p>
    <w:p>
      <w:pPr>
        <w:pStyle w:val="BodyText"/>
        <w:spacing w:before="1"/>
      </w:pPr>
    </w:p>
    <w:p>
      <w:pPr>
        <w:spacing w:before="0" w:after="2"/>
        <w:ind w:left="1923" w:right="1241" w:firstLine="0"/>
        <w:jc w:val="left"/>
        <w:rPr>
          <w:sz w:val="20"/>
        </w:rPr>
      </w:pPr>
      <w:r>
        <w:rPr>
          <w:sz w:val="20"/>
        </w:rPr>
        <w:t>Mapa 7. Población total por municipio de la ZMT en 2010</w:t>
      </w:r>
    </w:p>
    <w:p>
      <w:pPr>
        <w:pStyle w:val="BodyText"/>
        <w:ind w:left="883"/>
        <w:rPr>
          <w:sz w:val="20"/>
        </w:rPr>
      </w:pPr>
      <w:r>
        <w:rPr>
          <w:sz w:val="20"/>
        </w:rPr>
        <w:drawing>
          <wp:inline distT="0" distB="0" distL="0" distR="0">
            <wp:extent cx="4492747" cy="3471862"/>
            <wp:effectExtent l="0" t="0" r="0" b="0"/>
            <wp:docPr id="31" name="image23.jpeg" descr=""/>
            <wp:cNvGraphicFramePr>
              <a:graphicFrameLocks noChangeAspect="1"/>
            </wp:cNvGraphicFramePr>
            <a:graphic>
              <a:graphicData uri="http://schemas.openxmlformats.org/drawingml/2006/picture">
                <pic:pic>
                  <pic:nvPicPr>
                    <pic:cNvPr id="32" name="image23.jpeg"/>
                    <pic:cNvPicPr/>
                  </pic:nvPicPr>
                  <pic:blipFill>
                    <a:blip r:embed="rId44" cstate="print"/>
                    <a:stretch>
                      <a:fillRect/>
                    </a:stretch>
                  </pic:blipFill>
                  <pic:spPr>
                    <a:xfrm>
                      <a:off x="0" y="0"/>
                      <a:ext cx="4492747" cy="3471862"/>
                    </a:xfrm>
                    <a:prstGeom prst="rect">
                      <a:avLst/>
                    </a:prstGeom>
                  </pic:spPr>
                </pic:pic>
              </a:graphicData>
            </a:graphic>
          </wp:inline>
        </w:drawing>
      </w:r>
      <w:r>
        <w:rPr>
          <w:sz w:val="20"/>
        </w:rPr>
      </w:r>
    </w:p>
    <w:p>
      <w:pPr>
        <w:spacing w:after="0"/>
        <w:rPr>
          <w:sz w:val="20"/>
        </w:rPr>
        <w:sectPr>
          <w:pgSz w:w="12240" w:h="15840"/>
          <w:pgMar w:header="0" w:footer="659" w:top="1360" w:bottom="840" w:left="1660" w:right="1660"/>
        </w:sectPr>
      </w:pPr>
    </w:p>
    <w:p>
      <w:pPr>
        <w:spacing w:before="52"/>
        <w:ind w:left="102" w:right="0" w:firstLine="0"/>
        <w:jc w:val="both"/>
        <w:rPr>
          <w:i/>
          <w:sz w:val="24"/>
        </w:rPr>
      </w:pPr>
      <w:r>
        <w:rPr>
          <w:i/>
          <w:sz w:val="24"/>
        </w:rPr>
        <w:t>Distribución de población según tamaño de localidades 2000 y 2010</w:t>
      </w:r>
    </w:p>
    <w:p>
      <w:pPr>
        <w:pStyle w:val="BodyText"/>
        <w:rPr>
          <w:i/>
        </w:rPr>
      </w:pPr>
    </w:p>
    <w:p>
      <w:pPr>
        <w:pStyle w:val="BodyText"/>
        <w:spacing w:before="146"/>
        <w:ind w:left="102"/>
        <w:jc w:val="both"/>
      </w:pPr>
      <w:r>
        <w:rPr/>
        <w:t>Los asentamientos en la ZMT según el tamaño de localidades (ver anexos  cuadro</w:t>
      </w:r>
    </w:p>
    <w:p>
      <w:pPr>
        <w:pStyle w:val="BodyText"/>
        <w:spacing w:line="360" w:lineRule="auto" w:before="137"/>
        <w:ind w:left="102" w:right="117"/>
        <w:jc w:val="both"/>
      </w:pPr>
      <w:r>
        <w:rPr/>
        <w:t>A.4.2 y A4.5 y gráficas 11, 12), en la primera década del siglo XXI, mantiene la presencia de dos patrones en: concentración y dispersión, la concentración se ubica principalmente en el área urbana continua, al ser el único ámbito con asentamientos denominados ciudades medias, en las que había 593,820hab., en el 2000, señalando que en el 2010 las ciudades medias disminuye su cantidad a 489,333 hab., quedando equilibrada la distribución de población en éstas, los centros de población con 465,659hab, y finalmente las ciudades pequeñas que son las receptoras de la desconcentración al aumentar la cantidad de habitantes del 2000 (193,904) al 2010 (485,664), el área urbana continua es la de menor dispersión de la ZMT con 220,720 hab., en el 2000 y 2010 252,748 habitantes en las localidades</w:t>
      </w:r>
      <w:r>
        <w:rPr>
          <w:spacing w:val="-6"/>
        </w:rPr>
        <w:t> </w:t>
      </w:r>
      <w:r>
        <w:rPr/>
        <w:t>rurales.</w:t>
      </w:r>
    </w:p>
    <w:p>
      <w:pPr>
        <w:pStyle w:val="BodyText"/>
        <w:spacing w:before="7"/>
      </w:pPr>
    </w:p>
    <w:p>
      <w:pPr>
        <w:pStyle w:val="BodyText"/>
        <w:spacing w:line="360" w:lineRule="auto"/>
        <w:ind w:left="102" w:right="115"/>
        <w:jc w:val="both"/>
      </w:pPr>
      <w:r>
        <w:rPr/>
        <w:t>El ámbito de interrelación funcional intermedia, se caracteriza por tener la mayor cantidad de población en los asentamiento denominados localidades rurales de la ZMT, con 60,691hab en el 2000 y 73,769hab en el 2010 aunque su participación relativa disminuye, este ámbito se configura principalmente por la distribución de población en los asentamientos (2 500 a 14 999 hab.) con 84,927 hab., en 2000 y 122,258 en el 2010, mientras que los asentamientos denominados ciudades pequeñas aumentan en cantidad de 39,813 hab., en el 2000 a 46,695 en 2010 pero disminuye su participación relativa como se observa en la gráficas 11 y</w:t>
      </w:r>
      <w:r>
        <w:rPr>
          <w:spacing w:val="-16"/>
        </w:rPr>
        <w:t> </w:t>
      </w:r>
      <w:r>
        <w:rPr/>
        <w:t>12.</w:t>
      </w:r>
    </w:p>
    <w:p>
      <w:pPr>
        <w:pStyle w:val="BodyText"/>
        <w:spacing w:before="10"/>
      </w:pPr>
    </w:p>
    <w:p>
      <w:pPr>
        <w:pStyle w:val="BodyText"/>
        <w:spacing w:line="360" w:lineRule="auto"/>
        <w:ind w:left="102" w:right="117"/>
        <w:jc w:val="both"/>
      </w:pPr>
      <w:r>
        <w:rPr/>
        <w:t>En la periferia externa denominada relación externa, resto de municipios, en el 2000 se tienen tres tipos de asentamientos, apareciendo por primera vez los asentamientos de ciudades pequeñas, con 55,337 habitantes y en el 2010 ascendió a 57,565hab, con la particularidad de que Tenango del Valle es el municipio con mayor cantidad de población en ciudades pequeñas, la configuración de este ámbito es principalmente por los asentamientos en los centros de población, señalando que el 2010 la cantidad de población en las localidades rurales (59657) es superior a la de las ciudades pequeñas, siendo  </w:t>
      </w:r>
      <w:r>
        <w:rPr>
          <w:spacing w:val="35"/>
        </w:rPr>
        <w:t> </w:t>
      </w:r>
      <w:r>
        <w:rPr/>
        <w:t>un</w:t>
      </w:r>
    </w:p>
    <w:p>
      <w:pPr>
        <w:spacing w:after="0" w:line="360" w:lineRule="auto"/>
        <w:jc w:val="both"/>
        <w:sectPr>
          <w:pgSz w:w="12240" w:h="15840"/>
          <w:pgMar w:header="0" w:footer="659" w:top="1360" w:bottom="840" w:left="1600" w:right="1580"/>
        </w:sectPr>
      </w:pPr>
    </w:p>
    <w:p>
      <w:pPr>
        <w:pStyle w:val="BodyText"/>
        <w:spacing w:line="360" w:lineRule="auto" w:before="54"/>
        <w:ind w:left="102" w:right="296"/>
      </w:pPr>
      <w:r>
        <w:rPr/>
        <w:t>espacio con un patrón de asentamientos dispersos (ver anexos cuadro A4.5 y gráficas 11 y 12).</w:t>
      </w:r>
    </w:p>
    <w:p>
      <w:pPr>
        <w:pStyle w:val="BodyText"/>
        <w:spacing w:before="6"/>
      </w:pPr>
    </w:p>
    <w:p>
      <w:pPr>
        <w:spacing w:before="0"/>
        <w:ind w:left="589" w:right="296" w:firstLine="0"/>
        <w:jc w:val="left"/>
        <w:rPr>
          <w:sz w:val="20"/>
        </w:rPr>
      </w:pPr>
      <w:r>
        <w:rPr>
          <w:sz w:val="20"/>
        </w:rPr>
        <w:t>Gráfica 11. Población por tamaño de localidad de la Zona Metropolitana de Toluca 2000.</w:t>
      </w:r>
    </w:p>
    <w:p>
      <w:pPr>
        <w:tabs>
          <w:tab w:pos="7242" w:val="left" w:leader="none"/>
        </w:tabs>
        <w:spacing w:before="156"/>
        <w:ind w:left="4275" w:right="142" w:firstLine="0"/>
        <w:jc w:val="left"/>
        <w:rPr>
          <w:rFonts w:ascii="Calibri"/>
          <w:sz w:val="18"/>
        </w:rPr>
      </w:pPr>
      <w:r>
        <w:rPr/>
        <w:pict>
          <v:line style="position:absolute;mso-position-horizontal-relative:page;mso-position-vertical-relative:paragraph;z-index:-298576" from="437.459991pt,19.205795pt" to="437.459991pt,24.125795pt" stroked="true" strokeweight="4.92pt" strokecolor="#4f81bc">
            <w10:wrap type="none"/>
          </v:line>
        </w:pict>
      </w:r>
      <w:r>
        <w:rPr>
          <w:rFonts w:ascii="Calibri"/>
          <w:b/>
          <w:position w:val="10"/>
          <w:sz w:val="24"/>
        </w:rPr>
        <w:t>2000</w:t>
        <w:tab/>
      </w:r>
      <w:r>
        <w:rPr>
          <w:rFonts w:ascii="Calibri"/>
          <w:sz w:val="18"/>
        </w:rPr>
        <w:t>Localidades</w:t>
      </w:r>
      <w:r>
        <w:rPr>
          <w:rFonts w:ascii="Calibri"/>
          <w:spacing w:val="-6"/>
          <w:sz w:val="18"/>
        </w:rPr>
        <w:t> </w:t>
      </w:r>
      <w:r>
        <w:rPr>
          <w:rFonts w:ascii="Calibri"/>
          <w:sz w:val="18"/>
        </w:rPr>
        <w:t>rurales(1</w:t>
      </w:r>
    </w:p>
    <w:p>
      <w:pPr>
        <w:spacing w:before="1"/>
        <w:ind w:left="7242" w:right="296" w:firstLine="0"/>
        <w:jc w:val="left"/>
        <w:rPr>
          <w:rFonts w:ascii="Calibri"/>
          <w:sz w:val="18"/>
        </w:rPr>
      </w:pPr>
      <w:r>
        <w:rPr/>
        <w:pict>
          <v:group style="position:absolute;margin-left:91.305pt;margin-top:15.399311pt;width:348.65pt;height:129.25pt;mso-position-horizontal-relative:page;mso-position-vertical-relative:paragraph;z-index:4192" coordorigin="1826,308" coordsize="6973,2585">
            <v:shape style="position:absolute;left:2107;top:1358;width:4940;height:1527" coordorigin="2107,1358" coordsize="4940,1527" path="m2472,2124l2107,2124,2107,2885,2472,2885,2472,2124m4759,1358l4394,1358,4394,2885,4759,2885,4759,1358m7046,1846l6679,1846,6679,2885,7046,2885,7046,1846e" filled="true" fillcolor="#4f81bc" stroked="false">
              <v:path arrowok="t"/>
              <v:fill type="solid"/>
            </v:shape>
            <v:shape style="position:absolute;left:2563;top:602;width:4940;height:2283" coordorigin="2563,602" coordsize="4940,2283" path="m2930,1692l2563,1692,2563,2885,2930,2885,2930,1692m5218,751l4850,751,4850,2885,5218,2885,5218,751m7502,602l7138,602,7138,2885,7502,2885,7502,602e" filled="true" fillcolor="#c0504d" stroked="false">
              <v:path arrowok="t"/>
              <v:fill type="solid"/>
            </v:shape>
            <v:shape style="position:absolute;left:3022;top:1546;width:4940;height:1340" coordorigin="3022,1546" coordsize="4940,1340" path="m3386,2218l3022,2218,3022,2885,3386,2885,3386,2218m5674,1884l5309,1884,5309,2885,5674,2885,5674,1884m7961,1546l7594,1546,7594,2885,7961,2885,7961,1546e" filled="true" fillcolor="#9bba58" stroked="false">
              <v:path arrowok="t"/>
              <v:fill type="solid"/>
            </v:shape>
            <v:rect style="position:absolute;left:3480;top:842;width:365;height:2042" filled="true" fillcolor="#8063a1" stroked="false">
              <v:fill type="solid"/>
            </v:rect>
            <v:line style="position:absolute" from="1834,2885" to="8693,2885" stroked="true" strokeweight=".72pt" strokecolor="#858585"/>
            <v:line style="position:absolute" from="8749,660" to="8749,758" stroked="true" strokeweight="4.92pt" strokecolor="#c0504d"/>
            <v:line style="position:absolute" from="8749,1469" to="8749,1567" stroked="true" strokeweight="4.92pt" strokecolor="#9bba58"/>
            <v:line style="position:absolute" from="8749,2278" to="8749,2376" stroked="true" strokeweight="4.92pt" strokecolor="#8063a1"/>
            <v:shape style="position:absolute;left:3436;top:549;width:455;height:200" type="#_x0000_t202" filled="false" stroked="false">
              <v:textbox inset="0,0,0,0">
                <w:txbxContent>
                  <w:p>
                    <w:pPr>
                      <w:spacing w:line="199" w:lineRule="exact" w:before="0"/>
                      <w:ind w:left="0" w:right="-16" w:firstLine="0"/>
                      <w:jc w:val="left"/>
                      <w:rPr>
                        <w:rFonts w:ascii="Calibri"/>
                        <w:sz w:val="20"/>
                      </w:rPr>
                    </w:pPr>
                    <w:r>
                      <w:rPr>
                        <w:rFonts w:ascii="Calibri"/>
                        <w:w w:val="95"/>
                        <w:sz w:val="20"/>
                      </w:rPr>
                      <w:t>43.82</w:t>
                    </w:r>
                  </w:p>
                </w:txbxContent>
              </v:textbox>
              <w10:wrap type="none"/>
            </v:shape>
            <v:shape style="position:absolute;left:4808;top:456;width:455;height:200" type="#_x0000_t202" filled="false" stroked="false">
              <v:textbox inset="0,0,0,0">
                <w:txbxContent>
                  <w:p>
                    <w:pPr>
                      <w:spacing w:line="199" w:lineRule="exact" w:before="0"/>
                      <w:ind w:left="0" w:right="-16" w:firstLine="0"/>
                      <w:jc w:val="left"/>
                      <w:rPr>
                        <w:rFonts w:ascii="Calibri"/>
                        <w:sz w:val="20"/>
                      </w:rPr>
                    </w:pPr>
                    <w:r>
                      <w:rPr>
                        <w:rFonts w:ascii="Calibri"/>
                        <w:w w:val="95"/>
                        <w:sz w:val="20"/>
                      </w:rPr>
                      <w:t>45.80</w:t>
                    </w:r>
                  </w:p>
                </w:txbxContent>
              </v:textbox>
              <w10:wrap type="none"/>
            </v:shape>
            <v:shape style="position:absolute;left:4350;top:308;width:3199;height:957" type="#_x0000_t202" filled="false" stroked="false">
              <v:textbox inset="0,0,0,0">
                <w:txbxContent>
                  <w:p>
                    <w:pPr>
                      <w:spacing w:line="203" w:lineRule="exact" w:before="0"/>
                      <w:ind w:left="0" w:right="0" w:firstLine="0"/>
                      <w:jc w:val="right"/>
                      <w:rPr>
                        <w:rFonts w:ascii="Calibri"/>
                        <w:sz w:val="20"/>
                      </w:rPr>
                    </w:pPr>
                    <w:r>
                      <w:rPr>
                        <w:rFonts w:ascii="Calibri"/>
                        <w:w w:val="95"/>
                        <w:sz w:val="20"/>
                      </w:rPr>
                      <w:t>48.98</w:t>
                    </w:r>
                  </w:p>
                  <w:p>
                    <w:pPr>
                      <w:spacing w:line="240" w:lineRule="auto" w:before="0"/>
                      <w:rPr>
                        <w:sz w:val="20"/>
                      </w:rPr>
                    </w:pPr>
                  </w:p>
                  <w:p>
                    <w:pPr>
                      <w:spacing w:line="240" w:lineRule="auto" w:before="7"/>
                      <w:rPr>
                        <w:sz w:val="24"/>
                      </w:rPr>
                    </w:pPr>
                  </w:p>
                  <w:p>
                    <w:pPr>
                      <w:spacing w:line="240" w:lineRule="exact" w:before="0"/>
                      <w:ind w:left="0" w:right="0" w:firstLine="0"/>
                      <w:jc w:val="left"/>
                      <w:rPr>
                        <w:rFonts w:ascii="Calibri"/>
                        <w:sz w:val="20"/>
                      </w:rPr>
                    </w:pPr>
                    <w:r>
                      <w:rPr>
                        <w:rFonts w:ascii="Calibri"/>
                        <w:sz w:val="20"/>
                      </w:rPr>
                      <w:t>32.73</w:t>
                    </w:r>
                  </w:p>
                </w:txbxContent>
              </v:textbox>
              <w10:wrap type="none"/>
            </v:shape>
            <v:shape style="position:absolute;left:2521;top:1399;width:455;height:200" type="#_x0000_t202" filled="false" stroked="false">
              <v:textbox inset="0,0,0,0">
                <w:txbxContent>
                  <w:p>
                    <w:pPr>
                      <w:spacing w:line="199" w:lineRule="exact" w:before="0"/>
                      <w:ind w:left="0" w:right="-16" w:firstLine="0"/>
                      <w:jc w:val="left"/>
                      <w:rPr>
                        <w:rFonts w:ascii="Calibri"/>
                        <w:sz w:val="20"/>
                      </w:rPr>
                    </w:pPr>
                    <w:r>
                      <w:rPr>
                        <w:rFonts w:ascii="Calibri"/>
                        <w:w w:val="95"/>
                        <w:sz w:val="20"/>
                      </w:rPr>
                      <w:t>25.58</w:t>
                    </w:r>
                  </w:p>
                </w:txbxContent>
              </v:textbox>
              <w10:wrap type="none"/>
            </v:shape>
            <v:shape style="position:absolute;left:7552;top:1251;width:455;height:200" type="#_x0000_t202" filled="false" stroked="false">
              <v:textbox inset="0,0,0,0">
                <w:txbxContent>
                  <w:p>
                    <w:pPr>
                      <w:spacing w:line="199" w:lineRule="exact" w:before="0"/>
                      <w:ind w:left="0" w:right="-16" w:firstLine="0"/>
                      <w:jc w:val="left"/>
                      <w:rPr>
                        <w:rFonts w:ascii="Calibri"/>
                        <w:sz w:val="20"/>
                      </w:rPr>
                    </w:pPr>
                    <w:r>
                      <w:rPr>
                        <w:rFonts w:ascii="Calibri"/>
                        <w:w w:val="95"/>
                        <w:sz w:val="20"/>
                      </w:rPr>
                      <w:t>28.74</w:t>
                    </w:r>
                  </w:p>
                </w:txbxContent>
              </v:textbox>
              <w10:wrap type="none"/>
            </v:shape>
            <v:shape style="position:absolute;left:5265;top:1590;width:455;height:200" type="#_x0000_t202" filled="false" stroked="false">
              <v:textbox inset="0,0,0,0">
                <w:txbxContent>
                  <w:p>
                    <w:pPr>
                      <w:spacing w:line="199" w:lineRule="exact" w:before="0"/>
                      <w:ind w:left="0" w:right="-16" w:firstLine="0"/>
                      <w:jc w:val="left"/>
                      <w:rPr>
                        <w:rFonts w:ascii="Calibri"/>
                        <w:sz w:val="20"/>
                      </w:rPr>
                    </w:pPr>
                    <w:r>
                      <w:rPr>
                        <w:rFonts w:ascii="Calibri"/>
                        <w:w w:val="95"/>
                        <w:sz w:val="20"/>
                      </w:rPr>
                      <w:t>21.47</w:t>
                    </w:r>
                  </w:p>
                </w:txbxContent>
              </v:textbox>
              <w10:wrap type="none"/>
            </v:shape>
            <v:shape style="position:absolute;left:6637;top:1553;width:455;height:200" type="#_x0000_t202" filled="false" stroked="false">
              <v:textbox inset="0,0,0,0">
                <w:txbxContent>
                  <w:p>
                    <w:pPr>
                      <w:spacing w:line="199" w:lineRule="exact" w:before="0"/>
                      <w:ind w:left="0" w:right="-16" w:firstLine="0"/>
                      <w:jc w:val="left"/>
                      <w:rPr>
                        <w:rFonts w:ascii="Calibri"/>
                        <w:sz w:val="20"/>
                      </w:rPr>
                    </w:pPr>
                    <w:r>
                      <w:rPr>
                        <w:rFonts w:ascii="Calibri"/>
                        <w:w w:val="95"/>
                        <w:sz w:val="20"/>
                      </w:rPr>
                      <w:t>22.28</w:t>
                    </w:r>
                  </w:p>
                </w:txbxContent>
              </v:textbox>
              <w10:wrap type="none"/>
            </v:shape>
            <v:shape style="position:absolute;left:2064;top:1832;width:455;height:200" type="#_x0000_t202" filled="false" stroked="false">
              <v:textbox inset="0,0,0,0">
                <w:txbxContent>
                  <w:p>
                    <w:pPr>
                      <w:spacing w:line="199" w:lineRule="exact" w:before="0"/>
                      <w:ind w:left="0" w:right="-16" w:firstLine="0"/>
                      <w:jc w:val="left"/>
                      <w:rPr>
                        <w:rFonts w:ascii="Calibri"/>
                        <w:sz w:val="20"/>
                      </w:rPr>
                    </w:pPr>
                    <w:r>
                      <w:rPr>
                        <w:rFonts w:ascii="Calibri"/>
                        <w:w w:val="95"/>
                        <w:sz w:val="20"/>
                      </w:rPr>
                      <w:t>16.29</w:t>
                    </w:r>
                  </w:p>
                </w:txbxContent>
              </v:textbox>
              <w10:wrap type="none"/>
            </v:shape>
            <v:shape style="position:absolute;left:2978;top:1924;width:455;height:200" type="#_x0000_t202" filled="false" stroked="false">
              <v:textbox inset="0,0,0,0">
                <w:txbxContent>
                  <w:p>
                    <w:pPr>
                      <w:spacing w:line="199" w:lineRule="exact" w:before="0"/>
                      <w:ind w:left="0" w:right="-16" w:firstLine="0"/>
                      <w:jc w:val="left"/>
                      <w:rPr>
                        <w:rFonts w:ascii="Calibri"/>
                        <w:sz w:val="20"/>
                      </w:rPr>
                    </w:pPr>
                    <w:r>
                      <w:rPr>
                        <w:rFonts w:ascii="Calibri"/>
                        <w:w w:val="95"/>
                        <w:sz w:val="20"/>
                      </w:rPr>
                      <w:t>14.31</w:t>
                    </w:r>
                  </w:p>
                </w:txbxContent>
              </v:textbox>
              <w10:wrap type="none"/>
            </v:shape>
            <w10:wrap type="none"/>
          </v:group>
        </w:pict>
      </w:r>
      <w:r>
        <w:rPr>
          <w:rFonts w:ascii="Calibri"/>
          <w:sz w:val="18"/>
        </w:rPr>
        <w:t>a 2 499 hab.)</w:t>
      </w:r>
    </w:p>
    <w:p>
      <w:pPr>
        <w:pStyle w:val="BodyText"/>
        <w:rPr>
          <w:rFonts w:ascii="Calibri"/>
          <w:sz w:val="18"/>
        </w:rPr>
      </w:pPr>
    </w:p>
    <w:p>
      <w:pPr>
        <w:spacing w:before="148"/>
        <w:ind w:left="7242" w:right="245" w:firstLine="0"/>
        <w:jc w:val="left"/>
        <w:rPr>
          <w:rFonts w:ascii="Calibri" w:hAnsi="Calibri"/>
          <w:sz w:val="18"/>
        </w:rPr>
      </w:pPr>
      <w:r>
        <w:rPr>
          <w:rFonts w:ascii="Calibri" w:hAnsi="Calibri"/>
          <w:sz w:val="18"/>
        </w:rPr>
        <w:t>Centros de población (2 500 a  14 999</w:t>
      </w:r>
    </w:p>
    <w:p>
      <w:pPr>
        <w:spacing w:line="218" w:lineRule="exact" w:before="0"/>
        <w:ind w:left="0" w:right="1439" w:firstLine="0"/>
        <w:jc w:val="right"/>
        <w:rPr>
          <w:rFonts w:ascii="Calibri"/>
          <w:sz w:val="18"/>
        </w:rPr>
      </w:pPr>
      <w:r>
        <w:rPr>
          <w:rFonts w:ascii="Calibri"/>
          <w:sz w:val="18"/>
        </w:rPr>
        <w:t>hab.)</w:t>
      </w:r>
    </w:p>
    <w:p>
      <w:pPr>
        <w:spacing w:before="150"/>
        <w:ind w:left="7242" w:right="376" w:firstLine="0"/>
        <w:jc w:val="left"/>
        <w:rPr>
          <w:rFonts w:ascii="Calibri" w:hAnsi="Calibri"/>
          <w:sz w:val="18"/>
        </w:rPr>
      </w:pPr>
      <w:r>
        <w:rPr>
          <w:rFonts w:ascii="Calibri" w:hAnsi="Calibri"/>
          <w:sz w:val="18"/>
        </w:rPr>
        <w:t>Ciudades pequeñas (15 000 a 99 999</w:t>
      </w:r>
    </w:p>
    <w:p>
      <w:pPr>
        <w:spacing w:line="218" w:lineRule="exact" w:before="0"/>
        <w:ind w:left="0" w:right="1439" w:firstLine="0"/>
        <w:jc w:val="right"/>
        <w:rPr>
          <w:rFonts w:ascii="Calibri"/>
          <w:sz w:val="18"/>
        </w:rPr>
      </w:pPr>
      <w:r>
        <w:rPr>
          <w:rFonts w:ascii="Calibri"/>
          <w:sz w:val="18"/>
        </w:rPr>
        <w:t>hab.)</w:t>
      </w:r>
    </w:p>
    <w:p>
      <w:pPr>
        <w:spacing w:before="150"/>
        <w:ind w:left="7242" w:right="399" w:firstLine="0"/>
        <w:jc w:val="left"/>
        <w:rPr>
          <w:rFonts w:ascii="Calibri"/>
          <w:sz w:val="18"/>
        </w:rPr>
      </w:pPr>
      <w:r>
        <w:rPr>
          <w:rFonts w:ascii="Calibri"/>
          <w:sz w:val="18"/>
        </w:rPr>
        <w:t>Ciudades medias (100 000 a 999 999</w:t>
      </w:r>
    </w:p>
    <w:p>
      <w:pPr>
        <w:spacing w:line="218" w:lineRule="exact" w:before="0"/>
        <w:ind w:left="0" w:right="1439" w:firstLine="0"/>
        <w:jc w:val="right"/>
        <w:rPr>
          <w:rFonts w:ascii="Calibri"/>
          <w:sz w:val="18"/>
        </w:rPr>
      </w:pPr>
      <w:r>
        <w:rPr>
          <w:rFonts w:ascii="Calibri"/>
          <w:sz w:val="18"/>
        </w:rPr>
        <w:t>hab.)</w:t>
      </w:r>
    </w:p>
    <w:p>
      <w:pPr>
        <w:spacing w:after="0" w:line="218" w:lineRule="exact"/>
        <w:jc w:val="right"/>
        <w:rPr>
          <w:rFonts w:ascii="Calibri"/>
          <w:sz w:val="18"/>
        </w:rPr>
        <w:sectPr>
          <w:pgSz w:w="12240" w:h="15840"/>
          <w:pgMar w:header="0" w:footer="659" w:top="1360" w:bottom="840" w:left="1600" w:right="1580"/>
        </w:sectPr>
      </w:pPr>
    </w:p>
    <w:p>
      <w:pPr>
        <w:spacing w:before="145"/>
        <w:ind w:left="1110" w:right="-20" w:hanging="740"/>
        <w:jc w:val="left"/>
        <w:rPr>
          <w:rFonts w:ascii="Calibri" w:hAnsi="Calibri"/>
          <w:sz w:val="20"/>
        </w:rPr>
      </w:pPr>
      <w:r>
        <w:rPr>
          <w:rFonts w:ascii="Calibri" w:hAnsi="Calibri"/>
          <w:sz w:val="20"/>
        </w:rPr>
        <w:t>Área urbana continua de Toluca</w:t>
      </w:r>
    </w:p>
    <w:p>
      <w:pPr>
        <w:spacing w:before="145"/>
        <w:ind w:left="796" w:right="-20" w:hanging="476"/>
        <w:jc w:val="left"/>
        <w:rPr>
          <w:rFonts w:ascii="Calibri" w:hAnsi="Calibri"/>
          <w:sz w:val="20"/>
        </w:rPr>
      </w:pPr>
      <w:r>
        <w:rPr/>
        <w:br w:type="column"/>
      </w:r>
      <w:r>
        <w:rPr>
          <w:rFonts w:ascii="Calibri" w:hAnsi="Calibri"/>
          <w:sz w:val="20"/>
        </w:rPr>
        <w:t>Interrelación funcional intermedia</w:t>
      </w:r>
    </w:p>
    <w:p>
      <w:pPr>
        <w:spacing w:before="145"/>
        <w:ind w:left="864" w:right="1332" w:hanging="497"/>
        <w:jc w:val="left"/>
        <w:rPr>
          <w:rFonts w:ascii="Calibri" w:hAnsi="Calibri"/>
          <w:sz w:val="20"/>
        </w:rPr>
      </w:pPr>
      <w:r>
        <w:rPr/>
        <w:br w:type="column"/>
      </w:r>
      <w:r>
        <w:rPr>
          <w:rFonts w:ascii="Calibri" w:hAnsi="Calibri"/>
          <w:sz w:val="20"/>
        </w:rPr>
        <w:t>Relación externa, resto municipios</w:t>
      </w:r>
    </w:p>
    <w:p>
      <w:pPr>
        <w:spacing w:after="0"/>
        <w:jc w:val="left"/>
        <w:rPr>
          <w:rFonts w:ascii="Calibri" w:hAnsi="Calibri"/>
          <w:sz w:val="20"/>
        </w:rPr>
        <w:sectPr>
          <w:type w:val="continuous"/>
          <w:pgSz w:w="12240" w:h="15840"/>
          <w:pgMar w:top="1500" w:bottom="280" w:left="1600" w:right="1580"/>
          <w:cols w:num="3" w:equalWidth="0">
            <w:col w:w="2382" w:space="40"/>
            <w:col w:w="2163" w:space="40"/>
            <w:col w:w="4435"/>
          </w:cols>
        </w:sectPr>
      </w:pPr>
    </w:p>
    <w:p>
      <w:pPr>
        <w:pStyle w:val="BodyText"/>
        <w:spacing w:before="5"/>
        <w:rPr>
          <w:rFonts w:ascii="Calibri"/>
          <w:sz w:val="11"/>
        </w:rPr>
      </w:pPr>
    </w:p>
    <w:p>
      <w:pPr>
        <w:spacing w:before="74"/>
        <w:ind w:left="117" w:right="146" w:firstLine="0"/>
        <w:jc w:val="center"/>
        <w:rPr>
          <w:sz w:val="20"/>
        </w:rPr>
      </w:pPr>
      <w:r>
        <w:rPr>
          <w:sz w:val="20"/>
        </w:rPr>
        <w:t>Fuente: Elaboración propia con información del X Censo General de Población y Vivienda 2000 XI</w:t>
      </w:r>
    </w:p>
    <w:p>
      <w:pPr>
        <w:pStyle w:val="BodyText"/>
        <w:spacing w:before="10"/>
        <w:rPr>
          <w:sz w:val="29"/>
        </w:rPr>
      </w:pPr>
    </w:p>
    <w:p>
      <w:pPr>
        <w:spacing w:before="0"/>
        <w:ind w:left="128" w:right="146" w:firstLine="0"/>
        <w:jc w:val="center"/>
        <w:rPr>
          <w:sz w:val="20"/>
        </w:rPr>
      </w:pPr>
      <w:r>
        <w:rPr>
          <w:sz w:val="20"/>
        </w:rPr>
        <w:t>Gráfica No.12. Población por tamaño de localidad de la Zona Metropolitana de Toluca.2010</w:t>
      </w:r>
    </w:p>
    <w:p>
      <w:pPr>
        <w:pStyle w:val="Heading5"/>
        <w:spacing w:before="153"/>
        <w:ind w:left="126" w:right="146"/>
        <w:jc w:val="center"/>
        <w:rPr>
          <w:rFonts w:ascii="Calibri"/>
        </w:rPr>
      </w:pPr>
      <w:r>
        <w:rPr>
          <w:rFonts w:ascii="Calibri"/>
        </w:rPr>
        <w:t>2010</w:t>
      </w:r>
    </w:p>
    <w:p>
      <w:pPr>
        <w:spacing w:after="0"/>
        <w:jc w:val="center"/>
        <w:rPr>
          <w:rFonts w:ascii="Calibri"/>
        </w:rPr>
        <w:sectPr>
          <w:type w:val="continuous"/>
          <w:pgSz w:w="12240" w:h="15840"/>
          <w:pgMar w:top="1500" w:bottom="280" w:left="1600" w:right="1580"/>
        </w:sectPr>
      </w:pPr>
    </w:p>
    <w:p>
      <w:pPr>
        <w:pStyle w:val="BodyText"/>
        <w:rPr>
          <w:rFonts w:ascii="Calibri"/>
          <w:b/>
          <w:sz w:val="18"/>
        </w:rPr>
      </w:pPr>
    </w:p>
    <w:p>
      <w:pPr>
        <w:pStyle w:val="BodyText"/>
        <w:rPr>
          <w:rFonts w:ascii="Calibri"/>
          <w:b/>
          <w:sz w:val="18"/>
        </w:rPr>
      </w:pPr>
    </w:p>
    <w:p>
      <w:pPr>
        <w:pStyle w:val="BodyText"/>
        <w:rPr>
          <w:rFonts w:ascii="Calibri"/>
          <w:b/>
          <w:sz w:val="18"/>
        </w:rPr>
      </w:pPr>
    </w:p>
    <w:p>
      <w:pPr>
        <w:pStyle w:val="BodyText"/>
        <w:rPr>
          <w:rFonts w:ascii="Calibri"/>
          <w:b/>
          <w:sz w:val="18"/>
        </w:rPr>
      </w:pPr>
    </w:p>
    <w:p>
      <w:pPr>
        <w:pStyle w:val="BodyText"/>
        <w:rPr>
          <w:rFonts w:ascii="Calibri"/>
          <w:b/>
          <w:sz w:val="18"/>
        </w:rPr>
      </w:pPr>
    </w:p>
    <w:p>
      <w:pPr>
        <w:pStyle w:val="BodyText"/>
        <w:spacing w:before="5"/>
        <w:rPr>
          <w:rFonts w:ascii="Calibri"/>
          <w:b/>
          <w:sz w:val="18"/>
        </w:rPr>
      </w:pPr>
    </w:p>
    <w:p>
      <w:pPr>
        <w:spacing w:before="1"/>
        <w:ind w:left="0" w:right="0" w:firstLine="0"/>
        <w:jc w:val="right"/>
        <w:rPr>
          <w:rFonts w:ascii="Calibri"/>
          <w:sz w:val="18"/>
        </w:rPr>
      </w:pPr>
      <w:r>
        <w:rPr>
          <w:rFonts w:ascii="Calibri"/>
          <w:sz w:val="18"/>
        </w:rPr>
        <w:t>27.50</w:t>
      </w:r>
    </w:p>
    <w:p>
      <w:pPr>
        <w:pStyle w:val="BodyText"/>
        <w:rPr>
          <w:rFonts w:ascii="Calibri"/>
          <w:sz w:val="18"/>
        </w:rPr>
      </w:pPr>
    </w:p>
    <w:p>
      <w:pPr>
        <w:spacing w:before="143"/>
        <w:ind w:left="1042" w:right="0" w:firstLine="0"/>
        <w:jc w:val="left"/>
        <w:rPr>
          <w:rFonts w:ascii="Calibri"/>
          <w:sz w:val="18"/>
        </w:rPr>
      </w:pPr>
      <w:r>
        <w:rPr>
          <w:rFonts w:ascii="Calibri"/>
          <w:sz w:val="18"/>
        </w:rPr>
        <w:t>14.93</w:t>
      </w:r>
    </w:p>
    <w:p>
      <w:pPr>
        <w:pStyle w:val="BodyText"/>
        <w:rPr>
          <w:rFonts w:ascii="Calibri"/>
          <w:sz w:val="18"/>
        </w:rPr>
      </w:pPr>
      <w:r>
        <w:rPr/>
        <w:br w:type="column"/>
      </w:r>
      <w:r>
        <w:rPr>
          <w:rFonts w:ascii="Calibri"/>
          <w:sz w:val="18"/>
        </w:rPr>
      </w:r>
    </w:p>
    <w:p>
      <w:pPr>
        <w:pStyle w:val="BodyText"/>
        <w:rPr>
          <w:rFonts w:ascii="Calibri"/>
          <w:sz w:val="18"/>
        </w:rPr>
      </w:pPr>
    </w:p>
    <w:p>
      <w:pPr>
        <w:pStyle w:val="BodyText"/>
        <w:rPr>
          <w:rFonts w:ascii="Calibri"/>
          <w:sz w:val="18"/>
        </w:rPr>
      </w:pPr>
    </w:p>
    <w:p>
      <w:pPr>
        <w:pStyle w:val="BodyText"/>
        <w:rPr>
          <w:rFonts w:ascii="Calibri"/>
          <w:sz w:val="18"/>
        </w:rPr>
      </w:pPr>
    </w:p>
    <w:p>
      <w:pPr>
        <w:pStyle w:val="BodyText"/>
        <w:rPr>
          <w:rFonts w:ascii="Calibri"/>
          <w:sz w:val="18"/>
        </w:rPr>
      </w:pPr>
    </w:p>
    <w:p>
      <w:pPr>
        <w:pStyle w:val="BodyText"/>
        <w:spacing w:before="11"/>
        <w:rPr>
          <w:rFonts w:ascii="Calibri"/>
          <w:sz w:val="13"/>
        </w:rPr>
      </w:pPr>
    </w:p>
    <w:p>
      <w:pPr>
        <w:spacing w:before="0"/>
        <w:ind w:left="61" w:right="-19" w:firstLine="0"/>
        <w:jc w:val="left"/>
        <w:rPr>
          <w:rFonts w:ascii="Calibri"/>
          <w:sz w:val="18"/>
        </w:rPr>
      </w:pPr>
      <w:r>
        <w:rPr>
          <w:rFonts w:ascii="Calibri"/>
          <w:sz w:val="18"/>
        </w:rPr>
        <w:t>28.68</w:t>
      </w:r>
    </w:p>
    <w:p>
      <w:pPr>
        <w:pStyle w:val="BodyText"/>
        <w:rPr>
          <w:rFonts w:ascii="Calibri"/>
          <w:sz w:val="18"/>
        </w:rPr>
      </w:pPr>
      <w:r>
        <w:rPr/>
        <w:br w:type="column"/>
      </w:r>
      <w:r>
        <w:rPr>
          <w:rFonts w:ascii="Calibri"/>
          <w:sz w:val="18"/>
        </w:rPr>
      </w:r>
    </w:p>
    <w:p>
      <w:pPr>
        <w:pStyle w:val="BodyText"/>
        <w:rPr>
          <w:rFonts w:ascii="Calibri"/>
          <w:sz w:val="18"/>
        </w:rPr>
      </w:pPr>
    </w:p>
    <w:p>
      <w:pPr>
        <w:pStyle w:val="BodyText"/>
        <w:rPr>
          <w:rFonts w:ascii="Calibri"/>
          <w:sz w:val="18"/>
        </w:rPr>
      </w:pPr>
    </w:p>
    <w:p>
      <w:pPr>
        <w:pStyle w:val="BodyText"/>
        <w:rPr>
          <w:rFonts w:ascii="Calibri"/>
          <w:sz w:val="18"/>
        </w:rPr>
      </w:pPr>
    </w:p>
    <w:p>
      <w:pPr>
        <w:pStyle w:val="BodyText"/>
        <w:rPr>
          <w:rFonts w:ascii="Calibri"/>
          <w:sz w:val="18"/>
        </w:rPr>
      </w:pPr>
    </w:p>
    <w:p>
      <w:pPr>
        <w:spacing w:before="160"/>
        <w:ind w:left="82" w:right="-20" w:firstLine="0"/>
        <w:jc w:val="left"/>
        <w:rPr>
          <w:rFonts w:ascii="Calibri"/>
          <w:sz w:val="18"/>
        </w:rPr>
      </w:pPr>
      <w:r>
        <w:rPr>
          <w:rFonts w:ascii="Calibri"/>
          <w:sz w:val="18"/>
        </w:rPr>
        <w:t>28.90</w:t>
      </w:r>
    </w:p>
    <w:p>
      <w:pPr>
        <w:pStyle w:val="BodyText"/>
        <w:rPr>
          <w:rFonts w:ascii="Calibri"/>
          <w:sz w:val="18"/>
        </w:rPr>
      </w:pPr>
      <w:r>
        <w:rPr/>
        <w:br w:type="column"/>
      </w:r>
      <w:r>
        <w:rPr>
          <w:rFonts w:ascii="Calibri"/>
          <w:sz w:val="18"/>
        </w:rPr>
      </w:r>
    </w:p>
    <w:p>
      <w:pPr>
        <w:pStyle w:val="BodyText"/>
        <w:rPr>
          <w:rFonts w:ascii="Calibri"/>
          <w:sz w:val="18"/>
        </w:rPr>
      </w:pPr>
    </w:p>
    <w:p>
      <w:pPr>
        <w:pStyle w:val="BodyText"/>
        <w:rPr>
          <w:rFonts w:ascii="Calibri"/>
          <w:sz w:val="18"/>
        </w:rPr>
      </w:pPr>
    </w:p>
    <w:p>
      <w:pPr>
        <w:pStyle w:val="BodyText"/>
        <w:rPr>
          <w:rFonts w:ascii="Calibri"/>
          <w:sz w:val="18"/>
        </w:rPr>
      </w:pPr>
    </w:p>
    <w:p>
      <w:pPr>
        <w:pStyle w:val="BodyText"/>
        <w:spacing w:before="5"/>
        <w:rPr>
          <w:rFonts w:ascii="Calibri"/>
          <w:sz w:val="25"/>
        </w:rPr>
      </w:pPr>
    </w:p>
    <w:p>
      <w:pPr>
        <w:spacing w:before="0"/>
        <w:ind w:left="459" w:right="-19" w:firstLine="0"/>
        <w:jc w:val="left"/>
        <w:rPr>
          <w:rFonts w:ascii="Calibri"/>
          <w:sz w:val="18"/>
        </w:rPr>
      </w:pPr>
      <w:r>
        <w:rPr>
          <w:rFonts w:ascii="Calibri"/>
          <w:sz w:val="18"/>
        </w:rPr>
        <w:t>30.39</w:t>
      </w:r>
    </w:p>
    <w:p>
      <w:pPr>
        <w:pStyle w:val="BodyText"/>
        <w:spacing w:before="9"/>
        <w:rPr>
          <w:rFonts w:ascii="Calibri"/>
          <w:sz w:val="21"/>
        </w:rPr>
      </w:pPr>
      <w:r>
        <w:rPr/>
        <w:br w:type="column"/>
      </w:r>
      <w:r>
        <w:rPr>
          <w:rFonts w:ascii="Calibri"/>
          <w:sz w:val="21"/>
        </w:rPr>
      </w:r>
    </w:p>
    <w:p>
      <w:pPr>
        <w:tabs>
          <w:tab w:pos="2229" w:val="left" w:leader="none"/>
        </w:tabs>
        <w:spacing w:before="0"/>
        <w:ind w:left="-39" w:right="0" w:firstLine="0"/>
        <w:jc w:val="left"/>
        <w:rPr>
          <w:rFonts w:ascii="Calibri"/>
          <w:sz w:val="18"/>
        </w:rPr>
      </w:pPr>
      <w:r>
        <w:rPr>
          <w:rFonts w:ascii="Calibri"/>
          <w:sz w:val="18"/>
        </w:rPr>
        <w:t>50.37</w:t>
        <w:tab/>
        <w:t>50.31</w:t>
      </w:r>
    </w:p>
    <w:p>
      <w:pPr>
        <w:pStyle w:val="BodyText"/>
        <w:rPr>
          <w:rFonts w:ascii="Calibri"/>
          <w:sz w:val="18"/>
        </w:rPr>
      </w:pPr>
    </w:p>
    <w:p>
      <w:pPr>
        <w:pStyle w:val="BodyText"/>
        <w:rPr>
          <w:rFonts w:ascii="Calibri"/>
          <w:sz w:val="18"/>
        </w:rPr>
      </w:pPr>
    </w:p>
    <w:p>
      <w:pPr>
        <w:pStyle w:val="BodyText"/>
        <w:rPr>
          <w:rFonts w:ascii="Calibri"/>
          <w:sz w:val="18"/>
        </w:rPr>
      </w:pPr>
    </w:p>
    <w:p>
      <w:pPr>
        <w:pStyle w:val="BodyText"/>
        <w:spacing w:before="8"/>
        <w:rPr>
          <w:rFonts w:ascii="Calibri"/>
        </w:rPr>
      </w:pPr>
    </w:p>
    <w:p>
      <w:pPr>
        <w:spacing w:before="0"/>
        <w:ind w:left="1716" w:right="0" w:firstLine="0"/>
        <w:jc w:val="left"/>
        <w:rPr>
          <w:rFonts w:ascii="Calibri"/>
          <w:sz w:val="18"/>
        </w:rPr>
      </w:pPr>
      <w:r>
        <w:rPr>
          <w:rFonts w:ascii="Calibri"/>
          <w:sz w:val="18"/>
        </w:rPr>
        <w:t>25.29</w:t>
      </w:r>
    </w:p>
    <w:p>
      <w:pPr>
        <w:spacing w:before="42"/>
        <w:ind w:left="374" w:right="0" w:firstLine="0"/>
        <w:jc w:val="left"/>
        <w:rPr>
          <w:rFonts w:ascii="Calibri"/>
          <w:sz w:val="18"/>
        </w:rPr>
      </w:pPr>
      <w:r>
        <w:rPr>
          <w:rFonts w:ascii="Calibri"/>
          <w:sz w:val="18"/>
        </w:rPr>
        <w:t>19.24</w:t>
      </w:r>
    </w:p>
    <w:p>
      <w:pPr>
        <w:pStyle w:val="BodyText"/>
        <w:rPr>
          <w:rFonts w:ascii="Calibri"/>
          <w:sz w:val="18"/>
        </w:rPr>
      </w:pPr>
      <w:r>
        <w:rPr/>
        <w:br w:type="column"/>
      </w:r>
      <w:r>
        <w:rPr>
          <w:rFonts w:ascii="Calibri"/>
          <w:sz w:val="18"/>
        </w:rPr>
      </w:r>
    </w:p>
    <w:p>
      <w:pPr>
        <w:pStyle w:val="BodyText"/>
        <w:rPr>
          <w:rFonts w:ascii="Calibri"/>
          <w:sz w:val="18"/>
        </w:rPr>
      </w:pPr>
    </w:p>
    <w:p>
      <w:pPr>
        <w:pStyle w:val="BodyText"/>
        <w:rPr>
          <w:rFonts w:ascii="Calibri"/>
          <w:sz w:val="18"/>
        </w:rPr>
      </w:pPr>
    </w:p>
    <w:p>
      <w:pPr>
        <w:pStyle w:val="BodyText"/>
        <w:rPr>
          <w:rFonts w:ascii="Calibri"/>
          <w:sz w:val="18"/>
        </w:rPr>
      </w:pPr>
    </w:p>
    <w:p>
      <w:pPr>
        <w:pStyle w:val="BodyText"/>
        <w:rPr>
          <w:rFonts w:ascii="Calibri"/>
          <w:sz w:val="18"/>
        </w:rPr>
      </w:pPr>
    </w:p>
    <w:p>
      <w:pPr>
        <w:pStyle w:val="BodyText"/>
        <w:rPr>
          <w:rFonts w:ascii="Calibri"/>
          <w:sz w:val="18"/>
        </w:rPr>
      </w:pPr>
    </w:p>
    <w:p>
      <w:pPr>
        <w:spacing w:before="149"/>
        <w:ind w:left="82" w:right="-20" w:firstLine="0"/>
        <w:jc w:val="left"/>
        <w:rPr>
          <w:rFonts w:ascii="Calibri"/>
          <w:sz w:val="18"/>
        </w:rPr>
      </w:pPr>
      <w:r>
        <w:rPr>
          <w:rFonts w:ascii="Calibri"/>
          <w:sz w:val="18"/>
        </w:rPr>
        <w:t>24.40</w:t>
      </w:r>
    </w:p>
    <w:p>
      <w:pPr>
        <w:spacing w:before="101"/>
        <w:ind w:left="312" w:right="661" w:firstLine="0"/>
        <w:jc w:val="left"/>
        <w:rPr>
          <w:rFonts w:ascii="Calibri"/>
          <w:sz w:val="16"/>
        </w:rPr>
      </w:pPr>
      <w:r>
        <w:rPr/>
        <w:br w:type="column"/>
      </w:r>
      <w:r>
        <w:rPr>
          <w:rFonts w:ascii="Calibri"/>
          <w:sz w:val="16"/>
        </w:rPr>
        <w:t>Localidades rurales(1 a 2 499 hab.)</w:t>
      </w:r>
    </w:p>
    <w:p>
      <w:pPr>
        <w:spacing w:before="115"/>
        <w:ind w:left="312" w:right="555" w:firstLine="0"/>
        <w:jc w:val="left"/>
        <w:rPr>
          <w:rFonts w:ascii="Calibri" w:hAnsi="Calibri"/>
          <w:sz w:val="16"/>
        </w:rPr>
      </w:pPr>
      <w:r>
        <w:rPr/>
        <w:pict>
          <v:group style="position:absolute;margin-left:116.264999pt;margin-top:-8.012814pt;width:340.85pt;height:119.8pt;mso-position-horizontal-relative:page;mso-position-vertical-relative:paragraph;z-index:-298552" coordorigin="2325,-160" coordsize="6817,2396">
            <v:shape style="position:absolute;left:2566;top:766;width:5095;height:1469" type="#_x0000_t75" stroked="false">
              <v:imagedata r:id="rId45" o:title=""/>
            </v:shape>
            <v:shape style="position:absolute;left:2978;top:-160;width:5095;height:2395" type="#_x0000_t75" stroked="false">
              <v:imagedata r:id="rId46" o:title=""/>
            </v:shape>
            <v:shape style="position:absolute;left:3391;top:848;width:5095;height:1387" type="#_x0000_t75" stroked="false">
              <v:imagedata r:id="rId47" o:title=""/>
            </v:shape>
            <v:shape style="position:absolute;left:3802;top:836;width:562;height:1399" type="#_x0000_t75" stroked="false">
              <v:imagedata r:id="rId48" o:title=""/>
            </v:shape>
            <v:shape style="position:absolute;left:2641;top:809;width:4947;height:1412" coordorigin="2641,809" coordsize="4947,1412" path="m3054,1529l2641,1529,2641,2221,3054,2221,3054,1529m5320,809l4907,809,4907,2221,5320,2221,5320,809m7588,1047l7175,1047,7175,2221,7588,2221,7588,1047e" filled="true" fillcolor="#4f81bc" stroked="false">
              <v:path arrowok="t"/>
              <v:fill type="solid"/>
            </v:shape>
            <v:shape style="position:absolute;left:2641;top:809;width:4947;height:1412" coordorigin="2641,809" coordsize="4947,1412" path="m2641,1529l3054,1529,3054,2221,2641,2221,2641,1529xm4907,809l5320,809,5320,2221,4907,2221,4907,809xm7175,1047l7588,1047,7588,2221,7175,2221,7175,1047xe" filled="false" stroked="true" strokeweight=".75pt" strokecolor="#f8f8f8">
              <v:path arrowok="t"/>
            </v:shape>
            <v:shape style="position:absolute;left:3054;top:-117;width:4944;height:2338" coordorigin="3054,-117" coordsize="4944,2338" path="m3464,944l3054,944,3054,2221,3464,2221,3464,944m5732,-117l5320,-117,5320,2221,5732,2221,5732,-117m7998,-115l7588,-115,7588,2221,7998,2221,7998,-115e" filled="true" fillcolor="#c0504d" stroked="false">
              <v:path arrowok="t"/>
              <v:fill type="solid"/>
            </v:shape>
            <v:shape style="position:absolute;left:3054;top:-117;width:4944;height:2338" coordorigin="3054,-117" coordsize="4944,2338" path="m3054,944l3464,944,3464,2221,3054,2221,3054,944xm5320,-117l5732,-117,5732,2221,5320,2221,5320,-117xm7588,-115l7998,-115,7998,2221,7588,2221,7588,-115xe" filled="false" stroked="true" strokeweight=".75pt" strokecolor="#f8f8f8">
              <v:path arrowok="t"/>
            </v:shape>
            <v:shape style="position:absolute;left:3464;top:891;width:4947;height:1330" coordorigin="3464,891" coordsize="4947,1330" path="m3877,891l3464,891,3464,2221,3877,2221,3877,891m6145,1328l5732,1328,5732,2221,6145,2221,6145,1328m8411,1088l7998,1088,7998,2221,8411,2221,8411,1088e" filled="true" fillcolor="#9bba58" stroked="false">
              <v:path arrowok="t"/>
              <v:fill type="solid"/>
            </v:shape>
            <v:shape style="position:absolute;left:3464;top:891;width:4947;height:1330" coordorigin="3464,891" coordsize="4947,1330" path="m3464,891l3877,891,3877,2221,3464,2221,3464,891xm5732,1328l6145,1328,6145,2221,5732,2221,5732,1328xm7998,1088l8411,1088,8411,2221,7998,2221,7998,1088xe" filled="false" stroked="true" strokeweight=".75pt" strokecolor="#f8f8f8">
              <v:path arrowok="t"/>
            </v:shape>
            <v:rect style="position:absolute;left:3877;top:879;width:413;height:1342" filled="true" fillcolor="#8063a1" stroked="false">
              <v:fill type="solid"/>
            </v:rect>
            <v:rect style="position:absolute;left:3877;top:879;width:413;height:1342" filled="false" stroked="true" strokeweight=".75pt" strokecolor="#f8f8f8"/>
            <v:line style="position:absolute" from="2333,2221" to="9134,2221" stroked="true" strokeweight=".72pt" strokecolor="#858585"/>
            <v:line style="position:absolute" from="8760,221" to="8849,221" stroked="true" strokeweight="4.32pt" strokecolor="#c0504d"/>
            <v:rect style="position:absolute;left:8760;top:178;width:89;height:86" filled="false" stroked="true" strokeweight=".72pt" strokecolor="#f8f8f8"/>
            <v:line style="position:absolute" from="8760,923" to="8849,923" stroked="true" strokeweight="4.440pt" strokecolor="#9bba58"/>
            <v:rect style="position:absolute;left:8760;top:879;width:89;height:89" filled="false" stroked="true" strokeweight=".72pt" strokecolor="#f8f8f8"/>
            <v:line style="position:absolute" from="8760,1625" to="8849,1625" stroked="true" strokeweight="4.32pt" strokecolor="#8063a1"/>
            <v:rect style="position:absolute;left:8760;top:1582;width:89;height:86" filled="false" stroked="true" strokeweight=".72pt" strokecolor="#f8f8f8"/>
            <w10:wrap type="none"/>
          </v:group>
        </w:pict>
      </w:r>
      <w:r>
        <w:rPr/>
        <w:pict>
          <v:group style="position:absolute;margin-left:435.774994pt;margin-top:-26.627813pt;width:8.9pt;height:5.2pt;mso-position-horizontal-relative:page;mso-position-vertical-relative:paragraph;z-index:-298528" coordorigin="8715,-533" coordsize="178,104">
            <v:line style="position:absolute" from="8760,-481" to="8849,-481" stroked="true" strokeweight="4.440pt" strokecolor="#4f81bc"/>
            <v:rect style="position:absolute;left:8760;top:-525;width:89;height:89" filled="false" stroked="true" strokeweight=".72pt" strokecolor="#f8f8f8"/>
            <w10:wrap type="none"/>
          </v:group>
        </w:pict>
      </w:r>
      <w:r>
        <w:rPr>
          <w:rFonts w:ascii="Calibri" w:hAnsi="Calibri"/>
          <w:sz w:val="16"/>
        </w:rPr>
        <w:t>Centros de población (2 500 a</w:t>
      </w:r>
    </w:p>
    <w:p>
      <w:pPr>
        <w:spacing w:before="1"/>
        <w:ind w:left="312" w:right="661" w:firstLine="0"/>
        <w:jc w:val="left"/>
        <w:rPr>
          <w:rFonts w:ascii="Calibri"/>
          <w:sz w:val="16"/>
        </w:rPr>
      </w:pPr>
      <w:r>
        <w:rPr>
          <w:rFonts w:ascii="Calibri"/>
          <w:sz w:val="16"/>
        </w:rPr>
        <w:t>14 999 hab.)</w:t>
      </w:r>
    </w:p>
    <w:p>
      <w:pPr>
        <w:spacing w:before="116"/>
        <w:ind w:left="312" w:right="488" w:firstLine="0"/>
        <w:jc w:val="left"/>
        <w:rPr>
          <w:rFonts w:ascii="Calibri" w:hAnsi="Calibri"/>
          <w:sz w:val="16"/>
        </w:rPr>
      </w:pPr>
      <w:r>
        <w:rPr>
          <w:rFonts w:ascii="Calibri" w:hAnsi="Calibri"/>
          <w:sz w:val="16"/>
        </w:rPr>
        <w:t>Ciudades pequeñas (15 000 a 99 999</w:t>
      </w:r>
    </w:p>
    <w:p>
      <w:pPr>
        <w:spacing w:before="1"/>
        <w:ind w:left="312" w:right="661" w:firstLine="0"/>
        <w:jc w:val="left"/>
        <w:rPr>
          <w:rFonts w:ascii="Calibri"/>
          <w:sz w:val="16"/>
        </w:rPr>
      </w:pPr>
      <w:r>
        <w:rPr>
          <w:rFonts w:ascii="Calibri"/>
          <w:sz w:val="16"/>
        </w:rPr>
        <w:t>hab.)</w:t>
      </w:r>
    </w:p>
    <w:p>
      <w:pPr>
        <w:spacing w:before="115"/>
        <w:ind w:left="312" w:right="509" w:firstLine="0"/>
        <w:jc w:val="left"/>
        <w:rPr>
          <w:rFonts w:ascii="Calibri"/>
          <w:sz w:val="16"/>
        </w:rPr>
      </w:pPr>
      <w:r>
        <w:rPr>
          <w:rFonts w:ascii="Calibri"/>
          <w:sz w:val="16"/>
        </w:rPr>
        <w:t>Ciudades medias (100 000 a 999 999</w:t>
      </w:r>
    </w:p>
    <w:p>
      <w:pPr>
        <w:spacing w:before="1"/>
        <w:ind w:left="312" w:right="661" w:firstLine="0"/>
        <w:jc w:val="left"/>
        <w:rPr>
          <w:rFonts w:ascii="Calibri"/>
          <w:sz w:val="16"/>
        </w:rPr>
      </w:pPr>
      <w:r>
        <w:rPr>
          <w:rFonts w:ascii="Calibri"/>
          <w:sz w:val="16"/>
        </w:rPr>
        <w:t>hab.)</w:t>
      </w:r>
    </w:p>
    <w:p>
      <w:pPr>
        <w:spacing w:after="0"/>
        <w:jc w:val="left"/>
        <w:rPr>
          <w:rFonts w:ascii="Calibri"/>
          <w:sz w:val="16"/>
        </w:rPr>
        <w:sectPr>
          <w:type w:val="continuous"/>
          <w:pgSz w:w="12240" w:h="15840"/>
          <w:pgMar w:top="1500" w:bottom="280" w:left="1600" w:right="1580"/>
          <w:cols w:num="7" w:equalWidth="0">
            <w:col w:w="1766" w:space="40"/>
            <w:col w:w="473" w:space="40"/>
            <w:col w:w="493" w:space="40"/>
            <w:col w:w="871" w:space="40"/>
            <w:col w:w="2640" w:space="40"/>
            <w:col w:w="493" w:space="40"/>
            <w:col w:w="2084"/>
          </w:cols>
        </w:sectPr>
      </w:pPr>
    </w:p>
    <w:p>
      <w:pPr>
        <w:pStyle w:val="BodyText"/>
        <w:spacing w:before="7"/>
        <w:rPr>
          <w:rFonts w:ascii="Calibri"/>
          <w:sz w:val="13"/>
        </w:rPr>
      </w:pPr>
    </w:p>
    <w:p>
      <w:pPr>
        <w:spacing w:after="0"/>
        <w:rPr>
          <w:rFonts w:ascii="Calibri"/>
          <w:sz w:val="13"/>
        </w:rPr>
        <w:sectPr>
          <w:type w:val="continuous"/>
          <w:pgSz w:w="12240" w:h="15840"/>
          <w:pgMar w:top="1500" w:bottom="280" w:left="1600" w:right="1580"/>
        </w:sectPr>
      </w:pPr>
    </w:p>
    <w:p>
      <w:pPr>
        <w:spacing w:before="64"/>
        <w:ind w:left="1625" w:right="-15" w:hanging="665"/>
        <w:jc w:val="left"/>
        <w:rPr>
          <w:rFonts w:ascii="Calibri" w:hAnsi="Calibri"/>
          <w:sz w:val="18"/>
        </w:rPr>
      </w:pPr>
      <w:r>
        <w:rPr>
          <w:rFonts w:ascii="Calibri" w:hAnsi="Calibri"/>
          <w:sz w:val="18"/>
        </w:rPr>
        <w:t>Área urbana continua</w:t>
      </w:r>
      <w:r>
        <w:rPr>
          <w:rFonts w:ascii="Calibri" w:hAnsi="Calibri"/>
          <w:spacing w:val="-6"/>
          <w:sz w:val="18"/>
        </w:rPr>
        <w:t> </w:t>
      </w:r>
      <w:r>
        <w:rPr>
          <w:rFonts w:ascii="Calibri" w:hAnsi="Calibri"/>
          <w:sz w:val="18"/>
        </w:rPr>
        <w:t>de Toluca</w:t>
      </w:r>
    </w:p>
    <w:p>
      <w:pPr>
        <w:spacing w:before="64"/>
        <w:ind w:left="921" w:right="-20" w:hanging="428"/>
        <w:jc w:val="left"/>
        <w:rPr>
          <w:rFonts w:ascii="Calibri" w:hAnsi="Calibri"/>
          <w:sz w:val="18"/>
        </w:rPr>
      </w:pPr>
      <w:r>
        <w:rPr/>
        <w:br w:type="column"/>
      </w:r>
      <w:r>
        <w:rPr>
          <w:rFonts w:ascii="Calibri" w:hAnsi="Calibri"/>
          <w:sz w:val="18"/>
        </w:rPr>
        <w:t>Interrelación funcional intermedia</w:t>
      </w:r>
    </w:p>
    <w:p>
      <w:pPr>
        <w:spacing w:before="64"/>
        <w:ind w:left="981" w:right="1817" w:hanging="447"/>
        <w:jc w:val="left"/>
        <w:rPr>
          <w:rFonts w:ascii="Calibri" w:hAnsi="Calibri"/>
          <w:sz w:val="18"/>
        </w:rPr>
      </w:pPr>
      <w:r>
        <w:rPr/>
        <w:br w:type="column"/>
      </w:r>
      <w:r>
        <w:rPr>
          <w:rFonts w:ascii="Calibri" w:hAnsi="Calibri"/>
          <w:sz w:val="18"/>
        </w:rPr>
        <w:t>Relación externa, resto municipios</w:t>
      </w:r>
    </w:p>
    <w:p>
      <w:pPr>
        <w:spacing w:after="0"/>
        <w:jc w:val="left"/>
        <w:rPr>
          <w:rFonts w:ascii="Calibri" w:hAnsi="Calibri"/>
          <w:sz w:val="18"/>
        </w:rPr>
        <w:sectPr>
          <w:type w:val="continuous"/>
          <w:pgSz w:w="12240" w:h="15840"/>
          <w:pgMar w:top="1500" w:bottom="280" w:left="1600" w:right="1580"/>
          <w:cols w:num="3" w:equalWidth="0">
            <w:col w:w="2770" w:space="40"/>
            <w:col w:w="2152" w:space="40"/>
            <w:col w:w="4058"/>
          </w:cols>
        </w:sectPr>
      </w:pPr>
    </w:p>
    <w:p>
      <w:pPr>
        <w:spacing w:before="170"/>
        <w:ind w:left="102" w:right="142" w:firstLine="153"/>
        <w:jc w:val="left"/>
        <w:rPr>
          <w:sz w:val="20"/>
        </w:rPr>
      </w:pPr>
      <w:r>
        <w:rPr>
          <w:sz w:val="20"/>
        </w:rPr>
        <w:t>Fuente: Elaboración propia con información del XI Censo General de Población y Vivienda 2010</w:t>
      </w:r>
    </w:p>
    <w:p>
      <w:pPr>
        <w:pStyle w:val="BodyText"/>
        <w:spacing w:before="6"/>
      </w:pPr>
    </w:p>
    <w:p>
      <w:pPr>
        <w:pStyle w:val="BodyText"/>
        <w:spacing w:line="360" w:lineRule="auto"/>
        <w:ind w:left="102" w:right="120"/>
        <w:jc w:val="both"/>
      </w:pPr>
      <w:r>
        <w:rPr/>
        <w:t>Con la distribución de los asentamientos se observa un modelo de la urbanización en el área urbana continua con un patrón dominante de concentración, con el 58.13% de población en las ciudades pequeñas y medias en el 2000, situación  que</w:t>
      </w:r>
      <w:r>
        <w:rPr>
          <w:spacing w:val="19"/>
        </w:rPr>
        <w:t> </w:t>
      </w:r>
      <w:r>
        <w:rPr/>
        <w:t>cambia</w:t>
      </w:r>
      <w:r>
        <w:rPr>
          <w:spacing w:val="19"/>
        </w:rPr>
        <w:t> </w:t>
      </w:r>
      <w:r>
        <w:rPr/>
        <w:t>en</w:t>
      </w:r>
      <w:r>
        <w:rPr>
          <w:spacing w:val="19"/>
        </w:rPr>
        <w:t> </w:t>
      </w:r>
      <w:r>
        <w:rPr/>
        <w:t>2010</w:t>
      </w:r>
      <w:r>
        <w:rPr>
          <w:spacing w:val="19"/>
        </w:rPr>
        <w:t> </w:t>
      </w:r>
      <w:r>
        <w:rPr/>
        <w:t>con</w:t>
      </w:r>
      <w:r>
        <w:rPr>
          <w:spacing w:val="19"/>
        </w:rPr>
        <w:t> </w:t>
      </w:r>
      <w:r>
        <w:rPr/>
        <w:t>tendencias</w:t>
      </w:r>
      <w:r>
        <w:rPr>
          <w:spacing w:val="19"/>
        </w:rPr>
        <w:t> </w:t>
      </w:r>
      <w:r>
        <w:rPr/>
        <w:t>a</w:t>
      </w:r>
      <w:r>
        <w:rPr>
          <w:spacing w:val="19"/>
        </w:rPr>
        <w:t> </w:t>
      </w:r>
      <w:r>
        <w:rPr/>
        <w:t>una</w:t>
      </w:r>
      <w:r>
        <w:rPr>
          <w:spacing w:val="19"/>
        </w:rPr>
        <w:t> </w:t>
      </w:r>
      <w:r>
        <w:rPr/>
        <w:t>configuración</w:t>
      </w:r>
      <w:r>
        <w:rPr>
          <w:spacing w:val="19"/>
        </w:rPr>
        <w:t> </w:t>
      </w:r>
      <w:r>
        <w:rPr/>
        <w:t>de</w:t>
      </w:r>
      <w:r>
        <w:rPr>
          <w:spacing w:val="19"/>
        </w:rPr>
        <w:t> </w:t>
      </w:r>
      <w:r>
        <w:rPr/>
        <w:t>mayor</w:t>
      </w:r>
      <w:r>
        <w:rPr>
          <w:spacing w:val="15"/>
        </w:rPr>
        <w:t> </w:t>
      </w:r>
      <w:r>
        <w:rPr/>
        <w:t>dispersión,</w:t>
      </w:r>
      <w:r>
        <w:rPr>
          <w:spacing w:val="19"/>
        </w:rPr>
        <w:t> </w:t>
      </w:r>
      <w:r>
        <w:rPr/>
        <w:t>al</w:t>
      </w:r>
    </w:p>
    <w:p>
      <w:pPr>
        <w:spacing w:after="0" w:line="360" w:lineRule="auto"/>
        <w:jc w:val="both"/>
        <w:sectPr>
          <w:type w:val="continuous"/>
          <w:pgSz w:w="12240" w:h="15840"/>
          <w:pgMar w:top="1500" w:bottom="280" w:left="1600" w:right="1580"/>
        </w:sectPr>
      </w:pPr>
    </w:p>
    <w:p>
      <w:pPr>
        <w:pStyle w:val="BodyText"/>
        <w:spacing w:line="360" w:lineRule="auto" w:before="54"/>
        <w:ind w:left="102" w:right="125"/>
        <w:jc w:val="both"/>
      </w:pPr>
      <w:r>
        <w:rPr/>
        <w:t>disminuir esta participación en el 2010 al 57. 58% de la población en ciudades pequeñas y medias, estas últimas con un descenso del 14.92% (gráficas 11 y 12).</w:t>
      </w:r>
    </w:p>
    <w:p>
      <w:pPr>
        <w:pStyle w:val="BodyText"/>
        <w:spacing w:before="7"/>
      </w:pPr>
    </w:p>
    <w:p>
      <w:pPr>
        <w:pStyle w:val="BodyText"/>
        <w:spacing w:line="360" w:lineRule="auto"/>
        <w:ind w:left="102" w:right="125"/>
        <w:jc w:val="both"/>
      </w:pPr>
      <w:r>
        <w:rPr/>
        <w:t>Con ello se dice que la ZMT se caracteriza por un modelo disperso en las periferias, debido a que el ámbito de interrelación funcional intermedia, registra el 76.55% de la población en asentamientos rurales y centros de población en el 2000 y el 80.76% en el 2010, situación que se repite en el ámbito de relación externa resto de municipios , con la configuración particular de ciudades pequeñas mayor a la de su predecesor, con el 28.74% de habitantes en las ciudades pequeñas en el 2000 y el 24.40 % en el 2010.</w:t>
      </w:r>
    </w:p>
    <w:p>
      <w:pPr>
        <w:pStyle w:val="BodyText"/>
        <w:spacing w:before="5"/>
      </w:pPr>
    </w:p>
    <w:p>
      <w:pPr>
        <w:spacing w:before="0"/>
        <w:ind w:left="102" w:right="0" w:firstLine="0"/>
        <w:jc w:val="both"/>
        <w:rPr>
          <w:i/>
          <w:sz w:val="24"/>
        </w:rPr>
      </w:pPr>
      <w:r>
        <w:rPr>
          <w:i/>
          <w:sz w:val="24"/>
        </w:rPr>
        <w:t>Distribución de la vivienda 2000 y 2010</w:t>
      </w:r>
    </w:p>
    <w:p>
      <w:pPr>
        <w:pStyle w:val="BodyText"/>
        <w:rPr>
          <w:i/>
        </w:rPr>
      </w:pPr>
    </w:p>
    <w:p>
      <w:pPr>
        <w:pStyle w:val="BodyText"/>
        <w:spacing w:line="360" w:lineRule="auto" w:before="146"/>
        <w:ind w:left="102" w:right="117"/>
        <w:jc w:val="both"/>
      </w:pPr>
      <w:r>
        <w:rPr/>
        <w:t>El área urbana continua, mantiene la dinámica de mayor concentración de viviendas en el siglo XXI, iniciando el 2000 con 287,374 cifra que aumenta en los siguientes 10 años a 401,899 viviendas con una tasa de crecimiento en ese periodo del 3.42%, la concentración de tipo residencial se encuentra en tres municipios: Metepec, Toluca (el cual presenta la tasa más baja de crecimiento de la vivienda del 2.28%) y Zinacantepec, este último supera la dinámica de crecimiento de la vivienda del ámbito, con una tasa de crecimiento de la vivienda del 4.77%, situación que se repite en Mexicaltzingo con 4.27%, pese a ser el de menor cantidad de viviendas con un aumento de 896 viviendas del 2000 al 2010 (ver gráfica 2 y anexos 4.6 y 4.7, mapa 8 y 9).</w:t>
      </w:r>
    </w:p>
    <w:p>
      <w:pPr>
        <w:pStyle w:val="BodyText"/>
        <w:spacing w:before="7"/>
      </w:pPr>
    </w:p>
    <w:p>
      <w:pPr>
        <w:pStyle w:val="BodyText"/>
        <w:spacing w:line="360" w:lineRule="auto"/>
        <w:ind w:left="102" w:right="122"/>
        <w:jc w:val="both"/>
      </w:pPr>
      <w:r>
        <w:rPr/>
        <w:t>Los municipios del ámbito de integración funcional intermedia, se posicionan en conjunto en el segundo lugar con 35,261 viviendas en 2000, ascendiendo a 40,898 en 2005 y finalmente 52680 en 2010 con una tasa de crecimiento de la vivienda del 2000 al 2010 del 4.10% señalando que es la más alta de los tres ámbitos, con el caso extraordinario de San Antonio la Isla municipio con la tasa de crecimiento más alta de los 22 municipios de la Zona Metropolitana de Toluca con la tasa del 11.88%, mientras el aumento en volumen de las viviendas en el municipio es el más bajo del ámbito con 3,745 nuevas casas del 2000 al 2010 (ver gráfica 2 y anexos 4.6 y 4.7 además de mapa 8 y</w:t>
      </w:r>
      <w:r>
        <w:rPr>
          <w:spacing w:val="-13"/>
        </w:rPr>
        <w:t> </w:t>
      </w:r>
      <w:r>
        <w:rPr/>
        <w:t>9).</w:t>
      </w:r>
    </w:p>
    <w:p>
      <w:pPr>
        <w:spacing w:after="0" w:line="360" w:lineRule="auto"/>
        <w:jc w:val="both"/>
        <w:sectPr>
          <w:pgSz w:w="12240" w:h="15840"/>
          <w:pgMar w:header="0" w:footer="659" w:top="1360" w:bottom="840" w:left="1600" w:right="1580"/>
        </w:sectPr>
      </w:pPr>
    </w:p>
    <w:p>
      <w:pPr>
        <w:spacing w:before="53" w:after="4"/>
        <w:ind w:left="790" w:right="462" w:firstLine="28"/>
        <w:jc w:val="left"/>
        <w:rPr>
          <w:sz w:val="20"/>
        </w:rPr>
      </w:pPr>
      <w:r>
        <w:rPr>
          <w:sz w:val="20"/>
        </w:rPr>
        <w:t>Mapa 8 Total de viviendas por municipal 2000 de la Zona Metropolitana de Toluca</w:t>
      </w:r>
    </w:p>
    <w:p>
      <w:pPr>
        <w:pStyle w:val="BodyText"/>
        <w:ind w:left="885"/>
        <w:rPr>
          <w:sz w:val="20"/>
        </w:rPr>
      </w:pPr>
      <w:r>
        <w:rPr>
          <w:sz w:val="20"/>
        </w:rPr>
        <w:drawing>
          <wp:inline distT="0" distB="0" distL="0" distR="0">
            <wp:extent cx="4514721" cy="3488436"/>
            <wp:effectExtent l="0" t="0" r="0" b="0"/>
            <wp:docPr id="33" name="image28.jpeg" descr=""/>
            <wp:cNvGraphicFramePr>
              <a:graphicFrameLocks noChangeAspect="1"/>
            </wp:cNvGraphicFramePr>
            <a:graphic>
              <a:graphicData uri="http://schemas.openxmlformats.org/drawingml/2006/picture">
                <pic:pic>
                  <pic:nvPicPr>
                    <pic:cNvPr id="34" name="image28.jpeg"/>
                    <pic:cNvPicPr/>
                  </pic:nvPicPr>
                  <pic:blipFill>
                    <a:blip r:embed="rId49" cstate="print"/>
                    <a:stretch>
                      <a:fillRect/>
                    </a:stretch>
                  </pic:blipFill>
                  <pic:spPr>
                    <a:xfrm>
                      <a:off x="0" y="0"/>
                      <a:ext cx="4514721" cy="3488436"/>
                    </a:xfrm>
                    <a:prstGeom prst="rect">
                      <a:avLst/>
                    </a:prstGeom>
                  </pic:spPr>
                </pic:pic>
              </a:graphicData>
            </a:graphic>
          </wp:inline>
        </w:drawing>
      </w:r>
      <w:r>
        <w:rPr>
          <w:sz w:val="20"/>
        </w:rPr>
      </w:r>
    </w:p>
    <w:p>
      <w:pPr>
        <w:pStyle w:val="BodyText"/>
        <w:spacing w:before="5"/>
        <w:rPr>
          <w:sz w:val="22"/>
        </w:rPr>
      </w:pPr>
    </w:p>
    <w:p>
      <w:pPr>
        <w:spacing w:before="1" w:after="2"/>
        <w:ind w:left="790" w:right="462" w:firstLine="0"/>
        <w:jc w:val="left"/>
        <w:rPr>
          <w:sz w:val="20"/>
        </w:rPr>
      </w:pPr>
      <w:r>
        <w:rPr>
          <w:sz w:val="20"/>
        </w:rPr>
        <w:t>Mapa .9 Total de viviendas por municipal 2010 de la Zona Metropolitana de Toluca</w:t>
      </w:r>
    </w:p>
    <w:p>
      <w:pPr>
        <w:pStyle w:val="BodyText"/>
        <w:ind w:left="860"/>
        <w:rPr>
          <w:sz w:val="20"/>
        </w:rPr>
      </w:pPr>
      <w:r>
        <w:rPr>
          <w:sz w:val="20"/>
        </w:rPr>
        <w:drawing>
          <wp:inline distT="0" distB="0" distL="0" distR="0">
            <wp:extent cx="4505118" cy="3481387"/>
            <wp:effectExtent l="0" t="0" r="0" b="0"/>
            <wp:docPr id="35" name="image29.jpeg" descr=""/>
            <wp:cNvGraphicFramePr>
              <a:graphicFrameLocks noChangeAspect="1"/>
            </wp:cNvGraphicFramePr>
            <a:graphic>
              <a:graphicData uri="http://schemas.openxmlformats.org/drawingml/2006/picture">
                <pic:pic>
                  <pic:nvPicPr>
                    <pic:cNvPr id="36" name="image29.jpeg"/>
                    <pic:cNvPicPr/>
                  </pic:nvPicPr>
                  <pic:blipFill>
                    <a:blip r:embed="rId50" cstate="print"/>
                    <a:stretch>
                      <a:fillRect/>
                    </a:stretch>
                  </pic:blipFill>
                  <pic:spPr>
                    <a:xfrm>
                      <a:off x="0" y="0"/>
                      <a:ext cx="4505118" cy="3481387"/>
                    </a:xfrm>
                    <a:prstGeom prst="rect">
                      <a:avLst/>
                    </a:prstGeom>
                  </pic:spPr>
                </pic:pic>
              </a:graphicData>
            </a:graphic>
          </wp:inline>
        </w:drawing>
      </w:r>
      <w:r>
        <w:rPr>
          <w:sz w:val="20"/>
        </w:rPr>
      </w:r>
    </w:p>
    <w:p>
      <w:pPr>
        <w:spacing w:after="0"/>
        <w:rPr>
          <w:sz w:val="20"/>
        </w:rPr>
        <w:sectPr>
          <w:pgSz w:w="12240" w:h="15840"/>
          <w:pgMar w:header="0" w:footer="659" w:top="1360" w:bottom="840" w:left="1660" w:right="1660"/>
        </w:sectPr>
      </w:pPr>
    </w:p>
    <w:p>
      <w:pPr>
        <w:pStyle w:val="BodyText"/>
        <w:spacing w:line="360" w:lineRule="auto" w:before="54"/>
        <w:ind w:left="102" w:right="98"/>
        <w:jc w:val="both"/>
      </w:pPr>
      <w:r>
        <w:rPr/>
        <w:t>Finalmente los 7 municipios de relación externa, resto de municipios (RERM) se ubican por cantidad en el ámbito con menor presencia de vivienda en el 2000 con 38,483, cinco años después escala a 42,934 viviendas y cierra la primera década del siglo XXI con 51,837viviendas sin que estos aumentos le mejoren su posición jerárquica en la ZMT, con una tasa de crecimiento de la vivienda del 2000 al 2010 del 3.02% también la más baja de los tres ámbitos con casos como Xalatlaco municipio con una tasa del 3.92% o Texcalyacac con una tasa 3.72% ambas resultan superiores a la tasa del ámbito e incluso a la del área urbana continua, mientras que el aumento absoluto de mayor cantidad de viviendas en el ámbito corresponde a Tenango del Valle con 2,204.</w:t>
      </w:r>
    </w:p>
    <w:p>
      <w:pPr>
        <w:pStyle w:val="BodyText"/>
        <w:spacing w:before="7"/>
      </w:pPr>
    </w:p>
    <w:p>
      <w:pPr>
        <w:pStyle w:val="BodyText"/>
        <w:spacing w:line="360" w:lineRule="auto"/>
        <w:ind w:left="102" w:right="98"/>
        <w:jc w:val="both"/>
      </w:pPr>
      <w:r>
        <w:rPr/>
        <w:t>Por lo tanto la distribución de la vivienda en la zona metropolitana de Toluca sigue una patrón de distribución decreciente del centro hacia la periferia, con descenso del crecimiento en el área urbana continua, en casos específicos como Toluca, mientras que el crecimiento de las viviendas se intensifica en el ámbito de interrelación funcional intermedia con lo que dominan las transiciones de la suburbanización. En el caso del ámbito de relación externa resto de municipios la concentración de vivienda se genera en Tenango del Valle y Tianguistenco, con escaza desconcentración de residencias habitacionales en los cinco municipios restantes que la conforman, esto indica que se está manifestando la salida de población de los otros ámbitos, lo cual es un indicio de la desconcentración de la vivienda en la parte más alejada de la ZMT.</w:t>
      </w:r>
    </w:p>
    <w:p>
      <w:pPr>
        <w:spacing w:after="0" w:line="360" w:lineRule="auto"/>
        <w:jc w:val="both"/>
        <w:sectPr>
          <w:footerReference w:type="default" r:id="rId51"/>
          <w:pgSz w:w="12240" w:h="15840"/>
          <w:pgMar w:footer="659" w:header="0" w:top="1360" w:bottom="840" w:left="1600" w:right="1600"/>
          <w:pgNumType w:start="100"/>
        </w:sectPr>
      </w:pPr>
    </w:p>
    <w:p>
      <w:pPr>
        <w:spacing w:before="52"/>
        <w:ind w:left="102" w:right="0" w:firstLine="0"/>
        <w:jc w:val="both"/>
        <w:rPr>
          <w:i/>
          <w:sz w:val="24"/>
        </w:rPr>
      </w:pPr>
      <w:r>
        <w:rPr>
          <w:i/>
          <w:sz w:val="24"/>
        </w:rPr>
        <w:t>Las densidades.</w:t>
      </w:r>
    </w:p>
    <w:p>
      <w:pPr>
        <w:pStyle w:val="BodyText"/>
        <w:spacing w:before="2"/>
        <w:rPr>
          <w:i/>
          <w:sz w:val="28"/>
        </w:rPr>
      </w:pPr>
    </w:p>
    <w:p>
      <w:pPr>
        <w:pStyle w:val="BodyText"/>
        <w:spacing w:line="355" w:lineRule="auto"/>
        <w:ind w:left="102" w:right="116"/>
        <w:jc w:val="both"/>
      </w:pPr>
      <w:r>
        <w:rPr/>
        <w:t>En este apartado se analiza la relación de población y vivienda con respecto a la superficie de los municipios. El área urbana continua es la que presenta la mayor densidad de población de los tres ámbitos de la ZMT la cual tiene un patrón en aumento, en el 2000 tenía 766.59 habitantes por kilómetro cuadrados, en los siguientes cinco años incrementa a 851.27 finamente en el 2010 la cifra se acerca a mil habitantes por km</w:t>
      </w:r>
      <w:r>
        <w:rPr>
          <w:position w:val="11"/>
          <w:sz w:val="16"/>
        </w:rPr>
        <w:t>2  </w:t>
      </w:r>
      <w:r>
        <w:rPr/>
        <w:t>con 958.02 hab./km.</w:t>
      </w:r>
      <w:r>
        <w:rPr>
          <w:position w:val="11"/>
          <w:sz w:val="16"/>
        </w:rPr>
        <w:t>2 </w:t>
      </w:r>
      <w:r>
        <w:rPr/>
        <w:t>los municipios con mayor  densidad</w:t>
      </w:r>
    </w:p>
    <w:p>
      <w:pPr>
        <w:pStyle w:val="BodyText"/>
        <w:spacing w:line="345" w:lineRule="auto"/>
        <w:ind w:left="102" w:right="117"/>
        <w:jc w:val="both"/>
      </w:pPr>
      <w:r>
        <w:rPr/>
        <w:t>son San Mateo Atenco con 4733.89 en el 2000, cifra que aumenta al 2010 a 5760.24 hab./km.</w:t>
      </w:r>
      <w:r>
        <w:rPr>
          <w:position w:val="11"/>
          <w:sz w:val="16"/>
        </w:rPr>
        <w:t>2 </w:t>
      </w:r>
      <w:r>
        <w:rPr/>
        <w:t>seguido de Metepec con 2758.34 en el 2000 con un ascenso final al 2010 de 3037.76 habitantes por kilómetro cuadrado (gráficas 5, 6 , 7 y en</w:t>
      </w:r>
    </w:p>
    <w:p>
      <w:pPr>
        <w:pStyle w:val="BodyText"/>
        <w:spacing w:before="21"/>
        <w:ind w:left="102"/>
        <w:jc w:val="both"/>
      </w:pPr>
      <w:r>
        <w:rPr/>
        <w:t>anexo cuadro A. 4.8, A. 4.9 y A. 4.10).</w:t>
      </w:r>
    </w:p>
    <w:p>
      <w:pPr>
        <w:pStyle w:val="BodyText"/>
      </w:pPr>
    </w:p>
    <w:p>
      <w:pPr>
        <w:pStyle w:val="BodyText"/>
        <w:spacing w:line="348" w:lineRule="auto" w:before="141"/>
        <w:ind w:left="102" w:right="122"/>
        <w:jc w:val="both"/>
      </w:pPr>
      <w:r>
        <w:rPr/>
        <w:t>La densidad de viviendas el área urbana continua también es las de mayor densidad comenzando el siglo XXI con 162.58 viviendas por kilómetro cuadrado, cifra que crece al 2010 a 227.37 viv./km.</w:t>
      </w:r>
      <w:r>
        <w:rPr>
          <w:position w:val="11"/>
          <w:sz w:val="16"/>
        </w:rPr>
        <w:t>2 </w:t>
      </w:r>
      <w:r>
        <w:rPr/>
        <w:t>El consumo de suelo por habitante es más reducido en este ámbito con 1.30 metros cuadrados por habitante en el 2000, y va en descenso cerrando el 2010 con apenas poco más de metro cuadrado por persona 1.04hab/m</w:t>
      </w:r>
      <w:r>
        <w:rPr>
          <w:position w:val="11"/>
          <w:sz w:val="16"/>
        </w:rPr>
        <w:t>2</w:t>
      </w:r>
      <w:r>
        <w:rPr/>
        <w:t>.</w:t>
      </w:r>
    </w:p>
    <w:p>
      <w:pPr>
        <w:pStyle w:val="BodyText"/>
        <w:spacing w:before="4"/>
      </w:pPr>
    </w:p>
    <w:p>
      <w:pPr>
        <w:pStyle w:val="BodyText"/>
        <w:spacing w:line="360" w:lineRule="auto"/>
        <w:ind w:left="102" w:right="123"/>
        <w:jc w:val="both"/>
      </w:pPr>
      <w:r>
        <w:rPr/>
        <w:t>El ámbito de interrelación funcional intermedia, es el segundo por densidad de población en el 2000 había 437.34 habitantes por kilómetro cuadrado y sube a</w:t>
      </w:r>
    </w:p>
    <w:p>
      <w:pPr>
        <w:pStyle w:val="BodyText"/>
        <w:spacing w:before="2"/>
        <w:ind w:left="102"/>
        <w:jc w:val="both"/>
      </w:pPr>
      <w:r>
        <w:rPr/>
        <w:t>572.46 en 2010, en densidad de viviendas también es el segundo más denso, con</w:t>
      </w:r>
    </w:p>
    <w:p>
      <w:pPr>
        <w:pStyle w:val="BodyText"/>
        <w:spacing w:line="345" w:lineRule="auto" w:before="104"/>
        <w:ind w:left="102" w:right="119"/>
        <w:jc w:val="both"/>
      </w:pPr>
      <w:r>
        <w:rPr/>
        <w:t>83.16 viv./km.</w:t>
      </w:r>
      <w:r>
        <w:rPr>
          <w:position w:val="11"/>
          <w:sz w:val="16"/>
        </w:rPr>
        <w:t>2 </w:t>
      </w:r>
      <w:r>
        <w:rPr/>
        <w:t>con un aumento a 124.25 viviendas por kilómetro cuadrado en el 2010, con la particularidad en San Antonio la Isla de un aumento importante en la densidad de viviendas en un periodo de cinco años ya que en el 2005 tenía 97.78viv/km</w:t>
      </w:r>
      <w:r>
        <w:rPr>
          <w:position w:val="11"/>
          <w:sz w:val="16"/>
        </w:rPr>
        <w:t>2 </w:t>
      </w:r>
      <w:r>
        <w:rPr/>
        <w:t>cifra que aumenta a 130.33 viviendas. Con el aumento de  densidades de población y vivienda el consumo de suelo por habitante es cada  vez menor en el 2000 era de 3.27m</w:t>
      </w:r>
      <w:r>
        <w:rPr>
          <w:position w:val="11"/>
          <w:sz w:val="16"/>
        </w:rPr>
        <w:t>2</w:t>
      </w:r>
      <w:r>
        <w:rPr/>
        <w:t>/hab., cifra que se ve disminuida casi a la mitad</w:t>
      </w:r>
      <w:r>
        <w:rPr>
          <w:spacing w:val="21"/>
        </w:rPr>
        <w:t> </w:t>
      </w:r>
      <w:r>
        <w:rPr/>
        <w:t>con</w:t>
      </w:r>
      <w:r>
        <w:rPr>
          <w:spacing w:val="21"/>
        </w:rPr>
        <w:t> </w:t>
      </w:r>
      <w:r>
        <w:rPr/>
        <w:t>1.75m</w:t>
      </w:r>
      <w:r>
        <w:rPr>
          <w:position w:val="11"/>
          <w:sz w:val="16"/>
        </w:rPr>
        <w:t>2</w:t>
      </w:r>
      <w:r>
        <w:rPr/>
        <w:t>/hab.,</w:t>
      </w:r>
      <w:r>
        <w:rPr>
          <w:spacing w:val="25"/>
        </w:rPr>
        <w:t> </w:t>
      </w:r>
      <w:r>
        <w:rPr/>
        <w:t>en</w:t>
      </w:r>
      <w:r>
        <w:rPr>
          <w:spacing w:val="21"/>
        </w:rPr>
        <w:t> </w:t>
      </w:r>
      <w:r>
        <w:rPr/>
        <w:t>2010</w:t>
      </w:r>
      <w:r>
        <w:rPr>
          <w:spacing w:val="21"/>
        </w:rPr>
        <w:t> </w:t>
      </w:r>
      <w:r>
        <w:rPr/>
        <w:t>(ver</w:t>
      </w:r>
      <w:r>
        <w:rPr>
          <w:spacing w:val="22"/>
        </w:rPr>
        <w:t> </w:t>
      </w:r>
      <w:r>
        <w:rPr/>
        <w:t>gráficas</w:t>
      </w:r>
      <w:r>
        <w:rPr>
          <w:spacing w:val="23"/>
        </w:rPr>
        <w:t> </w:t>
      </w:r>
      <w:r>
        <w:rPr/>
        <w:t>5,</w:t>
      </w:r>
      <w:r>
        <w:rPr>
          <w:spacing w:val="21"/>
        </w:rPr>
        <w:t> </w:t>
      </w:r>
      <w:r>
        <w:rPr/>
        <w:t>6,</w:t>
      </w:r>
      <w:r>
        <w:rPr>
          <w:spacing w:val="21"/>
        </w:rPr>
        <w:t> </w:t>
      </w:r>
      <w:r>
        <w:rPr/>
        <w:t>7</w:t>
      </w:r>
      <w:r>
        <w:rPr>
          <w:spacing w:val="24"/>
        </w:rPr>
        <w:t> </w:t>
      </w:r>
      <w:r>
        <w:rPr/>
        <w:t>y</w:t>
      </w:r>
      <w:r>
        <w:rPr>
          <w:spacing w:val="23"/>
        </w:rPr>
        <w:t> </w:t>
      </w:r>
      <w:r>
        <w:rPr/>
        <w:t>cuadro</w:t>
      </w:r>
      <w:r>
        <w:rPr>
          <w:spacing w:val="21"/>
        </w:rPr>
        <w:t> </w:t>
      </w:r>
      <w:r>
        <w:rPr/>
        <w:t>A.</w:t>
      </w:r>
      <w:r>
        <w:rPr>
          <w:spacing w:val="18"/>
        </w:rPr>
        <w:t> </w:t>
      </w:r>
      <w:r>
        <w:rPr/>
        <w:t>4.8,</w:t>
      </w:r>
      <w:r>
        <w:rPr>
          <w:spacing w:val="21"/>
        </w:rPr>
        <w:t> </w:t>
      </w:r>
      <w:r>
        <w:rPr/>
        <w:t>A.</w:t>
      </w:r>
      <w:r>
        <w:rPr>
          <w:spacing w:val="21"/>
        </w:rPr>
        <w:t> </w:t>
      </w:r>
      <w:r>
        <w:rPr/>
        <w:t>4.9</w:t>
      </w:r>
      <w:r>
        <w:rPr>
          <w:spacing w:val="24"/>
        </w:rPr>
        <w:t> </w:t>
      </w:r>
      <w:r>
        <w:rPr/>
        <w:t>y</w:t>
      </w:r>
      <w:r>
        <w:rPr>
          <w:spacing w:val="20"/>
        </w:rPr>
        <w:t> </w:t>
      </w:r>
      <w:r>
        <w:rPr/>
        <w:t>A.</w:t>
      </w:r>
    </w:p>
    <w:p>
      <w:pPr>
        <w:pStyle w:val="BodyText"/>
        <w:spacing w:before="2"/>
        <w:ind w:left="102"/>
        <w:jc w:val="both"/>
      </w:pPr>
      <w:r>
        <w:rPr/>
        <w:t>4.10 de anexos).</w:t>
      </w:r>
    </w:p>
    <w:p>
      <w:pPr>
        <w:spacing w:after="0"/>
        <w:jc w:val="both"/>
        <w:sectPr>
          <w:pgSz w:w="12240" w:h="15840"/>
          <w:pgMar w:header="0" w:footer="659" w:top="1360" w:bottom="840" w:left="1600" w:right="1580"/>
        </w:sectPr>
      </w:pPr>
    </w:p>
    <w:p>
      <w:pPr>
        <w:pStyle w:val="BodyText"/>
        <w:spacing w:line="350" w:lineRule="auto" w:before="54"/>
        <w:ind w:left="122" w:right="115"/>
        <w:jc w:val="both"/>
      </w:pPr>
      <w:r>
        <w:rPr/>
        <w:t>El ámbito de relación externa, intensifica su densidad pero es el tercero de la ZMT por esta característica, en el 2000 tenía 402.7 hab./km.</w:t>
      </w:r>
      <w:r>
        <w:rPr>
          <w:position w:val="11"/>
          <w:sz w:val="16"/>
        </w:rPr>
        <w:t>2 </w:t>
      </w:r>
      <w:r>
        <w:rPr/>
        <w:t>y aumenta su densidad para el 2010 a 493.53 habitantes por kilómetro cuadrado, el municipio de mayor densidad en este año fue Almoloya del Río con 1674.7 hab./km.2 y el de menor densidad del ámbito y de toda la ZMT es Texcalyacac con 285.53 hab./km.</w:t>
      </w:r>
      <w:r>
        <w:rPr>
          <w:position w:val="11"/>
          <w:sz w:val="16"/>
        </w:rPr>
        <w:t>2</w:t>
      </w:r>
      <w:r>
        <w:rPr/>
        <w:t>. En la vivienda el patrón de comportamiento es el mismo, inicia el siglo XXI con 80.51 viviendas por kilómetro cuadrado intensificando su densidad a 108.45 viv./km.</w:t>
      </w:r>
      <w:r>
        <w:rPr>
          <w:position w:val="11"/>
          <w:sz w:val="16"/>
        </w:rPr>
        <w:t>2 </w:t>
      </w:r>
      <w:r>
        <w:rPr/>
        <w:t>en 2010, el menos denso del ámbito y la ZMT es Xalatlaco con 60.79 vivienda por kilómetro cuadrado, las anteriores condiciones lo convierten en el ámbito con mayor cantidad de suelo para consumo por habitante, como lo demuestra la cifra del 2000 donde tenía 2.48 m.</w:t>
      </w:r>
      <w:r>
        <w:rPr>
          <w:position w:val="11"/>
          <w:sz w:val="16"/>
        </w:rPr>
        <w:t>2</w:t>
      </w:r>
      <w:r>
        <w:rPr/>
        <w:t>/hab., y en el 2010 con 2.03 metros cuadrados por habitante, lo que es el doble de suelo disponible por habitante con respecto al área urbana continua, por lo que tiene el mayor potencial de suelo urbanizable de la ZMT (ver gráficas 5, 6 , 7 y cuadro A. 4.8, A. 4.9 y A. 4.10 de anexos).</w:t>
      </w:r>
    </w:p>
    <w:p>
      <w:pPr>
        <w:pStyle w:val="BodyText"/>
        <w:spacing w:before="6"/>
        <w:rPr>
          <w:sz w:val="25"/>
        </w:rPr>
      </w:pPr>
    </w:p>
    <w:p>
      <w:pPr>
        <w:pStyle w:val="BodyText"/>
        <w:spacing w:line="360" w:lineRule="auto" w:before="1"/>
        <w:ind w:left="122" w:right="118"/>
        <w:jc w:val="both"/>
      </w:pPr>
      <w:r>
        <w:rPr/>
        <w:t>El patrón de densidades muestra la consolidación e intensidad de densificación en el área urbana continua con un patrón en descenso de la densidad de población y vivienda conforme se aleja del centro, mientras que el consumo de suelo por habitante es menor en el centro aumentando conforme se aleja </w:t>
      </w:r>
      <w:r>
        <w:rPr>
          <w:spacing w:val="3"/>
        </w:rPr>
        <w:t>del </w:t>
      </w:r>
      <w:r>
        <w:rPr/>
        <w:t>centro, lo que indica que los ámbitos de interrelación funcional intermedia y relación externa  resto de municipios, son los lugares con tendencia a densificarse y con potencial de suelo para el consumo por</w:t>
      </w:r>
      <w:r>
        <w:rPr>
          <w:spacing w:val="-16"/>
        </w:rPr>
        <w:t> </w:t>
      </w:r>
      <w:r>
        <w:rPr/>
        <w:t>habitante.</w:t>
      </w:r>
    </w:p>
    <w:p>
      <w:pPr>
        <w:pStyle w:val="BodyText"/>
        <w:spacing w:before="5"/>
      </w:pPr>
    </w:p>
    <w:p>
      <w:pPr>
        <w:spacing w:before="0"/>
        <w:ind w:left="122" w:right="0" w:firstLine="0"/>
        <w:jc w:val="both"/>
        <w:rPr>
          <w:i/>
          <w:sz w:val="24"/>
        </w:rPr>
      </w:pPr>
      <w:r>
        <w:rPr>
          <w:i/>
          <w:sz w:val="24"/>
        </w:rPr>
        <w:t>Distribución del empleo urbano</w:t>
      </w:r>
    </w:p>
    <w:p>
      <w:pPr>
        <w:pStyle w:val="BodyText"/>
        <w:spacing w:before="5"/>
        <w:rPr>
          <w:i/>
          <w:sz w:val="33"/>
        </w:rPr>
      </w:pPr>
    </w:p>
    <w:p>
      <w:pPr>
        <w:pStyle w:val="BodyText"/>
        <w:spacing w:line="360" w:lineRule="auto"/>
        <w:ind w:left="122" w:right="116"/>
        <w:jc w:val="both"/>
      </w:pPr>
      <w:r>
        <w:rPr/>
        <w:t>La distribución del empleo urbano</w:t>
      </w:r>
      <w:r>
        <w:rPr>
          <w:position w:val="11"/>
          <w:sz w:val="16"/>
        </w:rPr>
        <w:t>19</w:t>
      </w:r>
      <w:r>
        <w:rPr/>
        <w:t>, tuvo una condición que propicio la contracción de la dinámica industrial la cual fue severa en la entidad, muy cercano al estancamiento con una tasa entre 1998-2008, de 0.79% con el caso particular de Toluca en el cual el proceso industrial tiene una tasa creciente entre 1998-2008  del 3.27%. El área urbana continua concentra los empleos urbanos en 2008 con 306,734</w:t>
      </w:r>
      <w:r>
        <w:rPr>
          <w:spacing w:val="33"/>
        </w:rPr>
        <w:t> </w:t>
      </w:r>
      <w:r>
        <w:rPr/>
        <w:t>y</w:t>
      </w:r>
      <w:r>
        <w:rPr>
          <w:spacing w:val="30"/>
        </w:rPr>
        <w:t> </w:t>
      </w:r>
      <w:r>
        <w:rPr/>
        <w:t>una</w:t>
      </w:r>
      <w:r>
        <w:rPr>
          <w:spacing w:val="33"/>
        </w:rPr>
        <w:t> </w:t>
      </w:r>
      <w:r>
        <w:rPr/>
        <w:t>tasa</w:t>
      </w:r>
      <w:r>
        <w:rPr>
          <w:spacing w:val="33"/>
        </w:rPr>
        <w:t> </w:t>
      </w:r>
      <w:r>
        <w:rPr/>
        <w:t>de</w:t>
      </w:r>
      <w:r>
        <w:rPr>
          <w:spacing w:val="33"/>
        </w:rPr>
        <w:t> </w:t>
      </w:r>
      <w:r>
        <w:rPr/>
        <w:t>crecimiento</w:t>
      </w:r>
      <w:r>
        <w:rPr>
          <w:spacing w:val="33"/>
        </w:rPr>
        <w:t> </w:t>
      </w:r>
      <w:r>
        <w:rPr/>
        <w:t>del</w:t>
      </w:r>
      <w:r>
        <w:rPr>
          <w:spacing w:val="32"/>
        </w:rPr>
        <w:t> </w:t>
      </w:r>
      <w:r>
        <w:rPr/>
        <w:t>4.83%,</w:t>
      </w:r>
      <w:r>
        <w:rPr>
          <w:spacing w:val="33"/>
        </w:rPr>
        <w:t> </w:t>
      </w:r>
      <w:r>
        <w:rPr/>
        <w:t>con</w:t>
      </w:r>
      <w:r>
        <w:rPr>
          <w:spacing w:val="33"/>
        </w:rPr>
        <w:t> </w:t>
      </w:r>
      <w:r>
        <w:rPr/>
        <w:t>lo</w:t>
      </w:r>
      <w:r>
        <w:rPr>
          <w:spacing w:val="33"/>
        </w:rPr>
        <w:t> </w:t>
      </w:r>
      <w:r>
        <w:rPr/>
        <w:t>que</w:t>
      </w:r>
      <w:r>
        <w:rPr>
          <w:spacing w:val="33"/>
        </w:rPr>
        <w:t> </w:t>
      </w:r>
      <w:r>
        <w:rPr/>
        <w:t>se</w:t>
      </w:r>
      <w:r>
        <w:rPr>
          <w:spacing w:val="33"/>
        </w:rPr>
        <w:t> </w:t>
      </w:r>
      <w:r>
        <w:rPr/>
        <w:t>posiciona</w:t>
      </w:r>
      <w:r>
        <w:rPr>
          <w:spacing w:val="33"/>
        </w:rPr>
        <w:t> </w:t>
      </w:r>
      <w:r>
        <w:rPr/>
        <w:t>como</w:t>
      </w:r>
      <w:r>
        <w:rPr>
          <w:spacing w:val="33"/>
        </w:rPr>
        <w:t> </w:t>
      </w:r>
      <w:r>
        <w:rPr/>
        <w:t>el</w:t>
      </w:r>
    </w:p>
    <w:p>
      <w:pPr>
        <w:pStyle w:val="BodyText"/>
        <w:spacing w:before="7"/>
        <w:rPr>
          <w:sz w:val="18"/>
        </w:rPr>
      </w:pPr>
      <w:r>
        <w:rPr/>
        <w:pict>
          <v:line style="position:absolute;mso-position-horizontal-relative:page;mso-position-vertical-relative:paragraph;z-index:4288;mso-wrap-distance-left:0;mso-wrap-distance-right:0" from="85.103996pt,13.069924pt" to="229.123996pt,13.069924pt" stroked="true" strokeweight=".71997pt" strokecolor="#000000">
            <w10:wrap type="topAndBottom"/>
          </v:line>
        </w:pict>
      </w:r>
    </w:p>
    <w:p>
      <w:pPr>
        <w:spacing w:before="39"/>
        <w:ind w:left="122" w:right="76" w:firstLine="0"/>
        <w:jc w:val="left"/>
        <w:rPr>
          <w:sz w:val="18"/>
        </w:rPr>
      </w:pPr>
      <w:r>
        <w:rPr>
          <w:position w:val="9"/>
          <w:sz w:val="12"/>
        </w:rPr>
        <w:t>19 </w:t>
      </w:r>
      <w:r>
        <w:rPr>
          <w:sz w:val="18"/>
        </w:rPr>
        <w:t>Suma del empleo en manufactura, comercio y servicios.</w:t>
      </w:r>
    </w:p>
    <w:p>
      <w:pPr>
        <w:spacing w:after="0"/>
        <w:jc w:val="left"/>
        <w:rPr>
          <w:sz w:val="18"/>
        </w:rPr>
        <w:sectPr>
          <w:pgSz w:w="12240" w:h="15840"/>
          <w:pgMar w:header="0" w:footer="659" w:top="1360" w:bottom="840" w:left="1580" w:right="1580"/>
        </w:sectPr>
      </w:pPr>
    </w:p>
    <w:p>
      <w:pPr>
        <w:pStyle w:val="BodyText"/>
        <w:spacing w:line="360" w:lineRule="auto" w:before="54"/>
        <w:ind w:left="102" w:right="106"/>
        <w:jc w:val="both"/>
      </w:pPr>
      <w:r>
        <w:rPr/>
        <w:t>segundo ámbito con crecimiento del empleo urbano, pero en números absolutos es el que incrementa mayor cantidad de empleos con 115,274 más que el dato anterior del año 1998 (ver gráficas 8 y</w:t>
      </w:r>
      <w:r>
        <w:rPr>
          <w:spacing w:val="-14"/>
        </w:rPr>
        <w:t> </w:t>
      </w:r>
      <w:r>
        <w:rPr/>
        <w:t>9).</w:t>
      </w:r>
    </w:p>
    <w:p>
      <w:pPr>
        <w:pStyle w:val="BodyText"/>
        <w:spacing w:before="10"/>
      </w:pPr>
    </w:p>
    <w:p>
      <w:pPr>
        <w:pStyle w:val="BodyText"/>
        <w:spacing w:line="360" w:lineRule="auto"/>
        <w:ind w:left="102" w:right="100"/>
        <w:jc w:val="both"/>
      </w:pPr>
      <w:r>
        <w:rPr/>
        <w:t>El ámbito de interrelación funcional intermedia, es que mantienen la dinámica de crecimiento superior de la ZMT con 38,079 empleos urbanos en 2008 y una tasa de crecimiento de 1998 a 2008 del 8.9%, lo que indica que la desconcentración del empleo se ubica en la parte intermedia de la ZMT en este periodo.</w:t>
      </w:r>
    </w:p>
    <w:p>
      <w:pPr>
        <w:pStyle w:val="BodyText"/>
        <w:spacing w:before="8"/>
      </w:pPr>
    </w:p>
    <w:p>
      <w:pPr>
        <w:pStyle w:val="BodyText"/>
        <w:spacing w:line="360" w:lineRule="auto"/>
        <w:ind w:left="102" w:right="103"/>
        <w:jc w:val="both"/>
      </w:pPr>
      <w:r>
        <w:rPr/>
        <w:t>El ámbito de relación externa es el de menor cantidad de empleos en 2008 con 28,077 empleos urbanos y su dinámica de crecimiento disminuye con respecto a  la década anterior cuando tuvo la mayor tasa de crecimiento pues entre 1998 y 2008 crece el empleo urbano en este ámbito al 4.03%, señalando que los municipios que ofertan empleos urbanos son Tianguistenco y Tenango del Valle (ver gráfica 8 y</w:t>
      </w:r>
      <w:r>
        <w:rPr>
          <w:spacing w:val="-7"/>
        </w:rPr>
        <w:t> </w:t>
      </w:r>
      <w:r>
        <w:rPr/>
        <w:t>9).</w:t>
      </w:r>
    </w:p>
    <w:p>
      <w:pPr>
        <w:pStyle w:val="BodyText"/>
        <w:spacing w:before="7"/>
      </w:pPr>
    </w:p>
    <w:p>
      <w:pPr>
        <w:pStyle w:val="BodyText"/>
        <w:spacing w:line="360" w:lineRule="auto"/>
        <w:ind w:left="102" w:right="98"/>
        <w:jc w:val="both"/>
      </w:pPr>
      <w:r>
        <w:rPr/>
        <w:t>Por lo tanto la organización de la economía en la Zona Metropolitana de Toluca, sigue operando bajo la lógica de la aglomeración económica en el área urbana continua, con algunas tendencias a la desconcentración pero por valores  absolutos se puede decir que apenas emergen los empleos fuera de la parte central, con la característica de un descenso en los ritmos de crecimiento en la primer década del siglo</w:t>
      </w:r>
      <w:r>
        <w:rPr>
          <w:spacing w:val="-13"/>
        </w:rPr>
        <w:t> </w:t>
      </w:r>
      <w:r>
        <w:rPr/>
        <w:t>XXI.</w:t>
      </w:r>
    </w:p>
    <w:p>
      <w:pPr>
        <w:pStyle w:val="BodyText"/>
        <w:spacing w:before="5"/>
      </w:pPr>
    </w:p>
    <w:p>
      <w:pPr>
        <w:spacing w:before="0"/>
        <w:ind w:left="102" w:right="0" w:firstLine="0"/>
        <w:jc w:val="both"/>
        <w:rPr>
          <w:i/>
          <w:sz w:val="24"/>
        </w:rPr>
      </w:pPr>
      <w:r>
        <w:rPr>
          <w:i/>
          <w:sz w:val="24"/>
        </w:rPr>
        <w:t>Los vehículos</w:t>
      </w:r>
    </w:p>
    <w:p>
      <w:pPr>
        <w:pStyle w:val="BodyText"/>
        <w:rPr>
          <w:i/>
        </w:rPr>
      </w:pPr>
    </w:p>
    <w:p>
      <w:pPr>
        <w:pStyle w:val="BodyText"/>
        <w:spacing w:line="360" w:lineRule="auto" w:before="146"/>
        <w:ind w:left="102" w:right="103"/>
        <w:jc w:val="both"/>
      </w:pPr>
      <w:r>
        <w:rPr/>
        <w:t>El número de automóviles registrados en el periodo 2000 al 2010, se usan como un indicador indirecto de la posible capacidad de viajes que se realizan en la ZMT, en el área urbana continua se ubican los municipios con la mayor cantidad de registros vehiculas con 3, 207,656 vehículos con ello más del 80% se centra en el área urbana continua presentando una relación de 7.98 vehículos por vivienda, lo que indica un alto nivel de motorización, siendo el máximo municipio con stock vehicular Toluca con 1,981,795 en contraste con el de menor registros en este ámbito Mexicaltzingo con 21,850 vehículos (ver gráfica 10 y anexo A</w:t>
      </w:r>
      <w:r>
        <w:rPr>
          <w:spacing w:val="-21"/>
        </w:rPr>
        <w:t> </w:t>
      </w:r>
      <w:r>
        <w:rPr/>
        <w:t>4.11).)</w:t>
      </w:r>
    </w:p>
    <w:p>
      <w:pPr>
        <w:spacing w:after="0" w:line="360" w:lineRule="auto"/>
        <w:jc w:val="both"/>
        <w:sectPr>
          <w:pgSz w:w="12240" w:h="15840"/>
          <w:pgMar w:header="0" w:footer="659" w:top="1360" w:bottom="840" w:left="1600" w:right="1600"/>
        </w:sectPr>
      </w:pPr>
    </w:p>
    <w:p>
      <w:pPr>
        <w:pStyle w:val="BodyText"/>
        <w:spacing w:line="360" w:lineRule="auto" w:before="54"/>
        <w:ind w:left="102" w:right="120"/>
        <w:jc w:val="both"/>
      </w:pPr>
      <w:r>
        <w:rPr/>
        <w:t>En el ámbito de interrelación funcional intermedia el stock vehicular es el más bajo con 206,383 vehículos y una relación de 3.92 vehículos por vivienda, siendo esta la zona con menores oportunidades de desplazamientos para la población de sus 6 municipios con dos municipios de mayor capacidad para desplazarse que son Temoaya con 67005 vehículos y Ocoyoacac 66,840</w:t>
      </w:r>
      <w:r>
        <w:rPr>
          <w:spacing w:val="-19"/>
        </w:rPr>
        <w:t> </w:t>
      </w:r>
      <w:r>
        <w:rPr/>
        <w:t>vehículos.</w:t>
      </w:r>
    </w:p>
    <w:p>
      <w:pPr>
        <w:pStyle w:val="BodyText"/>
        <w:spacing w:before="10"/>
      </w:pPr>
    </w:p>
    <w:p>
      <w:pPr>
        <w:pStyle w:val="BodyText"/>
        <w:spacing w:line="360" w:lineRule="auto"/>
        <w:ind w:left="102" w:right="123"/>
        <w:jc w:val="both"/>
      </w:pPr>
      <w:r>
        <w:rPr/>
        <w:t>El ámbito de relación funcional externa es el que tiene 370,412 vehículos con ello es el ámbito periférico que ofrecen más alternativas de desplazamientos los municipios con mayor capacidad de viaje son Atizapán con 11,3485 vehículos y Tenango del Valle con 82,197 señalando que la relación entre vehículos y viviendas es casi tan alta como en la parte central ya que este ámbito registra 7.15 vehículos por vivienda (ver gráfica 10 y anexo A 4.11).</w:t>
      </w:r>
    </w:p>
    <w:p>
      <w:pPr>
        <w:pStyle w:val="BodyText"/>
        <w:spacing w:before="7"/>
      </w:pPr>
    </w:p>
    <w:p>
      <w:pPr>
        <w:pStyle w:val="BodyText"/>
        <w:spacing w:line="360" w:lineRule="auto"/>
        <w:ind w:left="102" w:right="116"/>
        <w:jc w:val="both"/>
      </w:pPr>
      <w:r>
        <w:rPr/>
        <w:t>Con estos datos se podría decir que los habitantes con mayor potencial de desplazamiento con vehículo particular son primeramente los de la zona central seguidos de la población que radica en la tercera franja, uno de los motivos puede ser que entre más distante se encuentra la población de la ciudad central, mayor es la dependencia al transporte motorizado.</w:t>
      </w:r>
    </w:p>
    <w:p>
      <w:pPr>
        <w:pStyle w:val="BodyText"/>
        <w:spacing w:before="6"/>
      </w:pPr>
    </w:p>
    <w:p>
      <w:pPr>
        <w:pStyle w:val="Heading4"/>
        <w:numPr>
          <w:ilvl w:val="1"/>
          <w:numId w:val="6"/>
        </w:numPr>
        <w:tabs>
          <w:tab w:pos="647" w:val="left" w:leader="none"/>
        </w:tabs>
        <w:spacing w:line="240" w:lineRule="auto" w:before="0" w:after="0"/>
        <w:ind w:left="646" w:right="0" w:hanging="544"/>
        <w:jc w:val="both"/>
      </w:pPr>
      <w:r>
        <w:rPr/>
        <w:t>Interrelaciones funcionales de la</w:t>
      </w:r>
      <w:r>
        <w:rPr>
          <w:spacing w:val="-16"/>
        </w:rPr>
        <w:t> </w:t>
      </w:r>
      <w:r>
        <w:rPr/>
        <w:t>ZMT</w:t>
      </w:r>
    </w:p>
    <w:p>
      <w:pPr>
        <w:pStyle w:val="BodyText"/>
        <w:spacing w:before="5"/>
        <w:rPr>
          <w:b/>
          <w:sz w:val="38"/>
        </w:rPr>
      </w:pPr>
    </w:p>
    <w:p>
      <w:pPr>
        <w:pStyle w:val="BodyText"/>
        <w:spacing w:line="360" w:lineRule="auto"/>
        <w:ind w:left="102" w:right="121"/>
        <w:jc w:val="both"/>
      </w:pPr>
      <w:r>
        <w:rPr/>
        <w:t>Los traslados residencia-trabajo reportan dónde surgen los movimientos y hacia dónde se dirigen y cuáles son los motivos. Los traslados de la población y los bienes reportan en conjunto la integración funcional y espacial de las metrópolis. Generalmente la población se mueve por razones de trabajo y consumo de bienes y servicios, en cambio los bienes se mueven al lugar del mercado, cuales quiera que sean los propósitos, ello develan las características de las relaciones funcionamiento. A mayor volumen y extensión de los movimientos será mayor la complejidad de la organización de la espacialidad de las funciones.</w:t>
      </w:r>
    </w:p>
    <w:p>
      <w:pPr>
        <w:pStyle w:val="BodyText"/>
        <w:spacing w:before="10"/>
      </w:pPr>
    </w:p>
    <w:p>
      <w:pPr>
        <w:pStyle w:val="BodyText"/>
        <w:spacing w:line="360" w:lineRule="auto"/>
        <w:ind w:left="102" w:right="118"/>
        <w:jc w:val="both"/>
      </w:pPr>
      <w:r>
        <w:rPr/>
        <w:t>Según el alcance geográfico, se pueden distinguir: i) traslados dentro de la ZMT o entre los 22 municipios, ii) traslados desde la ZMT hacia otros destinos fuera de ella y, iii) los traslados que transitan por la ciudad que vienen de un origen y tienen</w:t>
      </w:r>
    </w:p>
    <w:p>
      <w:pPr>
        <w:spacing w:after="0" w:line="360" w:lineRule="auto"/>
        <w:jc w:val="both"/>
        <w:sectPr>
          <w:pgSz w:w="12240" w:h="15840"/>
          <w:pgMar w:header="0" w:footer="659" w:top="1360" w:bottom="840" w:left="1600" w:right="1580"/>
        </w:sectPr>
      </w:pPr>
    </w:p>
    <w:p>
      <w:pPr>
        <w:pStyle w:val="BodyText"/>
        <w:spacing w:line="360" w:lineRule="auto" w:before="54"/>
        <w:ind w:left="102" w:right="118"/>
        <w:jc w:val="both"/>
      </w:pPr>
      <w:r>
        <w:rPr/>
        <w:t>un destino fuera de la ciudad. Tal como se ha indicado arriba en la metodología son dos las que se utilizan: a) traslados de la población residencia-trabajo y b) la encuesta origen-destino, aplicadas a los conductores de automóviles, camiones, autobuses y pickup en la ciudad de Toluca. A continuación se examinan por separado según la fuente información.</w:t>
      </w:r>
    </w:p>
    <w:p>
      <w:pPr>
        <w:pStyle w:val="BodyText"/>
        <w:spacing w:before="10"/>
      </w:pPr>
    </w:p>
    <w:p>
      <w:pPr>
        <w:pStyle w:val="Heading5"/>
        <w:numPr>
          <w:ilvl w:val="2"/>
          <w:numId w:val="6"/>
        </w:numPr>
        <w:tabs>
          <w:tab w:pos="790" w:val="left" w:leader="none"/>
        </w:tabs>
        <w:spacing w:line="360" w:lineRule="auto" w:before="0" w:after="0"/>
        <w:ind w:left="102" w:right="121" w:firstLine="0"/>
        <w:jc w:val="both"/>
      </w:pPr>
      <w:r>
        <w:rPr/>
        <w:t>Movimientos de población residencia – trabajo y alcance funcional de la ZMT en la</w:t>
      </w:r>
      <w:r>
        <w:rPr>
          <w:spacing w:val="-7"/>
        </w:rPr>
        <w:t> </w:t>
      </w:r>
      <w:r>
        <w:rPr/>
        <w:t>actualidad</w:t>
      </w:r>
    </w:p>
    <w:p>
      <w:pPr>
        <w:pStyle w:val="BodyText"/>
        <w:spacing w:before="8"/>
        <w:rPr>
          <w:b/>
        </w:rPr>
      </w:pPr>
    </w:p>
    <w:p>
      <w:pPr>
        <w:pStyle w:val="BodyText"/>
        <w:spacing w:line="360" w:lineRule="auto"/>
        <w:ind w:left="102" w:right="119"/>
        <w:jc w:val="both"/>
      </w:pPr>
      <w:r>
        <w:rPr/>
        <w:t>En este sub apartado se examina la interrelación funcional actual de la zona metropolitana de Toluca, con base en dos fuentes, una tomada de la delimitación de zonas metropolitanas del CONAPO -INEGI-SEDESOL (2004 y 2012) y la otra con base en la encuesta origen - destino aplicada por la Junta de Caminos del Estado de México en 2007.</w:t>
      </w:r>
    </w:p>
    <w:p>
      <w:pPr>
        <w:pStyle w:val="BodyText"/>
        <w:spacing w:before="5"/>
      </w:pPr>
    </w:p>
    <w:p>
      <w:pPr>
        <w:spacing w:line="362" w:lineRule="auto" w:before="0"/>
        <w:ind w:left="102" w:right="114" w:firstLine="0"/>
        <w:jc w:val="both"/>
        <w:rPr>
          <w:sz w:val="24"/>
        </w:rPr>
      </w:pPr>
      <w:r>
        <w:rPr>
          <w:i/>
          <w:sz w:val="24"/>
        </w:rPr>
        <w:t>Relación funcional intra zona metropolitana con datos del </w:t>
      </w:r>
      <w:r>
        <w:rPr>
          <w:sz w:val="24"/>
        </w:rPr>
        <w:t>CONAPO-INEGI- SEDESOL</w:t>
      </w:r>
    </w:p>
    <w:p>
      <w:pPr>
        <w:pStyle w:val="BodyText"/>
        <w:spacing w:before="5"/>
      </w:pPr>
    </w:p>
    <w:p>
      <w:pPr>
        <w:pStyle w:val="BodyText"/>
        <w:spacing w:line="360" w:lineRule="auto"/>
        <w:ind w:left="102" w:right="114"/>
        <w:jc w:val="both"/>
      </w:pPr>
      <w:r>
        <w:rPr/>
        <w:t>La delimitación de zonas metropolitanas en México del CONAPO-INEGI- SEDESOL, divide las zona metropolitana en, municipio central y municipio externo y ofrece información de los movimientos de la población ocupada dentro de ella, mismos que aquí se distribuyen según el destino de los movimientos al trabajo: i) aquella que trabaja en el municipio donde reside, ii) aquella que trabaja en los llamados “municipios centrales” y iii) aquella que trabaja en otros, con ello se distingue hacia donde se dirigen los traslados intraurbanos durante los años 2000 y 2010 en la estructura interna metropolitana (Ver anexos cuadro A</w:t>
      </w:r>
      <w:r>
        <w:rPr>
          <w:spacing w:val="-25"/>
        </w:rPr>
        <w:t> </w:t>
      </w:r>
      <w:r>
        <w:rPr/>
        <w:t>4.12).</w:t>
      </w:r>
    </w:p>
    <w:p>
      <w:pPr>
        <w:pStyle w:val="BodyText"/>
        <w:spacing w:before="8"/>
      </w:pPr>
    </w:p>
    <w:p>
      <w:pPr>
        <w:pStyle w:val="BodyText"/>
        <w:spacing w:line="360" w:lineRule="auto"/>
        <w:ind w:left="162" w:right="123"/>
        <w:jc w:val="both"/>
      </w:pPr>
      <w:r>
        <w:rPr/>
        <w:t>En el 2000, la relación funcional se encuentra principalmente en el área urbana continua y en el de interrelación funcional intermedia, en dichos ámbitos parece existir oferta de empleos, aunque los desplazamientos se polarizan en el área urbana continua y en menor proporción en los ámbitos externos. Se expresa cambios en la parte oriente de la entidad mexiquense, del centro al sur, se devela una configuración emplazada en su territorio metropolitano.</w:t>
      </w:r>
    </w:p>
    <w:p>
      <w:pPr>
        <w:spacing w:after="0" w:line="360" w:lineRule="auto"/>
        <w:jc w:val="both"/>
        <w:sectPr>
          <w:pgSz w:w="12240" w:h="15840"/>
          <w:pgMar w:header="0" w:footer="659" w:top="1360" w:bottom="840" w:left="1600" w:right="1580"/>
        </w:sectPr>
      </w:pPr>
    </w:p>
    <w:p>
      <w:pPr>
        <w:pStyle w:val="BodyText"/>
        <w:spacing w:before="54"/>
        <w:ind w:left="102" w:right="296"/>
      </w:pPr>
      <w:r>
        <w:rPr/>
        <w:t>Para el año 2000, la zona metropolitana registraba tres grupos de traslados:</w:t>
      </w:r>
    </w:p>
    <w:p>
      <w:pPr>
        <w:pStyle w:val="BodyText"/>
      </w:pPr>
    </w:p>
    <w:p>
      <w:pPr>
        <w:pStyle w:val="ListParagraph"/>
        <w:numPr>
          <w:ilvl w:val="3"/>
          <w:numId w:val="6"/>
        </w:numPr>
        <w:tabs>
          <w:tab w:pos="1182" w:val="left" w:leader="none"/>
        </w:tabs>
        <w:spacing w:line="360" w:lineRule="auto" w:before="144" w:after="0"/>
        <w:ind w:left="1182" w:right="119" w:hanging="720"/>
        <w:jc w:val="both"/>
        <w:rPr>
          <w:sz w:val="24"/>
        </w:rPr>
      </w:pPr>
      <w:r>
        <w:rPr>
          <w:sz w:val="24"/>
        </w:rPr>
        <w:t>Movimientos residencia-trabajo dentro del municipio. Los de mayor importancia son los de Toluca, San Mateo Atenco, Almoloya de Juárez y Lerma, en ellos la demanda de empleo de la estructura económica local contiene a su fuerza de trabajo dentro del municipio en proporción importante. Aunque cada uno ellos también generan movimientos intrametropolitanos en proporción menor y, existe una proporción menor que generan traslados hacia otros municipios (ver gráfica</w:t>
      </w:r>
      <w:r>
        <w:rPr>
          <w:spacing w:val="-23"/>
          <w:sz w:val="24"/>
        </w:rPr>
        <w:t> </w:t>
      </w:r>
      <w:r>
        <w:rPr>
          <w:sz w:val="24"/>
        </w:rPr>
        <w:t>13).</w:t>
      </w:r>
    </w:p>
    <w:p>
      <w:pPr>
        <w:pStyle w:val="ListParagraph"/>
        <w:numPr>
          <w:ilvl w:val="3"/>
          <w:numId w:val="6"/>
        </w:numPr>
        <w:tabs>
          <w:tab w:pos="1182" w:val="left" w:leader="none"/>
        </w:tabs>
        <w:spacing w:line="360" w:lineRule="auto" w:before="5" w:after="0"/>
        <w:ind w:left="1182" w:right="117" w:hanging="720"/>
        <w:jc w:val="both"/>
        <w:rPr>
          <w:sz w:val="24"/>
        </w:rPr>
      </w:pPr>
      <w:r>
        <w:rPr>
          <w:sz w:val="24"/>
        </w:rPr>
        <w:t>Movimientos residencia-trabajo intraurbanos, se refiere a la fuerza de trabajo que sale de sus municipios en busca de trabajo pero los encuentra en el área urbana continua, son movimientos forzosos en dos situaciones: los municipios con mayor traslados forzosos dentro del área urbana continua, como Zinacantepec, Metepec, Otzolotepec y Chapultepec y los municipios cuyos traslados forzosos son menores y que también la estructura económica local tiene mejor posibilidad, son Ocoyoacac, Xonacatlán Calimaya y</w:t>
      </w:r>
      <w:r>
        <w:rPr>
          <w:spacing w:val="-18"/>
          <w:sz w:val="24"/>
        </w:rPr>
        <w:t> </w:t>
      </w:r>
      <w:r>
        <w:rPr>
          <w:sz w:val="24"/>
        </w:rPr>
        <w:t>Mixicaltzingo.</w:t>
      </w:r>
    </w:p>
    <w:p>
      <w:pPr>
        <w:pStyle w:val="ListParagraph"/>
        <w:numPr>
          <w:ilvl w:val="3"/>
          <w:numId w:val="6"/>
        </w:numPr>
        <w:tabs>
          <w:tab w:pos="1182" w:val="left" w:leader="none"/>
        </w:tabs>
        <w:spacing w:line="360" w:lineRule="auto" w:before="5" w:after="0"/>
        <w:ind w:left="1182" w:right="124" w:hanging="720"/>
        <w:jc w:val="both"/>
        <w:rPr>
          <w:sz w:val="24"/>
        </w:rPr>
      </w:pPr>
      <w:r>
        <w:rPr>
          <w:sz w:val="24"/>
        </w:rPr>
        <w:t>Lo traslados forzosos fuera de la zona metropolitana, destacan Chapultepec, Mexicaltzingo, Ocoyoacac y</w:t>
      </w:r>
      <w:r>
        <w:rPr>
          <w:spacing w:val="-19"/>
          <w:sz w:val="24"/>
        </w:rPr>
        <w:t> </w:t>
      </w:r>
      <w:r>
        <w:rPr>
          <w:sz w:val="24"/>
        </w:rPr>
        <w:t>Otzolotepec.</w:t>
      </w:r>
    </w:p>
    <w:p>
      <w:pPr>
        <w:pStyle w:val="BodyText"/>
        <w:spacing w:before="6"/>
      </w:pPr>
    </w:p>
    <w:p>
      <w:pPr>
        <w:spacing w:before="0"/>
        <w:ind w:left="1095" w:right="296" w:firstLine="0"/>
        <w:jc w:val="left"/>
        <w:rPr>
          <w:sz w:val="20"/>
        </w:rPr>
      </w:pPr>
      <w:r>
        <w:rPr>
          <w:sz w:val="20"/>
        </w:rPr>
        <w:t>Gráfica 13. ZMT. Traslados residencia trabajo de la población ocupada, 2000</w:t>
      </w:r>
    </w:p>
    <w:p>
      <w:pPr>
        <w:pStyle w:val="BodyText"/>
        <w:spacing w:before="8"/>
        <w:rPr>
          <w:sz w:val="9"/>
        </w:rPr>
      </w:pPr>
    </w:p>
    <w:p>
      <w:pPr>
        <w:tabs>
          <w:tab w:pos="3394" w:val="left" w:leader="none"/>
          <w:tab w:pos="5995" w:val="left" w:leader="none"/>
        </w:tabs>
        <w:spacing w:before="59"/>
        <w:ind w:left="1586" w:right="296" w:firstLine="0"/>
        <w:jc w:val="left"/>
        <w:rPr>
          <w:rFonts w:ascii="Calibri"/>
          <w:sz w:val="20"/>
        </w:rPr>
      </w:pPr>
      <w:r>
        <w:rPr/>
        <w:pict>
          <v:rect style="position:absolute;margin-left:151.440002pt;margin-top:6.731499pt;width:5.52pt;height:5.52pt;mso-position-horizontal-relative:page;mso-position-vertical-relative:paragraph;z-index:4432" filled="true" fillcolor="#4f81bc" stroked="false">
            <v:fill type="solid"/>
            <w10:wrap type="none"/>
          </v:rect>
        </w:pict>
      </w:r>
      <w:r>
        <w:rPr/>
        <w:pict>
          <v:rect style="position:absolute;margin-left:241.800003pt;margin-top:6.731499pt;width:5.52pt;height:5.52pt;mso-position-horizontal-relative:page;mso-position-vertical-relative:paragraph;z-index:-298336" filled="true" fillcolor="#6f2f9f" stroked="false">
            <v:fill type="solid"/>
            <w10:wrap type="none"/>
          </v:rect>
        </w:pict>
      </w:r>
      <w:r>
        <w:rPr/>
        <w:pict>
          <v:rect style="position:absolute;margin-left:371.880005pt;margin-top:6.731499pt;width:5.52pt;height:5.52pt;mso-position-horizontal-relative:page;mso-position-vertical-relative:paragraph;z-index:-298312" filled="true" fillcolor="#9bba58" stroked="false">
            <v:fill type="solid"/>
            <w10:wrap type="none"/>
          </v:rect>
        </w:pict>
      </w:r>
      <w:r>
        <w:rPr>
          <w:rFonts w:ascii="Calibri"/>
          <w:sz w:val="20"/>
        </w:rPr>
        <w:t>El</w:t>
      </w:r>
      <w:r>
        <w:rPr>
          <w:rFonts w:ascii="Calibri"/>
          <w:spacing w:val="-3"/>
          <w:sz w:val="20"/>
        </w:rPr>
        <w:t> </w:t>
      </w:r>
      <w:r>
        <w:rPr>
          <w:rFonts w:ascii="Calibri"/>
          <w:sz w:val="20"/>
        </w:rPr>
        <w:t>municipio</w:t>
      </w:r>
      <w:r>
        <w:rPr>
          <w:rFonts w:ascii="Calibri"/>
          <w:spacing w:val="-2"/>
          <w:sz w:val="20"/>
        </w:rPr>
        <w:t> </w:t>
      </w:r>
      <w:r>
        <w:rPr>
          <w:rFonts w:ascii="Calibri"/>
          <w:sz w:val="20"/>
        </w:rPr>
        <w:t>(%)</w:t>
        <w:tab/>
        <w:t>Municipios</w:t>
      </w:r>
      <w:r>
        <w:rPr>
          <w:rFonts w:ascii="Calibri"/>
          <w:spacing w:val="-1"/>
          <w:sz w:val="20"/>
        </w:rPr>
        <w:t> </w:t>
      </w:r>
      <w:r>
        <w:rPr>
          <w:rFonts w:ascii="Calibri"/>
          <w:sz w:val="20"/>
        </w:rPr>
        <w:t>centrales2</w:t>
      </w:r>
      <w:r>
        <w:rPr>
          <w:rFonts w:ascii="Calibri"/>
          <w:spacing w:val="-3"/>
          <w:sz w:val="20"/>
        </w:rPr>
        <w:t> </w:t>
      </w:r>
      <w:r>
        <w:rPr>
          <w:rFonts w:ascii="Calibri"/>
          <w:sz w:val="20"/>
        </w:rPr>
        <w:t>(%)</w:t>
        <w:tab/>
        <w:t>Otros municipios</w:t>
      </w:r>
      <w:r>
        <w:rPr>
          <w:rFonts w:ascii="Calibri"/>
          <w:spacing w:val="-10"/>
          <w:sz w:val="20"/>
        </w:rPr>
        <w:t> </w:t>
      </w:r>
      <w:r>
        <w:rPr>
          <w:rFonts w:ascii="Calibri"/>
          <w:sz w:val="20"/>
        </w:rPr>
        <w:t>(%)</w:t>
      </w:r>
    </w:p>
    <w:p>
      <w:pPr>
        <w:pStyle w:val="BodyText"/>
        <w:rPr>
          <w:rFonts w:ascii="Calibri"/>
          <w:sz w:val="20"/>
        </w:rPr>
      </w:pPr>
    </w:p>
    <w:p>
      <w:pPr>
        <w:pStyle w:val="BodyText"/>
        <w:spacing w:before="10"/>
        <w:rPr>
          <w:rFonts w:ascii="Calibri"/>
          <w:sz w:val="18"/>
        </w:rPr>
      </w:pPr>
    </w:p>
    <w:p>
      <w:pPr>
        <w:spacing w:line="203" w:lineRule="exact" w:before="59"/>
        <w:ind w:left="1535" w:right="296" w:firstLine="0"/>
        <w:jc w:val="left"/>
        <w:rPr>
          <w:rFonts w:ascii="Calibri"/>
          <w:sz w:val="20"/>
        </w:rPr>
      </w:pPr>
      <w:r>
        <w:rPr>
          <w:rFonts w:ascii="Calibri"/>
          <w:sz w:val="20"/>
        </w:rPr>
        <w:t>66.96</w:t>
      </w:r>
    </w:p>
    <w:p>
      <w:pPr>
        <w:spacing w:line="203" w:lineRule="exact" w:before="0"/>
        <w:ind w:left="1638" w:right="146" w:firstLine="0"/>
        <w:jc w:val="center"/>
        <w:rPr>
          <w:rFonts w:ascii="Calibri"/>
          <w:sz w:val="20"/>
        </w:rPr>
      </w:pPr>
      <w:r>
        <w:rPr/>
        <w:pict>
          <v:group style="position:absolute;margin-left:123.945pt;margin-top:6.487965pt;width:351.9pt;height:110.3pt;mso-position-horizontal-relative:page;mso-position-vertical-relative:paragraph;z-index:-298384" coordorigin="2479,130" coordsize="7038,2206">
            <v:shape style="position:absolute;left:3012;top:130;width:4215;height:2199" coordorigin="3012,130" coordsize="4215,2199" path="m3715,130l3012,130,3012,2328,3715,2328,3715,130m7226,291l6526,291,6526,2328,7226,2328,7226,291e" filled="true" fillcolor="#4f81bc" stroked="false">
              <v:path arrowok="t"/>
              <v:fill type="solid"/>
            </v:shape>
            <v:shape style="position:absolute;left:3890;top:1452;width:4215;height:876" coordorigin="3890,1452" coordsize="4215,876" path="m4594,1452l3890,1452,3890,2328,4594,2328,4594,1452m8105,1495l7402,1495,7402,2328,8105,2328,8105,1495e" filled="true" fillcolor="#6f2f9f" stroked="false">
              <v:path arrowok="t"/>
              <v:fill type="solid"/>
            </v:shape>
            <v:shape style="position:absolute;left:4769;top:1913;width:4215;height:416" coordorigin="4769,1913" coordsize="4215,416" path="m5472,2119l4769,2119,4769,2328,5472,2328,5472,2119m8983,1913l8280,1913,8280,2328,8983,2328,8983,1913e" filled="true" fillcolor="#9bba58" stroked="false">
              <v:path arrowok="t"/>
              <v:fill type="solid"/>
            </v:shape>
            <v:line style="position:absolute" from="2486,2328" to="9509,2328" stroked="true" strokeweight=".72pt" strokecolor="#858585"/>
            <v:shape style="position:absolute;left:4014;top:1160;width:455;height:200" type="#_x0000_t202" filled="false" stroked="false">
              <v:textbox inset="0,0,0,0">
                <w:txbxContent>
                  <w:p>
                    <w:pPr>
                      <w:spacing w:line="199" w:lineRule="exact" w:before="0"/>
                      <w:ind w:left="0" w:right="-16" w:firstLine="0"/>
                      <w:jc w:val="left"/>
                      <w:rPr>
                        <w:rFonts w:ascii="Calibri"/>
                        <w:sz w:val="20"/>
                      </w:rPr>
                    </w:pPr>
                    <w:r>
                      <w:rPr>
                        <w:rFonts w:ascii="Calibri"/>
                        <w:w w:val="95"/>
                        <w:sz w:val="20"/>
                      </w:rPr>
                      <w:t>26.69</w:t>
                    </w:r>
                  </w:p>
                </w:txbxContent>
              </v:textbox>
              <w10:wrap type="none"/>
            </v:shape>
            <v:shape style="position:absolute;left:7527;top:1203;width:455;height:200" type="#_x0000_t202" filled="false" stroked="false">
              <v:textbox inset="0,0,0,0">
                <w:txbxContent>
                  <w:p>
                    <w:pPr>
                      <w:spacing w:line="199" w:lineRule="exact" w:before="0"/>
                      <w:ind w:left="0" w:right="-16" w:firstLine="0"/>
                      <w:jc w:val="left"/>
                      <w:rPr>
                        <w:rFonts w:ascii="Calibri"/>
                        <w:sz w:val="20"/>
                      </w:rPr>
                    </w:pPr>
                    <w:r>
                      <w:rPr>
                        <w:rFonts w:ascii="Calibri"/>
                        <w:w w:val="95"/>
                        <w:sz w:val="20"/>
                      </w:rPr>
                      <w:t>25.37</w:t>
                    </w:r>
                  </w:p>
                </w:txbxContent>
              </v:textbox>
              <w10:wrap type="none"/>
            </v:shape>
            <v:shape style="position:absolute;left:8405;top:1622;width:455;height:200" type="#_x0000_t202" filled="false" stroked="false">
              <v:textbox inset="0,0,0,0">
                <w:txbxContent>
                  <w:p>
                    <w:pPr>
                      <w:spacing w:line="199" w:lineRule="exact" w:before="0"/>
                      <w:ind w:left="0" w:right="-16" w:firstLine="0"/>
                      <w:jc w:val="left"/>
                      <w:rPr>
                        <w:rFonts w:ascii="Calibri"/>
                        <w:sz w:val="20"/>
                      </w:rPr>
                    </w:pPr>
                    <w:r>
                      <w:rPr>
                        <w:rFonts w:ascii="Calibri"/>
                        <w:w w:val="95"/>
                        <w:sz w:val="20"/>
                      </w:rPr>
                      <w:t>12.60</w:t>
                    </w:r>
                  </w:p>
                </w:txbxContent>
              </v:textbox>
              <w10:wrap type="none"/>
            </v:shape>
            <v:shape style="position:absolute;left:4943;top:1827;width:354;height:200" type="#_x0000_t202" filled="false" stroked="false">
              <v:textbox inset="0,0,0,0">
                <w:txbxContent>
                  <w:p>
                    <w:pPr>
                      <w:spacing w:line="199" w:lineRule="exact" w:before="0"/>
                      <w:ind w:left="0" w:right="-3" w:firstLine="0"/>
                      <w:jc w:val="left"/>
                      <w:rPr>
                        <w:rFonts w:ascii="Calibri"/>
                        <w:sz w:val="20"/>
                      </w:rPr>
                    </w:pPr>
                    <w:r>
                      <w:rPr>
                        <w:rFonts w:ascii="Calibri"/>
                        <w:w w:val="95"/>
                        <w:sz w:val="20"/>
                      </w:rPr>
                      <w:t>6.37</w:t>
                    </w:r>
                  </w:p>
                </w:txbxContent>
              </v:textbox>
              <w10:wrap type="none"/>
            </v:shape>
            <w10:wrap type="none"/>
          </v:group>
        </w:pict>
      </w:r>
      <w:r>
        <w:rPr>
          <w:rFonts w:ascii="Calibri"/>
          <w:sz w:val="20"/>
        </w:rPr>
        <w:t>62.03</w:t>
      </w: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spacing w:before="9"/>
        <w:rPr>
          <w:rFonts w:ascii="Calibri"/>
          <w:sz w:val="19"/>
        </w:rPr>
      </w:pPr>
    </w:p>
    <w:p>
      <w:pPr>
        <w:tabs>
          <w:tab w:pos="3395" w:val="left" w:leader="none"/>
        </w:tabs>
        <w:spacing w:before="59"/>
        <w:ind w:left="0" w:right="146" w:firstLine="0"/>
        <w:jc w:val="center"/>
        <w:rPr>
          <w:rFonts w:ascii="Calibri" w:hAnsi="Calibri"/>
          <w:sz w:val="20"/>
        </w:rPr>
      </w:pPr>
      <w:r>
        <w:rPr>
          <w:rFonts w:ascii="Calibri" w:hAnsi="Calibri"/>
          <w:sz w:val="20"/>
        </w:rPr>
        <w:t>Área urbana continua</w:t>
      </w:r>
      <w:r>
        <w:rPr>
          <w:rFonts w:ascii="Calibri" w:hAnsi="Calibri"/>
          <w:spacing w:val="-6"/>
          <w:sz w:val="20"/>
        </w:rPr>
        <w:t> </w:t>
      </w:r>
      <w:r>
        <w:rPr>
          <w:rFonts w:ascii="Calibri" w:hAnsi="Calibri"/>
          <w:sz w:val="20"/>
        </w:rPr>
        <w:t>de</w:t>
      </w:r>
      <w:r>
        <w:rPr>
          <w:rFonts w:ascii="Calibri" w:hAnsi="Calibri"/>
          <w:spacing w:val="-3"/>
          <w:sz w:val="20"/>
        </w:rPr>
        <w:t> </w:t>
      </w:r>
      <w:r>
        <w:rPr>
          <w:rFonts w:ascii="Calibri" w:hAnsi="Calibri"/>
          <w:sz w:val="20"/>
        </w:rPr>
        <w:t>Toluca</w:t>
        <w:tab/>
        <w:t>Interrelación funcional</w:t>
      </w:r>
      <w:r>
        <w:rPr>
          <w:rFonts w:ascii="Calibri" w:hAnsi="Calibri"/>
          <w:spacing w:val="33"/>
          <w:sz w:val="20"/>
        </w:rPr>
        <w:t> </w:t>
      </w:r>
      <w:r>
        <w:rPr>
          <w:rFonts w:ascii="Calibri" w:hAnsi="Calibri"/>
          <w:sz w:val="20"/>
        </w:rPr>
        <w:t>intermedia</w:t>
      </w:r>
    </w:p>
    <w:p>
      <w:pPr>
        <w:spacing w:before="59"/>
        <w:ind w:left="126" w:right="146" w:firstLine="0"/>
        <w:jc w:val="center"/>
        <w:rPr>
          <w:sz w:val="20"/>
        </w:rPr>
      </w:pPr>
      <w:r>
        <w:rPr>
          <w:sz w:val="20"/>
        </w:rPr>
        <w:t>Fuente: Elaboración propia con base en CONAPO-SEDESOL-INEGI, 2004</w:t>
      </w:r>
    </w:p>
    <w:p>
      <w:pPr>
        <w:spacing w:after="0"/>
        <w:jc w:val="center"/>
        <w:rPr>
          <w:sz w:val="20"/>
        </w:rPr>
        <w:sectPr>
          <w:pgSz w:w="12240" w:h="15840"/>
          <w:pgMar w:header="0" w:footer="659" w:top="1360" w:bottom="840" w:left="1600" w:right="1580"/>
        </w:sectPr>
      </w:pPr>
    </w:p>
    <w:p>
      <w:pPr>
        <w:spacing w:before="53"/>
        <w:ind w:left="1095" w:right="294" w:firstLine="0"/>
        <w:jc w:val="left"/>
        <w:rPr>
          <w:sz w:val="20"/>
        </w:rPr>
      </w:pPr>
      <w:r>
        <w:rPr>
          <w:sz w:val="20"/>
        </w:rPr>
        <w:t>Gráfica 14. ZMT. Traslados residencia trabajo de la población ocupada 2010.</w:t>
      </w:r>
    </w:p>
    <w:p>
      <w:pPr>
        <w:pStyle w:val="BodyText"/>
        <w:spacing w:before="8"/>
        <w:rPr>
          <w:sz w:val="9"/>
        </w:rPr>
      </w:pPr>
    </w:p>
    <w:p>
      <w:pPr>
        <w:tabs>
          <w:tab w:pos="3397" w:val="left" w:leader="none"/>
          <w:tab w:pos="5909" w:val="left" w:leader="none"/>
        </w:tabs>
        <w:spacing w:before="59"/>
        <w:ind w:left="1678" w:right="294" w:firstLine="0"/>
        <w:jc w:val="left"/>
        <w:rPr>
          <w:rFonts w:ascii="Calibri"/>
          <w:sz w:val="20"/>
        </w:rPr>
      </w:pPr>
      <w:r>
        <w:rPr/>
        <w:pict>
          <v:rect style="position:absolute;margin-left:156.119995pt;margin-top:6.811514pt;width:5.52pt;height:5.52pt;mso-position-horizontal-relative:page;mso-position-vertical-relative:paragraph;z-index:4528" filled="true" fillcolor="#4f81bc" stroked="false">
            <v:fill type="solid"/>
            <w10:wrap type="none"/>
          </v:rect>
        </w:pict>
      </w:r>
      <w:r>
        <w:rPr/>
        <w:pict>
          <v:rect style="position:absolute;margin-left:242.039993pt;margin-top:6.811514pt;width:5.52pt;height:5.52pt;mso-position-horizontal-relative:page;mso-position-vertical-relative:paragraph;z-index:-298240" filled="true" fillcolor="#6f2f9f" stroked="false">
            <v:fill type="solid"/>
            <w10:wrap type="none"/>
          </v:rect>
        </w:pict>
      </w:r>
      <w:r>
        <w:rPr/>
        <w:pict>
          <v:rect style="position:absolute;margin-left:367.559998pt;margin-top:6.811514pt;width:5.52pt;height:5.52pt;mso-position-horizontal-relative:page;mso-position-vertical-relative:paragraph;z-index:-298216" filled="true" fillcolor="#9bba58" stroked="false">
            <v:fill type="solid"/>
            <w10:wrap type="none"/>
          </v:rect>
        </w:pict>
      </w:r>
      <w:r>
        <w:rPr>
          <w:rFonts w:ascii="Calibri"/>
          <w:sz w:val="20"/>
        </w:rPr>
        <w:t>El</w:t>
      </w:r>
      <w:r>
        <w:rPr>
          <w:rFonts w:ascii="Calibri"/>
          <w:spacing w:val="-3"/>
          <w:sz w:val="20"/>
        </w:rPr>
        <w:t> </w:t>
      </w:r>
      <w:r>
        <w:rPr>
          <w:rFonts w:ascii="Calibri"/>
          <w:sz w:val="20"/>
        </w:rPr>
        <w:t>municipio</w:t>
      </w:r>
      <w:r>
        <w:rPr>
          <w:rFonts w:ascii="Calibri"/>
          <w:spacing w:val="-2"/>
          <w:sz w:val="20"/>
        </w:rPr>
        <w:t> </w:t>
      </w:r>
      <w:r>
        <w:rPr>
          <w:rFonts w:ascii="Calibri"/>
          <w:sz w:val="20"/>
        </w:rPr>
        <w:t>(%)</w:t>
        <w:tab/>
        <w:t>Municipios</w:t>
      </w:r>
      <w:r>
        <w:rPr>
          <w:rFonts w:ascii="Calibri"/>
          <w:spacing w:val="-1"/>
          <w:sz w:val="20"/>
        </w:rPr>
        <w:t> </w:t>
      </w:r>
      <w:r>
        <w:rPr>
          <w:rFonts w:ascii="Calibri"/>
          <w:sz w:val="20"/>
        </w:rPr>
        <w:t>centrales2</w:t>
      </w:r>
      <w:r>
        <w:rPr>
          <w:rFonts w:ascii="Calibri"/>
          <w:spacing w:val="-3"/>
          <w:sz w:val="20"/>
        </w:rPr>
        <w:t> </w:t>
      </w:r>
      <w:r>
        <w:rPr>
          <w:rFonts w:ascii="Calibri"/>
          <w:sz w:val="20"/>
        </w:rPr>
        <w:t>(%)</w:t>
        <w:tab/>
        <w:t>Otros municipios</w:t>
      </w:r>
      <w:r>
        <w:rPr>
          <w:rFonts w:ascii="Calibri"/>
          <w:spacing w:val="-10"/>
          <w:sz w:val="20"/>
        </w:rPr>
        <w:t> </w:t>
      </w:r>
      <w:r>
        <w:rPr>
          <w:rFonts w:ascii="Calibri"/>
          <w:sz w:val="20"/>
        </w:rPr>
        <w:t>(%)</w:t>
      </w:r>
    </w:p>
    <w:p>
      <w:pPr>
        <w:pStyle w:val="BodyText"/>
        <w:rPr>
          <w:rFonts w:ascii="Calibri"/>
          <w:sz w:val="20"/>
        </w:rPr>
      </w:pPr>
    </w:p>
    <w:p>
      <w:pPr>
        <w:pStyle w:val="BodyText"/>
        <w:spacing w:before="12"/>
        <w:rPr>
          <w:rFonts w:ascii="Calibri"/>
          <w:sz w:val="18"/>
        </w:rPr>
      </w:pPr>
    </w:p>
    <w:p>
      <w:pPr>
        <w:spacing w:line="236" w:lineRule="exact" w:before="0"/>
        <w:ind w:left="5999" w:right="294" w:firstLine="0"/>
        <w:jc w:val="left"/>
        <w:rPr>
          <w:rFonts w:ascii="Calibri"/>
          <w:sz w:val="20"/>
        </w:rPr>
      </w:pPr>
      <w:r>
        <w:rPr>
          <w:rFonts w:ascii="Calibri"/>
          <w:sz w:val="20"/>
        </w:rPr>
        <w:t>66.77</w:t>
      </w:r>
    </w:p>
    <w:p>
      <w:pPr>
        <w:spacing w:line="214" w:lineRule="exact" w:before="0"/>
        <w:ind w:left="1452" w:right="294" w:firstLine="0"/>
        <w:jc w:val="left"/>
        <w:rPr>
          <w:rFonts w:ascii="Calibri"/>
          <w:sz w:val="20"/>
        </w:rPr>
      </w:pPr>
      <w:r>
        <w:rPr/>
        <w:pict>
          <v:group style="position:absolute;margin-left:135.225006pt;margin-top:4.907996pt;width:341.7pt;height:131.550pt;mso-position-horizontal-relative:page;mso-position-vertical-relative:paragraph;z-index:-298288" coordorigin="2705,98" coordsize="6834,2631">
            <v:shape style="position:absolute;left:3053;top:98;width:5002;height:2624" coordorigin="3053,98" coordsize="5002,2624" path="m3506,326l3053,326,3053,2721,3506,2721,3506,326m5779,525l5326,525,5326,2721,5779,2721,5779,525m8054,98l7598,98,7598,2721,8054,2721,8054,98e" filled="true" fillcolor="#4f81bc" stroked="false">
              <v:path arrowok="t"/>
              <v:fill type="solid"/>
            </v:shape>
            <v:shape style="position:absolute;left:3622;top:1483;width:5000;height:1239" coordorigin="3622,1483" coordsize="5000,1239" path="m4075,1517l3622,1517,3622,2721,4075,2721,4075,1517m6348,1483l5894,1483,5894,2721,6348,2721,6348,1483m8621,2157l8167,2157,8167,2721,8621,2721,8621,2157e" filled="true" fillcolor="#6f2f9f" stroked="false">
              <v:path arrowok="t"/>
              <v:fill type="solid"/>
            </v:shape>
            <v:shape style="position:absolute;left:4188;top:1980;width:5002;height:742" coordorigin="4188,1980" coordsize="5002,742" path="m4644,2395l4188,2395,4188,2721,4644,2721,4644,2395m6917,2227l6463,2227,6463,2721,6917,2721,6917,2227m9190,1980l8736,1980,8736,2721,9190,2721,9190,1980e" filled="true" fillcolor="#9bba58" stroked="false">
              <v:path arrowok="t"/>
              <v:fill type="solid"/>
            </v:shape>
            <v:line style="position:absolute" from="2712,2721" to="9530,2721" stroked="true" strokeweight=".72pt" strokecolor="#858585"/>
            <w10:wrap type="none"/>
          </v:group>
        </w:pict>
      </w:r>
      <w:r>
        <w:rPr>
          <w:rFonts w:ascii="Calibri"/>
          <w:sz w:val="20"/>
        </w:rPr>
        <w:t>60.98</w:t>
      </w:r>
    </w:p>
    <w:p>
      <w:pPr>
        <w:spacing w:line="222" w:lineRule="exact" w:before="0"/>
        <w:ind w:left="89" w:right="1219" w:firstLine="0"/>
        <w:jc w:val="center"/>
        <w:rPr>
          <w:rFonts w:ascii="Calibri"/>
          <w:sz w:val="20"/>
        </w:rPr>
      </w:pPr>
      <w:r>
        <w:rPr>
          <w:rFonts w:ascii="Calibri"/>
          <w:sz w:val="20"/>
        </w:rPr>
        <w:t>55.88</w:t>
      </w:r>
    </w:p>
    <w:p>
      <w:pPr>
        <w:pStyle w:val="BodyText"/>
        <w:rPr>
          <w:rFonts w:ascii="Calibri"/>
          <w:sz w:val="20"/>
        </w:rPr>
      </w:pPr>
    </w:p>
    <w:p>
      <w:pPr>
        <w:pStyle w:val="BodyText"/>
        <w:rPr>
          <w:rFonts w:ascii="Calibri"/>
          <w:sz w:val="20"/>
        </w:rPr>
      </w:pPr>
    </w:p>
    <w:p>
      <w:pPr>
        <w:pStyle w:val="BodyText"/>
        <w:spacing w:before="4"/>
        <w:rPr>
          <w:rFonts w:ascii="Calibri"/>
          <w:sz w:val="18"/>
        </w:rPr>
      </w:pPr>
    </w:p>
    <w:p>
      <w:pPr>
        <w:tabs>
          <w:tab w:pos="4294" w:val="left" w:leader="none"/>
        </w:tabs>
        <w:spacing w:before="0"/>
        <w:ind w:left="2020" w:right="294" w:firstLine="0"/>
        <w:jc w:val="left"/>
        <w:rPr>
          <w:rFonts w:ascii="Calibri"/>
          <w:sz w:val="20"/>
        </w:rPr>
      </w:pPr>
      <w:r>
        <w:rPr>
          <w:rFonts w:ascii="Calibri"/>
          <w:position w:val="-2"/>
          <w:sz w:val="20"/>
        </w:rPr>
        <w:t>30.69</w:t>
        <w:tab/>
      </w:r>
      <w:r>
        <w:rPr>
          <w:rFonts w:ascii="Calibri"/>
          <w:sz w:val="20"/>
        </w:rPr>
        <w:t>31.53</w:t>
      </w:r>
    </w:p>
    <w:p>
      <w:pPr>
        <w:pStyle w:val="BodyText"/>
        <w:spacing w:before="6"/>
        <w:rPr>
          <w:rFonts w:ascii="Calibri"/>
          <w:sz w:val="13"/>
        </w:rPr>
      </w:pPr>
    </w:p>
    <w:p>
      <w:pPr>
        <w:spacing w:after="0"/>
        <w:rPr>
          <w:rFonts w:ascii="Calibri"/>
          <w:sz w:val="13"/>
        </w:rPr>
        <w:sectPr>
          <w:pgSz w:w="12240" w:h="15840"/>
          <w:pgMar w:header="0" w:footer="659" w:top="1360" w:bottom="840" w:left="1600" w:right="1600"/>
        </w:sectPr>
      </w:pPr>
    </w:p>
    <w:p>
      <w:pPr>
        <w:pStyle w:val="BodyText"/>
        <w:spacing w:before="12"/>
        <w:rPr>
          <w:rFonts w:ascii="Calibri"/>
        </w:rPr>
      </w:pPr>
    </w:p>
    <w:p>
      <w:pPr>
        <w:spacing w:line="206" w:lineRule="exact" w:before="0"/>
        <w:ind w:left="0" w:right="0" w:firstLine="0"/>
        <w:jc w:val="right"/>
        <w:rPr>
          <w:rFonts w:ascii="Calibri"/>
          <w:sz w:val="20"/>
        </w:rPr>
      </w:pPr>
      <w:r>
        <w:rPr>
          <w:rFonts w:ascii="Calibri"/>
          <w:w w:val="95"/>
          <w:sz w:val="20"/>
        </w:rPr>
        <w:t>12.60</w:t>
      </w:r>
    </w:p>
    <w:p>
      <w:pPr>
        <w:spacing w:line="206" w:lineRule="exact" w:before="0"/>
        <w:ind w:left="2619" w:right="2304" w:firstLine="0"/>
        <w:jc w:val="center"/>
        <w:rPr>
          <w:rFonts w:ascii="Calibri"/>
          <w:sz w:val="20"/>
        </w:rPr>
      </w:pPr>
      <w:r>
        <w:rPr>
          <w:rFonts w:ascii="Calibri"/>
          <w:sz w:val="20"/>
        </w:rPr>
        <w:t>8.32</w:t>
      </w:r>
    </w:p>
    <w:p>
      <w:pPr>
        <w:pStyle w:val="BodyText"/>
        <w:spacing w:before="3"/>
        <w:rPr>
          <w:rFonts w:ascii="Calibri"/>
          <w:sz w:val="19"/>
        </w:rPr>
      </w:pPr>
      <w:r>
        <w:rPr/>
        <w:br w:type="column"/>
      </w:r>
      <w:r>
        <w:rPr>
          <w:rFonts w:ascii="Calibri"/>
          <w:sz w:val="19"/>
        </w:rPr>
      </w:r>
    </w:p>
    <w:p>
      <w:pPr>
        <w:spacing w:before="0"/>
        <w:ind w:left="0" w:right="0" w:firstLine="0"/>
        <w:jc w:val="right"/>
        <w:rPr>
          <w:rFonts w:ascii="Calibri"/>
          <w:sz w:val="20"/>
        </w:rPr>
      </w:pPr>
      <w:r>
        <w:rPr>
          <w:rFonts w:ascii="Calibri"/>
          <w:w w:val="95"/>
          <w:sz w:val="20"/>
        </w:rPr>
        <w:t>14.38</w:t>
      </w:r>
    </w:p>
    <w:p>
      <w:pPr>
        <w:spacing w:before="59"/>
        <w:ind w:left="73" w:right="0" w:firstLine="0"/>
        <w:jc w:val="left"/>
        <w:rPr>
          <w:rFonts w:ascii="Calibri"/>
          <w:sz w:val="20"/>
        </w:rPr>
      </w:pPr>
      <w:r>
        <w:rPr/>
        <w:br w:type="column"/>
      </w:r>
      <w:r>
        <w:rPr>
          <w:rFonts w:ascii="Calibri"/>
          <w:sz w:val="20"/>
        </w:rPr>
        <w:t>18.87</w:t>
      </w:r>
    </w:p>
    <w:p>
      <w:pPr>
        <w:spacing w:after="0"/>
        <w:jc w:val="left"/>
        <w:rPr>
          <w:rFonts w:ascii="Calibri"/>
          <w:sz w:val="20"/>
        </w:rPr>
        <w:sectPr>
          <w:type w:val="continuous"/>
          <w:pgSz w:w="12240" w:h="15840"/>
          <w:pgMar w:top="1500" w:bottom="280" w:left="1600" w:right="1600"/>
          <w:cols w:num="3" w:equalWidth="0">
            <w:col w:w="5318" w:space="40"/>
            <w:col w:w="1666" w:space="40"/>
            <w:col w:w="1976"/>
          </w:cols>
        </w:sectPr>
      </w:pPr>
    </w:p>
    <w:p>
      <w:pPr>
        <w:pStyle w:val="BodyText"/>
        <w:rPr>
          <w:rFonts w:ascii="Calibri"/>
          <w:sz w:val="20"/>
        </w:rPr>
      </w:pPr>
    </w:p>
    <w:p>
      <w:pPr>
        <w:pStyle w:val="BodyText"/>
        <w:spacing w:before="8"/>
        <w:rPr>
          <w:rFonts w:ascii="Calibri"/>
          <w:sz w:val="19"/>
        </w:rPr>
      </w:pPr>
    </w:p>
    <w:p>
      <w:pPr>
        <w:spacing w:after="0"/>
        <w:rPr>
          <w:rFonts w:ascii="Calibri"/>
          <w:sz w:val="19"/>
        </w:rPr>
        <w:sectPr>
          <w:type w:val="continuous"/>
          <w:pgSz w:w="12240" w:h="15840"/>
          <w:pgMar w:top="1500" w:bottom="280" w:left="1600" w:right="1600"/>
        </w:sectPr>
      </w:pPr>
    </w:p>
    <w:p>
      <w:pPr>
        <w:spacing w:before="60"/>
        <w:ind w:left="1980" w:right="-20" w:hanging="740"/>
        <w:jc w:val="left"/>
        <w:rPr>
          <w:rFonts w:ascii="Calibri" w:hAnsi="Calibri"/>
          <w:sz w:val="20"/>
        </w:rPr>
      </w:pPr>
      <w:r>
        <w:rPr>
          <w:rFonts w:ascii="Calibri" w:hAnsi="Calibri"/>
          <w:sz w:val="20"/>
        </w:rPr>
        <w:t>Área urbana continua de Toluca</w:t>
      </w:r>
    </w:p>
    <w:p>
      <w:pPr>
        <w:spacing w:before="60"/>
        <w:ind w:left="782" w:right="-19" w:hanging="476"/>
        <w:jc w:val="left"/>
        <w:rPr>
          <w:rFonts w:ascii="Calibri" w:hAnsi="Calibri"/>
          <w:sz w:val="20"/>
        </w:rPr>
      </w:pPr>
      <w:r>
        <w:rPr/>
        <w:br w:type="column"/>
      </w:r>
      <w:r>
        <w:rPr>
          <w:rFonts w:ascii="Calibri" w:hAnsi="Calibri"/>
          <w:sz w:val="20"/>
        </w:rPr>
        <w:t>Interrelación funcional intermedia</w:t>
      </w:r>
    </w:p>
    <w:p>
      <w:pPr>
        <w:spacing w:before="60"/>
        <w:ind w:left="850" w:right="1311" w:hanging="498"/>
        <w:jc w:val="left"/>
        <w:rPr>
          <w:rFonts w:ascii="Calibri" w:hAnsi="Calibri"/>
          <w:sz w:val="20"/>
        </w:rPr>
      </w:pPr>
      <w:r>
        <w:rPr/>
        <w:br w:type="column"/>
      </w:r>
      <w:r>
        <w:rPr>
          <w:rFonts w:ascii="Calibri" w:hAnsi="Calibri"/>
          <w:sz w:val="20"/>
        </w:rPr>
        <w:t>Relación externa, resto municipios</w:t>
      </w:r>
    </w:p>
    <w:p>
      <w:pPr>
        <w:spacing w:after="0"/>
        <w:jc w:val="left"/>
        <w:rPr>
          <w:rFonts w:ascii="Calibri" w:hAnsi="Calibri"/>
          <w:sz w:val="20"/>
        </w:rPr>
        <w:sectPr>
          <w:type w:val="continuous"/>
          <w:pgSz w:w="12240" w:h="15840"/>
          <w:pgMar w:top="1500" w:bottom="280" w:left="1600" w:right="1600"/>
          <w:cols w:num="3" w:equalWidth="0">
            <w:col w:w="3252" w:space="40"/>
            <w:col w:w="2150" w:space="40"/>
            <w:col w:w="3558"/>
          </w:cols>
        </w:sectPr>
      </w:pPr>
    </w:p>
    <w:p>
      <w:pPr>
        <w:spacing w:before="128"/>
        <w:ind w:left="89" w:right="90" w:firstLine="0"/>
        <w:jc w:val="center"/>
        <w:rPr>
          <w:sz w:val="20"/>
        </w:rPr>
      </w:pPr>
      <w:r>
        <w:rPr>
          <w:sz w:val="20"/>
        </w:rPr>
        <w:t>Fuente: Elaboración propia con base en CONAPO-SEDESOL-INEGI, 2004 y 2012.</w:t>
      </w:r>
    </w:p>
    <w:p>
      <w:pPr>
        <w:pStyle w:val="BodyText"/>
        <w:spacing w:before="6"/>
      </w:pPr>
    </w:p>
    <w:p>
      <w:pPr>
        <w:pStyle w:val="BodyText"/>
        <w:spacing w:line="360" w:lineRule="auto"/>
        <w:ind w:left="102" w:right="99"/>
        <w:jc w:val="both"/>
      </w:pPr>
      <w:r>
        <w:rPr/>
        <w:t>En el 2010, el área urbana continua manifiesta una relación funcional principalmente entre los municipios y también dentro de ellos mismos, aunque destacas cierta atractividad desde los municipios de interrelación funcional intermedia así como desde los externos, es decir que se generan movimientos y traslados intra-ámbitos de estudio y metropolitanos. Es decir respecto a la década anterior, los movimientos son más complejos en dirección y no solo centralizados. Los municipios de Zinacantepec y Otzolotepec reportan traslados fuera de ellos en la porción externa de la ZMT (ver gráfica No.14 y anexo cuadro A 4.13). Es importante destacar que surgen movimientos no centralizados.</w:t>
      </w:r>
    </w:p>
    <w:p>
      <w:pPr>
        <w:pStyle w:val="BodyText"/>
        <w:spacing w:before="7"/>
      </w:pPr>
    </w:p>
    <w:p>
      <w:pPr>
        <w:pStyle w:val="BodyText"/>
        <w:spacing w:line="360" w:lineRule="auto"/>
        <w:ind w:left="102" w:right="100"/>
        <w:jc w:val="both"/>
      </w:pPr>
      <w:r>
        <w:rPr/>
        <w:t>En el caso de los traslados en los municipios de relación externa, en 2010 corresponden a la zona metropolitana de Tianguistenco, los desplazamientos intramunicipios se generan en Atizapán y Tianguistenco con las mayores proporciones y mientras que Texcalyacac manda su población a trabajar fuera de ese grupo de 5 municipios. Nuevamente, es el ámbito externo que dirige sus desplazamientos hacia relaciones megalopolitanas.</w:t>
      </w:r>
    </w:p>
    <w:p>
      <w:pPr>
        <w:pStyle w:val="BodyText"/>
        <w:spacing w:before="7"/>
      </w:pPr>
    </w:p>
    <w:p>
      <w:pPr>
        <w:pStyle w:val="BodyText"/>
        <w:spacing w:line="360" w:lineRule="auto"/>
        <w:ind w:left="102" w:right="100"/>
        <w:jc w:val="both"/>
      </w:pPr>
      <w:r>
        <w:rPr/>
        <w:t>En suma, la población que trabaja, en las zonas metropolitanas de Toluca y Tianguistenco en 2010 reporta    un cambio en la estructura económica, al parecer</w:t>
      </w:r>
    </w:p>
    <w:p>
      <w:pPr>
        <w:spacing w:after="0" w:line="360" w:lineRule="auto"/>
        <w:jc w:val="both"/>
        <w:sectPr>
          <w:type w:val="continuous"/>
          <w:pgSz w:w="12240" w:h="15840"/>
          <w:pgMar w:top="1500" w:bottom="280" w:left="1600" w:right="1600"/>
        </w:sectPr>
      </w:pPr>
    </w:p>
    <w:p>
      <w:pPr>
        <w:pStyle w:val="BodyText"/>
        <w:spacing w:line="360" w:lineRule="auto" w:before="54"/>
        <w:ind w:left="102" w:right="123"/>
        <w:jc w:val="both"/>
      </w:pPr>
      <w:r>
        <w:rPr/>
        <w:t>existe difusión de la actividad entre los llamados “municipios centrales”, se destacan dos aspectos de la desconcentración:</w:t>
      </w:r>
    </w:p>
    <w:p>
      <w:pPr>
        <w:pStyle w:val="BodyText"/>
        <w:spacing w:before="7"/>
      </w:pPr>
    </w:p>
    <w:p>
      <w:pPr>
        <w:pStyle w:val="ListParagraph"/>
        <w:numPr>
          <w:ilvl w:val="0"/>
          <w:numId w:val="7"/>
        </w:numPr>
        <w:tabs>
          <w:tab w:pos="882" w:val="left" w:leader="none"/>
        </w:tabs>
        <w:spacing w:line="360" w:lineRule="auto" w:before="0" w:after="0"/>
        <w:ind w:left="882" w:right="125" w:hanging="720"/>
        <w:jc w:val="both"/>
        <w:rPr>
          <w:sz w:val="24"/>
        </w:rPr>
      </w:pPr>
      <w:r>
        <w:rPr>
          <w:sz w:val="24"/>
        </w:rPr>
        <w:t>Desconcentración del empleo en municipios externos dentro del área urbana continua, con excepción de</w:t>
      </w:r>
      <w:r>
        <w:rPr>
          <w:spacing w:val="-15"/>
          <w:sz w:val="24"/>
        </w:rPr>
        <w:t> </w:t>
      </w:r>
      <w:r>
        <w:rPr>
          <w:sz w:val="24"/>
        </w:rPr>
        <w:t>Metepec;</w:t>
      </w:r>
    </w:p>
    <w:p>
      <w:pPr>
        <w:pStyle w:val="ListParagraph"/>
        <w:numPr>
          <w:ilvl w:val="0"/>
          <w:numId w:val="7"/>
        </w:numPr>
        <w:tabs>
          <w:tab w:pos="882" w:val="left" w:leader="none"/>
        </w:tabs>
        <w:spacing w:line="360" w:lineRule="auto" w:before="2" w:after="0"/>
        <w:ind w:left="882" w:right="120" w:hanging="720"/>
        <w:jc w:val="both"/>
        <w:rPr>
          <w:sz w:val="24"/>
        </w:rPr>
      </w:pPr>
      <w:r>
        <w:rPr>
          <w:sz w:val="24"/>
        </w:rPr>
        <w:t>Municipios con capacidad de contención de su población por el empleo local, al mismo tiempo presentan una proporción de movimientos intrametropolitanos y destacan las salidas de la región, lo cual indica el “grado de apertura” hacia el funcionamiento externo lejano</w:t>
      </w:r>
      <w:r>
        <w:rPr>
          <w:spacing w:val="-21"/>
          <w:sz w:val="24"/>
        </w:rPr>
        <w:t> </w:t>
      </w:r>
      <w:r>
        <w:rPr>
          <w:sz w:val="24"/>
        </w:rPr>
        <w:t>y;</w:t>
      </w:r>
    </w:p>
    <w:p>
      <w:pPr>
        <w:pStyle w:val="ListParagraph"/>
        <w:numPr>
          <w:ilvl w:val="0"/>
          <w:numId w:val="7"/>
        </w:numPr>
        <w:tabs>
          <w:tab w:pos="882" w:val="left" w:leader="none"/>
        </w:tabs>
        <w:spacing w:line="360" w:lineRule="auto" w:before="5" w:after="0"/>
        <w:ind w:left="882" w:right="121" w:hanging="720"/>
        <w:jc w:val="both"/>
        <w:rPr>
          <w:sz w:val="24"/>
        </w:rPr>
      </w:pPr>
      <w:r>
        <w:rPr>
          <w:sz w:val="24"/>
        </w:rPr>
        <w:t>Se consolida el funcionamiento binodal; el nodo Toluca y nodo Tianguistenco.</w:t>
      </w:r>
    </w:p>
    <w:p>
      <w:pPr>
        <w:pStyle w:val="BodyText"/>
        <w:spacing w:before="10"/>
      </w:pPr>
    </w:p>
    <w:p>
      <w:pPr>
        <w:pStyle w:val="BodyText"/>
        <w:spacing w:line="360" w:lineRule="auto"/>
        <w:ind w:left="162" w:right="118"/>
        <w:jc w:val="both"/>
      </w:pPr>
      <w:r>
        <w:rPr/>
        <w:t>Por lo tanto, en 2010, el funcionamiento de la ZMT tiende a la difusión de la actividad económica en los municipios del área central, con ello esta zona es la que genera la mayor proporción de relaciones funcionales por movimientos al trabajo, al tiempo que reporta una fase de apertura del funcionamiento en el territorio, con lo cual destaca el cambio de escala, las interrelaciones funcionales se extienden y se abren (ver gráfica No.14 y anexo cuadro A 4.13).</w:t>
      </w:r>
    </w:p>
    <w:p>
      <w:pPr>
        <w:pStyle w:val="BodyText"/>
        <w:spacing w:before="5"/>
      </w:pPr>
    </w:p>
    <w:p>
      <w:pPr>
        <w:spacing w:before="0"/>
        <w:ind w:left="102" w:right="0" w:firstLine="0"/>
        <w:jc w:val="both"/>
        <w:rPr>
          <w:i/>
          <w:sz w:val="24"/>
        </w:rPr>
      </w:pPr>
      <w:r>
        <w:rPr>
          <w:i/>
          <w:sz w:val="24"/>
        </w:rPr>
        <w:t>Relaciones funcionales según ámbito geográfico, encuesta origen - destino</w:t>
      </w:r>
    </w:p>
    <w:p>
      <w:pPr>
        <w:pStyle w:val="BodyText"/>
        <w:rPr>
          <w:i/>
        </w:rPr>
      </w:pPr>
    </w:p>
    <w:p>
      <w:pPr>
        <w:pStyle w:val="BodyText"/>
        <w:spacing w:line="360" w:lineRule="auto" w:before="144"/>
        <w:ind w:left="102" w:right="115"/>
        <w:jc w:val="both"/>
      </w:pPr>
      <w:r>
        <w:rPr/>
        <w:t>La encuesta origen – destino de la Junta de Caminos del Estado de México fue levantada en 2007 a los conductores en transporte privado (automóvil, pick-up, camiones de carga y autobuses de 2 ejes), aplicada en puntos llamados estación, en un horario de 6:00 am a 18:00 pm, en tres meses distintos; los días 19 al 22 y 26 al 28 de febrero, luego del 2 al 4, 6 al 8 y 10 al 11 en marzo y, del 2 al 5 de abril (ver cuadro 5 y anexo cuadro A.14 ). Los datos originales se tuvieron que  organizar y sistematizar los traslados conforme el funcionamiento de la ZMT, se asigna el número de municipio y de localidades con base en el ITER 2005, luego se</w:t>
      </w:r>
      <w:r>
        <w:rPr>
          <w:spacing w:val="59"/>
        </w:rPr>
        <w:t> </w:t>
      </w:r>
      <w:r>
        <w:rPr/>
        <w:t>identifica</w:t>
      </w:r>
      <w:r>
        <w:rPr>
          <w:spacing w:val="59"/>
        </w:rPr>
        <w:t> </w:t>
      </w:r>
      <w:r>
        <w:rPr/>
        <w:t>el</w:t>
      </w:r>
      <w:r>
        <w:rPr>
          <w:spacing w:val="58"/>
        </w:rPr>
        <w:t> </w:t>
      </w:r>
      <w:r>
        <w:rPr/>
        <w:t>punto</w:t>
      </w:r>
      <w:r>
        <w:rPr>
          <w:spacing w:val="57"/>
        </w:rPr>
        <w:t> </w:t>
      </w:r>
      <w:r>
        <w:rPr/>
        <w:t>de</w:t>
      </w:r>
      <w:r>
        <w:rPr>
          <w:spacing w:val="59"/>
        </w:rPr>
        <w:t> </w:t>
      </w:r>
      <w:r>
        <w:rPr/>
        <w:t>origen</w:t>
      </w:r>
      <w:r>
        <w:rPr>
          <w:spacing w:val="59"/>
        </w:rPr>
        <w:t> </w:t>
      </w:r>
      <w:r>
        <w:rPr/>
        <w:t>y</w:t>
      </w:r>
      <w:r>
        <w:rPr>
          <w:spacing w:val="58"/>
        </w:rPr>
        <w:t> </w:t>
      </w:r>
      <w:r>
        <w:rPr/>
        <w:t>de</w:t>
      </w:r>
      <w:r>
        <w:rPr>
          <w:spacing w:val="59"/>
        </w:rPr>
        <w:t> </w:t>
      </w:r>
      <w:r>
        <w:rPr/>
        <w:t>destino,</w:t>
      </w:r>
      <w:r>
        <w:rPr>
          <w:spacing w:val="66"/>
        </w:rPr>
        <w:t> </w:t>
      </w:r>
      <w:r>
        <w:rPr/>
        <w:t>quedando</w:t>
      </w:r>
      <w:r>
        <w:rPr>
          <w:spacing w:val="59"/>
        </w:rPr>
        <w:t> </w:t>
      </w:r>
      <w:r>
        <w:rPr/>
        <w:t>la</w:t>
      </w:r>
      <w:r>
        <w:rPr>
          <w:spacing w:val="59"/>
        </w:rPr>
        <w:t> </w:t>
      </w:r>
      <w:r>
        <w:rPr/>
        <w:t>base</w:t>
      </w:r>
      <w:r>
        <w:rPr>
          <w:spacing w:val="59"/>
        </w:rPr>
        <w:t> </w:t>
      </w:r>
      <w:r>
        <w:rPr/>
        <w:t>de</w:t>
      </w:r>
      <w:r>
        <w:rPr>
          <w:spacing w:val="59"/>
        </w:rPr>
        <w:t> </w:t>
      </w:r>
      <w:r>
        <w:rPr/>
        <w:t>datos</w:t>
      </w:r>
      <w:r>
        <w:rPr>
          <w:spacing w:val="58"/>
        </w:rPr>
        <w:t> </w:t>
      </w:r>
      <w:r>
        <w:rPr/>
        <w:t>de</w:t>
      </w:r>
    </w:p>
    <w:p>
      <w:pPr>
        <w:spacing w:after="0" w:line="360" w:lineRule="auto"/>
        <w:jc w:val="both"/>
        <w:sectPr>
          <w:pgSz w:w="12240" w:h="15840"/>
          <w:pgMar w:header="0" w:footer="659" w:top="1360" w:bottom="840" w:left="1600" w:right="1580"/>
        </w:sectPr>
      </w:pPr>
    </w:p>
    <w:p>
      <w:pPr>
        <w:pStyle w:val="BodyText"/>
        <w:spacing w:line="360" w:lineRule="auto" w:before="59"/>
        <w:ind w:left="122" w:right="202"/>
        <w:jc w:val="both"/>
      </w:pPr>
      <w:r>
        <w:rPr/>
        <w:t>traslados para los 22 municipios estudio</w:t>
      </w:r>
      <w:r>
        <w:rPr>
          <w:position w:val="11"/>
          <w:sz w:val="16"/>
        </w:rPr>
        <w:t>20</w:t>
      </w:r>
      <w:r>
        <w:rPr/>
        <w:t>. La base de datos obtuvo un total de 44825 encuestas con 88 municipios mexiquenses 21 de ellos metropolitanos y 22 entidades nacionales.</w:t>
      </w:r>
    </w:p>
    <w:p>
      <w:pPr>
        <w:pStyle w:val="BodyText"/>
        <w:spacing w:before="4"/>
        <w:rPr>
          <w:sz w:val="20"/>
        </w:rPr>
      </w:pPr>
    </w:p>
    <w:p>
      <w:pPr>
        <w:spacing w:before="0" w:after="3"/>
        <w:ind w:left="1622" w:right="0" w:firstLine="0"/>
        <w:jc w:val="left"/>
        <w:rPr>
          <w:sz w:val="20"/>
        </w:rPr>
      </w:pPr>
      <w:r>
        <w:rPr>
          <w:sz w:val="20"/>
        </w:rPr>
        <w:t>Cuadro 5. Estaciones de aplicación de encuestas en la ZMT 2007</w:t>
      </w:r>
    </w:p>
    <w:tbl>
      <w:tblPr>
        <w:tblW w:w="0" w:type="auto"/>
        <w:jc w:val="left"/>
        <w:tblInd w:w="24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704"/>
        <w:gridCol w:w="6101"/>
      </w:tblGrid>
      <w:tr>
        <w:trPr>
          <w:trHeight w:val="240" w:hRule="exact"/>
        </w:trPr>
        <w:tc>
          <w:tcPr>
            <w:tcW w:w="2704" w:type="dxa"/>
            <w:tcBorders>
              <w:left w:val="nil"/>
              <w:right w:val="nil"/>
            </w:tcBorders>
          </w:tcPr>
          <w:p>
            <w:pPr>
              <w:pStyle w:val="TableParagraph"/>
              <w:spacing w:line="227" w:lineRule="exact"/>
              <w:ind w:left="122"/>
              <w:rPr>
                <w:sz w:val="20"/>
              </w:rPr>
            </w:pPr>
            <w:r>
              <w:rPr>
                <w:sz w:val="20"/>
              </w:rPr>
              <w:t>Estación</w:t>
            </w:r>
          </w:p>
        </w:tc>
        <w:tc>
          <w:tcPr>
            <w:tcW w:w="6101" w:type="dxa"/>
            <w:tcBorders>
              <w:left w:val="nil"/>
              <w:right w:val="nil"/>
            </w:tcBorders>
          </w:tcPr>
          <w:p>
            <w:pPr>
              <w:pStyle w:val="TableParagraph"/>
              <w:spacing w:line="227" w:lineRule="exact"/>
              <w:ind w:left="395" w:right="205"/>
              <w:rPr>
                <w:sz w:val="20"/>
              </w:rPr>
            </w:pPr>
            <w:r>
              <w:rPr>
                <w:sz w:val="20"/>
              </w:rPr>
              <w:t>Ubicación</w:t>
            </w:r>
          </w:p>
        </w:tc>
      </w:tr>
      <w:tr>
        <w:trPr>
          <w:trHeight w:val="307" w:hRule="exact"/>
        </w:trPr>
        <w:tc>
          <w:tcPr>
            <w:tcW w:w="2704" w:type="dxa"/>
            <w:tcBorders>
              <w:left w:val="nil"/>
              <w:bottom w:val="nil"/>
              <w:right w:val="nil"/>
            </w:tcBorders>
          </w:tcPr>
          <w:p>
            <w:pPr>
              <w:pStyle w:val="TableParagraph"/>
              <w:spacing w:before="40"/>
              <w:ind w:left="122"/>
              <w:rPr>
                <w:sz w:val="20"/>
              </w:rPr>
            </w:pPr>
            <w:r>
              <w:rPr>
                <w:sz w:val="20"/>
              </w:rPr>
              <w:t>San diego de Linares</w:t>
            </w:r>
          </w:p>
        </w:tc>
        <w:tc>
          <w:tcPr>
            <w:tcW w:w="6101" w:type="dxa"/>
            <w:tcBorders>
              <w:left w:val="nil"/>
              <w:bottom w:val="nil"/>
              <w:right w:val="nil"/>
            </w:tcBorders>
          </w:tcPr>
          <w:p>
            <w:pPr>
              <w:pStyle w:val="TableParagraph"/>
              <w:spacing w:before="40"/>
              <w:ind w:left="395" w:right="205"/>
              <w:rPr>
                <w:sz w:val="20"/>
              </w:rPr>
            </w:pPr>
            <w:r>
              <w:rPr>
                <w:sz w:val="20"/>
              </w:rPr>
              <w:t>Manuel Buendía Téllez esquina con 20 de noviembre</w:t>
            </w:r>
          </w:p>
        </w:tc>
      </w:tr>
      <w:tr>
        <w:trPr>
          <w:trHeight w:val="314" w:hRule="exact"/>
        </w:trPr>
        <w:tc>
          <w:tcPr>
            <w:tcW w:w="2704" w:type="dxa"/>
            <w:tcBorders>
              <w:top w:val="nil"/>
              <w:left w:val="nil"/>
              <w:bottom w:val="nil"/>
              <w:right w:val="nil"/>
            </w:tcBorders>
          </w:tcPr>
          <w:p>
            <w:pPr>
              <w:pStyle w:val="TableParagraph"/>
              <w:spacing w:before="10"/>
              <w:ind w:left="122"/>
              <w:rPr>
                <w:sz w:val="20"/>
              </w:rPr>
            </w:pPr>
            <w:r>
              <w:rPr>
                <w:sz w:val="20"/>
              </w:rPr>
              <w:t>Aeropuerto</w:t>
            </w:r>
          </w:p>
        </w:tc>
        <w:tc>
          <w:tcPr>
            <w:tcW w:w="6101" w:type="dxa"/>
            <w:tcBorders>
              <w:top w:val="nil"/>
              <w:left w:val="nil"/>
              <w:bottom w:val="nil"/>
              <w:right w:val="nil"/>
            </w:tcBorders>
          </w:tcPr>
          <w:p>
            <w:pPr>
              <w:pStyle w:val="TableParagraph"/>
              <w:spacing w:before="10"/>
              <w:ind w:left="395" w:right="205"/>
              <w:rPr>
                <w:sz w:val="20"/>
              </w:rPr>
            </w:pPr>
            <w:r>
              <w:rPr>
                <w:sz w:val="20"/>
              </w:rPr>
              <w:t>Boulevard miguel alemán</w:t>
            </w:r>
          </w:p>
        </w:tc>
      </w:tr>
      <w:tr>
        <w:trPr>
          <w:trHeight w:val="388" w:hRule="exact"/>
        </w:trPr>
        <w:tc>
          <w:tcPr>
            <w:tcW w:w="2704" w:type="dxa"/>
            <w:tcBorders>
              <w:top w:val="nil"/>
              <w:left w:val="nil"/>
              <w:bottom w:val="nil"/>
              <w:right w:val="nil"/>
            </w:tcBorders>
          </w:tcPr>
          <w:p>
            <w:pPr>
              <w:pStyle w:val="TableParagraph"/>
              <w:spacing w:before="53"/>
              <w:ind w:left="122"/>
              <w:rPr>
                <w:sz w:val="20"/>
              </w:rPr>
            </w:pPr>
            <w:r>
              <w:rPr>
                <w:sz w:val="20"/>
              </w:rPr>
              <w:t>las vías</w:t>
            </w:r>
          </w:p>
        </w:tc>
        <w:tc>
          <w:tcPr>
            <w:tcW w:w="6101" w:type="dxa"/>
            <w:tcBorders>
              <w:top w:val="nil"/>
              <w:left w:val="nil"/>
              <w:bottom w:val="nil"/>
              <w:right w:val="nil"/>
            </w:tcBorders>
          </w:tcPr>
          <w:p>
            <w:pPr>
              <w:pStyle w:val="TableParagraph"/>
              <w:spacing w:before="53"/>
              <w:ind w:left="395" w:right="205"/>
              <w:rPr>
                <w:sz w:val="20"/>
              </w:rPr>
            </w:pPr>
            <w:r>
              <w:rPr>
                <w:sz w:val="20"/>
              </w:rPr>
              <w:t>Isidro Fabela</w:t>
            </w:r>
          </w:p>
        </w:tc>
      </w:tr>
      <w:tr>
        <w:trPr>
          <w:trHeight w:val="324" w:hRule="exact"/>
        </w:trPr>
        <w:tc>
          <w:tcPr>
            <w:tcW w:w="2704" w:type="dxa"/>
            <w:tcBorders>
              <w:top w:val="nil"/>
              <w:left w:val="nil"/>
              <w:bottom w:val="nil"/>
              <w:right w:val="nil"/>
            </w:tcBorders>
          </w:tcPr>
          <w:p>
            <w:pPr>
              <w:pStyle w:val="TableParagraph"/>
              <w:spacing w:before="83"/>
              <w:ind w:left="122"/>
              <w:rPr>
                <w:sz w:val="20"/>
              </w:rPr>
            </w:pPr>
            <w:r>
              <w:rPr>
                <w:sz w:val="20"/>
              </w:rPr>
              <w:t>Xonacatlán</w:t>
            </w:r>
          </w:p>
        </w:tc>
        <w:tc>
          <w:tcPr>
            <w:tcW w:w="6101" w:type="dxa"/>
            <w:tcBorders>
              <w:top w:val="nil"/>
              <w:left w:val="nil"/>
              <w:bottom w:val="nil"/>
              <w:right w:val="nil"/>
            </w:tcBorders>
          </w:tcPr>
          <w:p>
            <w:pPr>
              <w:pStyle w:val="TableParagraph"/>
              <w:spacing w:before="83"/>
              <w:ind w:left="395" w:right="205"/>
              <w:rPr>
                <w:sz w:val="20"/>
              </w:rPr>
            </w:pPr>
            <w:r>
              <w:rPr>
                <w:sz w:val="20"/>
              </w:rPr>
              <w:t>Amomolulco presa José Antonio Arzate</w:t>
            </w:r>
          </w:p>
        </w:tc>
      </w:tr>
      <w:tr>
        <w:trPr>
          <w:trHeight w:val="357" w:hRule="exact"/>
        </w:trPr>
        <w:tc>
          <w:tcPr>
            <w:tcW w:w="2704" w:type="dxa"/>
            <w:tcBorders>
              <w:top w:val="nil"/>
              <w:left w:val="nil"/>
              <w:bottom w:val="nil"/>
              <w:right w:val="nil"/>
            </w:tcBorders>
          </w:tcPr>
          <w:p>
            <w:pPr/>
          </w:p>
        </w:tc>
        <w:tc>
          <w:tcPr>
            <w:tcW w:w="6101" w:type="dxa"/>
            <w:tcBorders>
              <w:top w:val="nil"/>
              <w:left w:val="nil"/>
              <w:bottom w:val="nil"/>
              <w:right w:val="nil"/>
            </w:tcBorders>
          </w:tcPr>
          <w:p>
            <w:pPr>
              <w:pStyle w:val="TableParagraph"/>
              <w:spacing w:line="219" w:lineRule="exact"/>
              <w:ind w:left="395" w:right="205"/>
              <w:rPr>
                <w:sz w:val="20"/>
              </w:rPr>
            </w:pPr>
            <w:r>
              <w:rPr>
                <w:sz w:val="20"/>
              </w:rPr>
              <w:t>Naucalpan Toluca</w:t>
            </w:r>
          </w:p>
        </w:tc>
      </w:tr>
      <w:tr>
        <w:trPr>
          <w:trHeight w:val="664" w:hRule="exact"/>
        </w:trPr>
        <w:tc>
          <w:tcPr>
            <w:tcW w:w="2704" w:type="dxa"/>
            <w:tcBorders>
              <w:top w:val="nil"/>
              <w:left w:val="nil"/>
              <w:bottom w:val="nil"/>
              <w:right w:val="nil"/>
            </w:tcBorders>
          </w:tcPr>
          <w:p>
            <w:pPr>
              <w:pStyle w:val="TableParagraph"/>
              <w:spacing w:before="115"/>
              <w:ind w:left="122"/>
              <w:rPr>
                <w:sz w:val="20"/>
              </w:rPr>
            </w:pPr>
            <w:r>
              <w:rPr>
                <w:sz w:val="20"/>
              </w:rPr>
              <w:t>Lerma</w:t>
            </w:r>
          </w:p>
        </w:tc>
        <w:tc>
          <w:tcPr>
            <w:tcW w:w="6101" w:type="dxa"/>
            <w:tcBorders>
              <w:top w:val="nil"/>
              <w:left w:val="nil"/>
              <w:bottom w:val="nil"/>
              <w:right w:val="nil"/>
            </w:tcBorders>
          </w:tcPr>
          <w:p>
            <w:pPr>
              <w:pStyle w:val="TableParagraph"/>
              <w:spacing w:before="115"/>
              <w:ind w:left="395" w:right="205"/>
              <w:rPr>
                <w:sz w:val="20"/>
              </w:rPr>
            </w:pPr>
            <w:r>
              <w:rPr>
                <w:sz w:val="20"/>
              </w:rPr>
              <w:t>Paseo Tollocan después de la entrada de la carretera Toluca- Axixintla (México- Toluca) av. Lerma</w:t>
            </w:r>
          </w:p>
        </w:tc>
      </w:tr>
      <w:tr>
        <w:trPr>
          <w:trHeight w:val="410" w:hRule="exact"/>
        </w:trPr>
        <w:tc>
          <w:tcPr>
            <w:tcW w:w="2704" w:type="dxa"/>
            <w:tcBorders>
              <w:top w:val="nil"/>
              <w:left w:val="nil"/>
              <w:bottom w:val="nil"/>
              <w:right w:val="nil"/>
            </w:tcBorders>
          </w:tcPr>
          <w:p>
            <w:pPr>
              <w:pStyle w:val="TableParagraph"/>
              <w:spacing w:before="66"/>
              <w:ind w:left="122"/>
              <w:rPr>
                <w:sz w:val="20"/>
              </w:rPr>
            </w:pPr>
            <w:r>
              <w:rPr>
                <w:sz w:val="20"/>
              </w:rPr>
              <w:t>San Juan de las Huertas</w:t>
            </w:r>
          </w:p>
        </w:tc>
        <w:tc>
          <w:tcPr>
            <w:tcW w:w="6101" w:type="dxa"/>
            <w:tcBorders>
              <w:top w:val="nil"/>
              <w:left w:val="nil"/>
              <w:bottom w:val="nil"/>
              <w:right w:val="nil"/>
            </w:tcBorders>
          </w:tcPr>
          <w:p>
            <w:pPr>
              <w:pStyle w:val="TableParagraph"/>
              <w:spacing w:before="66"/>
              <w:ind w:left="395" w:right="205"/>
              <w:rPr>
                <w:sz w:val="20"/>
              </w:rPr>
            </w:pPr>
            <w:r>
              <w:rPr>
                <w:sz w:val="20"/>
              </w:rPr>
              <w:t>Toluca- Cd. Altamirano y Calzada las huertas</w:t>
            </w:r>
          </w:p>
        </w:tc>
      </w:tr>
      <w:tr>
        <w:trPr>
          <w:trHeight w:val="386" w:hRule="exact"/>
        </w:trPr>
        <w:tc>
          <w:tcPr>
            <w:tcW w:w="2704" w:type="dxa"/>
            <w:tcBorders>
              <w:top w:val="nil"/>
              <w:left w:val="nil"/>
              <w:right w:val="nil"/>
            </w:tcBorders>
          </w:tcPr>
          <w:p>
            <w:pPr>
              <w:pStyle w:val="TableParagraph"/>
              <w:spacing w:before="92"/>
              <w:ind w:left="122"/>
              <w:rPr>
                <w:sz w:val="20"/>
              </w:rPr>
            </w:pPr>
            <w:r>
              <w:rPr>
                <w:sz w:val="20"/>
              </w:rPr>
              <w:t>Cerrillo</w:t>
            </w:r>
          </w:p>
        </w:tc>
        <w:tc>
          <w:tcPr>
            <w:tcW w:w="6101" w:type="dxa"/>
            <w:tcBorders>
              <w:top w:val="nil"/>
              <w:left w:val="nil"/>
              <w:right w:val="nil"/>
            </w:tcBorders>
          </w:tcPr>
          <w:p>
            <w:pPr>
              <w:pStyle w:val="TableParagraph"/>
              <w:spacing w:before="92"/>
              <w:ind w:left="395" w:right="205"/>
              <w:rPr>
                <w:sz w:val="20"/>
              </w:rPr>
            </w:pPr>
            <w:r>
              <w:rPr>
                <w:sz w:val="20"/>
              </w:rPr>
              <w:t>Avenida de las partidas</w:t>
            </w:r>
          </w:p>
        </w:tc>
      </w:tr>
    </w:tbl>
    <w:p>
      <w:pPr>
        <w:spacing w:line="227" w:lineRule="exact" w:before="0"/>
        <w:ind w:left="122" w:right="0" w:firstLine="141"/>
        <w:jc w:val="left"/>
        <w:rPr>
          <w:sz w:val="20"/>
        </w:rPr>
      </w:pPr>
      <w:r>
        <w:rPr>
          <w:sz w:val="20"/>
        </w:rPr>
        <w:t>Fuente: Elaboración propia con información de la Junta de Caminos del Estado de México 2007.</w:t>
      </w:r>
    </w:p>
    <w:p>
      <w:pPr>
        <w:pStyle w:val="BodyText"/>
        <w:rPr>
          <w:sz w:val="20"/>
        </w:rPr>
      </w:pPr>
    </w:p>
    <w:p>
      <w:pPr>
        <w:pStyle w:val="BodyText"/>
        <w:spacing w:before="4"/>
      </w:pPr>
    </w:p>
    <w:p>
      <w:pPr>
        <w:pStyle w:val="BodyText"/>
        <w:spacing w:line="360" w:lineRule="auto"/>
        <w:ind w:left="122" w:right="197"/>
        <w:jc w:val="both"/>
      </w:pPr>
      <w:r>
        <w:rPr/>
        <w:t>Las interrelaciones funcionales de la ZMT examinadas con base en la encuesta origen - destino, permite corroborar los traslados intra metropolitanos presentados con la primera fuente de información y también agregar el comportamiento de los movimientos desde la ZMT hacia la entidad y fuera de la entidad mexiquense. Se organiza la base de datos siguiendo los tres alcances geográficos: i) los movimientos intra zona metropolitana, con origen en los 22 municipios y destino  en 21 municipios, (no hay datos para Texcalyacac), ii) los movimientos que se originan en alguno de los 22 municipios y se mueven hacia algún municipio de la entidad mexiquense y, iii) las interrelaciones cuyo origen y destino sea con alguna entidad de la república y que pasan por la ZMT con ello se convierte en nodo del sistema</w:t>
      </w:r>
      <w:r>
        <w:rPr>
          <w:spacing w:val="25"/>
        </w:rPr>
        <w:t> </w:t>
      </w:r>
      <w:r>
        <w:rPr/>
        <w:t>de</w:t>
      </w:r>
      <w:r>
        <w:rPr>
          <w:spacing w:val="27"/>
        </w:rPr>
        <w:t> </w:t>
      </w:r>
      <w:r>
        <w:rPr/>
        <w:t>asentamientos</w:t>
      </w:r>
      <w:r>
        <w:rPr>
          <w:spacing w:val="27"/>
        </w:rPr>
        <w:t> </w:t>
      </w:r>
      <w:r>
        <w:rPr/>
        <w:t>nacional.</w:t>
      </w:r>
      <w:r>
        <w:rPr>
          <w:spacing w:val="27"/>
        </w:rPr>
        <w:t> </w:t>
      </w:r>
      <w:r>
        <w:rPr/>
        <w:t>(Ver</w:t>
      </w:r>
      <w:r>
        <w:rPr>
          <w:spacing w:val="26"/>
        </w:rPr>
        <w:t> </w:t>
      </w:r>
      <w:r>
        <w:rPr/>
        <w:t>cuadro</w:t>
      </w:r>
      <w:r>
        <w:rPr>
          <w:spacing w:val="27"/>
        </w:rPr>
        <w:t> </w:t>
      </w:r>
      <w:r>
        <w:rPr/>
        <w:t>6).</w:t>
      </w:r>
      <w:r>
        <w:rPr>
          <w:spacing w:val="26"/>
        </w:rPr>
        <w:t> </w:t>
      </w:r>
      <w:r>
        <w:rPr/>
        <w:t>Dicha</w:t>
      </w:r>
      <w:r>
        <w:rPr>
          <w:spacing w:val="25"/>
        </w:rPr>
        <w:t> </w:t>
      </w:r>
      <w:r>
        <w:rPr/>
        <w:t>fuente</w:t>
      </w:r>
      <w:r>
        <w:rPr>
          <w:spacing w:val="27"/>
        </w:rPr>
        <w:t> </w:t>
      </w:r>
      <w:r>
        <w:rPr/>
        <w:t>de</w:t>
      </w:r>
      <w:r>
        <w:rPr>
          <w:spacing w:val="27"/>
        </w:rPr>
        <w:t> </w:t>
      </w:r>
      <w:r>
        <w:rPr/>
        <w:t>información</w:t>
      </w:r>
    </w:p>
    <w:p>
      <w:pPr>
        <w:pStyle w:val="BodyText"/>
        <w:rPr>
          <w:sz w:val="20"/>
        </w:rPr>
      </w:pPr>
    </w:p>
    <w:p>
      <w:pPr>
        <w:pStyle w:val="BodyText"/>
        <w:rPr>
          <w:sz w:val="20"/>
        </w:rPr>
      </w:pPr>
    </w:p>
    <w:p>
      <w:pPr>
        <w:pStyle w:val="BodyText"/>
        <w:rPr>
          <w:sz w:val="25"/>
        </w:rPr>
      </w:pPr>
      <w:r>
        <w:rPr/>
        <w:pict>
          <v:line style="position:absolute;mso-position-horizontal-relative:page;mso-position-vertical-relative:paragraph;z-index:4600;mso-wrap-distance-left:0;mso-wrap-distance-right:0" from="85.103996pt,16.745874pt" to="229.123996pt,16.745874pt" stroked="true" strokeweight=".71997pt" strokecolor="#000000">
            <w10:wrap type="topAndBottom"/>
          </v:line>
        </w:pict>
      </w:r>
    </w:p>
    <w:p>
      <w:pPr>
        <w:spacing w:line="240" w:lineRule="auto" w:before="47"/>
        <w:ind w:left="122" w:right="204" w:firstLine="0"/>
        <w:jc w:val="both"/>
        <w:rPr>
          <w:sz w:val="20"/>
        </w:rPr>
      </w:pPr>
      <w:r>
        <w:rPr>
          <w:rFonts w:ascii="Calibri" w:hAnsi="Calibri"/>
          <w:position w:val="10"/>
          <w:sz w:val="14"/>
        </w:rPr>
        <w:t>20 </w:t>
      </w:r>
      <w:r>
        <w:rPr>
          <w:rFonts w:ascii="Calibri" w:hAnsi="Calibri"/>
          <w:sz w:val="22"/>
        </w:rPr>
        <w:t>En el procesamiento de la </w:t>
      </w:r>
      <w:r>
        <w:rPr>
          <w:sz w:val="20"/>
        </w:rPr>
        <w:t>base de datos, se presentaron caso de localidades homónimas de dos o más comunidades en los municipios, con el fin de mantener veracidad y precisión, se decidió eliminarlas de la base de datos. Este procedimiento se realizó tanto en la columna nombrada localidad de origen como en localidad de destino. P.e. el caso de Estación de Ferrocarril por falta de información para precisar la ubicación de la</w:t>
      </w:r>
      <w:r>
        <w:rPr>
          <w:spacing w:val="-16"/>
          <w:sz w:val="20"/>
        </w:rPr>
        <w:t> </w:t>
      </w:r>
      <w:r>
        <w:rPr>
          <w:sz w:val="20"/>
        </w:rPr>
        <w:t>localidad.</w:t>
      </w:r>
    </w:p>
    <w:p>
      <w:pPr>
        <w:spacing w:after="0" w:line="240" w:lineRule="auto"/>
        <w:jc w:val="both"/>
        <w:rPr>
          <w:sz w:val="20"/>
        </w:rPr>
        <w:sectPr>
          <w:pgSz w:w="12240" w:h="15840"/>
          <w:pgMar w:header="0" w:footer="659" w:top="1320" w:bottom="840" w:left="1580" w:right="1500"/>
        </w:sectPr>
      </w:pPr>
    </w:p>
    <w:p>
      <w:pPr>
        <w:pStyle w:val="BodyText"/>
        <w:spacing w:line="360" w:lineRule="auto" w:before="54"/>
        <w:ind w:left="102" w:right="142"/>
      </w:pPr>
      <w:r>
        <w:rPr/>
        <w:t>pregunta a los encuestados el motivo de los traslados, mismos que en la base se organizan conforme los ámbitos geográficos de estudio (ver cuadro 7).</w:t>
      </w:r>
    </w:p>
    <w:p>
      <w:pPr>
        <w:pStyle w:val="BodyText"/>
        <w:spacing w:before="6"/>
      </w:pPr>
    </w:p>
    <w:p>
      <w:pPr>
        <w:spacing w:before="0" w:after="3"/>
        <w:ind w:left="2062" w:right="296" w:firstLine="0"/>
        <w:jc w:val="left"/>
        <w:rPr>
          <w:sz w:val="20"/>
        </w:rPr>
      </w:pPr>
      <w:r>
        <w:rPr>
          <w:sz w:val="20"/>
        </w:rPr>
        <w:t>Cuadro 6. Alcance geográfico y frecuencia de traslados</w:t>
      </w:r>
    </w:p>
    <w:tbl>
      <w:tblPr>
        <w:tblW w:w="0" w:type="auto"/>
        <w:jc w:val="left"/>
        <w:tblInd w:w="26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128"/>
        <w:gridCol w:w="1975"/>
        <w:gridCol w:w="2696"/>
        <w:gridCol w:w="2439"/>
      </w:tblGrid>
      <w:tr>
        <w:trPr>
          <w:trHeight w:val="701" w:hRule="exact"/>
        </w:trPr>
        <w:tc>
          <w:tcPr>
            <w:tcW w:w="1128" w:type="dxa"/>
            <w:tcBorders>
              <w:left w:val="nil"/>
              <w:right w:val="nil"/>
            </w:tcBorders>
          </w:tcPr>
          <w:p>
            <w:pPr/>
          </w:p>
        </w:tc>
        <w:tc>
          <w:tcPr>
            <w:tcW w:w="1975" w:type="dxa"/>
            <w:tcBorders>
              <w:left w:val="nil"/>
              <w:right w:val="nil"/>
            </w:tcBorders>
          </w:tcPr>
          <w:p>
            <w:pPr>
              <w:pStyle w:val="TableParagraph"/>
              <w:ind w:left="129"/>
              <w:rPr>
                <w:sz w:val="20"/>
              </w:rPr>
            </w:pPr>
            <w:r>
              <w:rPr>
                <w:sz w:val="20"/>
              </w:rPr>
              <w:t>Traslados dentro la ZMT</w:t>
            </w:r>
          </w:p>
        </w:tc>
        <w:tc>
          <w:tcPr>
            <w:tcW w:w="2696" w:type="dxa"/>
            <w:tcBorders>
              <w:left w:val="nil"/>
              <w:right w:val="nil"/>
            </w:tcBorders>
          </w:tcPr>
          <w:p>
            <w:pPr>
              <w:pStyle w:val="TableParagraph"/>
              <w:ind w:left="137" w:right="215"/>
              <w:rPr>
                <w:sz w:val="20"/>
              </w:rPr>
            </w:pPr>
            <w:r>
              <w:rPr>
                <w:sz w:val="20"/>
              </w:rPr>
              <w:t>Traslados desde la ZMT a cualquier municipio de la entidad</w:t>
            </w:r>
          </w:p>
        </w:tc>
        <w:tc>
          <w:tcPr>
            <w:tcW w:w="2439" w:type="dxa"/>
            <w:tcBorders>
              <w:left w:val="nil"/>
              <w:right w:val="nil"/>
            </w:tcBorders>
          </w:tcPr>
          <w:p>
            <w:pPr>
              <w:pStyle w:val="TableParagraph"/>
              <w:ind w:left="137"/>
              <w:rPr>
                <w:sz w:val="20"/>
              </w:rPr>
            </w:pPr>
            <w:r>
              <w:rPr>
                <w:sz w:val="20"/>
              </w:rPr>
              <w:t>Traslados fuera de la entidad</w:t>
            </w:r>
          </w:p>
        </w:tc>
      </w:tr>
      <w:tr>
        <w:trPr>
          <w:trHeight w:val="243" w:hRule="exact"/>
        </w:trPr>
        <w:tc>
          <w:tcPr>
            <w:tcW w:w="1128" w:type="dxa"/>
            <w:tcBorders>
              <w:left w:val="nil"/>
              <w:bottom w:val="nil"/>
              <w:right w:val="nil"/>
            </w:tcBorders>
          </w:tcPr>
          <w:p>
            <w:pPr>
              <w:pStyle w:val="TableParagraph"/>
              <w:spacing w:line="227" w:lineRule="exact"/>
              <w:ind w:left="122"/>
              <w:rPr>
                <w:sz w:val="20"/>
              </w:rPr>
            </w:pPr>
            <w:r>
              <w:rPr>
                <w:sz w:val="20"/>
              </w:rPr>
              <w:t>Traslados</w:t>
            </w:r>
          </w:p>
        </w:tc>
        <w:tc>
          <w:tcPr>
            <w:tcW w:w="1975" w:type="dxa"/>
            <w:tcBorders>
              <w:left w:val="nil"/>
              <w:bottom w:val="nil"/>
              <w:right w:val="nil"/>
            </w:tcBorders>
          </w:tcPr>
          <w:p>
            <w:pPr>
              <w:pStyle w:val="TableParagraph"/>
              <w:spacing w:line="227" w:lineRule="exact"/>
              <w:ind w:left="129"/>
              <w:rPr>
                <w:sz w:val="20"/>
              </w:rPr>
            </w:pPr>
            <w:r>
              <w:rPr>
                <w:sz w:val="20"/>
              </w:rPr>
              <w:t>32,412</w:t>
            </w:r>
          </w:p>
        </w:tc>
        <w:tc>
          <w:tcPr>
            <w:tcW w:w="2696" w:type="dxa"/>
            <w:tcBorders>
              <w:left w:val="nil"/>
              <w:bottom w:val="nil"/>
              <w:right w:val="nil"/>
            </w:tcBorders>
          </w:tcPr>
          <w:p>
            <w:pPr>
              <w:pStyle w:val="TableParagraph"/>
              <w:spacing w:line="227" w:lineRule="exact"/>
              <w:ind w:left="137" w:right="215"/>
              <w:rPr>
                <w:sz w:val="20"/>
              </w:rPr>
            </w:pPr>
            <w:r>
              <w:rPr>
                <w:sz w:val="20"/>
              </w:rPr>
              <w:t>7,494</w:t>
            </w:r>
          </w:p>
        </w:tc>
        <w:tc>
          <w:tcPr>
            <w:tcW w:w="2439" w:type="dxa"/>
            <w:tcBorders>
              <w:left w:val="nil"/>
              <w:bottom w:val="nil"/>
              <w:right w:val="nil"/>
            </w:tcBorders>
          </w:tcPr>
          <w:p>
            <w:pPr>
              <w:pStyle w:val="TableParagraph"/>
              <w:spacing w:line="227" w:lineRule="exact"/>
              <w:ind w:left="137"/>
              <w:rPr>
                <w:sz w:val="20"/>
              </w:rPr>
            </w:pPr>
            <w:r>
              <w:rPr>
                <w:sz w:val="20"/>
              </w:rPr>
              <w:t>4,919</w:t>
            </w:r>
          </w:p>
        </w:tc>
      </w:tr>
      <w:tr>
        <w:trPr>
          <w:trHeight w:val="229" w:hRule="exact"/>
        </w:trPr>
        <w:tc>
          <w:tcPr>
            <w:tcW w:w="1128" w:type="dxa"/>
            <w:tcBorders>
              <w:top w:val="nil"/>
              <w:left w:val="nil"/>
              <w:bottom w:val="nil"/>
              <w:right w:val="nil"/>
            </w:tcBorders>
          </w:tcPr>
          <w:p>
            <w:pPr>
              <w:pStyle w:val="TableParagraph"/>
              <w:spacing w:line="219" w:lineRule="exact"/>
              <w:ind w:left="122"/>
              <w:rPr>
                <w:sz w:val="20"/>
              </w:rPr>
            </w:pPr>
            <w:r>
              <w:rPr>
                <w:sz w:val="20"/>
              </w:rPr>
              <w:t>Origen</w:t>
            </w:r>
          </w:p>
        </w:tc>
        <w:tc>
          <w:tcPr>
            <w:tcW w:w="1975" w:type="dxa"/>
            <w:tcBorders>
              <w:top w:val="nil"/>
              <w:left w:val="nil"/>
              <w:bottom w:val="nil"/>
              <w:right w:val="nil"/>
            </w:tcBorders>
          </w:tcPr>
          <w:p>
            <w:pPr>
              <w:pStyle w:val="TableParagraph"/>
              <w:spacing w:line="219" w:lineRule="exact"/>
              <w:ind w:left="129"/>
              <w:rPr>
                <w:sz w:val="20"/>
              </w:rPr>
            </w:pPr>
            <w:r>
              <w:rPr>
                <w:sz w:val="20"/>
              </w:rPr>
              <w:t>22 municipios</w:t>
            </w:r>
          </w:p>
        </w:tc>
        <w:tc>
          <w:tcPr>
            <w:tcW w:w="2696" w:type="dxa"/>
            <w:tcBorders>
              <w:top w:val="nil"/>
              <w:left w:val="nil"/>
              <w:bottom w:val="nil"/>
              <w:right w:val="nil"/>
            </w:tcBorders>
          </w:tcPr>
          <w:p>
            <w:pPr>
              <w:pStyle w:val="TableParagraph"/>
              <w:spacing w:line="219" w:lineRule="exact"/>
              <w:ind w:left="137" w:right="215"/>
              <w:rPr>
                <w:sz w:val="20"/>
              </w:rPr>
            </w:pPr>
            <w:r>
              <w:rPr>
                <w:sz w:val="20"/>
              </w:rPr>
              <w:t>21 municipios</w:t>
            </w:r>
          </w:p>
        </w:tc>
        <w:tc>
          <w:tcPr>
            <w:tcW w:w="2439" w:type="dxa"/>
            <w:tcBorders>
              <w:top w:val="nil"/>
              <w:left w:val="nil"/>
              <w:bottom w:val="nil"/>
              <w:right w:val="nil"/>
            </w:tcBorders>
          </w:tcPr>
          <w:p>
            <w:pPr>
              <w:pStyle w:val="TableParagraph"/>
              <w:spacing w:line="219" w:lineRule="exact"/>
              <w:ind w:left="137"/>
              <w:rPr>
                <w:sz w:val="20"/>
              </w:rPr>
            </w:pPr>
            <w:r>
              <w:rPr>
                <w:sz w:val="20"/>
              </w:rPr>
              <w:t>21 municipios</w:t>
            </w:r>
          </w:p>
        </w:tc>
      </w:tr>
      <w:tr>
        <w:trPr>
          <w:trHeight w:val="226" w:hRule="exact"/>
        </w:trPr>
        <w:tc>
          <w:tcPr>
            <w:tcW w:w="1128" w:type="dxa"/>
            <w:tcBorders>
              <w:top w:val="nil"/>
              <w:left w:val="nil"/>
              <w:right w:val="nil"/>
            </w:tcBorders>
          </w:tcPr>
          <w:p>
            <w:pPr>
              <w:pStyle w:val="TableParagraph"/>
              <w:spacing w:line="218" w:lineRule="exact"/>
              <w:ind w:left="122"/>
              <w:rPr>
                <w:sz w:val="20"/>
              </w:rPr>
            </w:pPr>
            <w:r>
              <w:rPr>
                <w:sz w:val="20"/>
              </w:rPr>
              <w:t>Destino</w:t>
            </w:r>
          </w:p>
        </w:tc>
        <w:tc>
          <w:tcPr>
            <w:tcW w:w="1975" w:type="dxa"/>
            <w:tcBorders>
              <w:top w:val="nil"/>
              <w:left w:val="nil"/>
              <w:right w:val="nil"/>
            </w:tcBorders>
          </w:tcPr>
          <w:p>
            <w:pPr>
              <w:pStyle w:val="TableParagraph"/>
              <w:spacing w:line="218" w:lineRule="exact"/>
              <w:ind w:left="129"/>
              <w:rPr>
                <w:sz w:val="20"/>
              </w:rPr>
            </w:pPr>
            <w:r>
              <w:rPr>
                <w:sz w:val="20"/>
              </w:rPr>
              <w:t>21 municipios</w:t>
            </w:r>
          </w:p>
        </w:tc>
        <w:tc>
          <w:tcPr>
            <w:tcW w:w="2696" w:type="dxa"/>
            <w:tcBorders>
              <w:top w:val="nil"/>
              <w:left w:val="nil"/>
              <w:right w:val="nil"/>
            </w:tcBorders>
          </w:tcPr>
          <w:p>
            <w:pPr>
              <w:pStyle w:val="TableParagraph"/>
              <w:spacing w:line="218" w:lineRule="exact"/>
              <w:ind w:left="137"/>
              <w:rPr>
                <w:sz w:val="20"/>
              </w:rPr>
            </w:pPr>
            <w:r>
              <w:rPr>
                <w:sz w:val="20"/>
              </w:rPr>
              <w:t>67 municipios en la entidad</w:t>
            </w:r>
          </w:p>
        </w:tc>
        <w:tc>
          <w:tcPr>
            <w:tcW w:w="2439" w:type="dxa"/>
            <w:tcBorders>
              <w:top w:val="nil"/>
              <w:left w:val="nil"/>
              <w:right w:val="nil"/>
            </w:tcBorders>
          </w:tcPr>
          <w:p>
            <w:pPr>
              <w:pStyle w:val="TableParagraph"/>
              <w:spacing w:line="218" w:lineRule="exact"/>
              <w:ind w:left="137"/>
              <w:rPr>
                <w:sz w:val="20"/>
              </w:rPr>
            </w:pPr>
            <w:r>
              <w:rPr>
                <w:sz w:val="20"/>
              </w:rPr>
              <w:t>22 entidades federativas</w:t>
            </w:r>
          </w:p>
        </w:tc>
      </w:tr>
    </w:tbl>
    <w:p>
      <w:pPr>
        <w:spacing w:line="227" w:lineRule="exact" w:before="0"/>
        <w:ind w:left="2968" w:right="296" w:firstLine="0"/>
        <w:jc w:val="left"/>
        <w:rPr>
          <w:sz w:val="20"/>
        </w:rPr>
      </w:pPr>
      <w:r>
        <w:rPr>
          <w:sz w:val="20"/>
        </w:rPr>
        <w:t>Fuente: cálculos propios ver anexo</w:t>
      </w:r>
    </w:p>
    <w:p>
      <w:pPr>
        <w:pStyle w:val="BodyText"/>
        <w:rPr>
          <w:sz w:val="20"/>
        </w:rPr>
      </w:pPr>
    </w:p>
    <w:p>
      <w:pPr>
        <w:tabs>
          <w:tab w:pos="1856" w:val="left" w:leader="none"/>
          <w:tab w:pos="8114" w:val="left" w:leader="none"/>
        </w:tabs>
        <w:spacing w:before="1"/>
        <w:ind w:left="315" w:right="296" w:firstLine="0"/>
        <w:jc w:val="left"/>
        <w:rPr>
          <w:sz w:val="20"/>
        </w:rPr>
      </w:pPr>
      <w:r>
        <w:rPr>
          <w:w w:val="99"/>
          <w:sz w:val="20"/>
          <w:u w:val="single"/>
        </w:rPr>
        <w:t> </w:t>
      </w:r>
      <w:r>
        <w:rPr>
          <w:sz w:val="20"/>
          <w:u w:val="single"/>
        </w:rPr>
        <w:tab/>
        <w:t>Cuadro 7. Motivos de los traslados según ámbito</w:t>
      </w:r>
      <w:r>
        <w:rPr>
          <w:spacing w:val="-15"/>
          <w:sz w:val="20"/>
          <w:u w:val="single"/>
        </w:rPr>
        <w:t> </w:t>
      </w:r>
      <w:r>
        <w:rPr>
          <w:sz w:val="20"/>
          <w:u w:val="single"/>
        </w:rPr>
        <w:t>geográfico</w:t>
        <w:tab/>
      </w:r>
    </w:p>
    <w:p>
      <w:pPr>
        <w:pStyle w:val="BodyText"/>
        <w:spacing w:before="3"/>
        <w:rPr>
          <w:sz w:val="6"/>
        </w:rPr>
      </w:pPr>
    </w:p>
    <w:tbl>
      <w:tblPr>
        <w:tblW w:w="0" w:type="auto"/>
        <w:jc w:val="left"/>
        <w:tblInd w:w="301"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150"/>
        <w:gridCol w:w="961"/>
        <w:gridCol w:w="863"/>
        <w:gridCol w:w="1521"/>
        <w:gridCol w:w="856"/>
        <w:gridCol w:w="1360"/>
        <w:gridCol w:w="1103"/>
      </w:tblGrid>
      <w:tr>
        <w:trPr>
          <w:trHeight w:val="245" w:hRule="exact"/>
        </w:trPr>
        <w:tc>
          <w:tcPr>
            <w:tcW w:w="1150" w:type="dxa"/>
          </w:tcPr>
          <w:p>
            <w:pPr/>
          </w:p>
        </w:tc>
        <w:tc>
          <w:tcPr>
            <w:tcW w:w="961" w:type="dxa"/>
            <w:tcBorders>
              <w:bottom w:val="single" w:sz="4" w:space="0" w:color="000000"/>
            </w:tcBorders>
          </w:tcPr>
          <w:p>
            <w:pPr>
              <w:pStyle w:val="TableParagraph"/>
              <w:spacing w:line="204" w:lineRule="exact"/>
              <w:rPr>
                <w:sz w:val="20"/>
              </w:rPr>
            </w:pPr>
            <w:r>
              <w:rPr>
                <w:sz w:val="20"/>
              </w:rPr>
              <w:t>Intra ZMT</w:t>
            </w:r>
          </w:p>
        </w:tc>
        <w:tc>
          <w:tcPr>
            <w:tcW w:w="863" w:type="dxa"/>
            <w:tcBorders>
              <w:bottom w:val="single" w:sz="4" w:space="0" w:color="000000"/>
            </w:tcBorders>
          </w:tcPr>
          <w:p>
            <w:pPr/>
          </w:p>
        </w:tc>
        <w:tc>
          <w:tcPr>
            <w:tcW w:w="1521" w:type="dxa"/>
            <w:tcBorders>
              <w:bottom w:val="single" w:sz="4" w:space="0" w:color="000000"/>
            </w:tcBorders>
          </w:tcPr>
          <w:p>
            <w:pPr>
              <w:pStyle w:val="TableParagraph"/>
              <w:spacing w:line="204" w:lineRule="exact"/>
              <w:ind w:left="224" w:right="-40"/>
              <w:rPr>
                <w:sz w:val="20"/>
              </w:rPr>
            </w:pPr>
            <w:r>
              <w:rPr>
                <w:sz w:val="20"/>
              </w:rPr>
              <w:t>ZMT-</w:t>
            </w:r>
            <w:r>
              <w:rPr>
                <w:spacing w:val="-5"/>
                <w:sz w:val="20"/>
              </w:rPr>
              <w:t> </w:t>
            </w:r>
            <w:r>
              <w:rPr>
                <w:sz w:val="20"/>
              </w:rPr>
              <w:t>EdoMèx.</w:t>
            </w:r>
          </w:p>
        </w:tc>
        <w:tc>
          <w:tcPr>
            <w:tcW w:w="856" w:type="dxa"/>
            <w:tcBorders>
              <w:bottom w:val="single" w:sz="4" w:space="0" w:color="000000"/>
            </w:tcBorders>
          </w:tcPr>
          <w:p>
            <w:pPr/>
          </w:p>
        </w:tc>
        <w:tc>
          <w:tcPr>
            <w:tcW w:w="2463" w:type="dxa"/>
            <w:gridSpan w:val="2"/>
            <w:tcBorders>
              <w:bottom w:val="single" w:sz="4" w:space="0" w:color="000000"/>
            </w:tcBorders>
          </w:tcPr>
          <w:p>
            <w:pPr>
              <w:pStyle w:val="TableParagraph"/>
              <w:spacing w:line="204" w:lineRule="exact"/>
              <w:ind w:left="268"/>
              <w:rPr>
                <w:sz w:val="20"/>
              </w:rPr>
            </w:pPr>
            <w:r>
              <w:rPr>
                <w:sz w:val="20"/>
              </w:rPr>
              <w:t>ZMT otra entidad</w:t>
            </w:r>
          </w:p>
        </w:tc>
      </w:tr>
      <w:tr>
        <w:trPr>
          <w:trHeight w:val="310" w:hRule="exact"/>
        </w:trPr>
        <w:tc>
          <w:tcPr>
            <w:tcW w:w="1150" w:type="dxa"/>
            <w:tcBorders>
              <w:bottom w:val="single" w:sz="4" w:space="0" w:color="000000"/>
            </w:tcBorders>
          </w:tcPr>
          <w:p>
            <w:pPr>
              <w:pStyle w:val="TableParagraph"/>
              <w:spacing w:before="38"/>
              <w:ind w:left="84"/>
              <w:rPr>
                <w:sz w:val="20"/>
              </w:rPr>
            </w:pPr>
            <w:r>
              <w:rPr>
                <w:sz w:val="20"/>
              </w:rPr>
              <w:t>Motivos</w:t>
            </w:r>
          </w:p>
        </w:tc>
        <w:tc>
          <w:tcPr>
            <w:tcW w:w="961" w:type="dxa"/>
            <w:tcBorders>
              <w:top w:val="single" w:sz="4" w:space="0" w:color="000000"/>
              <w:bottom w:val="single" w:sz="4" w:space="0" w:color="000000"/>
            </w:tcBorders>
          </w:tcPr>
          <w:p>
            <w:pPr>
              <w:pStyle w:val="TableParagraph"/>
              <w:spacing w:before="67"/>
              <w:rPr>
                <w:sz w:val="20"/>
              </w:rPr>
            </w:pPr>
            <w:r>
              <w:rPr>
                <w:sz w:val="20"/>
              </w:rPr>
              <w:t>Absoluto</w:t>
            </w:r>
          </w:p>
        </w:tc>
        <w:tc>
          <w:tcPr>
            <w:tcW w:w="863" w:type="dxa"/>
            <w:tcBorders>
              <w:top w:val="single" w:sz="4" w:space="0" w:color="000000"/>
              <w:bottom w:val="single" w:sz="4" w:space="0" w:color="000000"/>
            </w:tcBorders>
          </w:tcPr>
          <w:p>
            <w:pPr>
              <w:pStyle w:val="TableParagraph"/>
              <w:spacing w:before="33"/>
              <w:ind w:left="28"/>
              <w:rPr>
                <w:sz w:val="20"/>
              </w:rPr>
            </w:pPr>
            <w:r>
              <w:rPr>
                <w:sz w:val="20"/>
              </w:rPr>
              <w:t>%.</w:t>
            </w:r>
          </w:p>
        </w:tc>
        <w:tc>
          <w:tcPr>
            <w:tcW w:w="1521" w:type="dxa"/>
            <w:tcBorders>
              <w:top w:val="single" w:sz="4" w:space="0" w:color="000000"/>
              <w:bottom w:val="single" w:sz="4" w:space="0" w:color="000000"/>
            </w:tcBorders>
          </w:tcPr>
          <w:p>
            <w:pPr>
              <w:pStyle w:val="TableParagraph"/>
              <w:spacing w:before="67"/>
              <w:ind w:left="519" w:right="-40"/>
              <w:rPr>
                <w:sz w:val="20"/>
              </w:rPr>
            </w:pPr>
            <w:r>
              <w:rPr>
                <w:sz w:val="20"/>
              </w:rPr>
              <w:t>Absoluto</w:t>
            </w:r>
          </w:p>
        </w:tc>
        <w:tc>
          <w:tcPr>
            <w:tcW w:w="856" w:type="dxa"/>
            <w:tcBorders>
              <w:top w:val="single" w:sz="4" w:space="0" w:color="000000"/>
              <w:bottom w:val="single" w:sz="4" w:space="0" w:color="000000"/>
            </w:tcBorders>
          </w:tcPr>
          <w:p>
            <w:pPr>
              <w:pStyle w:val="TableParagraph"/>
              <w:spacing w:before="33"/>
              <w:ind w:left="-23"/>
              <w:rPr>
                <w:sz w:val="20"/>
              </w:rPr>
            </w:pPr>
            <w:r>
              <w:rPr>
                <w:w w:val="99"/>
                <w:sz w:val="20"/>
              </w:rPr>
              <w:t>%</w:t>
            </w:r>
          </w:p>
        </w:tc>
        <w:tc>
          <w:tcPr>
            <w:tcW w:w="1360" w:type="dxa"/>
            <w:tcBorders>
              <w:top w:val="single" w:sz="4" w:space="0" w:color="000000"/>
              <w:bottom w:val="single" w:sz="4" w:space="0" w:color="000000"/>
            </w:tcBorders>
          </w:tcPr>
          <w:p>
            <w:pPr>
              <w:pStyle w:val="TableParagraph"/>
              <w:spacing w:before="67"/>
              <w:ind w:left="405"/>
              <w:rPr>
                <w:sz w:val="20"/>
              </w:rPr>
            </w:pPr>
            <w:r>
              <w:rPr>
                <w:sz w:val="20"/>
              </w:rPr>
              <w:t>Absoluto</w:t>
            </w:r>
          </w:p>
        </w:tc>
        <w:tc>
          <w:tcPr>
            <w:tcW w:w="1103" w:type="dxa"/>
            <w:tcBorders>
              <w:top w:val="single" w:sz="4" w:space="0" w:color="000000"/>
              <w:bottom w:val="single" w:sz="4" w:space="0" w:color="000000"/>
            </w:tcBorders>
          </w:tcPr>
          <w:p>
            <w:pPr>
              <w:pStyle w:val="TableParagraph"/>
              <w:spacing w:before="33"/>
              <w:ind w:left="178"/>
              <w:rPr>
                <w:sz w:val="20"/>
              </w:rPr>
            </w:pPr>
            <w:r>
              <w:rPr>
                <w:w w:val="99"/>
                <w:sz w:val="20"/>
              </w:rPr>
              <w:t>%</w:t>
            </w:r>
          </w:p>
        </w:tc>
      </w:tr>
      <w:tr>
        <w:trPr>
          <w:trHeight w:val="314" w:hRule="exact"/>
        </w:trPr>
        <w:tc>
          <w:tcPr>
            <w:tcW w:w="1150" w:type="dxa"/>
            <w:tcBorders>
              <w:top w:val="single" w:sz="4" w:space="0" w:color="000000"/>
            </w:tcBorders>
          </w:tcPr>
          <w:p>
            <w:pPr>
              <w:pStyle w:val="TableParagraph"/>
              <w:spacing w:before="33"/>
              <w:ind w:left="84"/>
              <w:rPr>
                <w:sz w:val="20"/>
              </w:rPr>
            </w:pPr>
            <w:r>
              <w:rPr>
                <w:sz w:val="20"/>
              </w:rPr>
              <w:t>Trabajo</w:t>
            </w:r>
          </w:p>
        </w:tc>
        <w:tc>
          <w:tcPr>
            <w:tcW w:w="961" w:type="dxa"/>
            <w:tcBorders>
              <w:top w:val="single" w:sz="4" w:space="0" w:color="000000"/>
            </w:tcBorders>
          </w:tcPr>
          <w:p>
            <w:pPr>
              <w:pStyle w:val="TableParagraph"/>
              <w:spacing w:before="33"/>
              <w:rPr>
                <w:sz w:val="20"/>
              </w:rPr>
            </w:pPr>
            <w:r>
              <w:rPr>
                <w:sz w:val="20"/>
              </w:rPr>
              <w:t>22485</w:t>
            </w:r>
          </w:p>
        </w:tc>
        <w:tc>
          <w:tcPr>
            <w:tcW w:w="863" w:type="dxa"/>
            <w:tcBorders>
              <w:top w:val="single" w:sz="4" w:space="0" w:color="000000"/>
            </w:tcBorders>
          </w:tcPr>
          <w:p>
            <w:pPr>
              <w:pStyle w:val="TableParagraph"/>
              <w:spacing w:before="33"/>
              <w:ind w:left="28"/>
              <w:rPr>
                <w:sz w:val="20"/>
              </w:rPr>
            </w:pPr>
            <w:r>
              <w:rPr>
                <w:sz w:val="20"/>
              </w:rPr>
              <w:t>69.37</w:t>
            </w:r>
          </w:p>
        </w:tc>
        <w:tc>
          <w:tcPr>
            <w:tcW w:w="1521" w:type="dxa"/>
            <w:tcBorders>
              <w:top w:val="single" w:sz="4" w:space="0" w:color="000000"/>
            </w:tcBorders>
          </w:tcPr>
          <w:p>
            <w:pPr>
              <w:pStyle w:val="TableParagraph"/>
              <w:spacing w:before="33"/>
              <w:ind w:left="224" w:right="-40"/>
              <w:rPr>
                <w:sz w:val="20"/>
              </w:rPr>
            </w:pPr>
            <w:r>
              <w:rPr>
                <w:sz w:val="20"/>
              </w:rPr>
              <w:t>4946</w:t>
            </w:r>
          </w:p>
        </w:tc>
        <w:tc>
          <w:tcPr>
            <w:tcW w:w="856" w:type="dxa"/>
            <w:tcBorders>
              <w:top w:val="single" w:sz="4" w:space="0" w:color="000000"/>
            </w:tcBorders>
          </w:tcPr>
          <w:p>
            <w:pPr>
              <w:pStyle w:val="TableParagraph"/>
              <w:spacing w:before="33"/>
              <w:ind w:left="-23"/>
              <w:rPr>
                <w:sz w:val="20"/>
              </w:rPr>
            </w:pPr>
            <w:r>
              <w:rPr>
                <w:sz w:val="20"/>
              </w:rPr>
              <w:t>66.00</w:t>
            </w:r>
          </w:p>
        </w:tc>
        <w:tc>
          <w:tcPr>
            <w:tcW w:w="1360" w:type="dxa"/>
            <w:tcBorders>
              <w:top w:val="single" w:sz="4" w:space="0" w:color="000000"/>
            </w:tcBorders>
          </w:tcPr>
          <w:p>
            <w:pPr>
              <w:pStyle w:val="TableParagraph"/>
              <w:spacing w:before="33"/>
              <w:ind w:left="268"/>
              <w:rPr>
                <w:sz w:val="20"/>
              </w:rPr>
            </w:pPr>
            <w:r>
              <w:rPr>
                <w:sz w:val="20"/>
              </w:rPr>
              <w:t>3151</w:t>
            </w:r>
          </w:p>
        </w:tc>
        <w:tc>
          <w:tcPr>
            <w:tcW w:w="1103" w:type="dxa"/>
            <w:tcBorders>
              <w:top w:val="single" w:sz="4" w:space="0" w:color="000000"/>
            </w:tcBorders>
          </w:tcPr>
          <w:p>
            <w:pPr>
              <w:pStyle w:val="TableParagraph"/>
              <w:spacing w:before="33"/>
              <w:ind w:left="178"/>
              <w:rPr>
                <w:sz w:val="20"/>
              </w:rPr>
            </w:pPr>
            <w:r>
              <w:rPr>
                <w:sz w:val="20"/>
              </w:rPr>
              <w:t>64.06</w:t>
            </w:r>
          </w:p>
        </w:tc>
      </w:tr>
      <w:tr>
        <w:trPr>
          <w:trHeight w:val="300" w:hRule="exact"/>
        </w:trPr>
        <w:tc>
          <w:tcPr>
            <w:tcW w:w="1150" w:type="dxa"/>
          </w:tcPr>
          <w:p>
            <w:pPr>
              <w:pStyle w:val="TableParagraph"/>
              <w:spacing w:before="24"/>
              <w:ind w:left="84"/>
              <w:rPr>
                <w:sz w:val="20"/>
              </w:rPr>
            </w:pPr>
            <w:r>
              <w:rPr>
                <w:sz w:val="20"/>
              </w:rPr>
              <w:t>Paseo</w:t>
            </w:r>
          </w:p>
        </w:tc>
        <w:tc>
          <w:tcPr>
            <w:tcW w:w="961" w:type="dxa"/>
          </w:tcPr>
          <w:p>
            <w:pPr>
              <w:pStyle w:val="TableParagraph"/>
              <w:spacing w:before="24"/>
              <w:rPr>
                <w:sz w:val="20"/>
              </w:rPr>
            </w:pPr>
            <w:r>
              <w:rPr>
                <w:sz w:val="20"/>
              </w:rPr>
              <w:t>6973</w:t>
            </w:r>
          </w:p>
        </w:tc>
        <w:tc>
          <w:tcPr>
            <w:tcW w:w="863" w:type="dxa"/>
          </w:tcPr>
          <w:p>
            <w:pPr>
              <w:pStyle w:val="TableParagraph"/>
              <w:spacing w:before="24"/>
              <w:ind w:left="28"/>
              <w:rPr>
                <w:sz w:val="20"/>
              </w:rPr>
            </w:pPr>
            <w:r>
              <w:rPr>
                <w:sz w:val="20"/>
              </w:rPr>
              <w:t>21.51</w:t>
            </w:r>
          </w:p>
        </w:tc>
        <w:tc>
          <w:tcPr>
            <w:tcW w:w="1521" w:type="dxa"/>
          </w:tcPr>
          <w:p>
            <w:pPr>
              <w:pStyle w:val="TableParagraph"/>
              <w:spacing w:before="24"/>
              <w:ind w:left="224" w:right="-40"/>
              <w:rPr>
                <w:sz w:val="20"/>
              </w:rPr>
            </w:pPr>
            <w:r>
              <w:rPr>
                <w:sz w:val="20"/>
              </w:rPr>
              <w:t>2124</w:t>
            </w:r>
          </w:p>
        </w:tc>
        <w:tc>
          <w:tcPr>
            <w:tcW w:w="856" w:type="dxa"/>
          </w:tcPr>
          <w:p>
            <w:pPr>
              <w:pStyle w:val="TableParagraph"/>
              <w:spacing w:before="24"/>
              <w:ind w:left="-23"/>
              <w:rPr>
                <w:sz w:val="20"/>
              </w:rPr>
            </w:pPr>
            <w:r>
              <w:rPr>
                <w:sz w:val="20"/>
              </w:rPr>
              <w:t>28.34</w:t>
            </w:r>
          </w:p>
        </w:tc>
        <w:tc>
          <w:tcPr>
            <w:tcW w:w="1360" w:type="dxa"/>
          </w:tcPr>
          <w:p>
            <w:pPr>
              <w:pStyle w:val="TableParagraph"/>
              <w:spacing w:before="24"/>
              <w:ind w:left="268"/>
              <w:rPr>
                <w:sz w:val="20"/>
              </w:rPr>
            </w:pPr>
            <w:r>
              <w:rPr>
                <w:sz w:val="20"/>
              </w:rPr>
              <w:t>1658</w:t>
            </w:r>
          </w:p>
        </w:tc>
        <w:tc>
          <w:tcPr>
            <w:tcW w:w="1103" w:type="dxa"/>
          </w:tcPr>
          <w:p>
            <w:pPr>
              <w:pStyle w:val="TableParagraph"/>
              <w:spacing w:before="24"/>
              <w:ind w:left="178"/>
              <w:rPr>
                <w:sz w:val="20"/>
              </w:rPr>
            </w:pPr>
            <w:r>
              <w:rPr>
                <w:sz w:val="20"/>
              </w:rPr>
              <w:t>33.71</w:t>
            </w:r>
          </w:p>
        </w:tc>
      </w:tr>
      <w:tr>
        <w:trPr>
          <w:trHeight w:val="300" w:hRule="exact"/>
        </w:trPr>
        <w:tc>
          <w:tcPr>
            <w:tcW w:w="1150" w:type="dxa"/>
          </w:tcPr>
          <w:p>
            <w:pPr>
              <w:pStyle w:val="TableParagraph"/>
              <w:spacing w:before="24"/>
              <w:ind w:left="84"/>
              <w:rPr>
                <w:sz w:val="20"/>
              </w:rPr>
            </w:pPr>
            <w:r>
              <w:rPr>
                <w:sz w:val="20"/>
              </w:rPr>
              <w:t>Compras</w:t>
            </w:r>
          </w:p>
        </w:tc>
        <w:tc>
          <w:tcPr>
            <w:tcW w:w="961" w:type="dxa"/>
          </w:tcPr>
          <w:p>
            <w:pPr>
              <w:pStyle w:val="TableParagraph"/>
              <w:spacing w:before="24"/>
              <w:rPr>
                <w:sz w:val="20"/>
              </w:rPr>
            </w:pPr>
            <w:r>
              <w:rPr>
                <w:sz w:val="20"/>
              </w:rPr>
              <w:t>2487</w:t>
            </w:r>
          </w:p>
        </w:tc>
        <w:tc>
          <w:tcPr>
            <w:tcW w:w="863" w:type="dxa"/>
          </w:tcPr>
          <w:p>
            <w:pPr>
              <w:pStyle w:val="TableParagraph"/>
              <w:spacing w:before="24"/>
              <w:ind w:left="28"/>
              <w:rPr>
                <w:sz w:val="20"/>
              </w:rPr>
            </w:pPr>
            <w:r>
              <w:rPr>
                <w:sz w:val="20"/>
              </w:rPr>
              <w:t>7.67</w:t>
            </w:r>
          </w:p>
        </w:tc>
        <w:tc>
          <w:tcPr>
            <w:tcW w:w="1521" w:type="dxa"/>
          </w:tcPr>
          <w:p>
            <w:pPr>
              <w:pStyle w:val="TableParagraph"/>
              <w:spacing w:before="24"/>
              <w:ind w:left="224" w:right="-40"/>
              <w:rPr>
                <w:sz w:val="20"/>
              </w:rPr>
            </w:pPr>
            <w:r>
              <w:rPr>
                <w:sz w:val="20"/>
              </w:rPr>
              <w:t>344</w:t>
            </w:r>
          </w:p>
        </w:tc>
        <w:tc>
          <w:tcPr>
            <w:tcW w:w="856" w:type="dxa"/>
          </w:tcPr>
          <w:p>
            <w:pPr>
              <w:pStyle w:val="TableParagraph"/>
              <w:spacing w:before="24"/>
              <w:ind w:left="-23"/>
              <w:rPr>
                <w:sz w:val="20"/>
              </w:rPr>
            </w:pPr>
            <w:r>
              <w:rPr>
                <w:sz w:val="20"/>
              </w:rPr>
              <w:t>4.59</w:t>
            </w:r>
          </w:p>
        </w:tc>
        <w:tc>
          <w:tcPr>
            <w:tcW w:w="1360" w:type="dxa"/>
          </w:tcPr>
          <w:p>
            <w:pPr>
              <w:pStyle w:val="TableParagraph"/>
              <w:spacing w:before="24"/>
              <w:ind w:left="268"/>
              <w:rPr>
                <w:sz w:val="20"/>
              </w:rPr>
            </w:pPr>
            <w:r>
              <w:rPr>
                <w:sz w:val="20"/>
              </w:rPr>
              <w:t>95</w:t>
            </w:r>
          </w:p>
        </w:tc>
        <w:tc>
          <w:tcPr>
            <w:tcW w:w="1103" w:type="dxa"/>
          </w:tcPr>
          <w:p>
            <w:pPr>
              <w:pStyle w:val="TableParagraph"/>
              <w:spacing w:before="24"/>
              <w:ind w:left="178"/>
              <w:rPr>
                <w:sz w:val="20"/>
              </w:rPr>
            </w:pPr>
            <w:r>
              <w:rPr>
                <w:sz w:val="20"/>
              </w:rPr>
              <w:t>1.93</w:t>
            </w:r>
          </w:p>
        </w:tc>
      </w:tr>
      <w:tr>
        <w:trPr>
          <w:trHeight w:val="296" w:hRule="exact"/>
        </w:trPr>
        <w:tc>
          <w:tcPr>
            <w:tcW w:w="1150" w:type="dxa"/>
            <w:tcBorders>
              <w:bottom w:val="single" w:sz="4" w:space="0" w:color="000000"/>
            </w:tcBorders>
          </w:tcPr>
          <w:p>
            <w:pPr>
              <w:pStyle w:val="TableParagraph"/>
              <w:spacing w:before="24"/>
              <w:ind w:left="84"/>
              <w:rPr>
                <w:sz w:val="20"/>
              </w:rPr>
            </w:pPr>
            <w:r>
              <w:rPr>
                <w:sz w:val="20"/>
              </w:rPr>
              <w:t>Educación</w:t>
            </w:r>
          </w:p>
        </w:tc>
        <w:tc>
          <w:tcPr>
            <w:tcW w:w="961" w:type="dxa"/>
            <w:tcBorders>
              <w:bottom w:val="single" w:sz="4" w:space="0" w:color="000000"/>
            </w:tcBorders>
          </w:tcPr>
          <w:p>
            <w:pPr>
              <w:pStyle w:val="TableParagraph"/>
              <w:spacing w:before="24"/>
              <w:rPr>
                <w:sz w:val="20"/>
              </w:rPr>
            </w:pPr>
            <w:r>
              <w:rPr>
                <w:sz w:val="20"/>
              </w:rPr>
              <w:t>467</w:t>
            </w:r>
          </w:p>
        </w:tc>
        <w:tc>
          <w:tcPr>
            <w:tcW w:w="863" w:type="dxa"/>
            <w:tcBorders>
              <w:bottom w:val="single" w:sz="4" w:space="0" w:color="000000"/>
            </w:tcBorders>
          </w:tcPr>
          <w:p>
            <w:pPr>
              <w:pStyle w:val="TableParagraph"/>
              <w:spacing w:before="24"/>
              <w:ind w:left="28"/>
              <w:rPr>
                <w:sz w:val="20"/>
              </w:rPr>
            </w:pPr>
            <w:r>
              <w:rPr>
                <w:sz w:val="20"/>
              </w:rPr>
              <w:t>1.44</w:t>
            </w:r>
          </w:p>
        </w:tc>
        <w:tc>
          <w:tcPr>
            <w:tcW w:w="1521" w:type="dxa"/>
            <w:tcBorders>
              <w:bottom w:val="single" w:sz="4" w:space="0" w:color="000000"/>
            </w:tcBorders>
          </w:tcPr>
          <w:p>
            <w:pPr>
              <w:pStyle w:val="TableParagraph"/>
              <w:spacing w:before="24"/>
              <w:ind w:left="224" w:right="-40"/>
              <w:rPr>
                <w:sz w:val="20"/>
              </w:rPr>
            </w:pPr>
            <w:r>
              <w:rPr>
                <w:sz w:val="20"/>
              </w:rPr>
              <w:t>80</w:t>
            </w:r>
          </w:p>
        </w:tc>
        <w:tc>
          <w:tcPr>
            <w:tcW w:w="856" w:type="dxa"/>
            <w:tcBorders>
              <w:bottom w:val="single" w:sz="4" w:space="0" w:color="000000"/>
            </w:tcBorders>
          </w:tcPr>
          <w:p>
            <w:pPr>
              <w:pStyle w:val="TableParagraph"/>
              <w:spacing w:before="24"/>
              <w:ind w:left="-23"/>
              <w:rPr>
                <w:sz w:val="20"/>
              </w:rPr>
            </w:pPr>
            <w:r>
              <w:rPr>
                <w:sz w:val="20"/>
              </w:rPr>
              <w:t>1.07</w:t>
            </w:r>
          </w:p>
        </w:tc>
        <w:tc>
          <w:tcPr>
            <w:tcW w:w="1360" w:type="dxa"/>
            <w:tcBorders>
              <w:bottom w:val="single" w:sz="4" w:space="0" w:color="000000"/>
            </w:tcBorders>
          </w:tcPr>
          <w:p>
            <w:pPr>
              <w:pStyle w:val="TableParagraph"/>
              <w:spacing w:before="24"/>
              <w:ind w:left="268"/>
              <w:rPr>
                <w:sz w:val="20"/>
              </w:rPr>
            </w:pPr>
            <w:r>
              <w:rPr>
                <w:sz w:val="20"/>
              </w:rPr>
              <w:t>15</w:t>
            </w:r>
          </w:p>
        </w:tc>
        <w:tc>
          <w:tcPr>
            <w:tcW w:w="1103" w:type="dxa"/>
            <w:tcBorders>
              <w:bottom w:val="single" w:sz="4" w:space="0" w:color="000000"/>
            </w:tcBorders>
          </w:tcPr>
          <w:p>
            <w:pPr>
              <w:pStyle w:val="TableParagraph"/>
              <w:spacing w:before="24"/>
              <w:ind w:left="178"/>
              <w:rPr>
                <w:sz w:val="20"/>
              </w:rPr>
            </w:pPr>
            <w:r>
              <w:rPr>
                <w:sz w:val="20"/>
              </w:rPr>
              <w:t>0.30</w:t>
            </w:r>
          </w:p>
        </w:tc>
      </w:tr>
      <w:tr>
        <w:trPr>
          <w:trHeight w:val="312" w:hRule="exact"/>
        </w:trPr>
        <w:tc>
          <w:tcPr>
            <w:tcW w:w="1150" w:type="dxa"/>
            <w:tcBorders>
              <w:top w:val="single" w:sz="4" w:space="0" w:color="000000"/>
              <w:bottom w:val="single" w:sz="4" w:space="0" w:color="000000"/>
            </w:tcBorders>
          </w:tcPr>
          <w:p>
            <w:pPr>
              <w:pStyle w:val="TableParagraph"/>
              <w:spacing w:before="33"/>
              <w:ind w:left="84"/>
              <w:rPr>
                <w:sz w:val="20"/>
              </w:rPr>
            </w:pPr>
            <w:r>
              <w:rPr>
                <w:sz w:val="20"/>
              </w:rPr>
              <w:t>Total</w:t>
            </w:r>
          </w:p>
        </w:tc>
        <w:tc>
          <w:tcPr>
            <w:tcW w:w="961" w:type="dxa"/>
            <w:tcBorders>
              <w:top w:val="single" w:sz="4" w:space="0" w:color="000000"/>
              <w:bottom w:val="single" w:sz="4" w:space="0" w:color="000000"/>
            </w:tcBorders>
          </w:tcPr>
          <w:p>
            <w:pPr>
              <w:pStyle w:val="TableParagraph"/>
              <w:spacing w:before="33"/>
              <w:rPr>
                <w:sz w:val="20"/>
              </w:rPr>
            </w:pPr>
            <w:r>
              <w:rPr>
                <w:sz w:val="20"/>
              </w:rPr>
              <w:t>32,412</w:t>
            </w:r>
          </w:p>
        </w:tc>
        <w:tc>
          <w:tcPr>
            <w:tcW w:w="863" w:type="dxa"/>
            <w:tcBorders>
              <w:top w:val="single" w:sz="4" w:space="0" w:color="000000"/>
              <w:bottom w:val="single" w:sz="4" w:space="0" w:color="000000"/>
            </w:tcBorders>
          </w:tcPr>
          <w:p>
            <w:pPr>
              <w:pStyle w:val="TableParagraph"/>
              <w:spacing w:before="33"/>
              <w:ind w:left="28"/>
              <w:rPr>
                <w:sz w:val="20"/>
              </w:rPr>
            </w:pPr>
            <w:r>
              <w:rPr>
                <w:sz w:val="20"/>
              </w:rPr>
              <w:t>100.00</w:t>
            </w:r>
          </w:p>
        </w:tc>
        <w:tc>
          <w:tcPr>
            <w:tcW w:w="1521" w:type="dxa"/>
            <w:tcBorders>
              <w:top w:val="single" w:sz="4" w:space="0" w:color="000000"/>
              <w:bottom w:val="single" w:sz="4" w:space="0" w:color="000000"/>
            </w:tcBorders>
          </w:tcPr>
          <w:p>
            <w:pPr>
              <w:pStyle w:val="TableParagraph"/>
              <w:spacing w:before="33"/>
              <w:ind w:left="224" w:right="-40"/>
              <w:rPr>
                <w:sz w:val="20"/>
              </w:rPr>
            </w:pPr>
            <w:r>
              <w:rPr>
                <w:sz w:val="20"/>
              </w:rPr>
              <w:t>7,494</w:t>
            </w:r>
          </w:p>
        </w:tc>
        <w:tc>
          <w:tcPr>
            <w:tcW w:w="856" w:type="dxa"/>
            <w:tcBorders>
              <w:top w:val="single" w:sz="4" w:space="0" w:color="000000"/>
              <w:bottom w:val="single" w:sz="4" w:space="0" w:color="000000"/>
            </w:tcBorders>
          </w:tcPr>
          <w:p>
            <w:pPr>
              <w:pStyle w:val="TableParagraph"/>
              <w:spacing w:before="33"/>
              <w:ind w:left="-23"/>
              <w:rPr>
                <w:sz w:val="20"/>
              </w:rPr>
            </w:pPr>
            <w:r>
              <w:rPr>
                <w:sz w:val="20"/>
              </w:rPr>
              <w:t>100.00</w:t>
            </w:r>
          </w:p>
        </w:tc>
        <w:tc>
          <w:tcPr>
            <w:tcW w:w="1360" w:type="dxa"/>
            <w:tcBorders>
              <w:top w:val="single" w:sz="4" w:space="0" w:color="000000"/>
              <w:bottom w:val="single" w:sz="4" w:space="0" w:color="000000"/>
            </w:tcBorders>
          </w:tcPr>
          <w:p>
            <w:pPr>
              <w:pStyle w:val="TableParagraph"/>
              <w:spacing w:before="33"/>
              <w:ind w:left="268"/>
              <w:rPr>
                <w:sz w:val="20"/>
              </w:rPr>
            </w:pPr>
            <w:r>
              <w:rPr>
                <w:sz w:val="20"/>
              </w:rPr>
              <w:t>4,919</w:t>
            </w:r>
          </w:p>
        </w:tc>
        <w:tc>
          <w:tcPr>
            <w:tcW w:w="1103" w:type="dxa"/>
            <w:tcBorders>
              <w:top w:val="single" w:sz="4" w:space="0" w:color="000000"/>
              <w:bottom w:val="single" w:sz="4" w:space="0" w:color="000000"/>
            </w:tcBorders>
          </w:tcPr>
          <w:p>
            <w:pPr>
              <w:pStyle w:val="TableParagraph"/>
              <w:spacing w:before="33"/>
              <w:ind w:left="178"/>
              <w:rPr>
                <w:sz w:val="20"/>
              </w:rPr>
            </w:pPr>
            <w:r>
              <w:rPr>
                <w:sz w:val="20"/>
              </w:rPr>
              <w:t>100.00</w:t>
            </w:r>
          </w:p>
        </w:tc>
      </w:tr>
    </w:tbl>
    <w:p>
      <w:pPr>
        <w:spacing w:line="228" w:lineRule="exact" w:before="0"/>
        <w:ind w:left="124" w:right="146" w:firstLine="0"/>
        <w:jc w:val="center"/>
        <w:rPr>
          <w:sz w:val="20"/>
        </w:rPr>
      </w:pPr>
      <w:r>
        <w:rPr>
          <w:sz w:val="20"/>
        </w:rPr>
        <w:t>Fuente: cálculos propios ver anexo</w:t>
      </w:r>
    </w:p>
    <w:p>
      <w:pPr>
        <w:pStyle w:val="BodyText"/>
        <w:spacing w:before="8"/>
        <w:rPr>
          <w:sz w:val="29"/>
        </w:rPr>
      </w:pPr>
    </w:p>
    <w:p>
      <w:pPr>
        <w:spacing w:before="0"/>
        <w:ind w:left="102" w:right="0" w:firstLine="0"/>
        <w:jc w:val="both"/>
        <w:rPr>
          <w:i/>
          <w:sz w:val="24"/>
        </w:rPr>
      </w:pPr>
      <w:r>
        <w:rPr>
          <w:i/>
          <w:sz w:val="24"/>
        </w:rPr>
        <w:t>Movimientos intra zona metropolitana de Toluca.</w:t>
      </w:r>
    </w:p>
    <w:p>
      <w:pPr>
        <w:pStyle w:val="BodyText"/>
        <w:rPr>
          <w:i/>
        </w:rPr>
      </w:pPr>
    </w:p>
    <w:p>
      <w:pPr>
        <w:pStyle w:val="BodyText"/>
        <w:spacing w:line="362" w:lineRule="auto" w:before="144"/>
        <w:ind w:left="102" w:right="124"/>
        <w:jc w:val="both"/>
      </w:pPr>
      <w:r>
        <w:rPr/>
        <w:t>Los movimientos intra ZMT se refiere a los que se originan en cualquiera de los 22 municipios y con destino en 21 municipios de la misma, ellos hacen un total de  32</w:t>
      </w:r>
    </w:p>
    <w:p>
      <w:pPr>
        <w:pStyle w:val="BodyText"/>
        <w:spacing w:line="360" w:lineRule="auto"/>
        <w:ind w:left="102" w:right="116"/>
        <w:jc w:val="both"/>
      </w:pPr>
      <w:r>
        <w:rPr/>
        <w:t>411 encuestas. El principal destino es el área urbana continua con 26,049 desplazamientos, la franja intermedia con 4,720 y la tercera o externa, reportó 1,643 encuestas (ver Gráfica 15). Ratificando que la zona central mantiene supremacía de interrelaciones y por ende su papel de lugar central, porque oferta servicios superiores e inferiores como indica la teoría del lugar central. Los otros ámbitos por tanto tienen un patrón funcional centro-periferia (ver anexos cuadro A 4.18).</w:t>
      </w:r>
    </w:p>
    <w:p>
      <w:pPr>
        <w:pStyle w:val="BodyText"/>
        <w:spacing w:before="8"/>
      </w:pPr>
    </w:p>
    <w:p>
      <w:pPr>
        <w:pStyle w:val="BodyText"/>
        <w:spacing w:line="360" w:lineRule="auto"/>
        <w:ind w:left="102" w:right="117"/>
        <w:jc w:val="both"/>
      </w:pPr>
      <w:r>
        <w:rPr/>
        <w:t>El nodo principal en la parte central es Toluca, mientras que en la franja de interrelación funcional intermedia es Xonacatlan, en tanto que la tercera franja es Tenango del Valle. Algo que contrasta con los datos de la delimitación del Grupo Interinstitucional  que no  considera  a este municipio  como metropolitano, es    un</w:t>
      </w:r>
    </w:p>
    <w:p>
      <w:pPr>
        <w:spacing w:after="0" w:line="360" w:lineRule="auto"/>
        <w:jc w:val="both"/>
        <w:sectPr>
          <w:footerReference w:type="default" r:id="rId52"/>
          <w:pgSz w:w="12240" w:h="15840"/>
          <w:pgMar w:footer="659" w:header="0" w:top="1360" w:bottom="840" w:left="1600" w:right="1580"/>
          <w:pgNumType w:start="110"/>
        </w:sectPr>
      </w:pPr>
    </w:p>
    <w:p>
      <w:pPr>
        <w:pStyle w:val="BodyText"/>
        <w:spacing w:line="360" w:lineRule="auto" w:before="54"/>
        <w:ind w:left="102" w:right="296"/>
      </w:pPr>
      <w:r>
        <w:rPr/>
        <w:t>punto de salida por motivo de educación para municipios centrales, es </w:t>
      </w:r>
      <w:r>
        <w:rPr>
          <w:spacing w:val="2"/>
        </w:rPr>
        <w:t>decir </w:t>
      </w:r>
      <w:r>
        <w:rPr/>
        <w:t>que  su funcionamiento lo integra a la</w:t>
      </w:r>
      <w:r>
        <w:rPr>
          <w:spacing w:val="-10"/>
        </w:rPr>
        <w:t> </w:t>
      </w:r>
      <w:r>
        <w:rPr/>
        <w:t>ZMT.</w:t>
      </w:r>
    </w:p>
    <w:p>
      <w:pPr>
        <w:pStyle w:val="BodyText"/>
        <w:spacing w:before="6"/>
      </w:pPr>
    </w:p>
    <w:p>
      <w:pPr>
        <w:spacing w:before="0"/>
        <w:ind w:left="855" w:right="296" w:firstLine="0"/>
        <w:jc w:val="left"/>
        <w:rPr>
          <w:sz w:val="20"/>
        </w:rPr>
      </w:pPr>
      <w:r>
        <w:rPr>
          <w:sz w:val="20"/>
        </w:rPr>
        <w:t>Gráfica 15. Destino por ámbito de los traslados intra Zona Metropolitana de Toluca</w:t>
      </w:r>
    </w:p>
    <w:p>
      <w:pPr>
        <w:pStyle w:val="BodyText"/>
        <w:spacing w:before="4"/>
        <w:rPr>
          <w:sz w:val="29"/>
        </w:rPr>
      </w:pPr>
    </w:p>
    <w:p>
      <w:pPr>
        <w:tabs>
          <w:tab w:pos="2290" w:val="left" w:leader="none"/>
        </w:tabs>
        <w:spacing w:before="59"/>
        <w:ind w:left="1601" w:right="296" w:firstLine="0"/>
        <w:jc w:val="left"/>
        <w:rPr>
          <w:rFonts w:ascii="Calibri"/>
          <w:sz w:val="20"/>
        </w:rPr>
      </w:pPr>
      <w:r>
        <w:rPr>
          <w:rFonts w:ascii="Calibri"/>
          <w:position w:val="-1"/>
          <w:sz w:val="20"/>
        </w:rPr>
        <w:t>79.69</w:t>
        <w:tab/>
      </w:r>
      <w:r>
        <w:rPr>
          <w:rFonts w:ascii="Calibri"/>
          <w:sz w:val="20"/>
        </w:rPr>
        <w:t>80.37</w:t>
      </w:r>
    </w:p>
    <w:p>
      <w:pPr>
        <w:pStyle w:val="BodyText"/>
        <w:rPr>
          <w:rFonts w:ascii="Calibri"/>
          <w:sz w:val="20"/>
        </w:rPr>
      </w:pPr>
    </w:p>
    <w:p>
      <w:pPr>
        <w:pStyle w:val="BodyText"/>
        <w:spacing w:before="9"/>
        <w:rPr>
          <w:rFonts w:ascii="Calibri"/>
          <w:sz w:val="18"/>
        </w:rPr>
      </w:pPr>
    </w:p>
    <w:p>
      <w:pPr>
        <w:spacing w:line="364" w:lineRule="auto" w:before="0"/>
        <w:ind w:left="7151" w:right="1264" w:firstLine="0"/>
        <w:jc w:val="left"/>
        <w:rPr>
          <w:rFonts w:ascii="Calibri"/>
          <w:sz w:val="20"/>
        </w:rPr>
      </w:pPr>
      <w:r>
        <w:rPr/>
        <w:pict>
          <v:group style="position:absolute;margin-left:136.664993pt;margin-top:-20.118521pt;width:310.75pt;height:128.7pt;mso-position-horizontal-relative:page;mso-position-vertical-relative:paragraph;z-index:-298168" coordorigin="2733,-402" coordsize="6215,2574">
            <v:shape style="position:absolute;left:3154;top:-381;width:4685;height:2544" coordorigin="3154,-381" coordsize="4685,2544" path="m3706,-381l3154,-381,3154,2163,3706,2163,3706,-381m5772,1743l5220,1743,5220,2163,5772,2163,5772,1743m7838,1935l7286,1935,7286,2163,7838,2163,7838,1935e" filled="true" fillcolor="#4f81bc" stroked="false">
              <v:path arrowok="t"/>
              <v:fill type="solid"/>
            </v:shape>
            <v:shape style="position:absolute;left:3842;top:-402;width:4685;height:2566" coordorigin="3842,-402" coordsize="4685,2566" path="m4394,-402l3842,-402,3842,2163,4394,2163,4394,-402m6461,1698l5909,1698,5909,2163,6461,2163,6461,1698m8527,2000l7975,2000,7975,2163,8527,2163,8527,2000e" filled="true" fillcolor="#6f2f9f" stroked="false">
              <v:path arrowok="t"/>
              <v:fill type="solid"/>
            </v:shape>
            <v:line style="position:absolute" from="2741,2163" to="8940,2163" stroked="true" strokeweight=".72pt" strokecolor="#858585"/>
            <v:rect style="position:absolute;left:8592;top:78;width:110;height:110" filled="true" fillcolor="#4f81bc" stroked="false">
              <v:fill type="solid"/>
            </v:rect>
            <v:rect style="position:absolute;left:8592;top:450;width:110;height:110" filled="true" fillcolor="#6f2f9f" stroked="false">
              <v:fill type="solid"/>
            </v:rect>
            <w10:wrap type="none"/>
          </v:group>
        </w:pict>
      </w:r>
      <w:r>
        <w:rPr>
          <w:rFonts w:ascii="Calibri"/>
          <w:sz w:val="20"/>
        </w:rPr>
        <w:t>Origen Destino</w:t>
      </w:r>
    </w:p>
    <w:p>
      <w:pPr>
        <w:pStyle w:val="BodyText"/>
        <w:rPr>
          <w:rFonts w:ascii="Calibri"/>
          <w:sz w:val="20"/>
        </w:rPr>
      </w:pPr>
    </w:p>
    <w:p>
      <w:pPr>
        <w:pStyle w:val="BodyText"/>
        <w:spacing w:before="1"/>
        <w:rPr>
          <w:rFonts w:ascii="Calibri"/>
          <w:sz w:val="26"/>
        </w:rPr>
      </w:pPr>
    </w:p>
    <w:p>
      <w:pPr>
        <w:spacing w:after="0"/>
        <w:rPr>
          <w:rFonts w:ascii="Calibri"/>
          <w:sz w:val="26"/>
        </w:rPr>
        <w:sectPr>
          <w:pgSz w:w="12240" w:h="15840"/>
          <w:pgMar w:header="0" w:footer="659" w:top="1360" w:bottom="840" w:left="1600" w:right="1580"/>
        </w:sectPr>
      </w:pPr>
    </w:p>
    <w:p>
      <w:pPr>
        <w:tabs>
          <w:tab w:pos="689" w:val="left" w:leader="none"/>
        </w:tabs>
        <w:spacing w:before="59"/>
        <w:ind w:left="0" w:right="0" w:firstLine="0"/>
        <w:jc w:val="right"/>
        <w:rPr>
          <w:rFonts w:ascii="Calibri"/>
          <w:sz w:val="20"/>
        </w:rPr>
      </w:pPr>
      <w:r>
        <w:rPr>
          <w:rFonts w:ascii="Calibri"/>
          <w:position w:val="-3"/>
          <w:sz w:val="20"/>
        </w:rPr>
        <w:t>13.18</w:t>
        <w:tab/>
      </w:r>
      <w:r>
        <w:rPr>
          <w:rFonts w:ascii="Calibri"/>
          <w:w w:val="95"/>
          <w:sz w:val="20"/>
        </w:rPr>
        <w:t>14.56</w:t>
      </w:r>
    </w:p>
    <w:p>
      <w:pPr>
        <w:pStyle w:val="BodyText"/>
        <w:spacing w:before="3"/>
        <w:rPr>
          <w:rFonts w:ascii="Calibri"/>
        </w:rPr>
      </w:pPr>
      <w:r>
        <w:rPr/>
        <w:br w:type="column"/>
      </w:r>
      <w:r>
        <w:rPr>
          <w:rFonts w:ascii="Calibri"/>
        </w:rPr>
      </w:r>
    </w:p>
    <w:p>
      <w:pPr>
        <w:spacing w:before="0"/>
        <w:ind w:left="0" w:right="0" w:firstLine="0"/>
        <w:jc w:val="right"/>
        <w:rPr>
          <w:rFonts w:ascii="Calibri"/>
          <w:sz w:val="20"/>
        </w:rPr>
      </w:pPr>
      <w:r>
        <w:rPr>
          <w:rFonts w:ascii="Calibri"/>
          <w:w w:val="95"/>
          <w:sz w:val="20"/>
        </w:rPr>
        <w:t>7.13</w:t>
      </w:r>
    </w:p>
    <w:p>
      <w:pPr>
        <w:pStyle w:val="BodyText"/>
        <w:spacing w:before="8"/>
        <w:rPr>
          <w:rFonts w:ascii="Calibri"/>
          <w:sz w:val="29"/>
        </w:rPr>
      </w:pPr>
      <w:r>
        <w:rPr/>
        <w:br w:type="column"/>
      </w:r>
      <w:r>
        <w:rPr>
          <w:rFonts w:ascii="Calibri"/>
          <w:sz w:val="29"/>
        </w:rPr>
      </w:r>
    </w:p>
    <w:p>
      <w:pPr>
        <w:spacing w:before="0"/>
        <w:ind w:left="295" w:right="0" w:firstLine="0"/>
        <w:jc w:val="left"/>
        <w:rPr>
          <w:rFonts w:ascii="Calibri"/>
          <w:sz w:val="20"/>
        </w:rPr>
      </w:pPr>
      <w:r>
        <w:rPr>
          <w:rFonts w:ascii="Calibri"/>
          <w:sz w:val="20"/>
        </w:rPr>
        <w:t>5.07</w:t>
      </w:r>
    </w:p>
    <w:p>
      <w:pPr>
        <w:spacing w:after="0"/>
        <w:jc w:val="left"/>
        <w:rPr>
          <w:rFonts w:ascii="Calibri"/>
          <w:sz w:val="20"/>
        </w:rPr>
        <w:sectPr>
          <w:type w:val="continuous"/>
          <w:pgSz w:w="12240" w:h="15840"/>
          <w:pgMar w:top="1500" w:bottom="280" w:left="1600" w:right="1580"/>
          <w:cols w:num="3" w:equalWidth="0">
            <w:col w:w="4814" w:space="40"/>
            <w:col w:w="1286" w:space="40"/>
            <w:col w:w="2880"/>
          </w:cols>
        </w:sectPr>
      </w:pPr>
    </w:p>
    <w:p>
      <w:pPr>
        <w:pStyle w:val="BodyText"/>
        <w:spacing w:before="2"/>
        <w:rPr>
          <w:rFonts w:ascii="Calibri"/>
          <w:sz w:val="26"/>
        </w:rPr>
      </w:pPr>
    </w:p>
    <w:p>
      <w:pPr>
        <w:spacing w:after="0"/>
        <w:rPr>
          <w:rFonts w:ascii="Calibri"/>
          <w:sz w:val="26"/>
        </w:rPr>
        <w:sectPr>
          <w:type w:val="continuous"/>
          <w:pgSz w:w="12240" w:h="15840"/>
          <w:pgMar w:top="1500" w:bottom="280" w:left="1600" w:right="1580"/>
        </w:sectPr>
      </w:pPr>
    </w:p>
    <w:p>
      <w:pPr>
        <w:spacing w:before="59"/>
        <w:ind w:left="1907" w:right="-20" w:hanging="740"/>
        <w:jc w:val="left"/>
        <w:rPr>
          <w:rFonts w:ascii="Calibri" w:hAnsi="Calibri"/>
          <w:sz w:val="20"/>
        </w:rPr>
      </w:pPr>
      <w:r>
        <w:rPr>
          <w:rFonts w:ascii="Calibri" w:hAnsi="Calibri"/>
          <w:sz w:val="20"/>
        </w:rPr>
        <w:t>Área urbana continua de Toluca</w:t>
      </w:r>
    </w:p>
    <w:p>
      <w:pPr>
        <w:spacing w:before="59"/>
        <w:ind w:left="576" w:right="-20" w:hanging="476"/>
        <w:jc w:val="left"/>
        <w:rPr>
          <w:rFonts w:ascii="Calibri" w:hAnsi="Calibri"/>
          <w:sz w:val="20"/>
        </w:rPr>
      </w:pPr>
      <w:r>
        <w:rPr/>
        <w:br w:type="column"/>
      </w:r>
      <w:r>
        <w:rPr>
          <w:rFonts w:ascii="Calibri" w:hAnsi="Calibri"/>
          <w:sz w:val="20"/>
        </w:rPr>
        <w:t>Interrelación funcional intermedia</w:t>
      </w:r>
    </w:p>
    <w:p>
      <w:pPr>
        <w:spacing w:before="59"/>
        <w:ind w:left="644" w:right="1817" w:hanging="498"/>
        <w:jc w:val="left"/>
        <w:rPr>
          <w:rFonts w:ascii="Calibri" w:hAnsi="Calibri"/>
          <w:sz w:val="20"/>
        </w:rPr>
      </w:pPr>
      <w:r>
        <w:rPr/>
        <w:br w:type="column"/>
      </w:r>
      <w:r>
        <w:rPr>
          <w:rFonts w:ascii="Calibri" w:hAnsi="Calibri"/>
          <w:sz w:val="20"/>
        </w:rPr>
        <w:t>Relación externa, resto municipios</w:t>
      </w:r>
    </w:p>
    <w:p>
      <w:pPr>
        <w:spacing w:after="0"/>
        <w:jc w:val="left"/>
        <w:rPr>
          <w:rFonts w:ascii="Calibri" w:hAnsi="Calibri"/>
          <w:sz w:val="20"/>
        </w:rPr>
        <w:sectPr>
          <w:type w:val="continuous"/>
          <w:pgSz w:w="12240" w:h="15840"/>
          <w:pgMar w:top="1500" w:bottom="280" w:left="1600" w:right="1580"/>
          <w:cols w:num="3" w:equalWidth="0">
            <w:col w:w="3179" w:space="40"/>
            <w:col w:w="1943" w:space="40"/>
            <w:col w:w="3858"/>
          </w:cols>
        </w:sectPr>
      </w:pPr>
    </w:p>
    <w:p>
      <w:pPr>
        <w:pStyle w:val="BodyText"/>
        <w:spacing w:before="4"/>
        <w:rPr>
          <w:rFonts w:ascii="Calibri"/>
          <w:sz w:val="27"/>
        </w:rPr>
      </w:pPr>
    </w:p>
    <w:p>
      <w:pPr>
        <w:spacing w:before="74"/>
        <w:ind w:left="122" w:right="146" w:firstLine="0"/>
        <w:jc w:val="center"/>
        <w:rPr>
          <w:sz w:val="20"/>
        </w:rPr>
      </w:pPr>
      <w:r>
        <w:rPr>
          <w:sz w:val="20"/>
        </w:rPr>
        <w:t>Fuente: Elaboración propia con información de la Junta de Caminos del Estado de México, Gobierno del Estado de México 2007</w:t>
      </w:r>
    </w:p>
    <w:p>
      <w:pPr>
        <w:pStyle w:val="BodyText"/>
        <w:spacing w:before="9"/>
        <w:rPr>
          <w:sz w:val="19"/>
        </w:rPr>
      </w:pPr>
    </w:p>
    <w:p>
      <w:pPr>
        <w:spacing w:before="1"/>
        <w:ind w:left="125" w:right="146" w:firstLine="0"/>
        <w:jc w:val="center"/>
        <w:rPr>
          <w:sz w:val="20"/>
        </w:rPr>
      </w:pPr>
      <w:r>
        <w:rPr>
          <w:sz w:val="20"/>
        </w:rPr>
        <w:t>Gráfica 16.  Motivo de los traslados en la Zona Metropolitana de Toluca</w:t>
      </w:r>
    </w:p>
    <w:p>
      <w:pPr>
        <w:pStyle w:val="BodyText"/>
        <w:rPr>
          <w:sz w:val="20"/>
        </w:rPr>
      </w:pPr>
    </w:p>
    <w:p>
      <w:pPr>
        <w:spacing w:after="0"/>
        <w:rPr>
          <w:sz w:val="20"/>
        </w:rPr>
        <w:sectPr>
          <w:type w:val="continuous"/>
          <w:pgSz w:w="12240" w:h="15840"/>
          <w:pgMar w:top="1500" w:bottom="280" w:left="1600" w:right="1580"/>
        </w:sectPr>
      </w:pPr>
    </w:p>
    <w:p>
      <w:pPr>
        <w:tabs>
          <w:tab w:pos="5308" w:val="left" w:leader="none"/>
        </w:tabs>
        <w:spacing w:line="278" w:lineRule="exact" w:before="205"/>
        <w:ind w:left="3156" w:right="0" w:firstLine="0"/>
        <w:jc w:val="left"/>
        <w:rPr>
          <w:rFonts w:ascii="Calibri"/>
          <w:sz w:val="20"/>
        </w:rPr>
      </w:pPr>
      <w:r>
        <w:rPr>
          <w:rFonts w:ascii="Calibri"/>
          <w:sz w:val="20"/>
        </w:rPr>
        <w:t>74.86</w:t>
        <w:tab/>
      </w:r>
      <w:r>
        <w:rPr>
          <w:rFonts w:ascii="Calibri"/>
          <w:w w:val="95"/>
          <w:position w:val="-6"/>
          <w:sz w:val="20"/>
        </w:rPr>
        <w:t>72.99</w:t>
      </w:r>
    </w:p>
    <w:p>
      <w:pPr>
        <w:spacing w:line="208" w:lineRule="exact" w:before="0"/>
        <w:ind w:left="1005" w:right="0" w:firstLine="0"/>
        <w:jc w:val="left"/>
        <w:rPr>
          <w:rFonts w:ascii="Calibri"/>
          <w:sz w:val="20"/>
        </w:rPr>
      </w:pPr>
      <w:r>
        <w:rPr/>
        <w:pict>
          <v:group style="position:absolute;margin-left:119.745003pt;margin-top:2.732971pt;width:323.45pt;height:134.9pt;mso-position-horizontal-relative:page;mso-position-vertical-relative:paragraph;z-index:-298144" coordorigin="2395,55" coordsize="6469,2698">
            <v:shape style="position:absolute;left:2659;top:55;width:4649;height:2691" coordorigin="2659,55" coordsize="4649,2691" path="m3005,297l2659,297,2659,2745,3005,2745,3005,297m5155,55l4812,55,4812,2745,5155,2745,5155,55m7308,122l6962,122,6962,2745,7308,2745,7308,122e" filled="true" fillcolor="#4f81bc" stroked="false">
              <v:path arrowok="t"/>
              <v:fill type="solid"/>
            </v:shape>
            <v:shape style="position:absolute;left:3091;top:1924;width:4647;height:821" coordorigin="3091,1924" coordsize="4647,821" path="m3434,1924l3091,1924,3091,2745,3434,2745,3434,1924m5585,2200l5242,2200,5242,2745,5585,2745,5585,2200m7738,2063l7392,2063,7392,2745,7738,2745,7738,2063e" filled="true" fillcolor="#c0504d" stroked="false">
              <v:path arrowok="t"/>
              <v:fill type="solid"/>
            </v:shape>
            <v:shape style="position:absolute;left:3521;top:2435;width:4647;height:310" coordorigin="3521,2435" coordsize="4647,310" path="m3864,2469l3521,2469,3521,2745,3864,2745,3864,2469m6017,2435l5671,2435,5671,2745,6017,2745,6017,2435m8167,2524l7824,2524,7824,2745,8167,2745,8167,2524e" filled="true" fillcolor="#9bba58" stroked="false">
              <v:path arrowok="t"/>
              <v:fill type="solid"/>
            </v:shape>
            <v:line style="position:absolute" from="3950,2720" to="4296,2720" stroked="true" strokeweight="2.52pt" strokecolor="#8063a1"/>
            <v:line style="position:absolute" from="6103,2719" to="6446,2719" stroked="true" strokeweight="2.64pt" strokecolor="#8063a1"/>
            <v:line style="position:absolute" from="8254,2709" to="8597,2709" stroked="true" strokeweight="3.6pt" strokecolor="#8063a1"/>
            <v:line style="position:absolute" from="2402,2745" to="8856,2745" stroked="true" strokeweight=".72pt" strokecolor="#858585"/>
            <w10:wrap type="none"/>
          </v:group>
        </w:pict>
      </w:r>
      <w:r>
        <w:rPr>
          <w:rFonts w:ascii="Calibri"/>
          <w:sz w:val="20"/>
        </w:rPr>
        <w:t>68.14</w:t>
      </w:r>
    </w:p>
    <w:p>
      <w:pPr>
        <w:pStyle w:val="BodyText"/>
        <w:rPr>
          <w:rFonts w:ascii="Calibri"/>
          <w:sz w:val="20"/>
        </w:rPr>
      </w:pPr>
      <w:r>
        <w:rPr/>
        <w:br w:type="column"/>
      </w:r>
      <w:r>
        <w:rPr>
          <w:rFonts w:ascii="Calibri"/>
          <w:sz w:val="20"/>
        </w:rPr>
      </w:r>
    </w:p>
    <w:p>
      <w:pPr>
        <w:pStyle w:val="BodyText"/>
        <w:rPr>
          <w:rFonts w:ascii="Calibri"/>
          <w:sz w:val="20"/>
        </w:rPr>
      </w:pPr>
    </w:p>
    <w:p>
      <w:pPr>
        <w:pStyle w:val="BodyText"/>
        <w:spacing w:before="2"/>
        <w:rPr>
          <w:rFonts w:ascii="Calibri"/>
          <w:sz w:val="27"/>
        </w:rPr>
      </w:pPr>
    </w:p>
    <w:p>
      <w:pPr>
        <w:spacing w:line="276" w:lineRule="auto" w:before="0"/>
        <w:ind w:left="1005" w:right="715" w:firstLine="0"/>
        <w:jc w:val="left"/>
        <w:rPr>
          <w:rFonts w:ascii="Calibri" w:hAnsi="Calibri"/>
          <w:sz w:val="20"/>
        </w:rPr>
      </w:pPr>
      <w:r>
        <w:rPr/>
        <w:pict>
          <v:rect style="position:absolute;margin-left:446.76001pt;margin-top:3.88147pt;width:5.52pt;height:5.52pt;mso-position-horizontal-relative:page;mso-position-vertical-relative:paragraph;z-index:4672" filled="true" fillcolor="#4f81bc" stroked="false">
            <v:fill type="solid"/>
            <w10:wrap type="none"/>
          </v:rect>
        </w:pict>
      </w:r>
      <w:r>
        <w:rPr/>
        <w:pict>
          <v:rect style="position:absolute;margin-left:446.76001pt;margin-top:17.921471pt;width:5.52pt;height:5.4pt;mso-position-horizontal-relative:page;mso-position-vertical-relative:paragraph;z-index:4696" filled="true" fillcolor="#c0504d" stroked="false">
            <v:fill type="solid"/>
            <w10:wrap type="none"/>
          </v:rect>
        </w:pict>
      </w:r>
      <w:r>
        <w:rPr/>
        <w:pict>
          <v:rect style="position:absolute;margin-left:446.76001pt;margin-top:31.96147pt;width:5.52pt;height:5.4pt;mso-position-horizontal-relative:page;mso-position-vertical-relative:paragraph;z-index:4720" filled="true" fillcolor="#9bba58" stroked="false">
            <v:fill type="solid"/>
            <w10:wrap type="none"/>
          </v:rect>
        </w:pict>
      </w:r>
      <w:r>
        <w:rPr/>
        <w:pict>
          <v:rect style="position:absolute;margin-left:446.76001pt;margin-top:45.88147pt;width:5.52pt;height:5.52pt;mso-position-horizontal-relative:page;mso-position-vertical-relative:paragraph;z-index:4744" filled="true" fillcolor="#8063a1" stroked="false">
            <v:fill type="solid"/>
            <w10:wrap type="none"/>
          </v:rect>
        </w:pict>
      </w:r>
      <w:r>
        <w:rPr>
          <w:rFonts w:ascii="Calibri" w:hAnsi="Calibri"/>
          <w:sz w:val="20"/>
        </w:rPr>
        <w:t>Trabajo Paseo Compras Educación</w:t>
      </w:r>
    </w:p>
    <w:p>
      <w:pPr>
        <w:spacing w:after="0" w:line="276" w:lineRule="auto"/>
        <w:jc w:val="left"/>
        <w:rPr>
          <w:rFonts w:ascii="Calibri" w:hAnsi="Calibri"/>
          <w:sz w:val="20"/>
        </w:rPr>
        <w:sectPr>
          <w:type w:val="continuous"/>
          <w:pgSz w:w="12240" w:h="15840"/>
          <w:pgMar w:top="1500" w:bottom="280" w:left="1600" w:right="1580"/>
          <w:cols w:num="2" w:equalWidth="0">
            <w:col w:w="5763" w:space="727"/>
            <w:col w:w="2570"/>
          </w:cols>
        </w:sectPr>
      </w:pPr>
    </w:p>
    <w:p>
      <w:pPr>
        <w:spacing w:before="133"/>
        <w:ind w:left="1435" w:right="0" w:firstLine="0"/>
        <w:jc w:val="left"/>
        <w:rPr>
          <w:rFonts w:ascii="Calibri"/>
          <w:sz w:val="20"/>
        </w:rPr>
      </w:pPr>
      <w:r>
        <w:rPr>
          <w:rFonts w:ascii="Calibri"/>
          <w:sz w:val="20"/>
        </w:rPr>
        <w:t>22.80</w:t>
      </w:r>
    </w:p>
    <w:p>
      <w:pPr>
        <w:pStyle w:val="BodyText"/>
        <w:spacing w:before="6"/>
        <w:rPr>
          <w:rFonts w:ascii="Calibri"/>
        </w:rPr>
      </w:pPr>
    </w:p>
    <w:p>
      <w:pPr>
        <w:spacing w:line="235" w:lineRule="exact" w:before="0"/>
        <w:ind w:left="0" w:right="427" w:firstLine="0"/>
        <w:jc w:val="right"/>
        <w:rPr>
          <w:rFonts w:ascii="Calibri"/>
          <w:sz w:val="20"/>
        </w:rPr>
      </w:pPr>
      <w:r>
        <w:rPr>
          <w:rFonts w:ascii="Calibri"/>
          <w:w w:val="95"/>
          <w:sz w:val="20"/>
        </w:rPr>
        <w:t>7.67</w:t>
      </w:r>
    </w:p>
    <w:p>
      <w:pPr>
        <w:spacing w:line="235" w:lineRule="exact" w:before="0"/>
        <w:ind w:left="0" w:right="0" w:firstLine="0"/>
        <w:jc w:val="right"/>
        <w:rPr>
          <w:rFonts w:ascii="Calibri"/>
          <w:sz w:val="20"/>
        </w:rPr>
      </w:pPr>
      <w:r>
        <w:rPr>
          <w:rFonts w:ascii="Calibri"/>
          <w:sz w:val="20"/>
        </w:rPr>
        <w:t>1.39</w:t>
      </w:r>
    </w:p>
    <w:p>
      <w:pPr>
        <w:pStyle w:val="BodyText"/>
        <w:rPr>
          <w:rFonts w:ascii="Calibri"/>
          <w:sz w:val="20"/>
        </w:rPr>
      </w:pPr>
      <w:r>
        <w:rPr/>
        <w:br w:type="column"/>
      </w:r>
      <w:r>
        <w:rPr>
          <w:rFonts w:ascii="Calibri"/>
          <w:sz w:val="20"/>
        </w:rPr>
      </w:r>
    </w:p>
    <w:p>
      <w:pPr>
        <w:spacing w:before="164"/>
        <w:ind w:left="847" w:right="0" w:firstLine="0"/>
        <w:jc w:val="left"/>
        <w:rPr>
          <w:rFonts w:ascii="Calibri"/>
          <w:sz w:val="20"/>
        </w:rPr>
      </w:pPr>
      <w:r>
        <w:rPr>
          <w:rFonts w:ascii="Calibri"/>
          <w:w w:val="95"/>
          <w:sz w:val="20"/>
        </w:rPr>
        <w:t>15.12</w:t>
      </w:r>
    </w:p>
    <w:p>
      <w:pPr>
        <w:pStyle w:val="BodyText"/>
        <w:rPr>
          <w:rFonts w:ascii="Calibri"/>
          <w:sz w:val="20"/>
        </w:rPr>
      </w:pPr>
      <w:r>
        <w:rPr/>
        <w:br w:type="column"/>
      </w:r>
      <w:r>
        <w:rPr>
          <w:rFonts w:ascii="Calibri"/>
          <w:sz w:val="20"/>
        </w:rPr>
      </w:r>
    </w:p>
    <w:p>
      <w:pPr>
        <w:pStyle w:val="BodyText"/>
        <w:rPr>
          <w:rFonts w:ascii="Calibri"/>
          <w:sz w:val="20"/>
        </w:rPr>
      </w:pPr>
    </w:p>
    <w:p>
      <w:pPr>
        <w:spacing w:before="156"/>
        <w:ind w:left="-14" w:right="-2" w:firstLine="0"/>
        <w:jc w:val="left"/>
        <w:rPr>
          <w:rFonts w:ascii="Calibri"/>
          <w:sz w:val="20"/>
        </w:rPr>
      </w:pPr>
      <w:r>
        <w:rPr>
          <w:rFonts w:ascii="Calibri"/>
          <w:sz w:val="20"/>
        </w:rPr>
        <w:t>8.57</w:t>
      </w:r>
    </w:p>
    <w:p>
      <w:pPr>
        <w:spacing w:before="11"/>
        <w:ind w:left="416" w:right="-2" w:firstLine="0"/>
        <w:jc w:val="left"/>
        <w:rPr>
          <w:rFonts w:ascii="Calibri"/>
          <w:sz w:val="20"/>
        </w:rPr>
      </w:pPr>
      <w:r>
        <w:rPr>
          <w:rFonts w:ascii="Calibri"/>
          <w:w w:val="95"/>
          <w:sz w:val="20"/>
        </w:rPr>
        <w:t>1.45</w:t>
      </w:r>
    </w:p>
    <w:p>
      <w:pPr>
        <w:pStyle w:val="BodyText"/>
        <w:spacing w:before="2"/>
        <w:rPr>
          <w:rFonts w:ascii="Calibri"/>
          <w:sz w:val="22"/>
        </w:rPr>
      </w:pPr>
      <w:r>
        <w:rPr/>
        <w:br w:type="column"/>
      </w:r>
      <w:r>
        <w:rPr>
          <w:rFonts w:ascii="Calibri"/>
          <w:sz w:val="22"/>
        </w:rPr>
      </w:r>
    </w:p>
    <w:p>
      <w:pPr>
        <w:spacing w:before="0"/>
        <w:ind w:left="847" w:right="0" w:firstLine="0"/>
        <w:jc w:val="left"/>
        <w:rPr>
          <w:rFonts w:ascii="Calibri"/>
          <w:sz w:val="20"/>
        </w:rPr>
      </w:pPr>
      <w:r>
        <w:rPr>
          <w:rFonts w:ascii="Calibri"/>
          <w:w w:val="95"/>
          <w:sz w:val="20"/>
        </w:rPr>
        <w:t>18.96</w:t>
      </w:r>
    </w:p>
    <w:p>
      <w:pPr>
        <w:pStyle w:val="BodyText"/>
        <w:rPr>
          <w:rFonts w:ascii="Calibri"/>
          <w:sz w:val="20"/>
        </w:rPr>
      </w:pPr>
      <w:r>
        <w:rPr/>
        <w:br w:type="column"/>
      </w:r>
      <w:r>
        <w:rPr>
          <w:rFonts w:ascii="Calibri"/>
          <w:sz w:val="20"/>
        </w:rPr>
      </w:r>
    </w:p>
    <w:p>
      <w:pPr>
        <w:pStyle w:val="BodyText"/>
        <w:rPr>
          <w:rFonts w:ascii="Calibri"/>
          <w:sz w:val="20"/>
        </w:rPr>
      </w:pPr>
    </w:p>
    <w:p>
      <w:pPr>
        <w:pStyle w:val="BodyText"/>
        <w:rPr>
          <w:rFonts w:ascii="Calibri"/>
          <w:sz w:val="20"/>
        </w:rPr>
      </w:pPr>
    </w:p>
    <w:p>
      <w:pPr>
        <w:spacing w:line="197" w:lineRule="exact" w:before="0"/>
        <w:ind w:left="-14" w:right="0" w:firstLine="0"/>
        <w:jc w:val="left"/>
        <w:rPr>
          <w:rFonts w:ascii="Calibri"/>
          <w:sz w:val="20"/>
        </w:rPr>
      </w:pPr>
      <w:r>
        <w:rPr>
          <w:rFonts w:ascii="Calibri"/>
          <w:sz w:val="20"/>
        </w:rPr>
        <w:t>6.10</w:t>
      </w:r>
    </w:p>
    <w:p>
      <w:pPr>
        <w:spacing w:line="197" w:lineRule="exact" w:before="0"/>
        <w:ind w:left="416" w:right="0" w:firstLine="0"/>
        <w:jc w:val="left"/>
        <w:rPr>
          <w:rFonts w:ascii="Calibri"/>
          <w:sz w:val="20"/>
        </w:rPr>
      </w:pPr>
      <w:r>
        <w:rPr>
          <w:rFonts w:ascii="Calibri"/>
          <w:sz w:val="20"/>
        </w:rPr>
        <w:t>1.95</w:t>
      </w:r>
    </w:p>
    <w:p>
      <w:pPr>
        <w:spacing w:after="0" w:line="197" w:lineRule="exact"/>
        <w:jc w:val="left"/>
        <w:rPr>
          <w:rFonts w:ascii="Calibri"/>
          <w:sz w:val="20"/>
        </w:rPr>
        <w:sectPr>
          <w:type w:val="continuous"/>
          <w:pgSz w:w="12240" w:h="15840"/>
          <w:pgMar w:top="1500" w:bottom="280" w:left="1600" w:right="1580"/>
          <w:cols w:num="5" w:equalWidth="0">
            <w:col w:w="2700" w:space="40"/>
            <w:col w:w="1302" w:space="40"/>
            <w:col w:w="771" w:space="40"/>
            <w:col w:w="1302" w:space="40"/>
            <w:col w:w="2825"/>
          </w:cols>
        </w:sectPr>
      </w:pPr>
    </w:p>
    <w:p>
      <w:pPr>
        <w:pStyle w:val="BodyText"/>
        <w:spacing w:before="12"/>
        <w:rPr>
          <w:rFonts w:ascii="Calibri"/>
          <w:sz w:val="16"/>
        </w:rPr>
      </w:pPr>
    </w:p>
    <w:p>
      <w:pPr>
        <w:spacing w:after="0"/>
        <w:rPr>
          <w:rFonts w:ascii="Calibri"/>
          <w:sz w:val="16"/>
        </w:rPr>
        <w:sectPr>
          <w:type w:val="continuous"/>
          <w:pgSz w:w="12240" w:h="15840"/>
          <w:pgMar w:top="1500" w:bottom="280" w:left="1600" w:right="1580"/>
        </w:sectPr>
      </w:pPr>
    </w:p>
    <w:p>
      <w:pPr>
        <w:spacing w:before="59"/>
        <w:ind w:left="1610" w:right="-20" w:hanging="761"/>
        <w:jc w:val="left"/>
        <w:rPr>
          <w:rFonts w:ascii="Calibri" w:hAnsi="Calibri"/>
          <w:sz w:val="20"/>
        </w:rPr>
      </w:pPr>
      <w:r>
        <w:rPr>
          <w:rFonts w:ascii="Calibri" w:hAnsi="Calibri"/>
          <w:sz w:val="20"/>
        </w:rPr>
        <w:t>Área Urbana Continua de Toluca</w:t>
      </w:r>
    </w:p>
    <w:p>
      <w:pPr>
        <w:spacing w:before="59"/>
        <w:ind w:left="754" w:right="-19" w:hanging="608"/>
        <w:jc w:val="left"/>
        <w:rPr>
          <w:rFonts w:ascii="Calibri" w:hAnsi="Calibri"/>
          <w:sz w:val="20"/>
        </w:rPr>
      </w:pPr>
      <w:r>
        <w:rPr/>
        <w:br w:type="column"/>
      </w:r>
      <w:r>
        <w:rPr>
          <w:rFonts w:ascii="Calibri" w:hAnsi="Calibri"/>
          <w:sz w:val="20"/>
        </w:rPr>
        <w:t>Interrelación Funcional Cercana</w:t>
      </w:r>
    </w:p>
    <w:p>
      <w:pPr>
        <w:spacing w:before="59"/>
        <w:ind w:left="474" w:right="1901" w:hanging="300"/>
        <w:jc w:val="left"/>
        <w:rPr>
          <w:rFonts w:ascii="Calibri" w:hAnsi="Calibri"/>
          <w:sz w:val="20"/>
        </w:rPr>
      </w:pPr>
      <w:r>
        <w:rPr/>
        <w:br w:type="column"/>
      </w:r>
      <w:r>
        <w:rPr>
          <w:rFonts w:ascii="Calibri" w:hAnsi="Calibri"/>
          <w:sz w:val="20"/>
        </w:rPr>
        <w:t>Relación Funcional de la Periferia Externa</w:t>
      </w:r>
    </w:p>
    <w:p>
      <w:pPr>
        <w:spacing w:after="0"/>
        <w:jc w:val="left"/>
        <w:rPr>
          <w:rFonts w:ascii="Calibri" w:hAnsi="Calibri"/>
          <w:sz w:val="20"/>
        </w:rPr>
        <w:sectPr>
          <w:type w:val="continuous"/>
          <w:pgSz w:w="12240" w:h="15840"/>
          <w:pgMar w:top="1500" w:bottom="280" w:left="1600" w:right="1580"/>
          <w:cols w:num="3" w:equalWidth="0">
            <w:col w:w="2906" w:space="40"/>
            <w:col w:w="2021" w:space="40"/>
            <w:col w:w="4053"/>
          </w:cols>
        </w:sectPr>
      </w:pPr>
    </w:p>
    <w:p>
      <w:pPr>
        <w:pStyle w:val="BodyText"/>
        <w:spacing w:before="2"/>
        <w:rPr>
          <w:rFonts w:ascii="Calibri"/>
          <w:sz w:val="14"/>
        </w:rPr>
      </w:pPr>
    </w:p>
    <w:p>
      <w:pPr>
        <w:spacing w:before="74"/>
        <w:ind w:left="2845" w:right="296" w:hanging="2351"/>
        <w:jc w:val="left"/>
        <w:rPr>
          <w:sz w:val="20"/>
        </w:rPr>
      </w:pPr>
      <w:r>
        <w:rPr>
          <w:sz w:val="20"/>
        </w:rPr>
        <w:t>Fuente: Elaboración propia con información de la Junta de Caminos del Estado de México, Gobierno del Estado de México 2007.</w:t>
      </w:r>
    </w:p>
    <w:p>
      <w:pPr>
        <w:pStyle w:val="BodyText"/>
        <w:spacing w:before="1"/>
        <w:rPr>
          <w:sz w:val="20"/>
        </w:rPr>
      </w:pPr>
    </w:p>
    <w:p>
      <w:pPr>
        <w:pStyle w:val="BodyText"/>
        <w:spacing w:line="360" w:lineRule="auto"/>
        <w:ind w:left="102" w:right="118"/>
        <w:jc w:val="both"/>
      </w:pPr>
      <w:r>
        <w:rPr/>
        <w:t>En el comportamiento individual de los 21 municipios se observa un patrón diferente destacando Tianguistenco con 1.87% y Tenango del Valle con 2.65%  que se localizan en la tercera franja con respecto al municipio de Otzolotepec </w:t>
      </w:r>
      <w:r>
        <w:rPr>
          <w:spacing w:val="41"/>
        </w:rPr>
        <w:t> </w:t>
      </w:r>
      <w:r>
        <w:rPr/>
        <w:t>con</w:t>
      </w:r>
    </w:p>
    <w:p>
      <w:pPr>
        <w:spacing w:after="0" w:line="360" w:lineRule="auto"/>
        <w:jc w:val="both"/>
        <w:sectPr>
          <w:type w:val="continuous"/>
          <w:pgSz w:w="12240" w:h="15840"/>
          <w:pgMar w:top="1500" w:bottom="280" w:left="1600" w:right="1580"/>
        </w:sectPr>
      </w:pPr>
    </w:p>
    <w:p>
      <w:pPr>
        <w:pStyle w:val="BodyText"/>
        <w:spacing w:line="360" w:lineRule="auto" w:before="54"/>
        <w:ind w:left="122" w:right="119"/>
        <w:jc w:val="both"/>
      </w:pPr>
      <w:r>
        <w:rPr/>
        <w:t>1.65%, San Mateo Atenco con 2.38% y Mexicalzingo con 1.98% mismos que pertenecen al área central de Toluca. En tanto que otros municipios como San Antonio la Isla con 0.40% Chapultepec 0.36%, Rayón 0.15% y Capulhuac con 0.21% que son municipios de la periferia intermedia con menos interrelación funcional, aunque mayores a las que reporta la delimitación Interinstitucional. (Ver gráfica 16 y  anexos cuadro A 4.18).</w:t>
      </w:r>
    </w:p>
    <w:p>
      <w:pPr>
        <w:pStyle w:val="BodyText"/>
        <w:spacing w:before="7"/>
      </w:pPr>
    </w:p>
    <w:p>
      <w:pPr>
        <w:pStyle w:val="BodyText"/>
        <w:spacing w:line="360" w:lineRule="auto"/>
        <w:ind w:left="122" w:right="115"/>
        <w:jc w:val="both"/>
      </w:pPr>
      <w:r>
        <w:rPr/>
        <w:t>En cuanto a los motivos de los traslados dentro de la ZMT, el principal motivo de los desplazamientos es el trabajo con 22,485 encuestados, seguido de paseo 6,973 y la más baja es la de educación con 467. Toluca el que mayor dinamismo tiene al ser el principal nodo de empleo que recibe 6,555 desplazamientos. En los desplazamientos intra metropolitanos por compras, los municipios de Toluca, Lerma y Metepec son los de mayor flujo de personas. El municipio de Lerma se posiciona como un nodo de atractividad por motivo de compras, Metepec en este rubro pese  a  contener las  tiendas de  mayor exclusividad,  las  plazas  y  centros</w:t>
      </w:r>
    </w:p>
    <w:p>
      <w:pPr>
        <w:pStyle w:val="BodyText"/>
        <w:spacing w:line="281" w:lineRule="exact"/>
        <w:ind w:left="122"/>
        <w:jc w:val="both"/>
      </w:pPr>
      <w:r>
        <w:rPr/>
        <w:t>comerciales más grandes, apenas se posiciona con 2 encuestas</w:t>
      </w:r>
      <w:r>
        <w:rPr>
          <w:position w:val="11"/>
          <w:sz w:val="16"/>
        </w:rPr>
        <w:t>21</w:t>
      </w:r>
      <w:r>
        <w:rPr/>
        <w:t>.</w:t>
      </w:r>
    </w:p>
    <w:p>
      <w:pPr>
        <w:pStyle w:val="BodyText"/>
        <w:spacing w:before="3"/>
        <w:rPr>
          <w:sz w:val="36"/>
        </w:rPr>
      </w:pPr>
    </w:p>
    <w:p>
      <w:pPr>
        <w:pStyle w:val="BodyText"/>
        <w:spacing w:line="360" w:lineRule="auto"/>
        <w:ind w:left="122" w:right="120"/>
        <w:jc w:val="both"/>
      </w:pPr>
      <w:r>
        <w:rPr/>
        <w:t>En suma, los movimientos intra ZMT son todavía centrales porque los empleos se ubican en esa parte de la zona metropolitana, la parte intermedia es un espacio dependiente de las condiciones económicas centrales, el ámbito externo tiene algo más pero también genera movimientos económicamente dependientes.</w:t>
      </w:r>
    </w:p>
    <w:p>
      <w:pPr>
        <w:pStyle w:val="BodyText"/>
        <w:spacing w:before="7"/>
      </w:pPr>
    </w:p>
    <w:p>
      <w:pPr>
        <w:spacing w:before="0"/>
        <w:ind w:left="122" w:right="0" w:firstLine="0"/>
        <w:jc w:val="both"/>
        <w:rPr>
          <w:i/>
          <w:sz w:val="24"/>
        </w:rPr>
      </w:pPr>
      <w:r>
        <w:rPr>
          <w:i/>
          <w:sz w:val="24"/>
        </w:rPr>
        <w:t>Movimientos desde y hacia la ZMT dentro del Estado de México</w:t>
      </w:r>
    </w:p>
    <w:p>
      <w:pPr>
        <w:pStyle w:val="BodyText"/>
        <w:rPr>
          <w:i/>
        </w:rPr>
      </w:pPr>
    </w:p>
    <w:p>
      <w:pPr>
        <w:pStyle w:val="BodyText"/>
        <w:spacing w:line="360" w:lineRule="auto" w:before="144"/>
        <w:ind w:left="122" w:right="119"/>
        <w:jc w:val="both"/>
      </w:pPr>
      <w:r>
        <w:rPr/>
        <w:t>Los movimientos desde la Zona Metropolitana de Toluca, es decir que tienen origen en cualquiera de 21 municipios, excepto Texcalyacac y con destino en la entidad, lo hacen a un total de 67 municipios mexiquense, </w:t>
      </w:r>
      <w:r>
        <w:rPr>
          <w:spacing w:val="2"/>
        </w:rPr>
        <w:t>los </w:t>
      </w:r>
      <w:r>
        <w:rPr/>
        <w:t>movimientos dentro de la entidad totalizan con 7494, en conjunto se trata de las relaciones funcionales que la ZMT genera en la entidad, lo cual reporta las relaciones de ida y vuelta de  la ciudad. Los movimientos oscilan entre una frecuencia que son Chimalhuacán,</w:t>
      </w:r>
      <w:r>
        <w:rPr>
          <w:spacing w:val="50"/>
        </w:rPr>
        <w:t> </w:t>
      </w:r>
      <w:r>
        <w:rPr/>
        <w:t>o</w:t>
      </w:r>
    </w:p>
    <w:p>
      <w:pPr>
        <w:pStyle w:val="BodyText"/>
        <w:spacing w:before="11"/>
        <w:rPr>
          <w:sz w:val="20"/>
        </w:rPr>
      </w:pPr>
      <w:r>
        <w:rPr/>
        <w:pict>
          <v:line style="position:absolute;mso-position-horizontal-relative:page;mso-position-vertical-relative:paragraph;z-index:4768;mso-wrap-distance-left:0;mso-wrap-distance-right:0" from="85.103996pt,14.393898pt" to="229.123996pt,14.393898pt" stroked="true" strokeweight=".72003pt" strokecolor="#000000">
            <w10:wrap type="topAndBottom"/>
          </v:line>
        </w:pict>
      </w:r>
    </w:p>
    <w:p>
      <w:pPr>
        <w:spacing w:before="37"/>
        <w:ind w:left="122" w:right="121" w:firstLine="0"/>
        <w:jc w:val="both"/>
        <w:rPr>
          <w:rFonts w:ascii="Calibri" w:hAnsi="Calibri"/>
          <w:sz w:val="20"/>
        </w:rPr>
      </w:pPr>
      <w:r>
        <w:rPr>
          <w:rFonts w:ascii="Calibri" w:hAnsi="Calibri"/>
          <w:position w:val="10"/>
          <w:sz w:val="13"/>
        </w:rPr>
        <w:t>21 </w:t>
      </w:r>
      <w:r>
        <w:rPr>
          <w:rFonts w:ascii="Calibri" w:hAnsi="Calibri"/>
          <w:sz w:val="20"/>
        </w:rPr>
        <w:t>Existe un tendencia en el dato de las encuestas, por la ubicación de las estaciones que predominan hacia  la parte oriente de la ZMT, además de que la información es parte de una muestra de los conductores que circulan por los ejes</w:t>
      </w:r>
      <w:r>
        <w:rPr>
          <w:rFonts w:ascii="Calibri" w:hAnsi="Calibri"/>
          <w:spacing w:val="-11"/>
          <w:sz w:val="20"/>
        </w:rPr>
        <w:t> </w:t>
      </w:r>
      <w:r>
        <w:rPr>
          <w:rFonts w:ascii="Calibri" w:hAnsi="Calibri"/>
          <w:sz w:val="20"/>
        </w:rPr>
        <w:t>principales.</w:t>
      </w:r>
    </w:p>
    <w:p>
      <w:pPr>
        <w:spacing w:after="0"/>
        <w:jc w:val="both"/>
        <w:rPr>
          <w:rFonts w:ascii="Calibri" w:hAnsi="Calibri"/>
          <w:sz w:val="20"/>
        </w:rPr>
        <w:sectPr>
          <w:pgSz w:w="12240" w:h="15840"/>
          <w:pgMar w:header="0" w:footer="659" w:top="1360" w:bottom="840" w:left="1580" w:right="1580"/>
        </w:sectPr>
      </w:pPr>
    </w:p>
    <w:p>
      <w:pPr>
        <w:pStyle w:val="BodyText"/>
        <w:spacing w:line="360" w:lineRule="auto" w:before="54"/>
        <w:ind w:left="102" w:right="117"/>
        <w:jc w:val="both"/>
      </w:pPr>
      <w:r>
        <w:rPr/>
        <w:t>Polotitlan y de otra parte destacan Ixtlahuaca (992), Atlacomulco (729), Valle de Bravo (634), Villa Victoria (374) y Tenancingo (280) (ver gráfica No.17 y anexos A.4.16).</w:t>
      </w:r>
    </w:p>
    <w:p>
      <w:pPr>
        <w:pStyle w:val="BodyText"/>
        <w:spacing w:before="10"/>
      </w:pPr>
    </w:p>
    <w:p>
      <w:pPr>
        <w:pStyle w:val="BodyText"/>
        <w:spacing w:line="360" w:lineRule="auto"/>
        <w:ind w:left="102" w:right="118"/>
        <w:jc w:val="both"/>
      </w:pPr>
      <w:r>
        <w:rPr/>
        <w:t>Por otra parte, del municipio de Toluca surgen la mayor cantidad de traslados señalando, además los primeros 5 lugares en salidas corresponden a los municipios del AUC, en tanto que desde el ámbito de interrelación intermedia, salen desde Xonacatlan y Temoaya y de Tenango del Valle, en la parte externa.</w:t>
      </w:r>
    </w:p>
    <w:p>
      <w:pPr>
        <w:pStyle w:val="BodyText"/>
        <w:spacing w:before="8"/>
      </w:pPr>
    </w:p>
    <w:p>
      <w:pPr>
        <w:pStyle w:val="BodyText"/>
        <w:spacing w:line="360" w:lineRule="auto"/>
        <w:ind w:left="102" w:right="115"/>
        <w:jc w:val="both"/>
      </w:pPr>
      <w:r>
        <w:rPr/>
        <w:t>Las salidas de la población se deben principalmente por motivos laborales, </w:t>
      </w:r>
      <w:r>
        <w:rPr>
          <w:spacing w:val="5"/>
        </w:rPr>
        <w:t>es </w:t>
      </w:r>
      <w:r>
        <w:rPr/>
        <w:t>decir que la población activa que reside en alguno de los 22 municipios depende del entorno estatal para encontrar empleo; son 4,946 los que se trasladan por trabajo; de ellos 3,570 se originan desde el municipio de Toluca, le siguen los de Lerma con 269, en contraparte el municipio Almoloya del Río registra únicamente una salida. Destacan con mayor número de movimientos por motivos de trabajo, hacia los municipios de Ixtlahuaca con 624, Naucalpan con 556 y Valle de Bravo con 374. (ver gráficas 17 y 18 anexo cuadro A 4.16 y A 4.17</w:t>
      </w:r>
      <w:r>
        <w:rPr>
          <w:spacing w:val="-15"/>
        </w:rPr>
        <w:t> </w:t>
      </w:r>
      <w:r>
        <w:rPr/>
        <w:t>).</w:t>
      </w:r>
    </w:p>
    <w:p>
      <w:pPr>
        <w:pStyle w:val="BodyText"/>
        <w:spacing w:before="2"/>
        <w:rPr>
          <w:sz w:val="18"/>
        </w:rPr>
      </w:pPr>
    </w:p>
    <w:p>
      <w:pPr>
        <w:spacing w:before="74"/>
        <w:ind w:left="545" w:right="296" w:firstLine="0"/>
        <w:jc w:val="left"/>
        <w:rPr>
          <w:sz w:val="20"/>
        </w:rPr>
      </w:pPr>
      <w:r>
        <w:rPr>
          <w:sz w:val="20"/>
        </w:rPr>
        <w:t>Gráfica 17. Principales municipios de origen en los traslados dentro del Estado de México</w:t>
      </w:r>
    </w:p>
    <w:p>
      <w:pPr>
        <w:spacing w:before="27"/>
        <w:ind w:left="360" w:right="0" w:firstLine="0"/>
        <w:jc w:val="left"/>
        <w:rPr>
          <w:rFonts w:ascii="Calibri"/>
          <w:sz w:val="20"/>
        </w:rPr>
      </w:pPr>
      <w:r>
        <w:rPr/>
        <w:pict>
          <v:group style="position:absolute;margin-left:108.824997pt;margin-top:7.616492pt;width:408.05pt;height:129.15pt;mso-position-horizontal-relative:page;mso-position-vertical-relative:paragraph;z-index:5152" coordorigin="2176,152" coordsize="8161,2583">
            <v:shape style="position:absolute;left:2390;top:537;width:5895;height:2124" coordorigin="2390,537" coordsize="5895,2124" path="m2580,537l2390,537,2390,2661,2580,2661,2580,537m3055,661l2866,661,2866,2661,3055,2661,3055,661m3530,1036l3341,1036,3341,2661,3530,2661,3530,1036m4006,1245l3816,1245,3816,2661,4006,2661,4006,1245m4481,1869l4291,1869,4291,2661,4481,2661,4481,1869m4958,1912l4766,1912,4766,2661,4958,2661,4958,1912m5434,2037l5242,2037,5242,2661,5434,2661,5434,2037m5909,2202l5719,2202,5719,2661,5909,2661,5909,2202m6384,2202l6194,2202,6194,2661,6384,2661,6384,2202m6859,2243l6670,2243,6670,2661,6859,2661,6859,2243m7334,2411l7145,2411,7145,2661,7334,2661,7334,2411m7810,2452l7620,2452,7620,2661,7810,2661,7810,2452m8285,2495l8095,2495,8095,2661,8285,2661,8285,2495e" filled="true" fillcolor="#4f81bc" stroked="false">
              <v:path arrowok="t"/>
              <v:fill type="solid"/>
            </v:shape>
            <v:shape style="position:absolute;left:8570;top:2640;width:1618;height:2" coordorigin="8570,2640" coordsize="1618,0" path="m8570,2640l8760,2640m9046,2640l9238,2640m9521,2640l9713,2640m9998,2640l10188,2640e" filled="false" stroked="true" strokeweight="2.04pt" strokecolor="#4f81bc">
              <v:path arrowok="t"/>
            </v:shape>
            <v:shape style="position:absolute;left:2184;top:160;width:8146;height:2568" coordorigin="2184,160" coordsize="8146,2568" path="m2246,2661l2246,160m2184,2661l2246,2661m2184,2243l2246,2243m2184,1828l2246,1828m2184,1410l2246,1410m2184,995l2246,995m2184,577l2246,577m2184,160l2246,160m2246,2661l10330,2661m2246,2661l2246,2728m2722,2661l2722,2728m3199,2661l3199,2728m3674,2661l3674,2728m4150,2661l4150,2728m4625,2661l4625,2728m5100,2661l5100,2728m5575,2661l5575,2728m6050,2661l6050,2728m6526,2661l6526,2728m7001,2661l7001,2728m7478,2661l7478,2728m7954,2661l7954,2728m8429,2661l8429,2728m8904,2661l8904,2728m9379,2661l9379,2728m9854,2661l9854,2728m10330,2661l10330,2728e" filled="false" stroked="true" strokeweight=".72pt" strokecolor="#858585">
              <v:path arrowok="t"/>
            </v:shape>
            <v:rect style="position:absolute;left:6638;top:465;width:110;height:108" filled="true" fillcolor="#4f81bc" stroked="false">
              <v:fill type="solid"/>
            </v:rect>
            <v:shape style="position:absolute;left:2358;top:242;width:253;height:200" type="#_x0000_t202" filled="false" stroked="false">
              <v:textbox inset="0,0,0,0">
                <w:txbxContent>
                  <w:p>
                    <w:pPr>
                      <w:spacing w:line="199" w:lineRule="exact" w:before="0"/>
                      <w:ind w:left="0" w:right="-8" w:firstLine="0"/>
                      <w:jc w:val="left"/>
                      <w:rPr>
                        <w:rFonts w:ascii="Calibri"/>
                        <w:sz w:val="20"/>
                      </w:rPr>
                    </w:pPr>
                    <w:r>
                      <w:rPr>
                        <w:rFonts w:ascii="Calibri"/>
                        <w:w w:val="95"/>
                        <w:sz w:val="20"/>
                      </w:rPr>
                      <w:t>5.1</w:t>
                    </w:r>
                  </w:p>
                </w:txbxContent>
              </v:textbox>
              <w10:wrap type="none"/>
            </v:shape>
            <v:shape style="position:absolute;left:2834;top:367;width:253;height:200" type="#_x0000_t202" filled="false" stroked="false">
              <v:textbox inset="0,0,0,0">
                <w:txbxContent>
                  <w:p>
                    <w:pPr>
                      <w:spacing w:line="199" w:lineRule="exact" w:before="0"/>
                      <w:ind w:left="0" w:right="-8" w:firstLine="0"/>
                      <w:jc w:val="left"/>
                      <w:rPr>
                        <w:rFonts w:ascii="Calibri"/>
                        <w:sz w:val="20"/>
                      </w:rPr>
                    </w:pPr>
                    <w:r>
                      <w:rPr>
                        <w:rFonts w:ascii="Calibri"/>
                        <w:w w:val="95"/>
                        <w:sz w:val="20"/>
                      </w:rPr>
                      <w:t>4.8</w:t>
                    </w:r>
                  </w:p>
                </w:txbxContent>
              </v:textbox>
              <w10:wrap type="none"/>
            </v:shape>
            <v:shape style="position:absolute;left:6797;top:426;width:1876;height:200" type="#_x0000_t202" filled="false" stroked="false">
              <v:textbox inset="0,0,0,0">
                <w:txbxContent>
                  <w:p>
                    <w:pPr>
                      <w:spacing w:line="199" w:lineRule="exact" w:before="0"/>
                      <w:ind w:left="0" w:right="-15" w:firstLine="0"/>
                      <w:jc w:val="left"/>
                      <w:rPr>
                        <w:rFonts w:ascii="Calibri"/>
                        <w:sz w:val="20"/>
                      </w:rPr>
                    </w:pPr>
                    <w:r>
                      <w:rPr>
                        <w:rFonts w:ascii="Calibri"/>
                        <w:sz w:val="20"/>
                      </w:rPr>
                      <w:t>origen de</w:t>
                    </w:r>
                    <w:r>
                      <w:rPr>
                        <w:rFonts w:ascii="Calibri"/>
                        <w:spacing w:val="-7"/>
                        <w:sz w:val="20"/>
                      </w:rPr>
                      <w:t> </w:t>
                    </w:r>
                    <w:r>
                      <w:rPr>
                        <w:rFonts w:ascii="Calibri"/>
                        <w:sz w:val="20"/>
                      </w:rPr>
                      <w:t>movimientos</w:t>
                    </w:r>
                  </w:p>
                </w:txbxContent>
              </v:textbox>
              <w10:wrap type="none"/>
            </v:shape>
            <v:shape style="position:absolute;left:3310;top:742;width:253;height:200" type="#_x0000_t202" filled="false" stroked="false">
              <v:textbox inset="0,0,0,0">
                <w:txbxContent>
                  <w:p>
                    <w:pPr>
                      <w:spacing w:line="199" w:lineRule="exact" w:before="0"/>
                      <w:ind w:left="0" w:right="-8" w:firstLine="0"/>
                      <w:jc w:val="left"/>
                      <w:rPr>
                        <w:rFonts w:ascii="Calibri"/>
                        <w:sz w:val="20"/>
                      </w:rPr>
                    </w:pPr>
                    <w:r>
                      <w:rPr>
                        <w:rFonts w:ascii="Calibri"/>
                        <w:w w:val="95"/>
                        <w:sz w:val="20"/>
                      </w:rPr>
                      <w:t>3.9</w:t>
                    </w:r>
                  </w:p>
                </w:txbxContent>
              </v:textbox>
              <w10:wrap type="none"/>
            </v:shape>
            <v:shape style="position:absolute;left:3785;top:950;width:253;height:200" type="#_x0000_t202" filled="false" stroked="false">
              <v:textbox inset="0,0,0,0">
                <w:txbxContent>
                  <w:p>
                    <w:pPr>
                      <w:spacing w:line="199" w:lineRule="exact" w:before="0"/>
                      <w:ind w:left="0" w:right="-8" w:firstLine="0"/>
                      <w:jc w:val="left"/>
                      <w:rPr>
                        <w:rFonts w:ascii="Calibri"/>
                        <w:sz w:val="20"/>
                      </w:rPr>
                    </w:pPr>
                    <w:r>
                      <w:rPr>
                        <w:rFonts w:ascii="Calibri"/>
                        <w:w w:val="95"/>
                        <w:sz w:val="20"/>
                      </w:rPr>
                      <w:t>3.4</w:t>
                    </w:r>
                  </w:p>
                </w:txbxContent>
              </v:textbox>
              <w10:wrap type="none"/>
            </v:shape>
            <v:shape style="position:absolute;left:4260;top:1576;width:253;height:200" type="#_x0000_t202" filled="false" stroked="false">
              <v:textbox inset="0,0,0,0">
                <w:txbxContent>
                  <w:p>
                    <w:pPr>
                      <w:spacing w:line="199" w:lineRule="exact" w:before="0"/>
                      <w:ind w:left="0" w:right="-8" w:firstLine="0"/>
                      <w:jc w:val="left"/>
                      <w:rPr>
                        <w:rFonts w:ascii="Calibri"/>
                        <w:sz w:val="20"/>
                      </w:rPr>
                    </w:pPr>
                    <w:r>
                      <w:rPr>
                        <w:rFonts w:ascii="Calibri"/>
                        <w:w w:val="95"/>
                        <w:sz w:val="20"/>
                      </w:rPr>
                      <w:t>1.9</w:t>
                    </w:r>
                  </w:p>
                </w:txbxContent>
              </v:textbox>
              <w10:wrap type="none"/>
            </v:shape>
            <v:shape style="position:absolute;left:4736;top:1617;width:253;height:200" type="#_x0000_t202" filled="false" stroked="false">
              <v:textbox inset="0,0,0,0">
                <w:txbxContent>
                  <w:p>
                    <w:pPr>
                      <w:spacing w:line="199" w:lineRule="exact" w:before="0"/>
                      <w:ind w:left="0" w:right="-8" w:firstLine="0"/>
                      <w:jc w:val="left"/>
                      <w:rPr>
                        <w:rFonts w:ascii="Calibri"/>
                        <w:sz w:val="20"/>
                      </w:rPr>
                    </w:pPr>
                    <w:r>
                      <w:rPr>
                        <w:rFonts w:ascii="Calibri"/>
                        <w:w w:val="95"/>
                        <w:sz w:val="20"/>
                      </w:rPr>
                      <w:t>1.8</w:t>
                    </w:r>
                  </w:p>
                </w:txbxContent>
              </v:textbox>
              <w10:wrap type="none"/>
            </v:shape>
            <v:shape style="position:absolute;left:5212;top:1742;width:253;height:200" type="#_x0000_t202" filled="false" stroked="false">
              <v:textbox inset="0,0,0,0">
                <w:txbxContent>
                  <w:p>
                    <w:pPr>
                      <w:spacing w:line="199" w:lineRule="exact" w:before="0"/>
                      <w:ind w:left="0" w:right="-8" w:firstLine="0"/>
                      <w:jc w:val="left"/>
                      <w:rPr>
                        <w:rFonts w:ascii="Calibri"/>
                        <w:sz w:val="20"/>
                      </w:rPr>
                    </w:pPr>
                    <w:r>
                      <w:rPr>
                        <w:rFonts w:ascii="Calibri"/>
                        <w:w w:val="95"/>
                        <w:sz w:val="20"/>
                      </w:rPr>
                      <w:t>1.5</w:t>
                    </w:r>
                  </w:p>
                </w:txbxContent>
              </v:textbox>
              <w10:wrap type="none"/>
            </v:shape>
            <v:shape style="position:absolute;left:5687;top:1909;width:729;height:200" type="#_x0000_t202" filled="false" stroked="false">
              <v:textbox inset="0,0,0,0">
                <w:txbxContent>
                  <w:p>
                    <w:pPr>
                      <w:tabs>
                        <w:tab w:pos="475" w:val="left" w:leader="none"/>
                      </w:tabs>
                      <w:spacing w:line="199" w:lineRule="exact" w:before="0"/>
                      <w:ind w:left="0" w:right="0" w:firstLine="0"/>
                      <w:jc w:val="left"/>
                      <w:rPr>
                        <w:rFonts w:ascii="Calibri"/>
                        <w:sz w:val="20"/>
                      </w:rPr>
                    </w:pPr>
                    <w:r>
                      <w:rPr>
                        <w:rFonts w:ascii="Calibri"/>
                        <w:sz w:val="20"/>
                      </w:rPr>
                      <w:t>1.1</w:t>
                      <w:tab/>
                      <w:t>1.1</w:t>
                    </w:r>
                  </w:p>
                </w:txbxContent>
              </v:textbox>
              <w10:wrap type="none"/>
            </v:shape>
            <v:shape style="position:absolute;left:6715;top:1951;width:101;height:200" type="#_x0000_t202" filled="false" stroked="false">
              <v:textbox inset="0,0,0,0">
                <w:txbxContent>
                  <w:p>
                    <w:pPr>
                      <w:spacing w:line="199" w:lineRule="exact" w:before="0"/>
                      <w:ind w:left="0" w:right="0" w:firstLine="0"/>
                      <w:jc w:val="left"/>
                      <w:rPr>
                        <w:rFonts w:ascii="Calibri"/>
                        <w:sz w:val="20"/>
                      </w:rPr>
                    </w:pPr>
                    <w:r>
                      <w:rPr>
                        <w:rFonts w:ascii="Calibri"/>
                        <w:w w:val="99"/>
                        <w:sz w:val="20"/>
                      </w:rPr>
                      <w:t>1</w:t>
                    </w:r>
                  </w:p>
                </w:txbxContent>
              </v:textbox>
              <w10:wrap type="none"/>
            </v:shape>
            <v:shape style="position:absolute;left:7114;top:2117;width:253;height:200" type="#_x0000_t202" filled="false" stroked="false">
              <v:textbox inset="0,0,0,0">
                <w:txbxContent>
                  <w:p>
                    <w:pPr>
                      <w:spacing w:line="199" w:lineRule="exact" w:before="0"/>
                      <w:ind w:left="0" w:right="-8" w:firstLine="0"/>
                      <w:jc w:val="left"/>
                      <w:rPr>
                        <w:rFonts w:ascii="Calibri"/>
                        <w:sz w:val="20"/>
                      </w:rPr>
                    </w:pPr>
                    <w:r>
                      <w:rPr>
                        <w:rFonts w:ascii="Calibri"/>
                        <w:w w:val="95"/>
                        <w:sz w:val="20"/>
                      </w:rPr>
                      <w:t>0.6</w:t>
                    </w:r>
                  </w:p>
                </w:txbxContent>
              </v:textbox>
              <w10:wrap type="none"/>
            </v:shape>
            <v:shape style="position:absolute;left:7589;top:2159;width:253;height:200" type="#_x0000_t202" filled="false" stroked="false">
              <v:textbox inset="0,0,0,0">
                <w:txbxContent>
                  <w:p>
                    <w:pPr>
                      <w:spacing w:line="199" w:lineRule="exact" w:before="0"/>
                      <w:ind w:left="0" w:right="-8" w:firstLine="0"/>
                      <w:jc w:val="left"/>
                      <w:rPr>
                        <w:rFonts w:ascii="Calibri"/>
                        <w:sz w:val="20"/>
                      </w:rPr>
                    </w:pPr>
                    <w:r>
                      <w:rPr>
                        <w:rFonts w:ascii="Calibri"/>
                        <w:w w:val="95"/>
                        <w:sz w:val="20"/>
                      </w:rPr>
                      <w:t>0.5</w:t>
                    </w:r>
                  </w:p>
                </w:txbxContent>
              </v:textbox>
              <w10:wrap type="none"/>
            </v:shape>
            <v:shape style="position:absolute;left:8065;top:2201;width:253;height:200" type="#_x0000_t202" filled="false" stroked="false">
              <v:textbox inset="0,0,0,0">
                <w:txbxContent>
                  <w:p>
                    <w:pPr>
                      <w:spacing w:line="199" w:lineRule="exact" w:before="0"/>
                      <w:ind w:left="0" w:right="-8" w:firstLine="0"/>
                      <w:jc w:val="left"/>
                      <w:rPr>
                        <w:rFonts w:ascii="Calibri"/>
                        <w:sz w:val="20"/>
                      </w:rPr>
                    </w:pPr>
                    <w:r>
                      <w:rPr>
                        <w:rFonts w:ascii="Calibri"/>
                        <w:w w:val="95"/>
                        <w:sz w:val="20"/>
                      </w:rPr>
                      <w:t>0.4</w:t>
                    </w:r>
                  </w:p>
                </w:txbxContent>
              </v:textbox>
              <w10:wrap type="none"/>
            </v:shape>
            <v:shape style="position:absolute;left:8541;top:2325;width:1679;height:200" type="#_x0000_t202" filled="false" stroked="false">
              <v:textbox inset="0,0,0,0">
                <w:txbxContent>
                  <w:p>
                    <w:pPr>
                      <w:tabs>
                        <w:tab w:pos="475" w:val="left" w:leader="none"/>
                        <w:tab w:pos="950" w:val="left" w:leader="none"/>
                        <w:tab w:pos="1426" w:val="left" w:leader="none"/>
                      </w:tabs>
                      <w:spacing w:line="199" w:lineRule="exact" w:before="0"/>
                      <w:ind w:left="0" w:right="0" w:firstLine="0"/>
                      <w:jc w:val="left"/>
                      <w:rPr>
                        <w:rFonts w:ascii="Calibri"/>
                        <w:sz w:val="20"/>
                      </w:rPr>
                    </w:pPr>
                    <w:r>
                      <w:rPr>
                        <w:rFonts w:ascii="Calibri"/>
                        <w:sz w:val="20"/>
                      </w:rPr>
                      <w:t>0.1</w:t>
                      <w:tab/>
                      <w:t>0.1</w:t>
                      <w:tab/>
                      <w:t>0.1</w:t>
                      <w:tab/>
                    </w:r>
                    <w:r>
                      <w:rPr>
                        <w:rFonts w:ascii="Calibri"/>
                        <w:w w:val="95"/>
                        <w:sz w:val="20"/>
                      </w:rPr>
                      <w:t>0.1</w:t>
                    </w:r>
                  </w:p>
                </w:txbxContent>
              </v:textbox>
              <w10:wrap type="none"/>
            </v:shape>
            <w10:wrap type="none"/>
          </v:group>
        </w:pict>
      </w:r>
      <w:r>
        <w:rPr>
          <w:rFonts w:ascii="Calibri"/>
          <w:w w:val="99"/>
          <w:sz w:val="20"/>
        </w:rPr>
        <w:t>6</w:t>
      </w:r>
    </w:p>
    <w:p>
      <w:pPr>
        <w:spacing w:before="172"/>
        <w:ind w:left="360" w:right="0" w:firstLine="0"/>
        <w:jc w:val="left"/>
        <w:rPr>
          <w:rFonts w:ascii="Calibri"/>
          <w:sz w:val="20"/>
        </w:rPr>
      </w:pPr>
      <w:r>
        <w:rPr>
          <w:rFonts w:ascii="Calibri"/>
          <w:w w:val="99"/>
          <w:sz w:val="20"/>
        </w:rPr>
        <w:t>5</w:t>
      </w:r>
    </w:p>
    <w:p>
      <w:pPr>
        <w:spacing w:before="172"/>
        <w:ind w:left="360" w:right="0" w:firstLine="0"/>
        <w:jc w:val="left"/>
        <w:rPr>
          <w:rFonts w:ascii="Calibri"/>
          <w:sz w:val="20"/>
        </w:rPr>
      </w:pPr>
      <w:r>
        <w:rPr>
          <w:rFonts w:ascii="Calibri"/>
          <w:w w:val="99"/>
          <w:sz w:val="20"/>
        </w:rPr>
        <w:t>4</w:t>
      </w:r>
    </w:p>
    <w:p>
      <w:pPr>
        <w:spacing w:before="172"/>
        <w:ind w:left="360" w:right="0" w:firstLine="0"/>
        <w:jc w:val="left"/>
        <w:rPr>
          <w:rFonts w:ascii="Calibri"/>
          <w:sz w:val="20"/>
        </w:rPr>
      </w:pPr>
      <w:r>
        <w:rPr>
          <w:rFonts w:ascii="Calibri"/>
          <w:w w:val="99"/>
          <w:sz w:val="20"/>
        </w:rPr>
        <w:t>3</w:t>
      </w:r>
    </w:p>
    <w:p>
      <w:pPr>
        <w:pStyle w:val="BodyText"/>
        <w:spacing w:before="4"/>
        <w:rPr>
          <w:rFonts w:ascii="Calibri"/>
          <w:sz w:val="9"/>
        </w:rPr>
      </w:pPr>
    </w:p>
    <w:p>
      <w:pPr>
        <w:spacing w:before="59"/>
        <w:ind w:left="360" w:right="0" w:firstLine="0"/>
        <w:jc w:val="left"/>
        <w:rPr>
          <w:rFonts w:ascii="Calibri"/>
          <w:sz w:val="20"/>
        </w:rPr>
      </w:pPr>
      <w:r>
        <w:rPr>
          <w:rFonts w:ascii="Calibri"/>
          <w:w w:val="99"/>
          <w:sz w:val="20"/>
        </w:rPr>
        <w:t>2</w:t>
      </w:r>
    </w:p>
    <w:p>
      <w:pPr>
        <w:spacing w:before="172"/>
        <w:ind w:left="360" w:right="0" w:firstLine="0"/>
        <w:jc w:val="left"/>
        <w:rPr>
          <w:rFonts w:ascii="Calibri"/>
          <w:sz w:val="20"/>
        </w:rPr>
      </w:pPr>
      <w:r>
        <w:rPr>
          <w:rFonts w:ascii="Calibri"/>
          <w:w w:val="99"/>
          <w:sz w:val="20"/>
        </w:rPr>
        <w:t>1</w:t>
      </w:r>
    </w:p>
    <w:p>
      <w:pPr>
        <w:spacing w:before="172"/>
        <w:ind w:left="360" w:right="0" w:firstLine="0"/>
        <w:jc w:val="left"/>
        <w:rPr>
          <w:rFonts w:ascii="Calibri"/>
          <w:sz w:val="20"/>
        </w:rPr>
      </w:pPr>
      <w:r>
        <w:rPr/>
        <w:drawing>
          <wp:anchor distT="0" distB="0" distL="0" distR="0" allowOverlap="1" layoutInCell="1" locked="0" behindDoc="0" simplePos="0" relativeHeight="4792">
            <wp:simplePos x="0" y="0"/>
            <wp:positionH relativeFrom="page">
              <wp:posOffset>1217294</wp:posOffset>
            </wp:positionH>
            <wp:positionV relativeFrom="paragraph">
              <wp:posOffset>330345</wp:posOffset>
            </wp:positionV>
            <wp:extent cx="5217043" cy="776287"/>
            <wp:effectExtent l="0" t="0" r="0" b="0"/>
            <wp:wrapTopAndBottom/>
            <wp:docPr id="37" name="image30.png" descr=""/>
            <wp:cNvGraphicFramePr>
              <a:graphicFrameLocks noChangeAspect="1"/>
            </wp:cNvGraphicFramePr>
            <a:graphic>
              <a:graphicData uri="http://schemas.openxmlformats.org/drawingml/2006/picture">
                <pic:pic>
                  <pic:nvPicPr>
                    <pic:cNvPr id="38" name="image30.png"/>
                    <pic:cNvPicPr/>
                  </pic:nvPicPr>
                  <pic:blipFill>
                    <a:blip r:embed="rId53" cstate="print"/>
                    <a:stretch>
                      <a:fillRect/>
                    </a:stretch>
                  </pic:blipFill>
                  <pic:spPr>
                    <a:xfrm>
                      <a:off x="0" y="0"/>
                      <a:ext cx="5217043" cy="776287"/>
                    </a:xfrm>
                    <a:prstGeom prst="rect">
                      <a:avLst/>
                    </a:prstGeom>
                  </pic:spPr>
                </pic:pic>
              </a:graphicData>
            </a:graphic>
          </wp:anchor>
        </w:drawing>
      </w:r>
      <w:r>
        <w:rPr>
          <w:rFonts w:ascii="Calibri"/>
          <w:w w:val="99"/>
          <w:sz w:val="20"/>
        </w:rPr>
        <w:t>0</w:t>
      </w:r>
    </w:p>
    <w:p>
      <w:pPr>
        <w:pStyle w:val="BodyText"/>
        <w:rPr>
          <w:rFonts w:ascii="Calibri"/>
          <w:sz w:val="20"/>
        </w:rPr>
      </w:pPr>
    </w:p>
    <w:p>
      <w:pPr>
        <w:pStyle w:val="BodyText"/>
        <w:spacing w:before="6"/>
        <w:rPr>
          <w:rFonts w:ascii="Calibri"/>
          <w:sz w:val="15"/>
        </w:rPr>
      </w:pPr>
    </w:p>
    <w:p>
      <w:pPr>
        <w:spacing w:line="229" w:lineRule="exact" w:before="0"/>
        <w:ind w:left="120" w:right="146" w:firstLine="0"/>
        <w:jc w:val="center"/>
        <w:rPr>
          <w:sz w:val="20"/>
        </w:rPr>
      </w:pPr>
      <w:r>
        <w:rPr>
          <w:sz w:val="20"/>
        </w:rPr>
        <w:t>Nota: al ser un dato que eclipsa en el origen no está Toluca con 72.5%</w:t>
      </w:r>
    </w:p>
    <w:p>
      <w:pPr>
        <w:spacing w:line="360" w:lineRule="auto" w:before="0"/>
        <w:ind w:left="339" w:right="364" w:firstLine="2"/>
        <w:jc w:val="center"/>
        <w:rPr>
          <w:sz w:val="20"/>
        </w:rPr>
      </w:pPr>
      <w:r>
        <w:rPr>
          <w:sz w:val="20"/>
        </w:rPr>
        <w:t>Fuente: Elaboración propia con información de la Junta de Caminos del Estado de México. Gráfica 18. Principales municipios destino de los traslados desde la ZMT al  Estado de</w:t>
      </w:r>
      <w:r>
        <w:rPr>
          <w:spacing w:val="-27"/>
          <w:sz w:val="20"/>
        </w:rPr>
        <w:t> </w:t>
      </w:r>
      <w:r>
        <w:rPr>
          <w:sz w:val="20"/>
        </w:rPr>
        <w:t>México</w:t>
      </w:r>
    </w:p>
    <w:p>
      <w:pPr>
        <w:spacing w:after="0" w:line="360" w:lineRule="auto"/>
        <w:jc w:val="center"/>
        <w:rPr>
          <w:sz w:val="20"/>
        </w:rPr>
        <w:sectPr>
          <w:pgSz w:w="12240" w:h="15840"/>
          <w:pgMar w:header="0" w:footer="659" w:top="1360" w:bottom="840" w:left="1600" w:right="1580"/>
        </w:sectPr>
      </w:pPr>
    </w:p>
    <w:p>
      <w:pPr>
        <w:pStyle w:val="BodyText"/>
        <w:spacing w:before="3" w:after="1"/>
        <w:rPr>
          <w:sz w:val="9"/>
        </w:rPr>
      </w:pPr>
    </w:p>
    <w:p>
      <w:pPr>
        <w:pStyle w:val="BodyText"/>
        <w:ind w:left="514"/>
        <w:rPr>
          <w:sz w:val="20"/>
        </w:rPr>
      </w:pPr>
      <w:r>
        <w:rPr>
          <w:sz w:val="20"/>
        </w:rPr>
        <w:pict>
          <v:group style="width:391.7pt;height:175.85pt;mso-position-horizontal-relative:char;mso-position-vertical-relative:line" coordorigin="0,0" coordsize="7834,3517">
            <v:rect style="position:absolute;left:597;top:841;width:163;height:1368" filled="true" fillcolor="#6f2f9f" stroked="false">
              <v:fill type="solid"/>
            </v:rect>
            <v:rect style="position:absolute;left:1005;top:1100;width:163;height:1109" filled="true" fillcolor="#6f2f9f" stroked="false">
              <v:fill type="solid"/>
            </v:rect>
            <v:rect style="position:absolute;left:1413;top:1203;width:163;height:1006" filled="true" fillcolor="#6f2f9f" stroked="false">
              <v:fill type="solid"/>
            </v:rect>
            <v:rect style="position:absolute;left:1821;top:1328;width:163;height:881" filled="true" fillcolor="#6f2f9f" stroked="false">
              <v:fill type="solid"/>
            </v:rect>
            <v:rect style="position:absolute;left:2232;top:1690;width:163;height:518" filled="true" fillcolor="#6f2f9f" stroked="false">
              <v:fill type="solid"/>
            </v:rect>
            <v:rect style="position:absolute;left:2640;top:1721;width:163;height:487" filled="true" fillcolor="#6f2f9f" stroked="false">
              <v:fill type="solid"/>
            </v:rect>
            <v:rect style="position:absolute;left:3048;top:1721;width:163;height:487" filled="true" fillcolor="#6f2f9f" stroked="false">
              <v:fill type="solid"/>
            </v:rect>
            <v:rect style="position:absolute;left:3456;top:1765;width:163;height:444" filled="true" fillcolor="#6f2f9f" stroked="false">
              <v:fill type="solid"/>
            </v:rect>
            <v:rect style="position:absolute;left:3864;top:1825;width:163;height:384" filled="true" fillcolor="#6f2f9f" stroked="false">
              <v:fill type="solid"/>
            </v:rect>
            <v:rect style="position:absolute;left:4272;top:1909;width:163;height:300" filled="true" fillcolor="#6f2f9f" stroked="false">
              <v:fill type="solid"/>
            </v:rect>
            <v:rect style="position:absolute;left:4680;top:1930;width:163;height:278" filled="true" fillcolor="#6f2f9f" stroked="false">
              <v:fill type="solid"/>
            </v:rect>
            <v:rect style="position:absolute;left:5090;top:1971;width:163;height:238" filled="true" fillcolor="#6f2f9f" stroked="false">
              <v:fill type="solid"/>
            </v:rect>
            <v:rect style="position:absolute;left:5498;top:2002;width:163;height:206" filled="true" fillcolor="#6f2f9f" stroked="false">
              <v:fill type="solid"/>
            </v:rect>
            <v:rect style="position:absolute;left:5906;top:2002;width:163;height:206" filled="true" fillcolor="#6f2f9f" stroked="false">
              <v:fill type="solid"/>
            </v:rect>
            <v:rect style="position:absolute;left:6314;top:2012;width:163;height:197" filled="true" fillcolor="#6f2f9f" stroked="false">
              <v:fill type="solid"/>
            </v:rect>
            <v:rect style="position:absolute;left:6722;top:2033;width:163;height:175" filled="true" fillcolor="#6f2f9f" stroked="false">
              <v:fill type="solid"/>
            </v:rect>
            <v:rect style="position:absolute;left:7130;top:2053;width:163;height:156" filled="true" fillcolor="#6f2f9f" stroked="false">
              <v:fill type="solid"/>
            </v:rect>
            <v:rect style="position:absolute;left:7538;top:293;width:166;height:1915" filled="true" fillcolor="#6f2f9f" stroked="false">
              <v:fill type="solid"/>
            </v:rect>
            <v:line style="position:absolute" from="475,2209" to="475,137" stroked="true" strokeweight=".72pt" strokecolor="#858585"/>
            <v:line style="position:absolute" from="410,2209" to="475,2209" stroked="true" strokeweight=".72pt" strokecolor="#858585"/>
            <v:line style="position:absolute" from="410,2002" to="475,2002" stroked="true" strokeweight=".72pt" strokecolor="#858585"/>
            <v:line style="position:absolute" from="410,1793" to="475,1793" stroked="true" strokeweight=".72pt" strokecolor="#858585"/>
            <v:line style="position:absolute" from="410,1587" to="475,1587" stroked="true" strokeweight=".72pt" strokecolor="#858585"/>
            <v:line style="position:absolute" from="410,1381" to="475,1381" stroked="true" strokeweight=".72pt" strokecolor="#858585"/>
            <v:line style="position:absolute" from="410,1172" to="475,1172" stroked="true" strokeweight=".72pt" strokecolor="#858585"/>
            <v:line style="position:absolute" from="410,965" to="475,965" stroked="true" strokeweight=".72pt" strokecolor="#858585"/>
            <v:line style="position:absolute" from="410,759" to="475,759" stroked="true" strokeweight=".72pt" strokecolor="#858585"/>
            <v:line style="position:absolute" from="410,553" to="475,553" stroked="true" strokeweight=".72pt" strokecolor="#858585"/>
            <v:line style="position:absolute" from="410,344" to="475,344" stroked="true" strokeweight=".72pt" strokecolor="#858585"/>
            <v:line style="position:absolute" from="410,137" to="475,137" stroked="true" strokeweight=".72pt" strokecolor="#858585"/>
            <v:line style="position:absolute" from="475,2209" to="7826,2209" stroked="true" strokeweight=".72pt" strokecolor="#858585"/>
            <v:line style="position:absolute" from="475,2209" to="475,2266" stroked="true" strokeweight=".72pt" strokecolor="#858585"/>
            <v:line style="position:absolute" from="883,2209" to="883,2266" stroked="true" strokeweight=".72pt" strokecolor="#858585"/>
            <v:line style="position:absolute" from="1291,2209" to="1291,2266" stroked="true" strokeweight=".72pt" strokecolor="#858585"/>
            <v:line style="position:absolute" from="1699,2209" to="1699,2266" stroked="true" strokeweight=".72pt" strokecolor="#858585"/>
            <v:line style="position:absolute" from="2107,2209" to="2107,2266" stroked="true" strokeweight=".72pt" strokecolor="#858585"/>
            <v:line style="position:absolute" from="2517,2209" to="2517,2266" stroked="true" strokeweight=".72pt" strokecolor="#858585"/>
            <v:line style="position:absolute" from="2925,2209" to="2925,2266" stroked="true" strokeweight=".72pt" strokecolor="#858585"/>
            <v:line style="position:absolute" from="3333,2209" to="3333,2266" stroked="true" strokeweight=".72pt" strokecolor="#858585"/>
            <v:shape style="position:absolute;left:0;top:2201;width:7662;height:1315" type="#_x0000_t75" stroked="false">
              <v:imagedata r:id="rId54" o:title=""/>
            </v:shape>
            <v:line style="position:absolute" from="4557,2209" to="4557,2266" stroked="true" strokeweight=".72pt" strokecolor="#858585"/>
            <v:line style="position:absolute" from="4968,2209" to="4968,2266" stroked="true" strokeweight=".72pt" strokecolor="#858585"/>
            <v:line style="position:absolute" from="5376,2209" to="5376,2266" stroked="true" strokeweight=".72pt" strokecolor="#858585"/>
            <v:line style="position:absolute" from="5784,2209" to="5784,2266" stroked="true" strokeweight=".72pt" strokecolor="#858585"/>
            <v:line style="position:absolute" from="6192,2209" to="6192,2266" stroked="true" strokeweight=".72pt" strokecolor="#858585"/>
            <v:line style="position:absolute" from="6600,2209" to="6600,2266" stroked="true" strokeweight=".72pt" strokecolor="#858585"/>
            <v:line style="position:absolute" from="7008,2209" to="7008,2266" stroked="true" strokeweight=".72pt" strokecolor="#858585"/>
            <v:line style="position:absolute" from="7416,2209" to="7416,2266" stroked="true" strokeweight=".72pt" strokecolor="#858585"/>
            <v:line style="position:absolute" from="7826,2209" to="7826,2266" stroked="true" strokeweight=".72pt" strokecolor="#858585"/>
            <v:rect style="position:absolute;left:4036;top:253;width:110;height:110" filled="true" fillcolor="#6f2f9f" stroked="false">
              <v:fill type="solid"/>
            </v:rect>
            <v:shape style="position:absolute;left:87;top:46;width:203;height:2271" type="#_x0000_t202" filled="false" stroked="false">
              <v:textbox inset="0,0,0,0">
                <w:txbxContent>
                  <w:p>
                    <w:pPr>
                      <w:spacing w:line="184" w:lineRule="exact" w:before="0"/>
                      <w:ind w:left="-1" w:right="0" w:firstLine="0"/>
                      <w:jc w:val="center"/>
                      <w:rPr>
                        <w:rFonts w:ascii="Calibri"/>
                        <w:sz w:val="20"/>
                      </w:rPr>
                    </w:pPr>
                    <w:r>
                      <w:rPr>
                        <w:rFonts w:ascii="Calibri"/>
                        <w:spacing w:val="-1"/>
                        <w:sz w:val="20"/>
                      </w:rPr>
                      <w:t>20</w:t>
                    </w:r>
                  </w:p>
                  <w:p>
                    <w:pPr>
                      <w:spacing w:line="207" w:lineRule="exact" w:before="0"/>
                      <w:ind w:left="-1" w:right="0" w:firstLine="0"/>
                      <w:jc w:val="center"/>
                      <w:rPr>
                        <w:rFonts w:ascii="Calibri"/>
                        <w:sz w:val="20"/>
                      </w:rPr>
                    </w:pPr>
                    <w:r>
                      <w:rPr>
                        <w:rFonts w:ascii="Calibri"/>
                        <w:spacing w:val="-1"/>
                        <w:sz w:val="20"/>
                      </w:rPr>
                      <w:t>18</w:t>
                    </w:r>
                  </w:p>
                  <w:p>
                    <w:pPr>
                      <w:spacing w:line="207" w:lineRule="exact" w:before="0"/>
                      <w:ind w:left="-1" w:right="0" w:firstLine="0"/>
                      <w:jc w:val="center"/>
                      <w:rPr>
                        <w:rFonts w:ascii="Calibri"/>
                        <w:sz w:val="20"/>
                      </w:rPr>
                    </w:pPr>
                    <w:r>
                      <w:rPr>
                        <w:rFonts w:ascii="Calibri"/>
                        <w:spacing w:val="-1"/>
                        <w:sz w:val="20"/>
                      </w:rPr>
                      <w:t>16</w:t>
                    </w:r>
                  </w:p>
                  <w:p>
                    <w:pPr>
                      <w:spacing w:line="207" w:lineRule="exact" w:before="0"/>
                      <w:ind w:left="-1" w:right="0" w:firstLine="0"/>
                      <w:jc w:val="center"/>
                      <w:rPr>
                        <w:rFonts w:ascii="Calibri"/>
                        <w:sz w:val="20"/>
                      </w:rPr>
                    </w:pPr>
                    <w:r>
                      <w:rPr>
                        <w:rFonts w:ascii="Calibri"/>
                        <w:spacing w:val="-1"/>
                        <w:sz w:val="20"/>
                      </w:rPr>
                      <w:t>14</w:t>
                    </w:r>
                  </w:p>
                  <w:p>
                    <w:pPr>
                      <w:spacing w:line="207" w:lineRule="exact" w:before="0"/>
                      <w:ind w:left="-1" w:right="0" w:firstLine="0"/>
                      <w:jc w:val="center"/>
                      <w:rPr>
                        <w:rFonts w:ascii="Calibri"/>
                        <w:sz w:val="20"/>
                      </w:rPr>
                    </w:pPr>
                    <w:r>
                      <w:rPr>
                        <w:rFonts w:ascii="Calibri"/>
                        <w:spacing w:val="-1"/>
                        <w:sz w:val="20"/>
                      </w:rPr>
                      <w:t>12</w:t>
                    </w:r>
                  </w:p>
                  <w:p>
                    <w:pPr>
                      <w:spacing w:line="207" w:lineRule="exact" w:before="0"/>
                      <w:ind w:left="-1" w:right="0" w:firstLine="0"/>
                      <w:jc w:val="center"/>
                      <w:rPr>
                        <w:rFonts w:ascii="Calibri"/>
                        <w:sz w:val="20"/>
                      </w:rPr>
                    </w:pPr>
                    <w:r>
                      <w:rPr>
                        <w:rFonts w:ascii="Calibri"/>
                        <w:spacing w:val="-1"/>
                        <w:sz w:val="20"/>
                      </w:rPr>
                      <w:t>10</w:t>
                    </w:r>
                  </w:p>
                  <w:p>
                    <w:pPr>
                      <w:spacing w:line="207" w:lineRule="exact" w:before="0"/>
                      <w:ind w:left="101" w:right="0" w:firstLine="0"/>
                      <w:jc w:val="center"/>
                      <w:rPr>
                        <w:rFonts w:ascii="Calibri"/>
                        <w:sz w:val="20"/>
                      </w:rPr>
                    </w:pPr>
                    <w:r>
                      <w:rPr>
                        <w:rFonts w:ascii="Calibri"/>
                        <w:w w:val="99"/>
                        <w:sz w:val="20"/>
                      </w:rPr>
                      <w:t>8</w:t>
                    </w:r>
                  </w:p>
                  <w:p>
                    <w:pPr>
                      <w:spacing w:line="207" w:lineRule="exact" w:before="0"/>
                      <w:ind w:left="101" w:right="0" w:firstLine="0"/>
                      <w:jc w:val="center"/>
                      <w:rPr>
                        <w:rFonts w:ascii="Calibri"/>
                        <w:sz w:val="20"/>
                      </w:rPr>
                    </w:pPr>
                    <w:r>
                      <w:rPr>
                        <w:rFonts w:ascii="Calibri"/>
                        <w:w w:val="99"/>
                        <w:sz w:val="20"/>
                      </w:rPr>
                      <w:t>6</w:t>
                    </w:r>
                  </w:p>
                  <w:p>
                    <w:pPr>
                      <w:spacing w:line="207" w:lineRule="exact" w:before="0"/>
                      <w:ind w:left="101" w:right="0" w:firstLine="0"/>
                      <w:jc w:val="center"/>
                      <w:rPr>
                        <w:rFonts w:ascii="Calibri"/>
                        <w:sz w:val="20"/>
                      </w:rPr>
                    </w:pPr>
                    <w:r>
                      <w:rPr>
                        <w:rFonts w:ascii="Calibri"/>
                        <w:w w:val="99"/>
                        <w:sz w:val="20"/>
                      </w:rPr>
                      <w:t>4</w:t>
                    </w:r>
                  </w:p>
                  <w:p>
                    <w:pPr>
                      <w:spacing w:line="207" w:lineRule="exact" w:before="0"/>
                      <w:ind w:left="101" w:right="0" w:firstLine="0"/>
                      <w:jc w:val="center"/>
                      <w:rPr>
                        <w:rFonts w:ascii="Calibri"/>
                        <w:sz w:val="20"/>
                      </w:rPr>
                    </w:pPr>
                    <w:r>
                      <w:rPr>
                        <w:rFonts w:ascii="Calibri"/>
                        <w:w w:val="99"/>
                        <w:sz w:val="20"/>
                      </w:rPr>
                      <w:t>2</w:t>
                    </w:r>
                  </w:p>
                  <w:p>
                    <w:pPr>
                      <w:spacing w:line="222" w:lineRule="exact" w:before="0"/>
                      <w:ind w:left="101" w:right="0" w:firstLine="0"/>
                      <w:jc w:val="center"/>
                      <w:rPr>
                        <w:rFonts w:ascii="Calibri"/>
                        <w:sz w:val="20"/>
                      </w:rPr>
                    </w:pPr>
                    <w:r>
                      <w:rPr>
                        <w:rFonts w:ascii="Calibri"/>
                        <w:w w:val="99"/>
                        <w:sz w:val="20"/>
                      </w:rPr>
                      <w:t>0</w:t>
                    </w:r>
                  </w:p>
                </w:txbxContent>
              </v:textbox>
              <w10:wrap type="none"/>
            </v:shape>
            <v:shape style="position:absolute;left:7447;top:0;width:354;height:200" type="#_x0000_t202" filled="false" stroked="false">
              <v:textbox inset="0,0,0,0">
                <w:txbxContent>
                  <w:p>
                    <w:pPr>
                      <w:spacing w:line="199" w:lineRule="exact" w:before="0"/>
                      <w:ind w:left="0" w:right="-3" w:firstLine="0"/>
                      <w:jc w:val="left"/>
                      <w:rPr>
                        <w:rFonts w:ascii="Calibri"/>
                        <w:sz w:val="20"/>
                      </w:rPr>
                    </w:pPr>
                    <w:r>
                      <w:rPr>
                        <w:rFonts w:ascii="Calibri"/>
                        <w:w w:val="95"/>
                        <w:sz w:val="20"/>
                      </w:rPr>
                      <w:t>18.5</w:t>
                    </w:r>
                  </w:p>
                </w:txbxContent>
              </v:textbox>
              <w10:wrap type="none"/>
            </v:shape>
            <v:shape style="position:absolute;left:4195;top:217;width:623;height:200" type="#_x0000_t202" filled="false" stroked="false">
              <v:textbox inset="0,0,0,0">
                <w:txbxContent>
                  <w:p>
                    <w:pPr>
                      <w:spacing w:line="199" w:lineRule="exact" w:before="0"/>
                      <w:ind w:left="0" w:right="0" w:firstLine="0"/>
                      <w:jc w:val="left"/>
                      <w:rPr>
                        <w:rFonts w:ascii="Calibri"/>
                        <w:sz w:val="20"/>
                      </w:rPr>
                    </w:pPr>
                    <w:r>
                      <w:rPr>
                        <w:rFonts w:ascii="Calibri"/>
                        <w:w w:val="95"/>
                        <w:sz w:val="20"/>
                      </w:rPr>
                      <w:t>Destino</w:t>
                    </w:r>
                  </w:p>
                </w:txbxContent>
              </v:textbox>
              <w10:wrap type="none"/>
            </v:shape>
            <v:shape style="position:absolute;left:504;top:549;width:354;height:200" type="#_x0000_t202" filled="false" stroked="false">
              <v:textbox inset="0,0,0,0">
                <w:txbxContent>
                  <w:p>
                    <w:pPr>
                      <w:spacing w:line="200" w:lineRule="exact" w:before="0"/>
                      <w:ind w:left="0" w:right="-17" w:firstLine="0"/>
                      <w:jc w:val="left"/>
                      <w:rPr>
                        <w:rFonts w:ascii="Calibri"/>
                        <w:sz w:val="20"/>
                      </w:rPr>
                    </w:pPr>
                    <w:r>
                      <w:rPr>
                        <w:rFonts w:ascii="Calibri"/>
                        <w:spacing w:val="-1"/>
                        <w:sz w:val="20"/>
                      </w:rPr>
                      <w:t>13.2</w:t>
                    </w:r>
                  </w:p>
                </w:txbxContent>
              </v:textbox>
              <w10:wrap type="none"/>
            </v:shape>
            <v:shape style="position:absolute;left:912;top:808;width:354;height:200" type="#_x0000_t202" filled="false" stroked="false">
              <v:textbox inset="0,0,0,0">
                <w:txbxContent>
                  <w:p>
                    <w:pPr>
                      <w:spacing w:line="199" w:lineRule="exact" w:before="0"/>
                      <w:ind w:left="0" w:right="-3" w:firstLine="0"/>
                      <w:jc w:val="left"/>
                      <w:rPr>
                        <w:rFonts w:ascii="Calibri"/>
                        <w:sz w:val="20"/>
                      </w:rPr>
                    </w:pPr>
                    <w:r>
                      <w:rPr>
                        <w:rFonts w:ascii="Calibri"/>
                        <w:w w:val="95"/>
                        <w:sz w:val="20"/>
                      </w:rPr>
                      <w:t>10.7</w:t>
                    </w:r>
                  </w:p>
                </w:txbxContent>
              </v:textbox>
              <w10:wrap type="none"/>
            </v:shape>
            <v:shape style="position:absolute;left:1371;top:912;width:253;height:200" type="#_x0000_t202" filled="false" stroked="false">
              <v:textbox inset="0,0,0,0">
                <w:txbxContent>
                  <w:p>
                    <w:pPr>
                      <w:spacing w:line="199" w:lineRule="exact" w:before="0"/>
                      <w:ind w:left="0" w:right="-8" w:firstLine="0"/>
                      <w:jc w:val="left"/>
                      <w:rPr>
                        <w:rFonts w:ascii="Calibri"/>
                        <w:sz w:val="20"/>
                      </w:rPr>
                    </w:pPr>
                    <w:r>
                      <w:rPr>
                        <w:rFonts w:ascii="Calibri"/>
                        <w:w w:val="95"/>
                        <w:sz w:val="20"/>
                      </w:rPr>
                      <w:t>9.7</w:t>
                    </w:r>
                  </w:p>
                </w:txbxContent>
              </v:textbox>
              <w10:wrap type="none"/>
            </v:shape>
            <v:shape style="position:absolute;left:1779;top:1036;width:253;height:200" type="#_x0000_t202" filled="false" stroked="false">
              <v:textbox inset="0,0,0,0">
                <w:txbxContent>
                  <w:p>
                    <w:pPr>
                      <w:spacing w:line="199" w:lineRule="exact" w:before="0"/>
                      <w:ind w:left="0" w:right="-8" w:firstLine="0"/>
                      <w:jc w:val="left"/>
                      <w:rPr>
                        <w:rFonts w:ascii="Calibri"/>
                        <w:sz w:val="20"/>
                      </w:rPr>
                    </w:pPr>
                    <w:r>
                      <w:rPr>
                        <w:rFonts w:ascii="Calibri"/>
                        <w:w w:val="95"/>
                        <w:sz w:val="20"/>
                      </w:rPr>
                      <w:t>8.5</w:t>
                    </w:r>
                  </w:p>
                </w:txbxContent>
              </v:textbox>
              <w10:wrap type="none"/>
            </v:shape>
            <v:shape style="position:absolute;left:2262;top:1398;width:101;height:200" type="#_x0000_t202" filled="false" stroked="false">
              <v:textbox inset="0,0,0,0">
                <w:txbxContent>
                  <w:p>
                    <w:pPr>
                      <w:spacing w:line="199" w:lineRule="exact" w:before="0"/>
                      <w:ind w:left="0" w:right="0" w:firstLine="0"/>
                      <w:jc w:val="left"/>
                      <w:rPr>
                        <w:rFonts w:ascii="Calibri"/>
                        <w:sz w:val="20"/>
                      </w:rPr>
                    </w:pPr>
                    <w:r>
                      <w:rPr>
                        <w:rFonts w:ascii="Calibri"/>
                        <w:w w:val="99"/>
                        <w:sz w:val="20"/>
                      </w:rPr>
                      <w:t>5</w:t>
                    </w:r>
                  </w:p>
                </w:txbxContent>
              </v:textbox>
              <w10:wrap type="none"/>
            </v:shape>
            <v:shape style="position:absolute;left:2596;top:1429;width:661;height:200" type="#_x0000_t202" filled="false" stroked="false">
              <v:textbox inset="0,0,0,0">
                <w:txbxContent>
                  <w:p>
                    <w:pPr>
                      <w:spacing w:line="199" w:lineRule="exact" w:before="0"/>
                      <w:ind w:left="0" w:right="-2" w:firstLine="0"/>
                      <w:jc w:val="left"/>
                      <w:rPr>
                        <w:rFonts w:ascii="Calibri"/>
                        <w:sz w:val="20"/>
                      </w:rPr>
                    </w:pPr>
                    <w:r>
                      <w:rPr>
                        <w:rFonts w:ascii="Calibri"/>
                        <w:sz w:val="20"/>
                      </w:rPr>
                      <w:t>4.7   4.7</w:t>
                    </w:r>
                  </w:p>
                </w:txbxContent>
              </v:textbox>
              <w10:wrap type="none"/>
            </v:shape>
            <v:shape style="position:absolute;left:3413;top:1471;width:253;height:200" type="#_x0000_t202" filled="false" stroked="false">
              <v:textbox inset="0,0,0,0">
                <w:txbxContent>
                  <w:p>
                    <w:pPr>
                      <w:spacing w:line="200" w:lineRule="exact" w:before="0"/>
                      <w:ind w:left="0" w:right="-8" w:firstLine="0"/>
                      <w:jc w:val="left"/>
                      <w:rPr>
                        <w:rFonts w:ascii="Calibri"/>
                        <w:sz w:val="20"/>
                      </w:rPr>
                    </w:pPr>
                    <w:r>
                      <w:rPr>
                        <w:rFonts w:ascii="Calibri"/>
                        <w:w w:val="95"/>
                        <w:sz w:val="20"/>
                      </w:rPr>
                      <w:t>4.3</w:t>
                    </w:r>
                  </w:p>
                </w:txbxContent>
              </v:textbox>
              <w10:wrap type="none"/>
            </v:shape>
            <v:shape style="position:absolute;left:3821;top:1533;width:253;height:200" type="#_x0000_t202" filled="false" stroked="false">
              <v:textbox inset="0,0,0,0">
                <w:txbxContent>
                  <w:p>
                    <w:pPr>
                      <w:spacing w:line="199" w:lineRule="exact" w:before="0"/>
                      <w:ind w:left="0" w:right="-8" w:firstLine="0"/>
                      <w:jc w:val="left"/>
                      <w:rPr>
                        <w:rFonts w:ascii="Calibri"/>
                        <w:sz w:val="20"/>
                      </w:rPr>
                    </w:pPr>
                    <w:r>
                      <w:rPr>
                        <w:rFonts w:ascii="Calibri"/>
                        <w:w w:val="95"/>
                        <w:sz w:val="20"/>
                      </w:rPr>
                      <w:t>3.7</w:t>
                    </w:r>
                  </w:p>
                </w:txbxContent>
              </v:textbox>
              <w10:wrap type="none"/>
            </v:shape>
            <v:shape style="position:absolute;left:4230;top:1616;width:253;height:200" type="#_x0000_t202" filled="false" stroked="false">
              <v:textbox inset="0,0,0,0">
                <w:txbxContent>
                  <w:p>
                    <w:pPr>
                      <w:spacing w:line="199" w:lineRule="exact" w:before="0"/>
                      <w:ind w:left="0" w:right="-8" w:firstLine="0"/>
                      <w:jc w:val="left"/>
                      <w:rPr>
                        <w:rFonts w:ascii="Calibri"/>
                        <w:sz w:val="20"/>
                      </w:rPr>
                    </w:pPr>
                    <w:r>
                      <w:rPr>
                        <w:rFonts w:ascii="Calibri"/>
                        <w:w w:val="95"/>
                        <w:sz w:val="20"/>
                      </w:rPr>
                      <w:t>2.9</w:t>
                    </w:r>
                  </w:p>
                </w:txbxContent>
              </v:textbox>
              <w10:wrap type="none"/>
            </v:shape>
            <v:shape style="position:absolute;left:4638;top:1637;width:253;height:200" type="#_x0000_t202" filled="false" stroked="false">
              <v:textbox inset="0,0,0,0">
                <w:txbxContent>
                  <w:p>
                    <w:pPr>
                      <w:spacing w:line="199" w:lineRule="exact" w:before="0"/>
                      <w:ind w:left="0" w:right="-8" w:firstLine="0"/>
                      <w:jc w:val="left"/>
                      <w:rPr>
                        <w:rFonts w:ascii="Calibri"/>
                        <w:sz w:val="20"/>
                      </w:rPr>
                    </w:pPr>
                    <w:r>
                      <w:rPr>
                        <w:rFonts w:ascii="Calibri"/>
                        <w:w w:val="95"/>
                        <w:sz w:val="20"/>
                      </w:rPr>
                      <w:t>2.7</w:t>
                    </w:r>
                  </w:p>
                </w:txbxContent>
              </v:textbox>
              <w10:wrap type="none"/>
            </v:shape>
            <v:shape style="position:absolute;left:5047;top:1678;width:254;height:200" type="#_x0000_t202" filled="false" stroked="false">
              <v:textbox inset="0,0,0,0">
                <w:txbxContent>
                  <w:p>
                    <w:pPr>
                      <w:spacing w:line="199" w:lineRule="exact" w:before="0"/>
                      <w:ind w:left="0" w:right="-20" w:firstLine="0"/>
                      <w:jc w:val="left"/>
                      <w:rPr>
                        <w:rFonts w:ascii="Calibri"/>
                        <w:sz w:val="20"/>
                      </w:rPr>
                    </w:pPr>
                    <w:r>
                      <w:rPr>
                        <w:rFonts w:ascii="Calibri"/>
                        <w:sz w:val="20"/>
                      </w:rPr>
                      <w:t>2.3</w:t>
                    </w:r>
                  </w:p>
                </w:txbxContent>
              </v:textbox>
              <w10:wrap type="none"/>
            </v:shape>
            <v:shape style="position:absolute;left:5530;top:1709;width:101;height:200" type="#_x0000_t202" filled="false" stroked="false">
              <v:textbox inset="0,0,0,0">
                <w:txbxContent>
                  <w:p>
                    <w:pPr>
                      <w:spacing w:line="199" w:lineRule="exact" w:before="0"/>
                      <w:ind w:left="0" w:right="0" w:firstLine="0"/>
                      <w:jc w:val="left"/>
                      <w:rPr>
                        <w:rFonts w:ascii="Calibri"/>
                        <w:sz w:val="20"/>
                      </w:rPr>
                    </w:pPr>
                    <w:r>
                      <w:rPr>
                        <w:rFonts w:ascii="Calibri"/>
                        <w:w w:val="99"/>
                        <w:sz w:val="20"/>
                      </w:rPr>
                      <w:t>2</w:t>
                    </w:r>
                  </w:p>
                </w:txbxContent>
              </v:textbox>
              <w10:wrap type="none"/>
            </v:shape>
            <v:shape style="position:absolute;left:5938;top:1709;width:101;height:200" type="#_x0000_t202" filled="false" stroked="false">
              <v:textbox inset="0,0,0,0">
                <w:txbxContent>
                  <w:p>
                    <w:pPr>
                      <w:spacing w:line="199" w:lineRule="exact" w:before="0"/>
                      <w:ind w:left="0" w:right="0" w:firstLine="0"/>
                      <w:jc w:val="left"/>
                      <w:rPr>
                        <w:rFonts w:ascii="Calibri"/>
                        <w:sz w:val="20"/>
                      </w:rPr>
                    </w:pPr>
                    <w:r>
                      <w:rPr>
                        <w:rFonts w:ascii="Calibri"/>
                        <w:w w:val="99"/>
                        <w:sz w:val="20"/>
                      </w:rPr>
                      <w:t>2</w:t>
                    </w:r>
                  </w:p>
                </w:txbxContent>
              </v:textbox>
              <w10:wrap type="none"/>
            </v:shape>
            <v:shape style="position:absolute;left:6272;top:1719;width:253;height:200" type="#_x0000_t202" filled="false" stroked="false">
              <v:textbox inset="0,0,0,0">
                <w:txbxContent>
                  <w:p>
                    <w:pPr>
                      <w:spacing w:line="200" w:lineRule="exact" w:before="0"/>
                      <w:ind w:left="0" w:right="-8" w:firstLine="0"/>
                      <w:jc w:val="left"/>
                      <w:rPr>
                        <w:rFonts w:ascii="Calibri"/>
                        <w:sz w:val="20"/>
                      </w:rPr>
                    </w:pPr>
                    <w:r>
                      <w:rPr>
                        <w:rFonts w:ascii="Calibri"/>
                        <w:w w:val="95"/>
                        <w:sz w:val="20"/>
                      </w:rPr>
                      <w:t>1.9</w:t>
                    </w:r>
                  </w:p>
                </w:txbxContent>
              </v:textbox>
              <w10:wrap type="none"/>
            </v:shape>
            <v:shape style="position:absolute;left:6680;top:1740;width:253;height:200" type="#_x0000_t202" filled="false" stroked="false">
              <v:textbox inset="0,0,0,0">
                <w:txbxContent>
                  <w:p>
                    <w:pPr>
                      <w:spacing w:line="199" w:lineRule="exact" w:before="0"/>
                      <w:ind w:left="0" w:right="-8" w:firstLine="0"/>
                      <w:jc w:val="left"/>
                      <w:rPr>
                        <w:rFonts w:ascii="Calibri"/>
                        <w:sz w:val="20"/>
                      </w:rPr>
                    </w:pPr>
                    <w:r>
                      <w:rPr>
                        <w:rFonts w:ascii="Calibri"/>
                        <w:w w:val="95"/>
                        <w:sz w:val="20"/>
                      </w:rPr>
                      <w:t>1.7</w:t>
                    </w:r>
                  </w:p>
                </w:txbxContent>
              </v:textbox>
              <w10:wrap type="none"/>
            </v:shape>
            <v:shape style="position:absolute;left:7089;top:1761;width:253;height:200" type="#_x0000_t202" filled="false" stroked="false">
              <v:textbox inset="0,0,0,0">
                <w:txbxContent>
                  <w:p>
                    <w:pPr>
                      <w:spacing w:line="199" w:lineRule="exact" w:before="0"/>
                      <w:ind w:left="0" w:right="-8" w:firstLine="0"/>
                      <w:jc w:val="left"/>
                      <w:rPr>
                        <w:rFonts w:ascii="Calibri"/>
                        <w:sz w:val="20"/>
                      </w:rPr>
                    </w:pPr>
                    <w:r>
                      <w:rPr>
                        <w:rFonts w:ascii="Calibri"/>
                        <w:w w:val="95"/>
                        <w:sz w:val="20"/>
                      </w:rPr>
                      <w:t>1.5</w:t>
                    </w:r>
                  </w:p>
                </w:txbxContent>
              </v:textbox>
              <w10:wrap type="none"/>
            </v:shape>
          </v:group>
        </w:pict>
      </w:r>
      <w:r>
        <w:rPr>
          <w:sz w:val="20"/>
        </w:rPr>
      </w:r>
    </w:p>
    <w:p>
      <w:pPr>
        <w:spacing w:before="132"/>
        <w:ind w:left="118" w:right="146" w:firstLine="0"/>
        <w:jc w:val="center"/>
        <w:rPr>
          <w:sz w:val="20"/>
        </w:rPr>
      </w:pPr>
      <w:r>
        <w:rPr>
          <w:sz w:val="20"/>
        </w:rPr>
        <w:t>Fuente: Elaboración propia con información de la Junta de Caminos del Estado de México.</w:t>
      </w:r>
    </w:p>
    <w:p>
      <w:pPr>
        <w:pStyle w:val="BodyText"/>
        <w:spacing w:before="1"/>
        <w:rPr>
          <w:sz w:val="20"/>
        </w:rPr>
      </w:pPr>
    </w:p>
    <w:p>
      <w:pPr>
        <w:pStyle w:val="BodyText"/>
        <w:spacing w:line="360" w:lineRule="auto"/>
        <w:ind w:left="102" w:right="115"/>
        <w:jc w:val="both"/>
      </w:pPr>
      <w:r>
        <w:rPr/>
        <w:t>Los otros motivos de viajes son: los viajes por compras que generan cierta movilidad, salen de Metepec, de San Mateo Atenco y de Toluca, lo cual es congruente con la actividad comercial de los mismos. También son significativas las salidas por paseo, con 2,123 traslados hacia otros municipios. Los motivos de educación, reportan 80 desplazamientos; se debe a que el levantamiento se aplicó a automovilistas cuyo conductor es población económicamente activa, los estudiantes pueden estar mejor representados en autobuses u otro transporte público. (Ver gráfica 19 y anexo cuadro A.4.17).</w:t>
      </w:r>
    </w:p>
    <w:p>
      <w:pPr>
        <w:pStyle w:val="BodyText"/>
        <w:spacing w:before="2"/>
        <w:rPr>
          <w:sz w:val="20"/>
        </w:rPr>
      </w:pPr>
    </w:p>
    <w:p>
      <w:pPr>
        <w:spacing w:before="0"/>
        <w:ind w:left="119" w:right="146" w:firstLine="0"/>
        <w:jc w:val="center"/>
        <w:rPr>
          <w:sz w:val="20"/>
        </w:rPr>
      </w:pPr>
      <w:r>
        <w:rPr>
          <w:sz w:val="20"/>
        </w:rPr>
        <w:t>Gráfica 19. Motivo de los desplazamientos estatales desde la ZMT</w:t>
      </w:r>
    </w:p>
    <w:p>
      <w:pPr>
        <w:tabs>
          <w:tab w:pos="1114" w:val="left" w:leader="none"/>
          <w:tab w:pos="2337" w:val="left" w:leader="none"/>
          <w:tab w:pos="3213" w:val="left" w:leader="none"/>
        </w:tabs>
        <w:spacing w:before="146"/>
        <w:ind w:left="0" w:right="141" w:firstLine="0"/>
        <w:jc w:val="center"/>
        <w:rPr>
          <w:rFonts w:ascii="Calibri"/>
          <w:sz w:val="20"/>
        </w:rPr>
      </w:pPr>
      <w:r>
        <w:rPr/>
        <w:pict>
          <v:rect style="position:absolute;margin-left:199.320007pt;margin-top:11.131491pt;width:5.52pt;height:5.52pt;mso-position-horizontal-relative:page;mso-position-vertical-relative:paragraph;z-index:5848" filled="true" fillcolor="#4f81bc" stroked="false">
            <v:fill type="solid"/>
            <w10:wrap type="none"/>
          </v:rect>
        </w:pict>
      </w:r>
      <w:r>
        <w:rPr/>
        <w:pict>
          <v:rect style="position:absolute;margin-left:255pt;margin-top:11.131491pt;width:5.52pt;height:5.52pt;mso-position-horizontal-relative:page;mso-position-vertical-relative:paragraph;z-index:-296920" filled="true" fillcolor="#c0504d" stroked="false">
            <v:fill type="solid"/>
            <w10:wrap type="none"/>
          </v:rect>
        </w:pict>
      </w:r>
      <w:r>
        <w:rPr/>
        <w:pict>
          <v:rect style="position:absolute;margin-left:316.200012pt;margin-top:11.131491pt;width:5.4pt;height:5.52pt;mso-position-horizontal-relative:page;mso-position-vertical-relative:paragraph;z-index:-296896" filled="true" fillcolor="#9bba58" stroked="false">
            <v:fill type="solid"/>
            <w10:wrap type="none"/>
          </v:rect>
        </w:pict>
      </w:r>
      <w:r>
        <w:rPr/>
        <w:pict>
          <v:rect style="position:absolute;margin-left:359.880005pt;margin-top:11.131491pt;width:5.52pt;height:5.52pt;mso-position-horizontal-relative:page;mso-position-vertical-relative:paragraph;z-index:-296872" filled="true" fillcolor="#8063a1" stroked="false">
            <v:fill type="solid"/>
            <w10:wrap type="none"/>
          </v:rect>
        </w:pict>
      </w:r>
      <w:r>
        <w:rPr>
          <w:rFonts w:ascii="Calibri"/>
          <w:sz w:val="20"/>
        </w:rPr>
        <w:t>Compras</w:t>
        <w:tab/>
        <w:t>Educacion</w:t>
        <w:tab/>
        <w:t>Paseo</w:t>
        <w:tab/>
        <w:t>Trabajo</w:t>
      </w:r>
    </w:p>
    <w:p>
      <w:pPr>
        <w:pStyle w:val="BodyText"/>
        <w:rPr>
          <w:rFonts w:ascii="Calibri"/>
          <w:sz w:val="20"/>
        </w:rPr>
      </w:pPr>
    </w:p>
    <w:p>
      <w:pPr>
        <w:spacing w:after="0"/>
        <w:rPr>
          <w:rFonts w:ascii="Calibri"/>
          <w:sz w:val="20"/>
        </w:rPr>
        <w:sectPr>
          <w:pgSz w:w="12240" w:h="15840"/>
          <w:pgMar w:header="0" w:footer="659" w:top="1500" w:bottom="840" w:left="1600" w:right="1580"/>
        </w:sectPr>
      </w:pPr>
    </w:p>
    <w:p>
      <w:pPr>
        <w:tabs>
          <w:tab w:pos="2120" w:val="left" w:leader="none"/>
        </w:tabs>
        <w:spacing w:line="241" w:lineRule="exact" w:before="192"/>
        <w:ind w:left="1100" w:right="0" w:firstLine="0"/>
        <w:jc w:val="center"/>
        <w:rPr>
          <w:rFonts w:ascii="Calibri"/>
          <w:sz w:val="20"/>
        </w:rPr>
      </w:pPr>
      <w:r>
        <w:rPr>
          <w:rFonts w:ascii="Calibri"/>
          <w:position w:val="-3"/>
          <w:sz w:val="20"/>
        </w:rPr>
        <w:t>94.74</w:t>
        <w:tab/>
      </w:r>
      <w:r>
        <w:rPr>
          <w:rFonts w:ascii="Calibri"/>
          <w:w w:val="95"/>
          <w:sz w:val="20"/>
        </w:rPr>
        <w:t>96.92</w:t>
      </w:r>
    </w:p>
    <w:p>
      <w:pPr>
        <w:spacing w:line="201" w:lineRule="exact" w:before="0"/>
        <w:ind w:left="1101" w:right="0" w:firstLine="0"/>
        <w:jc w:val="center"/>
        <w:rPr>
          <w:rFonts w:ascii="Calibri"/>
          <w:sz w:val="20"/>
        </w:rPr>
      </w:pPr>
      <w:r>
        <w:rPr/>
        <w:pict>
          <v:group style="position:absolute;margin-left:120.464996pt;margin-top:4.672969pt;width:383.2pt;height:93.75pt;mso-position-horizontal-relative:page;mso-position-vertical-relative:paragraph;z-index:-296968" coordorigin="2409,93" coordsize="7664,1875">
            <v:rect style="position:absolute;left:2724;top:134;width:408;height:1826" filled="true" fillcolor="#4f81bc" stroked="false">
              <v:fill type="solid"/>
            </v:rect>
            <v:line style="position:absolute" from="5273,1929" to="5681,1929" stroked="true" strokeweight="3.12pt" strokecolor="#4f81bc"/>
            <v:line style="position:absolute" from="7824,1940" to="8230,1940" stroked="true" strokeweight="2.04pt" strokecolor="#4f81bc"/>
            <v:shape style="position:absolute;left:3233;top:290;width:2960;height:1671" coordorigin="3233,290" coordsize="2960,1671" path="m3641,290l3233,290,3233,1961,3641,1961,3641,290m6192,1704l5784,1704,5784,1961,6192,1961,6192,1704e" filled="true" fillcolor="#c0504d" stroked="false">
              <v:path arrowok="t"/>
              <v:fill type="solid"/>
            </v:shape>
            <v:rect style="position:absolute;left:3744;top:93;width:408;height:1867" filled="true" fillcolor="#9bba58" stroked="false">
              <v:fill type="solid"/>
            </v:rect>
            <v:line style="position:absolute" from="6293,1943" to="6701,1943" stroked="true" strokeweight="1.8pt" strokecolor="#9bba58"/>
            <v:line style="position:absolute" from="8842,1949" to="9250,1949" stroked="true" strokeweight="1.2pt" strokecolor="#9bba58"/>
            <v:rect style="position:absolute;left:4253;top:141;width:408;height:1819" filled="true" fillcolor="#8063a1" stroked="false">
              <v:fill type="solid"/>
            </v:rect>
            <v:line style="position:absolute" from="6804,1925" to="7212,1925" stroked="true" strokeweight="3.6pt" strokecolor="#8063a1"/>
            <v:line style="position:absolute" from="9353,1943" to="9761,1943" stroked="true" strokeweight="1.8pt" strokecolor="#8063a1"/>
            <v:line style="position:absolute" from="2417,1961" to="10066,1961" stroked="true" strokeweight=".72pt" strokecolor="#858585"/>
            <v:shape style="position:absolute;left:5760;top:1411;width:455;height:200" type="#_x0000_t202" filled="false" stroked="false">
              <v:textbox inset="0,0,0,0">
                <w:txbxContent>
                  <w:p>
                    <w:pPr>
                      <w:spacing w:line="200" w:lineRule="exact" w:before="0"/>
                      <w:ind w:left="0" w:right="-16" w:firstLine="0"/>
                      <w:jc w:val="left"/>
                      <w:rPr>
                        <w:rFonts w:ascii="Calibri"/>
                        <w:sz w:val="20"/>
                      </w:rPr>
                    </w:pPr>
                    <w:r>
                      <w:rPr>
                        <w:rFonts w:ascii="Calibri"/>
                        <w:spacing w:val="-1"/>
                        <w:sz w:val="20"/>
                      </w:rPr>
                      <w:t>13.33</w:t>
                    </w:r>
                  </w:p>
                </w:txbxContent>
              </v:textbox>
              <w10:wrap type="none"/>
            </v:shape>
            <v:shape style="position:absolute;left:5301;top:1607;width:354;height:200" type="#_x0000_t202" filled="false" stroked="false">
              <v:textbox inset="0,0,0,0">
                <w:txbxContent>
                  <w:p>
                    <w:pPr>
                      <w:spacing w:line="199" w:lineRule="exact" w:before="0"/>
                      <w:ind w:left="0" w:right="-3" w:firstLine="0"/>
                      <w:jc w:val="left"/>
                      <w:rPr>
                        <w:rFonts w:ascii="Calibri"/>
                        <w:sz w:val="20"/>
                      </w:rPr>
                    </w:pPr>
                    <w:r>
                      <w:rPr>
                        <w:rFonts w:ascii="Calibri"/>
                        <w:w w:val="95"/>
                        <w:sz w:val="20"/>
                      </w:rPr>
                      <w:t>3.16</w:t>
                    </w:r>
                  </w:p>
                </w:txbxContent>
              </v:textbox>
              <w10:wrap type="none"/>
            </v:shape>
            <v:shape style="position:absolute;left:6321;top:1633;width:354;height:200" type="#_x0000_t202" filled="false" stroked="false">
              <v:textbox inset="0,0,0,0">
                <w:txbxContent>
                  <w:p>
                    <w:pPr>
                      <w:spacing w:line="199" w:lineRule="exact" w:before="0"/>
                      <w:ind w:left="0" w:right="-3" w:firstLine="0"/>
                      <w:jc w:val="left"/>
                      <w:rPr>
                        <w:rFonts w:ascii="Calibri"/>
                        <w:sz w:val="20"/>
                      </w:rPr>
                    </w:pPr>
                    <w:r>
                      <w:rPr>
                        <w:rFonts w:ascii="Calibri"/>
                        <w:w w:val="95"/>
                        <w:sz w:val="20"/>
                      </w:rPr>
                      <w:t>1.81</w:t>
                    </w:r>
                  </w:p>
                </w:txbxContent>
              </v:textbox>
              <w10:wrap type="none"/>
            </v:shape>
            <v:shape style="position:absolute;left:6831;top:1597;width:354;height:200" type="#_x0000_t202" filled="false" stroked="false">
              <v:textbox inset="0,0,0,0">
                <w:txbxContent>
                  <w:p>
                    <w:pPr>
                      <w:spacing w:line="199" w:lineRule="exact" w:before="0"/>
                      <w:ind w:left="0" w:right="-3" w:firstLine="0"/>
                      <w:jc w:val="left"/>
                      <w:rPr>
                        <w:rFonts w:ascii="Calibri"/>
                        <w:sz w:val="20"/>
                      </w:rPr>
                    </w:pPr>
                    <w:r>
                      <w:rPr>
                        <w:rFonts w:ascii="Calibri"/>
                        <w:w w:val="95"/>
                        <w:sz w:val="20"/>
                      </w:rPr>
                      <w:t>3.71</w:t>
                    </w:r>
                  </w:p>
                </w:txbxContent>
              </v:textbox>
              <w10:wrap type="none"/>
            </v:shape>
            <v:shape style="position:absolute;left:7851;top:1627;width:354;height:200" type="#_x0000_t202" filled="false" stroked="false">
              <v:textbox inset="0,0,0,0">
                <w:txbxContent>
                  <w:p>
                    <w:pPr>
                      <w:spacing w:line="199" w:lineRule="exact" w:before="0"/>
                      <w:ind w:left="0" w:right="-3" w:firstLine="0"/>
                      <w:jc w:val="left"/>
                      <w:rPr>
                        <w:rFonts w:ascii="Calibri"/>
                        <w:sz w:val="20"/>
                      </w:rPr>
                    </w:pPr>
                    <w:r>
                      <w:rPr>
                        <w:rFonts w:ascii="Calibri"/>
                        <w:w w:val="95"/>
                        <w:sz w:val="20"/>
                      </w:rPr>
                      <w:t>2.11</w:t>
                    </w:r>
                  </w:p>
                </w:txbxContent>
              </v:textbox>
              <w10:wrap type="none"/>
            </v:shape>
            <v:shape style="position:absolute;left:8361;top:1668;width:354;height:200" type="#_x0000_t202" filled="false" stroked="false">
              <v:textbox inset="0,0,0,0">
                <w:txbxContent>
                  <w:p>
                    <w:pPr>
                      <w:spacing w:line="199" w:lineRule="exact" w:before="0"/>
                      <w:ind w:left="0" w:right="-3" w:firstLine="0"/>
                      <w:jc w:val="left"/>
                      <w:rPr>
                        <w:rFonts w:ascii="Calibri"/>
                        <w:sz w:val="20"/>
                      </w:rPr>
                    </w:pPr>
                    <w:r>
                      <w:rPr>
                        <w:rFonts w:ascii="Calibri"/>
                        <w:w w:val="95"/>
                        <w:sz w:val="20"/>
                      </w:rPr>
                      <w:t>0.00</w:t>
                    </w:r>
                  </w:p>
                </w:txbxContent>
              </v:textbox>
              <w10:wrap type="none"/>
            </v:shape>
            <v:shape style="position:absolute;left:8871;top:1632;width:864;height:211" type="#_x0000_t202" filled="false" stroked="false">
              <v:textbox inset="0,0,0,0">
                <w:txbxContent>
                  <w:p>
                    <w:pPr>
                      <w:spacing w:line="211" w:lineRule="exact" w:before="0"/>
                      <w:ind w:left="0" w:right="-1" w:firstLine="0"/>
                      <w:jc w:val="left"/>
                      <w:rPr>
                        <w:rFonts w:ascii="Calibri"/>
                        <w:sz w:val="20"/>
                      </w:rPr>
                    </w:pPr>
                    <w:r>
                      <w:rPr>
                        <w:rFonts w:ascii="Calibri"/>
                        <w:sz w:val="20"/>
                      </w:rPr>
                      <w:t>1.27   </w:t>
                    </w:r>
                    <w:r>
                      <w:rPr>
                        <w:rFonts w:ascii="Calibri"/>
                        <w:position w:val="1"/>
                        <w:sz w:val="20"/>
                      </w:rPr>
                      <w:t>1.87</w:t>
                    </w:r>
                  </w:p>
                </w:txbxContent>
              </v:textbox>
              <w10:wrap type="none"/>
            </v:shape>
            <w10:wrap type="none"/>
          </v:group>
        </w:pict>
      </w:r>
      <w:r>
        <w:rPr>
          <w:rFonts w:ascii="Calibri"/>
          <w:sz w:val="20"/>
        </w:rPr>
        <w:t>86.67</w:t>
      </w:r>
    </w:p>
    <w:p>
      <w:pPr>
        <w:pStyle w:val="BodyText"/>
        <w:spacing w:before="8"/>
        <w:rPr>
          <w:rFonts w:ascii="Calibri"/>
          <w:sz w:val="19"/>
        </w:rPr>
      </w:pPr>
      <w:r>
        <w:rPr/>
        <w:br w:type="column"/>
      </w:r>
      <w:r>
        <w:rPr>
          <w:rFonts w:ascii="Calibri"/>
          <w:sz w:val="19"/>
        </w:rPr>
      </w:r>
    </w:p>
    <w:p>
      <w:pPr>
        <w:spacing w:before="0"/>
        <w:ind w:left="234" w:right="0" w:firstLine="0"/>
        <w:jc w:val="left"/>
        <w:rPr>
          <w:rFonts w:ascii="Calibri"/>
          <w:sz w:val="20"/>
        </w:rPr>
      </w:pPr>
      <w:r>
        <w:rPr>
          <w:rFonts w:ascii="Calibri"/>
          <w:sz w:val="20"/>
        </w:rPr>
        <w:t>94.41</w:t>
      </w:r>
    </w:p>
    <w:p>
      <w:pPr>
        <w:spacing w:after="0"/>
        <w:jc w:val="left"/>
        <w:rPr>
          <w:rFonts w:ascii="Calibri"/>
          <w:sz w:val="20"/>
        </w:rPr>
        <w:sectPr>
          <w:type w:val="continuous"/>
          <w:pgSz w:w="12240" w:h="15840"/>
          <w:pgMar w:top="1500" w:bottom="280" w:left="1600" w:right="1580"/>
          <w:cols w:num="2" w:equalWidth="0">
            <w:col w:w="2575" w:space="40"/>
            <w:col w:w="6445"/>
          </w:cols>
        </w:sect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spacing w:before="9"/>
        <w:rPr>
          <w:rFonts w:ascii="Calibri"/>
          <w:sz w:val="29"/>
        </w:rPr>
      </w:pPr>
    </w:p>
    <w:p>
      <w:pPr>
        <w:spacing w:after="0"/>
        <w:rPr>
          <w:rFonts w:ascii="Calibri"/>
          <w:sz w:val="29"/>
        </w:rPr>
        <w:sectPr>
          <w:type w:val="continuous"/>
          <w:pgSz w:w="12240" w:h="15840"/>
          <w:pgMar w:top="1500" w:bottom="280" w:left="1600" w:right="1580"/>
        </w:sectPr>
      </w:pPr>
    </w:p>
    <w:p>
      <w:pPr>
        <w:spacing w:before="59"/>
        <w:ind w:left="1826" w:right="-20" w:hanging="740"/>
        <w:jc w:val="left"/>
        <w:rPr>
          <w:rFonts w:ascii="Calibri" w:hAnsi="Calibri"/>
          <w:sz w:val="20"/>
        </w:rPr>
      </w:pPr>
      <w:r>
        <w:rPr>
          <w:rFonts w:ascii="Calibri" w:hAnsi="Calibri"/>
          <w:sz w:val="20"/>
        </w:rPr>
        <w:t>Área urbana continua de Toluca</w:t>
      </w:r>
    </w:p>
    <w:p>
      <w:pPr>
        <w:spacing w:before="59"/>
        <w:ind w:left="1059" w:right="-19" w:hanging="476"/>
        <w:jc w:val="left"/>
        <w:rPr>
          <w:rFonts w:ascii="Calibri" w:hAnsi="Calibri"/>
          <w:sz w:val="20"/>
        </w:rPr>
      </w:pPr>
      <w:r>
        <w:rPr/>
        <w:br w:type="column"/>
      </w:r>
      <w:r>
        <w:rPr>
          <w:rFonts w:ascii="Calibri" w:hAnsi="Calibri"/>
          <w:sz w:val="20"/>
        </w:rPr>
        <w:t>Interrelación funcional intermedia</w:t>
      </w:r>
    </w:p>
    <w:p>
      <w:pPr>
        <w:spacing w:before="59"/>
        <w:ind w:left="1126" w:right="931" w:hanging="497"/>
        <w:jc w:val="left"/>
        <w:rPr>
          <w:rFonts w:ascii="Calibri" w:hAnsi="Calibri"/>
          <w:sz w:val="20"/>
        </w:rPr>
      </w:pPr>
      <w:r>
        <w:rPr/>
        <w:br w:type="column"/>
      </w:r>
      <w:r>
        <w:rPr>
          <w:rFonts w:ascii="Calibri" w:hAnsi="Calibri"/>
          <w:sz w:val="20"/>
        </w:rPr>
        <w:t>Relación externa, resto municipios</w:t>
      </w:r>
    </w:p>
    <w:p>
      <w:pPr>
        <w:spacing w:after="0"/>
        <w:jc w:val="left"/>
        <w:rPr>
          <w:rFonts w:ascii="Calibri" w:hAnsi="Calibri"/>
          <w:sz w:val="20"/>
        </w:rPr>
        <w:sectPr>
          <w:type w:val="continuous"/>
          <w:pgSz w:w="12240" w:h="15840"/>
          <w:pgMar w:top="1500" w:bottom="280" w:left="1600" w:right="1580"/>
          <w:cols w:num="3" w:equalWidth="0">
            <w:col w:w="3098" w:space="40"/>
            <w:col w:w="2427" w:space="40"/>
            <w:col w:w="3455"/>
          </w:cols>
        </w:sectPr>
      </w:pPr>
    </w:p>
    <w:p>
      <w:pPr>
        <w:pStyle w:val="BodyText"/>
        <w:spacing w:before="5"/>
        <w:rPr>
          <w:rFonts w:ascii="Calibri"/>
          <w:sz w:val="10"/>
        </w:rPr>
      </w:pPr>
    </w:p>
    <w:p>
      <w:pPr>
        <w:spacing w:before="74"/>
        <w:ind w:left="493" w:right="296" w:firstLine="0"/>
        <w:jc w:val="left"/>
        <w:rPr>
          <w:sz w:val="20"/>
        </w:rPr>
      </w:pPr>
      <w:r>
        <w:rPr>
          <w:sz w:val="20"/>
        </w:rPr>
        <w:t>Fuente: Elaboración propia con información de la Junta de Caminos del Estado de México.</w:t>
      </w:r>
    </w:p>
    <w:p>
      <w:pPr>
        <w:spacing w:after="0"/>
        <w:jc w:val="left"/>
        <w:rPr>
          <w:sz w:val="20"/>
        </w:rPr>
        <w:sectPr>
          <w:type w:val="continuous"/>
          <w:pgSz w:w="12240" w:h="15840"/>
          <w:pgMar w:top="1500" w:bottom="280" w:left="1600" w:right="1580"/>
        </w:sectPr>
      </w:pPr>
    </w:p>
    <w:p>
      <w:pPr>
        <w:spacing w:before="52"/>
        <w:ind w:left="102" w:right="0" w:firstLine="0"/>
        <w:jc w:val="both"/>
        <w:rPr>
          <w:i/>
          <w:sz w:val="24"/>
        </w:rPr>
      </w:pPr>
      <w:r>
        <w:rPr>
          <w:i/>
          <w:sz w:val="24"/>
        </w:rPr>
        <w:t>Interrelación de la zona metropolitana de Toluca a nivel nacional.</w:t>
      </w:r>
    </w:p>
    <w:p>
      <w:pPr>
        <w:pStyle w:val="BodyText"/>
        <w:rPr>
          <w:i/>
        </w:rPr>
      </w:pPr>
    </w:p>
    <w:p>
      <w:pPr>
        <w:pStyle w:val="BodyText"/>
        <w:spacing w:line="360" w:lineRule="auto" w:before="146"/>
        <w:ind w:left="102" w:right="103"/>
        <w:jc w:val="both"/>
      </w:pPr>
      <w:r>
        <w:rPr/>
        <w:t>La ZMT se relaciona a nivel nacional con 27 estados de la República y principalmente con los estados vecinos (ver gráficas 20 y 21 anexo de cuadro     A</w:t>
      </w:r>
    </w:p>
    <w:p>
      <w:pPr>
        <w:pStyle w:val="BodyText"/>
        <w:spacing w:line="360" w:lineRule="auto" w:before="5"/>
        <w:ind w:left="102" w:right="98"/>
        <w:jc w:val="both"/>
      </w:pPr>
      <w:r>
        <w:rPr/>
        <w:t>4.19 y A 4.20). Destaca la importante interrelación funcional con la ciudad de México y le sigue el nodo nacional de Michoacán, entre las relaciones nacionales más lejanas se encuentran Nuevo León y San Luis Potosí. Se observa que a mayor distancia el destino los desplazamientos disminuyen.</w:t>
      </w:r>
    </w:p>
    <w:p>
      <w:pPr>
        <w:spacing w:before="2"/>
        <w:ind w:left="190" w:right="0" w:firstLine="0"/>
        <w:jc w:val="both"/>
        <w:rPr>
          <w:sz w:val="20"/>
        </w:rPr>
      </w:pPr>
      <w:r>
        <w:rPr>
          <w:sz w:val="20"/>
        </w:rPr>
        <w:t>Gráfica 20. Principales municipios de origen de la interrelación metropolitana a nivel nacional (%)</w:t>
      </w:r>
    </w:p>
    <w:p>
      <w:pPr>
        <w:pStyle w:val="BodyText"/>
        <w:spacing w:before="8"/>
        <w:rPr>
          <w:sz w:val="9"/>
        </w:rPr>
      </w:pPr>
    </w:p>
    <w:p>
      <w:pPr>
        <w:spacing w:before="60"/>
        <w:ind w:left="329" w:right="93" w:firstLine="0"/>
        <w:jc w:val="center"/>
        <w:rPr>
          <w:rFonts w:ascii="Calibri"/>
          <w:sz w:val="20"/>
        </w:rPr>
      </w:pPr>
      <w:r>
        <w:rPr/>
        <w:pict>
          <v:rect style="position:absolute;margin-left:290.399994pt;margin-top:6.81146pt;width:5.4pt;height:5.52pt;mso-position-horizontal-relative:page;mso-position-vertical-relative:paragraph;z-index:6424" filled="true" fillcolor="#4f81bc" stroked="false">
            <v:fill type="solid"/>
            <w10:wrap type="none"/>
          </v:rect>
        </w:pict>
      </w:r>
      <w:r>
        <w:rPr>
          <w:rFonts w:ascii="Calibri"/>
          <w:sz w:val="20"/>
        </w:rPr>
        <w:t>Origen</w:t>
      </w:r>
    </w:p>
    <w:p>
      <w:pPr>
        <w:pStyle w:val="BodyText"/>
        <w:spacing w:before="10"/>
        <w:rPr>
          <w:rFonts w:ascii="Calibri"/>
          <w:sz w:val="10"/>
        </w:rPr>
      </w:pPr>
    </w:p>
    <w:p>
      <w:pPr>
        <w:spacing w:before="69" w:after="89"/>
        <w:ind w:left="1119" w:right="294" w:firstLine="0"/>
        <w:jc w:val="left"/>
        <w:rPr>
          <w:rFonts w:ascii="Calibri"/>
          <w:sz w:val="16"/>
        </w:rPr>
      </w:pPr>
      <w:r>
        <w:rPr>
          <w:rFonts w:ascii="Calibri"/>
          <w:sz w:val="16"/>
        </w:rPr>
        <w:t>70.9</w:t>
      </w:r>
    </w:p>
    <w:p>
      <w:pPr>
        <w:pStyle w:val="BodyText"/>
        <w:ind w:left="914"/>
        <w:rPr>
          <w:rFonts w:ascii="Calibri"/>
          <w:sz w:val="20"/>
        </w:rPr>
      </w:pPr>
      <w:r>
        <w:rPr>
          <w:rFonts w:ascii="Calibri"/>
          <w:sz w:val="20"/>
        </w:rPr>
        <w:pict>
          <v:group style="width:373.5pt;height:117.75pt;mso-position-horizontal-relative:char;mso-position-vertical-relative:line" coordorigin="0,0" coordsize="7470,2355">
            <v:rect style="position:absolute;left:211;top:0;width:271;height:2347" filled="true" fillcolor="#4f81bc" stroked="false">
              <v:fill type="solid"/>
            </v:rect>
            <v:rect style="position:absolute;left:888;top:2114;width:271;height:233" filled="true" fillcolor="#4f81bc" stroked="false">
              <v:fill type="solid"/>
            </v:rect>
            <v:rect style="position:absolute;left:1565;top:2146;width:271;height:202" filled="true" fillcolor="#4f81bc" stroked="false">
              <v:fill type="solid"/>
            </v:rect>
            <v:rect style="position:absolute;left:2244;top:2206;width:271;height:142" filled="true" fillcolor="#4f81bc" stroked="false">
              <v:fill type="solid"/>
            </v:rect>
            <v:line style="position:absolute" from="2921,2306" to="3192,2306" stroked="true" strokeweight="4.08pt" strokecolor="#4f81bc"/>
            <v:line style="position:absolute" from="3598,2322" to="3869,2322" stroked="true" strokeweight="2.52pt" strokecolor="#4f81bc"/>
            <v:line style="position:absolute" from="4277,2324" to="4548,2324" stroked="true" strokeweight="2.280pt" strokecolor="#4f81bc"/>
            <v:line style="position:absolute" from="4954,2327" to="5225,2327" stroked="true" strokeweight="2.04pt" strokecolor="#4f81bc"/>
            <v:line style="position:absolute" from="5631,2327" to="5902,2327" stroked="true" strokeweight="2.04pt" strokecolor="#4f81bc"/>
            <v:line style="position:absolute" from="6310,2327" to="6579,2327" stroked="true" strokeweight="2.04pt" strokecolor="#4f81bc"/>
            <v:rect style="position:absolute;left:6987;top:2256;width:271;height:91" filled="true" fillcolor="#4f81bc" stroked="false">
              <v:fill type="solid"/>
            </v:rect>
            <v:line style="position:absolute" from="8,2347" to="7462,2347" stroked="true" strokeweight=".72pt" strokecolor="#858585"/>
            <v:shape style="position:absolute;left:983;top:1863;width:82;height:161" type="#_x0000_t202" filled="false" stroked="false">
              <v:textbox inset="0,0,0,0">
                <w:txbxContent>
                  <w:p>
                    <w:pPr>
                      <w:spacing w:line="161" w:lineRule="exact" w:before="0"/>
                      <w:ind w:left="0" w:right="0" w:firstLine="0"/>
                      <w:jc w:val="left"/>
                      <w:rPr>
                        <w:rFonts w:ascii="Calibri"/>
                        <w:sz w:val="16"/>
                      </w:rPr>
                    </w:pPr>
                    <w:r>
                      <w:rPr>
                        <w:rFonts w:ascii="Calibri"/>
                        <w:w w:val="100"/>
                        <w:sz w:val="16"/>
                      </w:rPr>
                      <w:t>7</w:t>
                    </w:r>
                  </w:p>
                </w:txbxContent>
              </v:textbox>
              <w10:wrap type="none"/>
            </v:shape>
            <v:shape style="position:absolute;left:1600;top:1893;width:204;height:161" type="#_x0000_t202" filled="false" stroked="false">
              <v:textbox inset="0,0,0,0">
                <w:txbxContent>
                  <w:p>
                    <w:pPr>
                      <w:spacing w:line="161" w:lineRule="exact" w:before="0"/>
                      <w:ind w:left="0" w:right="-19" w:firstLine="0"/>
                      <w:jc w:val="left"/>
                      <w:rPr>
                        <w:rFonts w:ascii="Calibri"/>
                        <w:sz w:val="16"/>
                      </w:rPr>
                    </w:pPr>
                    <w:r>
                      <w:rPr>
                        <w:rFonts w:ascii="Calibri"/>
                        <w:sz w:val="16"/>
                      </w:rPr>
                      <w:t>6.1</w:t>
                    </w:r>
                  </w:p>
                </w:txbxContent>
              </v:textbox>
              <w10:wrap type="none"/>
            </v:shape>
            <v:shape style="position:absolute;left:2278;top:1952;width:204;height:161" type="#_x0000_t202" filled="false" stroked="false">
              <v:textbox inset="0,0,0,0">
                <w:txbxContent>
                  <w:p>
                    <w:pPr>
                      <w:spacing w:line="161" w:lineRule="exact" w:before="0"/>
                      <w:ind w:left="0" w:right="-19" w:firstLine="0"/>
                      <w:jc w:val="left"/>
                      <w:rPr>
                        <w:rFonts w:ascii="Calibri"/>
                        <w:sz w:val="16"/>
                      </w:rPr>
                    </w:pPr>
                    <w:r>
                      <w:rPr>
                        <w:rFonts w:ascii="Calibri"/>
                        <w:sz w:val="16"/>
                      </w:rPr>
                      <w:t>4.3</w:t>
                    </w:r>
                  </w:p>
                </w:txbxContent>
              </v:textbox>
              <w10:wrap type="none"/>
            </v:shape>
            <v:shape style="position:absolute;left:2956;top:2012;width:204;height:161" type="#_x0000_t202" filled="false" stroked="false">
              <v:textbox inset="0,0,0,0">
                <w:txbxContent>
                  <w:p>
                    <w:pPr>
                      <w:spacing w:line="161" w:lineRule="exact" w:before="0"/>
                      <w:ind w:left="0" w:right="-19" w:firstLine="0"/>
                      <w:jc w:val="left"/>
                      <w:rPr>
                        <w:rFonts w:ascii="Calibri"/>
                        <w:sz w:val="16"/>
                      </w:rPr>
                    </w:pPr>
                    <w:r>
                      <w:rPr>
                        <w:rFonts w:ascii="Calibri"/>
                        <w:sz w:val="16"/>
                      </w:rPr>
                      <w:t>2.5</w:t>
                    </w:r>
                  </w:p>
                </w:txbxContent>
              </v:textbox>
              <w10:wrap type="none"/>
            </v:shape>
            <v:shape style="position:absolute;left:3634;top:2045;width:204;height:161" type="#_x0000_t202" filled="false" stroked="false">
              <v:textbox inset="0,0,0,0">
                <w:txbxContent>
                  <w:p>
                    <w:pPr>
                      <w:spacing w:line="161" w:lineRule="exact" w:before="0"/>
                      <w:ind w:left="0" w:right="-19" w:firstLine="0"/>
                      <w:jc w:val="left"/>
                      <w:rPr>
                        <w:rFonts w:ascii="Calibri"/>
                        <w:sz w:val="16"/>
                      </w:rPr>
                    </w:pPr>
                    <w:r>
                      <w:rPr>
                        <w:rFonts w:ascii="Calibri"/>
                        <w:sz w:val="16"/>
                      </w:rPr>
                      <w:t>1.5</w:t>
                    </w:r>
                  </w:p>
                </w:txbxContent>
              </v:textbox>
              <w10:wrap type="none"/>
            </v:shape>
            <v:shape style="position:absolute;left:4311;top:2048;width:204;height:161" type="#_x0000_t202" filled="false" stroked="false">
              <v:textbox inset="0,0,0,0">
                <w:txbxContent>
                  <w:p>
                    <w:pPr>
                      <w:spacing w:line="161" w:lineRule="exact" w:before="0"/>
                      <w:ind w:left="0" w:right="-19" w:firstLine="0"/>
                      <w:jc w:val="left"/>
                      <w:rPr>
                        <w:rFonts w:ascii="Calibri"/>
                        <w:sz w:val="16"/>
                      </w:rPr>
                    </w:pPr>
                    <w:r>
                      <w:rPr>
                        <w:rFonts w:ascii="Calibri"/>
                        <w:sz w:val="16"/>
                      </w:rPr>
                      <w:t>1.4</w:t>
                    </w:r>
                  </w:p>
                </w:txbxContent>
              </v:textbox>
              <w10:wrap type="none"/>
            </v:shape>
            <v:shape style="position:absolute;left:4989;top:2055;width:204;height:161" type="#_x0000_t202" filled="false" stroked="false">
              <v:textbox inset="0,0,0,0">
                <w:txbxContent>
                  <w:p>
                    <w:pPr>
                      <w:spacing w:line="161" w:lineRule="exact" w:before="0"/>
                      <w:ind w:left="0" w:right="-19" w:firstLine="0"/>
                      <w:jc w:val="left"/>
                      <w:rPr>
                        <w:rFonts w:ascii="Calibri"/>
                        <w:sz w:val="16"/>
                      </w:rPr>
                    </w:pPr>
                    <w:r>
                      <w:rPr>
                        <w:rFonts w:ascii="Calibri"/>
                        <w:sz w:val="16"/>
                      </w:rPr>
                      <w:t>1.2</w:t>
                    </w:r>
                  </w:p>
                </w:txbxContent>
              </v:textbox>
              <w10:wrap type="none"/>
            </v:shape>
            <v:shape style="position:absolute;left:5666;top:2055;width:204;height:161" type="#_x0000_t202" filled="false" stroked="false">
              <v:textbox inset="0,0,0,0">
                <w:txbxContent>
                  <w:p>
                    <w:pPr>
                      <w:spacing w:line="161" w:lineRule="exact" w:before="0"/>
                      <w:ind w:left="0" w:right="-19" w:firstLine="0"/>
                      <w:jc w:val="left"/>
                      <w:rPr>
                        <w:rFonts w:ascii="Calibri"/>
                        <w:sz w:val="16"/>
                      </w:rPr>
                    </w:pPr>
                    <w:r>
                      <w:rPr>
                        <w:rFonts w:ascii="Calibri"/>
                        <w:sz w:val="16"/>
                      </w:rPr>
                      <w:t>1.2</w:t>
                    </w:r>
                  </w:p>
                </w:txbxContent>
              </v:textbox>
              <w10:wrap type="none"/>
            </v:shape>
            <v:shape style="position:absolute;left:6344;top:2055;width:204;height:161" type="#_x0000_t202" filled="false" stroked="false">
              <v:textbox inset="0,0,0,0">
                <w:txbxContent>
                  <w:p>
                    <w:pPr>
                      <w:spacing w:line="161" w:lineRule="exact" w:before="0"/>
                      <w:ind w:left="0" w:right="-19" w:firstLine="0"/>
                      <w:jc w:val="left"/>
                      <w:rPr>
                        <w:rFonts w:ascii="Calibri"/>
                        <w:sz w:val="16"/>
                      </w:rPr>
                    </w:pPr>
                    <w:r>
                      <w:rPr>
                        <w:rFonts w:ascii="Calibri"/>
                        <w:sz w:val="16"/>
                      </w:rPr>
                      <w:t>1.2</w:t>
                    </w:r>
                  </w:p>
                </w:txbxContent>
              </v:textbox>
              <w10:wrap type="none"/>
            </v:shape>
            <v:shape style="position:absolute;left:6981;top:2003;width:286;height:161" type="#_x0000_t202" filled="false" stroked="false">
              <v:textbox inset="0,0,0,0">
                <w:txbxContent>
                  <w:p>
                    <w:pPr>
                      <w:spacing w:line="161" w:lineRule="exact" w:before="0"/>
                      <w:ind w:left="0" w:right="-18" w:firstLine="0"/>
                      <w:jc w:val="left"/>
                      <w:rPr>
                        <w:rFonts w:ascii="Calibri"/>
                        <w:sz w:val="16"/>
                      </w:rPr>
                    </w:pPr>
                    <w:r>
                      <w:rPr>
                        <w:rFonts w:ascii="Calibri"/>
                        <w:sz w:val="16"/>
                      </w:rPr>
                      <w:t>2.76</w:t>
                    </w:r>
                  </w:p>
                </w:txbxContent>
              </v:textbox>
              <w10:wrap type="none"/>
            </v:shape>
          </v:group>
        </w:pict>
      </w:r>
      <w:r>
        <w:rPr>
          <w:rFonts w:ascii="Calibri"/>
          <w:sz w:val="20"/>
        </w:rPr>
      </w:r>
    </w:p>
    <w:p>
      <w:pPr>
        <w:spacing w:after="0"/>
        <w:rPr>
          <w:rFonts w:ascii="Calibri"/>
          <w:sz w:val="20"/>
        </w:rPr>
        <w:sectPr>
          <w:pgSz w:w="12240" w:h="15840"/>
          <w:pgMar w:header="0" w:footer="659" w:top="1360" w:bottom="840" w:left="1600" w:right="1600"/>
        </w:sectPr>
      </w:pPr>
    </w:p>
    <w:p>
      <w:pPr>
        <w:tabs>
          <w:tab w:pos="1786" w:val="left" w:leader="none"/>
          <w:tab w:pos="2398" w:val="left" w:leader="none"/>
        </w:tabs>
        <w:spacing w:before="56"/>
        <w:ind w:left="1101" w:right="0" w:firstLine="0"/>
        <w:jc w:val="left"/>
        <w:rPr>
          <w:rFonts w:ascii="Calibri"/>
          <w:sz w:val="12"/>
        </w:rPr>
      </w:pPr>
      <w:r>
        <w:rPr>
          <w:rFonts w:ascii="Calibri"/>
          <w:sz w:val="12"/>
        </w:rPr>
        <w:t>Toluca</w:t>
        <w:tab/>
        <w:t>Lerma</w:t>
        <w:tab/>
        <w:t>Metepec       San Mateo   Zinacantepec  Almoloya</w:t>
      </w:r>
      <w:r>
        <w:rPr>
          <w:rFonts w:ascii="Calibri"/>
          <w:spacing w:val="-3"/>
          <w:sz w:val="12"/>
        </w:rPr>
        <w:t> </w:t>
      </w:r>
      <w:r>
        <w:rPr>
          <w:rFonts w:ascii="Calibri"/>
          <w:sz w:val="12"/>
        </w:rPr>
        <w:t>de</w:t>
      </w:r>
    </w:p>
    <w:p>
      <w:pPr>
        <w:spacing w:before="56"/>
        <w:ind w:left="62" w:right="-2" w:firstLine="0"/>
        <w:jc w:val="left"/>
        <w:rPr>
          <w:rFonts w:ascii="Calibri" w:hAnsi="Calibri"/>
          <w:sz w:val="12"/>
        </w:rPr>
      </w:pPr>
      <w:r>
        <w:rPr/>
        <w:br w:type="column"/>
      </w:r>
      <w:r>
        <w:rPr>
          <w:rFonts w:ascii="Calibri" w:hAnsi="Calibri"/>
          <w:sz w:val="12"/>
        </w:rPr>
        <w:t>Xonacatlán      Calimaya     Otzolotepec   Tenango  del</w:t>
      </w:r>
    </w:p>
    <w:p>
      <w:pPr>
        <w:spacing w:before="56"/>
        <w:ind w:left="203" w:right="0" w:firstLine="0"/>
        <w:jc w:val="left"/>
        <w:rPr>
          <w:rFonts w:ascii="Calibri"/>
          <w:sz w:val="12"/>
        </w:rPr>
      </w:pPr>
      <w:r>
        <w:rPr/>
        <w:br w:type="column"/>
      </w:r>
      <w:r>
        <w:rPr>
          <w:rFonts w:ascii="Calibri"/>
          <w:sz w:val="12"/>
        </w:rPr>
        <w:t>Otros</w:t>
      </w:r>
    </w:p>
    <w:p>
      <w:pPr>
        <w:spacing w:after="0"/>
        <w:jc w:val="left"/>
        <w:rPr>
          <w:rFonts w:ascii="Calibri"/>
          <w:sz w:val="12"/>
        </w:rPr>
        <w:sectPr>
          <w:type w:val="continuous"/>
          <w:pgSz w:w="12240" w:h="15840"/>
          <w:pgMar w:top="1500" w:bottom="280" w:left="1600" w:right="1600"/>
          <w:cols w:num="3" w:equalWidth="0">
            <w:col w:w="4955" w:space="40"/>
            <w:col w:w="2665" w:space="40"/>
            <w:col w:w="1340"/>
          </w:cols>
        </w:sectPr>
      </w:pPr>
    </w:p>
    <w:p>
      <w:pPr>
        <w:spacing w:before="0"/>
        <w:ind w:left="0" w:right="0" w:firstLine="0"/>
        <w:jc w:val="right"/>
        <w:rPr>
          <w:rFonts w:ascii="Calibri"/>
          <w:sz w:val="12"/>
        </w:rPr>
      </w:pPr>
      <w:r>
        <w:rPr>
          <w:rFonts w:ascii="Calibri"/>
          <w:sz w:val="12"/>
        </w:rPr>
        <w:t>Atenco</w:t>
      </w:r>
    </w:p>
    <w:p>
      <w:pPr>
        <w:spacing w:before="0"/>
        <w:ind w:left="0" w:right="0" w:firstLine="0"/>
        <w:jc w:val="right"/>
        <w:rPr>
          <w:rFonts w:ascii="Calibri" w:hAnsi="Calibri"/>
          <w:sz w:val="12"/>
        </w:rPr>
      </w:pPr>
      <w:r>
        <w:rPr/>
        <w:br w:type="column"/>
      </w:r>
      <w:r>
        <w:rPr>
          <w:rFonts w:ascii="Calibri" w:hAnsi="Calibri"/>
          <w:sz w:val="12"/>
        </w:rPr>
        <w:t>Juárez</w:t>
      </w:r>
    </w:p>
    <w:p>
      <w:pPr>
        <w:spacing w:before="0"/>
        <w:ind w:left="2377" w:right="1538" w:firstLine="0"/>
        <w:jc w:val="center"/>
        <w:rPr>
          <w:rFonts w:ascii="Calibri"/>
          <w:sz w:val="12"/>
        </w:rPr>
      </w:pPr>
      <w:r>
        <w:rPr/>
        <w:br w:type="column"/>
      </w:r>
      <w:r>
        <w:rPr>
          <w:rFonts w:ascii="Calibri"/>
          <w:sz w:val="12"/>
        </w:rPr>
        <w:t>Valle</w:t>
      </w:r>
    </w:p>
    <w:p>
      <w:pPr>
        <w:spacing w:after="0"/>
        <w:jc w:val="center"/>
        <w:rPr>
          <w:rFonts w:ascii="Calibri"/>
          <w:sz w:val="12"/>
        </w:rPr>
        <w:sectPr>
          <w:type w:val="continuous"/>
          <w:pgSz w:w="12240" w:h="15840"/>
          <w:pgMar w:top="1500" w:bottom="280" w:left="1600" w:right="1600"/>
          <w:cols w:num="3" w:equalWidth="0">
            <w:col w:w="3467" w:space="40"/>
            <w:col w:w="1297" w:space="40"/>
            <w:col w:w="4196"/>
          </w:cols>
        </w:sectPr>
      </w:pPr>
    </w:p>
    <w:p>
      <w:pPr>
        <w:pStyle w:val="BodyText"/>
        <w:rPr>
          <w:rFonts w:ascii="Calibri"/>
          <w:sz w:val="17"/>
        </w:rPr>
      </w:pPr>
    </w:p>
    <w:p>
      <w:pPr>
        <w:spacing w:line="480" w:lineRule="auto" w:before="74"/>
        <w:ind w:left="394" w:right="294" w:firstLine="98"/>
        <w:jc w:val="left"/>
        <w:rPr>
          <w:sz w:val="20"/>
        </w:rPr>
      </w:pPr>
      <w:r>
        <w:rPr>
          <w:sz w:val="20"/>
        </w:rPr>
        <w:t>Fuente: Elaboración propia con información de la Junta de Caminos del Estado de México. Gráfica  21. Principales entidades destino en  la interrelación de la ZMT  a nivel nacional (%)</w:t>
      </w:r>
    </w:p>
    <w:p>
      <w:pPr>
        <w:spacing w:line="147" w:lineRule="exact" w:before="0"/>
        <w:ind w:left="329" w:right="93" w:firstLine="0"/>
        <w:jc w:val="center"/>
        <w:rPr>
          <w:rFonts w:ascii="Calibri"/>
          <w:sz w:val="20"/>
        </w:rPr>
      </w:pPr>
      <w:r>
        <w:rPr/>
        <w:pict>
          <v:rect style="position:absolute;margin-left:288.480011pt;margin-top:1.158997pt;width:5.52pt;height:5.52pt;mso-position-horizontal-relative:page;mso-position-vertical-relative:paragraph;z-index:6448" filled="true" fillcolor="#6f2f9f" stroked="false">
            <v:fill type="solid"/>
            <w10:wrap type="none"/>
          </v:rect>
        </w:pict>
      </w:r>
      <w:r>
        <w:rPr>
          <w:rFonts w:ascii="Calibri"/>
          <w:sz w:val="20"/>
        </w:rPr>
        <w:t>Destino</w:t>
      </w:r>
    </w:p>
    <w:p>
      <w:pPr>
        <w:spacing w:line="153" w:lineRule="exact" w:before="0"/>
        <w:ind w:left="1448" w:right="294" w:firstLine="0"/>
        <w:jc w:val="left"/>
        <w:rPr>
          <w:rFonts w:ascii="Calibri"/>
          <w:sz w:val="16"/>
        </w:rPr>
      </w:pPr>
      <w:r>
        <w:rPr/>
        <w:pict>
          <v:group style="position:absolute;margin-left:140.865005pt;margin-top:12.150817pt;width:330.4pt;height:112.5pt;mso-position-horizontal-relative:page;mso-position-vertical-relative:paragraph;z-index:6400;mso-wrap-distance-left:0;mso-wrap-distance-right:0" coordorigin="2817,243" coordsize="6608,2250">
            <v:rect style="position:absolute;left:3046;top:243;width:293;height:2242" filled="true" fillcolor="#6f2f9f" stroked="false">
              <v:fill type="solid"/>
            </v:rect>
            <v:rect style="position:absolute;left:3778;top:2189;width:293;height:295" filled="true" fillcolor="#6f2f9f" stroked="false">
              <v:fill type="solid"/>
            </v:rect>
            <v:rect style="position:absolute;left:4510;top:2377;width:293;height:108" filled="true" fillcolor="#6f2f9f" stroked="false">
              <v:fill type="solid"/>
            </v:rect>
            <v:rect style="position:absolute;left:5242;top:2391;width:293;height:94" filled="true" fillcolor="#6f2f9f" stroked="false">
              <v:fill type="solid"/>
            </v:rect>
            <v:line style="position:absolute" from="5974,2445" to="6269,2445" stroked="true" strokeweight="3.96pt" strokecolor="#6f2f9f"/>
            <v:line style="position:absolute" from="6708,2459" to="7001,2459" stroked="true" strokeweight="2.52pt" strokecolor="#6f2f9f"/>
            <v:line style="position:absolute" from="7440,2459" to="7733,2459" stroked="true" strokeweight="2.52pt" strokecolor="#6f2f9f"/>
            <v:line style="position:absolute" from="8172,2462" to="8465,2462" stroked="true" strokeweight="2.280pt" strokecolor="#6f2f9f"/>
            <v:rect style="position:absolute;left:8904;top:2305;width:293;height:180" filled="true" fillcolor="#6f2f9f" stroked="false">
              <v:fill type="solid"/>
            </v:rect>
            <v:line style="position:absolute" from="2825,2485" to="9418,2485" stroked="true" strokeweight=".72pt" strokecolor="#858585"/>
            <v:shape style="position:absolute;left:3822;top:1936;width:204;height:161" type="#_x0000_t202" filled="false" stroked="false">
              <v:textbox inset="0,0,0,0">
                <w:txbxContent>
                  <w:p>
                    <w:pPr>
                      <w:spacing w:line="161" w:lineRule="exact" w:before="0"/>
                      <w:ind w:left="0" w:right="-19" w:firstLine="0"/>
                      <w:jc w:val="left"/>
                      <w:rPr>
                        <w:rFonts w:ascii="Calibri"/>
                        <w:sz w:val="16"/>
                      </w:rPr>
                    </w:pPr>
                    <w:r>
                      <w:rPr>
                        <w:rFonts w:ascii="Calibri"/>
                        <w:sz w:val="16"/>
                      </w:rPr>
                      <w:t>9.4</w:t>
                    </w:r>
                  </w:p>
                </w:txbxContent>
              </v:textbox>
              <w10:wrap type="none"/>
            </v:shape>
            <v:shape style="position:absolute;left:4554;top:2124;width:204;height:161" type="#_x0000_t202" filled="false" stroked="false">
              <v:textbox inset="0,0,0,0">
                <w:txbxContent>
                  <w:p>
                    <w:pPr>
                      <w:spacing w:line="161" w:lineRule="exact" w:before="0"/>
                      <w:ind w:left="0" w:right="-19" w:firstLine="0"/>
                      <w:jc w:val="left"/>
                      <w:rPr>
                        <w:rFonts w:ascii="Calibri"/>
                        <w:sz w:val="16"/>
                      </w:rPr>
                    </w:pPr>
                    <w:r>
                      <w:rPr>
                        <w:rFonts w:ascii="Calibri"/>
                        <w:sz w:val="16"/>
                      </w:rPr>
                      <w:t>3.4</w:t>
                    </w:r>
                  </w:p>
                </w:txbxContent>
              </v:textbox>
              <w10:wrap type="none"/>
            </v:shape>
            <v:shape style="position:absolute;left:5347;top:2136;width:82;height:161" type="#_x0000_t202" filled="false" stroked="false">
              <v:textbox inset="0,0,0,0">
                <w:txbxContent>
                  <w:p>
                    <w:pPr>
                      <w:spacing w:line="161" w:lineRule="exact" w:before="0"/>
                      <w:ind w:left="0" w:right="0" w:firstLine="0"/>
                      <w:jc w:val="left"/>
                      <w:rPr>
                        <w:rFonts w:ascii="Calibri"/>
                        <w:sz w:val="16"/>
                      </w:rPr>
                    </w:pPr>
                    <w:r>
                      <w:rPr>
                        <w:rFonts w:ascii="Calibri"/>
                        <w:w w:val="100"/>
                        <w:sz w:val="16"/>
                      </w:rPr>
                      <w:t>3</w:t>
                    </w:r>
                  </w:p>
                </w:txbxContent>
              </v:textbox>
              <w10:wrap type="none"/>
            </v:shape>
            <v:shape style="position:absolute;left:6019;top:2152;width:205;height:162" type="#_x0000_t202" filled="false" stroked="false">
              <v:textbox inset="0,0,0,0">
                <w:txbxContent>
                  <w:p>
                    <w:pPr>
                      <w:spacing w:line="161" w:lineRule="exact" w:before="0"/>
                      <w:ind w:left="0" w:right="-18" w:firstLine="0"/>
                      <w:jc w:val="left"/>
                      <w:rPr>
                        <w:rFonts w:ascii="Calibri"/>
                        <w:sz w:val="16"/>
                      </w:rPr>
                    </w:pPr>
                    <w:r>
                      <w:rPr>
                        <w:rFonts w:ascii="Calibri"/>
                        <w:sz w:val="16"/>
                      </w:rPr>
                      <w:t>2.5</w:t>
                    </w:r>
                  </w:p>
                </w:txbxContent>
              </v:textbox>
              <w10:wrap type="none"/>
            </v:shape>
            <v:shape style="position:absolute;left:8908;top:2050;width:286;height:161" type="#_x0000_t202" filled="false" stroked="false">
              <v:textbox inset="0,0,0,0">
                <w:txbxContent>
                  <w:p>
                    <w:pPr>
                      <w:spacing w:line="161" w:lineRule="exact" w:before="0"/>
                      <w:ind w:left="0" w:right="-18" w:firstLine="0"/>
                      <w:jc w:val="left"/>
                      <w:rPr>
                        <w:rFonts w:ascii="Calibri"/>
                        <w:sz w:val="16"/>
                      </w:rPr>
                    </w:pPr>
                    <w:r>
                      <w:rPr>
                        <w:rFonts w:ascii="Calibri"/>
                        <w:sz w:val="16"/>
                      </w:rPr>
                      <w:t>5.76</w:t>
                    </w:r>
                  </w:p>
                </w:txbxContent>
              </v:textbox>
              <w10:wrap type="none"/>
            </v:shape>
            <v:shape style="position:absolute;left:6752;top:2180;width:204;height:161" type="#_x0000_t202" filled="false" stroked="false">
              <v:textbox inset="0,0,0,0">
                <w:txbxContent>
                  <w:p>
                    <w:pPr>
                      <w:spacing w:line="161" w:lineRule="exact" w:before="0"/>
                      <w:ind w:left="0" w:right="-19" w:firstLine="0"/>
                      <w:jc w:val="left"/>
                      <w:rPr>
                        <w:rFonts w:ascii="Calibri"/>
                        <w:sz w:val="16"/>
                      </w:rPr>
                    </w:pPr>
                    <w:r>
                      <w:rPr>
                        <w:rFonts w:ascii="Calibri"/>
                        <w:sz w:val="16"/>
                      </w:rPr>
                      <w:t>1.6</w:t>
                    </w:r>
                  </w:p>
                </w:txbxContent>
              </v:textbox>
              <w10:wrap type="none"/>
            </v:shape>
            <v:shape style="position:absolute;left:7484;top:2180;width:204;height:161" type="#_x0000_t202" filled="false" stroked="false">
              <v:textbox inset="0,0,0,0">
                <w:txbxContent>
                  <w:p>
                    <w:pPr>
                      <w:spacing w:line="161" w:lineRule="exact" w:before="0"/>
                      <w:ind w:left="0" w:right="-19" w:firstLine="0"/>
                      <w:jc w:val="left"/>
                      <w:rPr>
                        <w:rFonts w:ascii="Calibri"/>
                        <w:sz w:val="16"/>
                      </w:rPr>
                    </w:pPr>
                    <w:r>
                      <w:rPr>
                        <w:rFonts w:ascii="Calibri"/>
                        <w:sz w:val="16"/>
                      </w:rPr>
                      <w:t>1.6</w:t>
                    </w:r>
                  </w:p>
                </w:txbxContent>
              </v:textbox>
              <w10:wrap type="none"/>
            </v:shape>
            <v:shape style="position:absolute;left:8217;top:2186;width:204;height:161" type="#_x0000_t202" filled="false" stroked="false">
              <v:textbox inset="0,0,0,0">
                <w:txbxContent>
                  <w:p>
                    <w:pPr>
                      <w:spacing w:line="161" w:lineRule="exact" w:before="0"/>
                      <w:ind w:left="0" w:right="-19" w:firstLine="0"/>
                      <w:jc w:val="left"/>
                      <w:rPr>
                        <w:rFonts w:ascii="Calibri"/>
                        <w:sz w:val="16"/>
                      </w:rPr>
                    </w:pPr>
                    <w:r>
                      <w:rPr>
                        <w:rFonts w:ascii="Calibri"/>
                        <w:sz w:val="16"/>
                      </w:rPr>
                      <w:t>1.4</w:t>
                    </w:r>
                  </w:p>
                </w:txbxContent>
              </v:textbox>
              <w10:wrap type="none"/>
            </v:shape>
            <w10:wrap type="topAndBottom"/>
          </v:group>
        </w:pict>
      </w:r>
      <w:r>
        <w:rPr>
          <w:rFonts w:ascii="Calibri"/>
          <w:sz w:val="16"/>
        </w:rPr>
        <w:t>71.5</w:t>
      </w:r>
    </w:p>
    <w:p>
      <w:pPr>
        <w:tabs>
          <w:tab w:pos="2142" w:val="left" w:leader="none"/>
          <w:tab w:pos="2905" w:val="left" w:leader="none"/>
          <w:tab w:pos="3641" w:val="left" w:leader="none"/>
          <w:tab w:pos="4356" w:val="left" w:leader="none"/>
          <w:tab w:pos="5148" w:val="left" w:leader="none"/>
          <w:tab w:pos="5854" w:val="left" w:leader="none"/>
          <w:tab w:pos="6576" w:val="left" w:leader="none"/>
          <w:tab w:pos="7225" w:val="left" w:leader="none"/>
        </w:tabs>
        <w:spacing w:before="64"/>
        <w:ind w:left="1505" w:right="294" w:firstLine="0"/>
        <w:jc w:val="left"/>
        <w:rPr>
          <w:rFonts w:ascii="Calibri"/>
          <w:sz w:val="16"/>
        </w:rPr>
      </w:pPr>
      <w:r>
        <w:rPr>
          <w:rFonts w:ascii="Calibri"/>
          <w:sz w:val="16"/>
        </w:rPr>
        <w:t>DF</w:t>
        <w:tab/>
        <w:t>MICH</w:t>
        <w:tab/>
        <w:t>QRO</w:t>
        <w:tab/>
        <w:t>GRO</w:t>
        <w:tab/>
        <w:t>MOR</w:t>
        <w:tab/>
        <w:t>JAL</w:t>
        <w:tab/>
        <w:t>PUE</w:t>
        <w:tab/>
        <w:t>GTO</w:t>
        <w:tab/>
        <w:t>OTROS</w:t>
      </w:r>
    </w:p>
    <w:p>
      <w:pPr>
        <w:pStyle w:val="BodyText"/>
        <w:spacing w:before="10"/>
        <w:rPr>
          <w:rFonts w:ascii="Calibri"/>
          <w:sz w:val="25"/>
        </w:rPr>
      </w:pPr>
    </w:p>
    <w:p>
      <w:pPr>
        <w:spacing w:before="74"/>
        <w:ind w:left="85" w:right="93" w:firstLine="0"/>
        <w:jc w:val="center"/>
        <w:rPr>
          <w:sz w:val="20"/>
        </w:rPr>
      </w:pPr>
      <w:r>
        <w:rPr>
          <w:sz w:val="20"/>
        </w:rPr>
        <w:t>Fuente: Elaboración propia con información de la Junta de Caminos del Estado de México.</w:t>
      </w:r>
    </w:p>
    <w:p>
      <w:pPr>
        <w:pStyle w:val="BodyText"/>
        <w:spacing w:before="6"/>
      </w:pPr>
    </w:p>
    <w:p>
      <w:pPr>
        <w:pStyle w:val="BodyText"/>
        <w:spacing w:line="360" w:lineRule="auto"/>
        <w:ind w:left="102" w:right="101"/>
        <w:jc w:val="center"/>
      </w:pPr>
      <w:r>
        <w:rPr/>
        <w:t>Las relaciones funcionales que la ZMT mantiene en el país son de tipo económicas, pues los motivos de trabajo son importantes, destaca como</w:t>
      </w:r>
      <w:r>
        <w:rPr>
          <w:spacing w:val="63"/>
        </w:rPr>
        <w:t> </w:t>
      </w:r>
      <w:r>
        <w:rPr/>
        <w:t>mercado</w:t>
      </w:r>
    </w:p>
    <w:p>
      <w:pPr>
        <w:spacing w:after="0" w:line="360" w:lineRule="auto"/>
        <w:jc w:val="center"/>
        <w:sectPr>
          <w:type w:val="continuous"/>
          <w:pgSz w:w="12240" w:h="15840"/>
          <w:pgMar w:top="1500" w:bottom="280" w:left="1600" w:right="1600"/>
        </w:sectPr>
      </w:pPr>
    </w:p>
    <w:p>
      <w:pPr>
        <w:pStyle w:val="BodyText"/>
        <w:spacing w:line="360" w:lineRule="auto" w:before="54"/>
        <w:ind w:left="102" w:right="116"/>
        <w:jc w:val="both"/>
      </w:pPr>
      <w:r>
        <w:rPr/>
        <w:t>laboral el Distrito Federal debido a la alta concentración y la corta distancia entre ciudades, otros destinos de empleo son Hidalgo ( 253) y Morelia (169), ambos por debajo del Distrito Federal. Los desplazamientos nacionales por motivos de educación son escasos en esta encuesta, ya arriba se mencionó una posible causa y segundo, que ésta actividad no genera viajes diarios de largas distancia, por ello se justifica la presencia de 15 desplazamientos con destinos al DF y Cuernavaca (ver gráficas 20 y 21 anexo de cuadro A 4.19 y A 4.20).  El otro  motivo de traslados nacionales desde la ZMT son los de paseos con 1,658 movimientos.</w:t>
      </w:r>
    </w:p>
    <w:p>
      <w:pPr>
        <w:pStyle w:val="BodyText"/>
        <w:spacing w:before="8"/>
      </w:pPr>
    </w:p>
    <w:p>
      <w:pPr>
        <w:pStyle w:val="BodyText"/>
        <w:spacing w:line="360" w:lineRule="auto"/>
        <w:ind w:left="102" w:right="115"/>
        <w:jc w:val="both"/>
      </w:pPr>
      <w:r>
        <w:rPr/>
        <w:t>En suma, se puede decir que la ZMT mantiene relaciones de dependencia  nacional principalmente por razones de empleo pues satisface sus necesidades con otras ciudades del sistema nacional, entre más cercanas o vecinas sean, siendo entonces una condicionante de la relación funcional diaria, la localización y la</w:t>
      </w:r>
      <w:r>
        <w:rPr>
          <w:spacing w:val="-3"/>
        </w:rPr>
        <w:t> </w:t>
      </w:r>
      <w:r>
        <w:rPr/>
        <w:t>distancia.</w:t>
      </w:r>
    </w:p>
    <w:p>
      <w:pPr>
        <w:pStyle w:val="BodyText"/>
        <w:spacing w:before="7"/>
      </w:pPr>
    </w:p>
    <w:p>
      <w:pPr>
        <w:spacing w:before="0"/>
        <w:ind w:left="102" w:right="0" w:firstLine="0"/>
        <w:jc w:val="both"/>
        <w:rPr>
          <w:i/>
          <w:sz w:val="24"/>
        </w:rPr>
      </w:pPr>
      <w:r>
        <w:rPr>
          <w:i/>
          <w:sz w:val="24"/>
        </w:rPr>
        <w:t>Movimientos nacionales con nodo intermedio de circulación la ZMT</w:t>
      </w:r>
    </w:p>
    <w:p>
      <w:pPr>
        <w:pStyle w:val="BodyText"/>
        <w:rPr>
          <w:i/>
        </w:rPr>
      </w:pPr>
    </w:p>
    <w:p>
      <w:pPr>
        <w:pStyle w:val="BodyText"/>
        <w:spacing w:line="360" w:lineRule="auto" w:before="144"/>
        <w:ind w:left="102" w:right="115"/>
        <w:jc w:val="both"/>
      </w:pPr>
      <w:r>
        <w:rPr/>
        <w:t>Se presentan algunos desplazamientos que circulan por la Zona Metropolitana de Toluca pero que tienen como origen y destino alguna entidad nacional, con lo </w:t>
      </w:r>
      <w:r>
        <w:rPr>
          <w:spacing w:val="-2"/>
        </w:rPr>
        <w:t>que </w:t>
      </w:r>
      <w:r>
        <w:rPr/>
        <w:t>la ZMT tiene el papel de nodo intermedio de 1,069 encuestas que se originan en 22 estados encabezando la lista el Distrito Federal con 555 movimientos, seguido de Michoacán con 250 encuestas estos son los mismos estados destinos que pasan por alguno de los 22 municipios de la ZMT, pero en este caso el principal destino es Michoacán 409 movimientos que se dirigen a él y el Distrito Federal es el segundo con 379 movimientos hacia alguna delegación del mismo, señalando a los estados destino con menores recorridos que atraviesen la ZMT a Nayarit, Zacatecas y Baja California Sur con un solo registro de encuesta (ver graficas 22 y 23 anexo cuadro A 4. 21 y  A</w:t>
      </w:r>
      <w:r>
        <w:rPr>
          <w:spacing w:val="-8"/>
        </w:rPr>
        <w:t> </w:t>
      </w:r>
      <w:r>
        <w:rPr/>
        <w:t>4.22).</w:t>
      </w:r>
    </w:p>
    <w:p>
      <w:pPr>
        <w:spacing w:after="0" w:line="360" w:lineRule="auto"/>
        <w:jc w:val="both"/>
        <w:sectPr>
          <w:pgSz w:w="12240" w:h="15840"/>
          <w:pgMar w:header="0" w:footer="659" w:top="1360" w:bottom="840" w:left="1600" w:right="1580"/>
        </w:sectPr>
      </w:pPr>
    </w:p>
    <w:p>
      <w:pPr>
        <w:spacing w:before="53"/>
        <w:ind w:left="4288" w:right="0" w:hanging="4026"/>
        <w:jc w:val="left"/>
        <w:rPr>
          <w:sz w:val="20"/>
        </w:rPr>
      </w:pPr>
      <w:r>
        <w:rPr>
          <w:sz w:val="20"/>
        </w:rPr>
        <w:t>Gráfica 22. Principales estados de origen en los movimientos nacionales con nodo intermedio la ZMT.</w:t>
      </w:r>
    </w:p>
    <w:p>
      <w:pPr>
        <w:spacing w:before="19"/>
        <w:ind w:left="636" w:right="294" w:firstLine="0"/>
        <w:jc w:val="left"/>
        <w:rPr>
          <w:rFonts w:ascii="Calibri"/>
          <w:sz w:val="20"/>
        </w:rPr>
      </w:pPr>
      <w:r>
        <w:rPr/>
        <w:pict>
          <v:group style="position:absolute;margin-left:127.785004pt;margin-top:2.591462pt;width:370.25pt;height:131.7pt;mso-position-horizontal-relative:page;mso-position-vertical-relative:paragraph;z-index:6712" coordorigin="2556,52" coordsize="7405,2634">
            <v:shape style="position:absolute;left:2870;top:729;width:5211;height:1887" coordorigin="2870,729" coordsize="5211,1887" path="m3194,729l2870,729,2870,2616,3194,2616,3194,729m4010,897l3684,897,3684,2616,4010,2616,4010,897m4824,2205l4498,2205,4498,2616,4824,2616,4824,2205m5638,2392l5311,2392,5311,2616,5638,2616,5638,2392m6451,2462l6127,2462,6127,2616,6451,2616,6451,2462m7265,2486l6941,2486,6941,2616,7265,2616,7265,2486m8081,2517l7754,2517,7754,2616,8081,2616,8081,2517e" filled="true" fillcolor="#6f2f9f" stroked="false">
              <v:path arrowok="t"/>
              <v:fill type="solid"/>
            </v:shape>
            <v:line style="position:absolute" from="8568,2593" to="8894,2593" stroked="true" strokeweight="2.280pt" strokecolor="#6f2f9f"/>
            <v:line style="position:absolute" from="9382,2595" to="9708,2595" stroked="true" strokeweight="2.04pt" strokecolor="#6f2f9f"/>
            <v:shape style="position:absolute;left:2563;top:153;width:7390;height:2525" coordorigin="2563,153" coordsize="7390,2525" path="m2626,2616l2626,153m2563,2616l2626,2616m2563,2121l2626,2121m2563,1629l2626,1629m2563,1137l2626,1137m2563,645l2626,645m2563,153l2626,153m2626,2616l9953,2616m2626,2616l2626,2678m3439,2616l3439,2678m4253,2616l4253,2678m5069,2616l5069,2678m5882,2616l5882,2678m6696,2616l6696,2678m7510,2616l7510,2678m8323,2616l8323,2678m9139,2616l9139,2678m9953,2616l9953,2678e" filled="false" stroked="true" strokeweight=".72pt" strokecolor="#858585">
              <v:path arrowok="t"/>
            </v:shape>
            <v:rect style="position:absolute;left:5942;top:88;width:110;height:110" filled="true" fillcolor="#6f2f9f" stroked="false">
              <v:fill type="solid"/>
            </v:rect>
            <v:shape style="position:absolute;left:6099;top:52;width:1333;height:200" type="#_x0000_t202" filled="false" stroked="false">
              <v:textbox inset="0,0,0,0">
                <w:txbxContent>
                  <w:p>
                    <w:pPr>
                      <w:spacing w:line="199" w:lineRule="exact" w:before="0"/>
                      <w:ind w:left="0" w:right="-16" w:firstLine="0"/>
                      <w:jc w:val="left"/>
                      <w:rPr>
                        <w:rFonts w:ascii="Calibri"/>
                        <w:sz w:val="20"/>
                      </w:rPr>
                    </w:pPr>
                    <w:r>
                      <w:rPr>
                        <w:rFonts w:ascii="Calibri"/>
                        <w:sz w:val="20"/>
                      </w:rPr>
                      <w:t>destino</w:t>
                    </w:r>
                    <w:r>
                      <w:rPr>
                        <w:rFonts w:ascii="Calibri"/>
                        <w:spacing w:val="-7"/>
                        <w:sz w:val="20"/>
                      </w:rPr>
                      <w:t> </w:t>
                    </w:r>
                    <w:r>
                      <w:rPr>
                        <w:rFonts w:ascii="Calibri"/>
                        <w:sz w:val="20"/>
                      </w:rPr>
                      <w:t>nacional</w:t>
                    </w:r>
                  </w:p>
                </w:txbxContent>
              </v:textbox>
              <w10:wrap type="none"/>
            </v:shape>
            <v:shape style="position:absolute;left:2854;top:435;width:354;height:200" type="#_x0000_t202" filled="false" stroked="false">
              <v:textbox inset="0,0,0,0">
                <w:txbxContent>
                  <w:p>
                    <w:pPr>
                      <w:spacing w:line="199" w:lineRule="exact" w:before="0"/>
                      <w:ind w:left="0" w:right="-3" w:firstLine="0"/>
                      <w:jc w:val="left"/>
                      <w:rPr>
                        <w:rFonts w:ascii="Calibri"/>
                        <w:sz w:val="20"/>
                      </w:rPr>
                    </w:pPr>
                    <w:r>
                      <w:rPr>
                        <w:rFonts w:ascii="Calibri"/>
                        <w:w w:val="95"/>
                        <w:sz w:val="20"/>
                      </w:rPr>
                      <w:t>38.3</w:t>
                    </w:r>
                  </w:p>
                </w:txbxContent>
              </v:textbox>
              <w10:wrap type="none"/>
            </v:shape>
            <v:shape style="position:absolute;left:3668;top:603;width:354;height:200" type="#_x0000_t202" filled="false" stroked="false">
              <v:textbox inset="0,0,0,0">
                <w:txbxContent>
                  <w:p>
                    <w:pPr>
                      <w:spacing w:line="199" w:lineRule="exact" w:before="0"/>
                      <w:ind w:left="0" w:right="-3" w:firstLine="0"/>
                      <w:jc w:val="left"/>
                      <w:rPr>
                        <w:rFonts w:ascii="Calibri"/>
                        <w:sz w:val="20"/>
                      </w:rPr>
                    </w:pPr>
                    <w:r>
                      <w:rPr>
                        <w:rFonts w:ascii="Calibri"/>
                        <w:w w:val="95"/>
                        <w:sz w:val="20"/>
                      </w:rPr>
                      <w:t>34.9</w:t>
                    </w:r>
                  </w:p>
                </w:txbxContent>
              </v:textbox>
              <w10:wrap type="none"/>
            </v:shape>
            <v:shape style="position:absolute;left:4533;top:1913;width:253;height:200" type="#_x0000_t202" filled="false" stroked="false">
              <v:textbox inset="0,0,0,0">
                <w:txbxContent>
                  <w:p>
                    <w:pPr>
                      <w:spacing w:line="199" w:lineRule="exact" w:before="0"/>
                      <w:ind w:left="0" w:right="-8" w:firstLine="0"/>
                      <w:jc w:val="left"/>
                      <w:rPr>
                        <w:rFonts w:ascii="Calibri"/>
                        <w:sz w:val="20"/>
                      </w:rPr>
                    </w:pPr>
                    <w:r>
                      <w:rPr>
                        <w:rFonts w:ascii="Calibri"/>
                        <w:w w:val="95"/>
                        <w:sz w:val="20"/>
                      </w:rPr>
                      <w:t>8.3</w:t>
                    </w:r>
                  </w:p>
                </w:txbxContent>
              </v:textbox>
              <w10:wrap type="none"/>
            </v:shape>
            <v:shape style="position:absolute;left:5347;top:2100;width:254;height:200" type="#_x0000_t202" filled="false" stroked="false">
              <v:textbox inset="0,0,0,0">
                <w:txbxContent>
                  <w:p>
                    <w:pPr>
                      <w:spacing w:line="199" w:lineRule="exact" w:before="0"/>
                      <w:ind w:left="0" w:right="-20" w:firstLine="0"/>
                      <w:jc w:val="left"/>
                      <w:rPr>
                        <w:rFonts w:ascii="Calibri"/>
                        <w:sz w:val="20"/>
                      </w:rPr>
                    </w:pPr>
                    <w:r>
                      <w:rPr>
                        <w:rFonts w:ascii="Calibri"/>
                        <w:sz w:val="20"/>
                      </w:rPr>
                      <w:t>4.5</w:t>
                    </w:r>
                  </w:p>
                </w:txbxContent>
              </v:textbox>
              <w10:wrap type="none"/>
            </v:shape>
            <v:shape style="position:absolute;left:6161;top:2169;width:253;height:200" type="#_x0000_t202" filled="false" stroked="false">
              <v:textbox inset="0,0,0,0">
                <w:txbxContent>
                  <w:p>
                    <w:pPr>
                      <w:spacing w:line="199" w:lineRule="exact" w:before="0"/>
                      <w:ind w:left="0" w:right="-8" w:firstLine="0"/>
                      <w:jc w:val="left"/>
                      <w:rPr>
                        <w:rFonts w:ascii="Calibri"/>
                        <w:sz w:val="20"/>
                      </w:rPr>
                    </w:pPr>
                    <w:r>
                      <w:rPr>
                        <w:rFonts w:ascii="Calibri"/>
                        <w:w w:val="95"/>
                        <w:sz w:val="20"/>
                      </w:rPr>
                      <w:t>3.1</w:t>
                    </w:r>
                  </w:p>
                </w:txbxContent>
              </v:textbox>
              <w10:wrap type="none"/>
            </v:shape>
            <v:shape style="position:absolute;left:6975;top:2194;width:253;height:200" type="#_x0000_t202" filled="false" stroked="false">
              <v:textbox inset="0,0,0,0">
                <w:txbxContent>
                  <w:p>
                    <w:pPr>
                      <w:spacing w:line="199" w:lineRule="exact" w:before="0"/>
                      <w:ind w:left="0" w:right="-8" w:firstLine="0"/>
                      <w:jc w:val="left"/>
                      <w:rPr>
                        <w:rFonts w:ascii="Calibri"/>
                        <w:sz w:val="20"/>
                      </w:rPr>
                    </w:pPr>
                    <w:r>
                      <w:rPr>
                        <w:rFonts w:ascii="Calibri"/>
                        <w:w w:val="95"/>
                        <w:sz w:val="20"/>
                      </w:rPr>
                      <w:t>2.6</w:t>
                    </w:r>
                  </w:p>
                </w:txbxContent>
              </v:textbox>
              <w10:wrap type="none"/>
            </v:shape>
            <v:shape style="position:absolute;left:7867;top:2223;width:101;height:200" type="#_x0000_t202" filled="false" stroked="false">
              <v:textbox inset="0,0,0,0">
                <w:txbxContent>
                  <w:p>
                    <w:pPr>
                      <w:spacing w:line="199" w:lineRule="exact" w:before="0"/>
                      <w:ind w:left="0" w:right="0" w:firstLine="0"/>
                      <w:jc w:val="left"/>
                      <w:rPr>
                        <w:rFonts w:ascii="Calibri"/>
                        <w:sz w:val="20"/>
                      </w:rPr>
                    </w:pPr>
                    <w:r>
                      <w:rPr>
                        <w:rFonts w:ascii="Calibri"/>
                        <w:w w:val="99"/>
                        <w:sz w:val="20"/>
                      </w:rPr>
                      <w:t>2</w:t>
                    </w:r>
                  </w:p>
                </w:txbxContent>
              </v:textbox>
              <w10:wrap type="none"/>
            </v:shape>
            <v:shape style="position:absolute;left:8604;top:2278;width:253;height:200" type="#_x0000_t202" filled="false" stroked="false">
              <v:textbox inset="0,0,0,0">
                <w:txbxContent>
                  <w:p>
                    <w:pPr>
                      <w:spacing w:line="199" w:lineRule="exact" w:before="0"/>
                      <w:ind w:left="0" w:right="-8" w:firstLine="0"/>
                      <w:jc w:val="left"/>
                      <w:rPr>
                        <w:rFonts w:ascii="Calibri"/>
                        <w:sz w:val="20"/>
                      </w:rPr>
                    </w:pPr>
                    <w:r>
                      <w:rPr>
                        <w:rFonts w:ascii="Calibri"/>
                        <w:w w:val="95"/>
                        <w:sz w:val="20"/>
                      </w:rPr>
                      <w:t>0.9</w:t>
                    </w:r>
                  </w:p>
                </w:txbxContent>
              </v:textbox>
              <w10:wrap type="none"/>
            </v:shape>
            <v:shape style="position:absolute;left:9418;top:2282;width:253;height:200" type="#_x0000_t202" filled="false" stroked="false">
              <v:textbox inset="0,0,0,0">
                <w:txbxContent>
                  <w:p>
                    <w:pPr>
                      <w:spacing w:line="199" w:lineRule="exact" w:before="0"/>
                      <w:ind w:left="0" w:right="-8" w:firstLine="0"/>
                      <w:jc w:val="left"/>
                      <w:rPr>
                        <w:rFonts w:ascii="Calibri"/>
                        <w:sz w:val="20"/>
                      </w:rPr>
                    </w:pPr>
                    <w:r>
                      <w:rPr>
                        <w:rFonts w:ascii="Calibri"/>
                        <w:w w:val="95"/>
                        <w:sz w:val="20"/>
                      </w:rPr>
                      <w:t>0.8</w:t>
                    </w:r>
                  </w:p>
                </w:txbxContent>
              </v:textbox>
              <w10:wrap type="none"/>
            </v:shape>
            <w10:wrap type="none"/>
          </v:group>
        </w:pict>
      </w:r>
      <w:r>
        <w:rPr>
          <w:rFonts w:ascii="Calibri"/>
          <w:sz w:val="20"/>
        </w:rPr>
        <w:t>50</w:t>
      </w:r>
    </w:p>
    <w:p>
      <w:pPr>
        <w:pStyle w:val="BodyText"/>
        <w:spacing w:before="4"/>
        <w:rPr>
          <w:rFonts w:ascii="Calibri"/>
          <w:sz w:val="20"/>
        </w:rPr>
      </w:pPr>
    </w:p>
    <w:p>
      <w:pPr>
        <w:spacing w:before="0"/>
        <w:ind w:left="636" w:right="294" w:firstLine="0"/>
        <w:jc w:val="left"/>
        <w:rPr>
          <w:rFonts w:ascii="Calibri"/>
          <w:sz w:val="20"/>
        </w:rPr>
      </w:pPr>
      <w:r>
        <w:rPr>
          <w:rFonts w:ascii="Calibri"/>
          <w:sz w:val="20"/>
        </w:rPr>
        <w:t>40</w:t>
      </w:r>
    </w:p>
    <w:p>
      <w:pPr>
        <w:pStyle w:val="BodyText"/>
        <w:spacing w:before="6"/>
        <w:rPr>
          <w:rFonts w:ascii="Calibri"/>
          <w:sz w:val="15"/>
        </w:rPr>
      </w:pPr>
    </w:p>
    <w:p>
      <w:pPr>
        <w:spacing w:before="59"/>
        <w:ind w:left="636" w:right="294" w:firstLine="0"/>
        <w:jc w:val="left"/>
        <w:rPr>
          <w:rFonts w:ascii="Calibri"/>
          <w:sz w:val="20"/>
        </w:rPr>
      </w:pPr>
      <w:r>
        <w:rPr>
          <w:rFonts w:ascii="Calibri"/>
          <w:sz w:val="20"/>
        </w:rPr>
        <w:t>30</w:t>
      </w:r>
    </w:p>
    <w:p>
      <w:pPr>
        <w:pStyle w:val="BodyText"/>
        <w:spacing w:before="6"/>
        <w:rPr>
          <w:rFonts w:ascii="Calibri"/>
          <w:sz w:val="15"/>
        </w:rPr>
      </w:pPr>
    </w:p>
    <w:p>
      <w:pPr>
        <w:spacing w:before="59"/>
        <w:ind w:left="636" w:right="294" w:firstLine="0"/>
        <w:jc w:val="left"/>
        <w:rPr>
          <w:rFonts w:ascii="Calibri"/>
          <w:sz w:val="20"/>
        </w:rPr>
      </w:pPr>
      <w:r>
        <w:rPr>
          <w:rFonts w:ascii="Calibri"/>
          <w:sz w:val="20"/>
        </w:rPr>
        <w:t>20</w:t>
      </w:r>
    </w:p>
    <w:p>
      <w:pPr>
        <w:pStyle w:val="BodyText"/>
        <w:spacing w:before="4"/>
        <w:rPr>
          <w:rFonts w:ascii="Calibri"/>
          <w:sz w:val="20"/>
        </w:rPr>
      </w:pPr>
    </w:p>
    <w:p>
      <w:pPr>
        <w:spacing w:before="0"/>
        <w:ind w:left="636" w:right="294" w:firstLine="0"/>
        <w:jc w:val="left"/>
        <w:rPr>
          <w:rFonts w:ascii="Calibri"/>
          <w:sz w:val="20"/>
        </w:rPr>
      </w:pPr>
      <w:r>
        <w:rPr>
          <w:rFonts w:ascii="Calibri"/>
          <w:sz w:val="20"/>
        </w:rPr>
        <w:t>10</w:t>
      </w:r>
    </w:p>
    <w:p>
      <w:pPr>
        <w:pStyle w:val="BodyText"/>
        <w:spacing w:before="6"/>
        <w:rPr>
          <w:rFonts w:ascii="Calibri"/>
          <w:sz w:val="15"/>
        </w:rPr>
      </w:pPr>
    </w:p>
    <w:p>
      <w:pPr>
        <w:spacing w:before="59"/>
        <w:ind w:left="738" w:right="0" w:firstLine="0"/>
        <w:jc w:val="left"/>
        <w:rPr>
          <w:rFonts w:ascii="Calibri"/>
          <w:sz w:val="20"/>
        </w:rPr>
      </w:pPr>
      <w:r>
        <w:rPr>
          <w:rFonts w:ascii="Calibri"/>
          <w:w w:val="99"/>
          <w:sz w:val="20"/>
        </w:rPr>
        <w:t>0</w:t>
      </w:r>
    </w:p>
    <w:p>
      <w:pPr>
        <w:tabs>
          <w:tab w:pos="2138" w:val="left" w:leader="none"/>
          <w:tab w:pos="2928" w:val="left" w:leader="none"/>
          <w:tab w:pos="3690" w:val="left" w:leader="none"/>
          <w:tab w:pos="4482" w:val="left" w:leader="none"/>
          <w:tab w:pos="5315" w:val="left" w:leader="none"/>
          <w:tab w:pos="6139" w:val="left" w:leader="none"/>
          <w:tab w:pos="7025" w:val="left" w:leader="none"/>
          <w:tab w:pos="7769" w:val="left" w:leader="none"/>
        </w:tabs>
        <w:spacing w:before="16"/>
        <w:ind w:left="1205" w:right="294" w:firstLine="0"/>
        <w:jc w:val="left"/>
        <w:rPr>
          <w:rFonts w:ascii="Calibri"/>
          <w:sz w:val="20"/>
        </w:rPr>
      </w:pPr>
      <w:r>
        <w:rPr>
          <w:rFonts w:ascii="Calibri"/>
          <w:sz w:val="20"/>
        </w:rPr>
        <w:t>MICH</w:t>
        <w:tab/>
        <w:t>DF</w:t>
        <w:tab/>
        <w:t>JAL</w:t>
        <w:tab/>
        <w:t>GRO</w:t>
        <w:tab/>
        <w:t>MOR</w:t>
        <w:tab/>
        <w:t>QRO</w:t>
        <w:tab/>
        <w:t>GTO</w:t>
        <w:tab/>
        <w:t>NL</w:t>
        <w:tab/>
        <w:t>OAX</w:t>
      </w:r>
    </w:p>
    <w:p>
      <w:pPr>
        <w:spacing w:before="86"/>
        <w:ind w:left="85" w:right="93" w:firstLine="0"/>
        <w:jc w:val="center"/>
        <w:rPr>
          <w:sz w:val="20"/>
        </w:rPr>
      </w:pPr>
      <w:r>
        <w:rPr>
          <w:sz w:val="20"/>
        </w:rPr>
        <w:t>Fuente: Elaboración propia con información de la Junta de Caminos del Estado de México.</w:t>
      </w:r>
    </w:p>
    <w:p>
      <w:pPr>
        <w:pStyle w:val="BodyText"/>
        <w:rPr>
          <w:sz w:val="20"/>
        </w:rPr>
      </w:pPr>
    </w:p>
    <w:p>
      <w:pPr>
        <w:spacing w:before="116"/>
        <w:ind w:left="86" w:right="93" w:firstLine="0"/>
        <w:jc w:val="center"/>
        <w:rPr>
          <w:sz w:val="20"/>
        </w:rPr>
      </w:pPr>
      <w:r>
        <w:rPr>
          <w:sz w:val="20"/>
        </w:rPr>
        <w:t>Gráfica 23. Principales estados de destino en los movimientos nacionales con nodo intermedio la ZMT.</w:t>
      </w:r>
    </w:p>
    <w:p>
      <w:pPr>
        <w:spacing w:before="75"/>
        <w:ind w:left="776" w:right="294" w:firstLine="0"/>
        <w:jc w:val="left"/>
        <w:rPr>
          <w:rFonts w:ascii="Calibri"/>
          <w:sz w:val="20"/>
        </w:rPr>
      </w:pPr>
      <w:r>
        <w:rPr/>
        <w:pict>
          <v:group style="position:absolute;margin-left:134.744995pt;margin-top:7.791473pt;width:352.5pt;height:144.6pt;mso-position-horizontal-relative:page;mso-position-vertical-relative:paragraph;z-index:6904" coordorigin="2695,156" coordsize="7050,2892">
            <v:shape style="position:absolute;left:2954;top:582;width:3425;height:2396" coordorigin="2954,582" coordsize="3425,2396" path="m3209,582l2954,582,2954,2977,3209,2977,3209,582m3842,1897l3590,1897,3590,2977,3842,2977,3842,1897m4476,2718l4224,2718,4224,2977,4476,2977,4476,2718m5110,2773l4858,2773,4858,2977,5110,2977,5110,2773m5746,2872l5491,2872,5491,2977,5746,2977,5746,2872m6379,2877l6125,2877,6125,2977,6379,2977,6379,2877e" filled="true" fillcolor="#4f81bc" stroked="false">
              <v:path arrowok="t"/>
              <v:fill type="solid"/>
            </v:shape>
            <v:shape style="position:absolute;left:6758;top:2935;width:888;height:2" coordorigin="6758,2935" coordsize="888,0" path="m6758,2935l7013,2935m7392,2935l7646,2935e" filled="false" stroked="true" strokeweight="4.2pt" strokecolor="#4f81bc">
              <v:path arrowok="t"/>
            </v:shape>
            <v:line style="position:absolute" from="8026,2945" to="8280,2945" stroked="true" strokeweight="3.24pt" strokecolor="#4f81bc"/>
            <v:line style="position:absolute" from="8659,2947" to="8914,2947" stroked="true" strokeweight="3pt" strokecolor="#4f81bc"/>
            <v:line style="position:absolute" from="9295,2955" to="9547,2955" stroked="true" strokeweight="2.280pt" strokecolor="#4f81bc"/>
            <v:shape style="position:absolute;left:2702;top:208;width:7035;height:2832" coordorigin="2702,208" coordsize="7035,2832" path="m2765,2977l2765,208m2702,2977l2765,2977m2702,2517l2765,2517m2702,2053l2765,2053m2702,1593l2765,1593m2702,1132l2765,1132m2702,671l2765,671m2702,208l2765,208m2765,2977l9737,2977m2765,2977l2765,3040m3398,2977l3398,3040m4032,2977l4032,3040m4668,2977l4668,3040m5302,2977l5302,3040m5935,2977l5935,3040m6569,2977l6569,3040m7202,2977l7202,3040m7836,2977l7836,3040m8470,2977l8470,3040m9103,2977l9103,3040m9737,2977l9737,3040e" filled="false" stroked="true" strokeweight=".72pt" strokecolor="#858585">
              <v:path arrowok="t"/>
            </v:shape>
            <v:rect style="position:absolute;left:5863;top:193;width:110;height:110" filled="true" fillcolor="#4f81bc" stroked="false">
              <v:fill type="solid"/>
            </v:rect>
            <v:shape style="position:absolute;left:2905;top:289;width:354;height:200" type="#_x0000_t202" filled="false" stroked="false">
              <v:textbox inset="0,0,0,0">
                <w:txbxContent>
                  <w:p>
                    <w:pPr>
                      <w:spacing w:line="199" w:lineRule="exact" w:before="0"/>
                      <w:ind w:left="0" w:right="-3" w:firstLine="0"/>
                      <w:jc w:val="left"/>
                      <w:rPr>
                        <w:rFonts w:ascii="Calibri"/>
                        <w:sz w:val="20"/>
                      </w:rPr>
                    </w:pPr>
                    <w:r>
                      <w:rPr>
                        <w:rFonts w:ascii="Calibri"/>
                        <w:w w:val="95"/>
                        <w:sz w:val="20"/>
                      </w:rPr>
                      <w:t>51.9</w:t>
                    </w:r>
                  </w:p>
                </w:txbxContent>
              </v:textbox>
              <w10:wrap type="none"/>
            </v:shape>
            <v:shape style="position:absolute;left:6021;top:156;width:1247;height:200" type="#_x0000_t202" filled="false" stroked="false">
              <v:textbox inset="0,0,0,0">
                <w:txbxContent>
                  <w:p>
                    <w:pPr>
                      <w:spacing w:line="199" w:lineRule="exact" w:before="0"/>
                      <w:ind w:left="0" w:right="-16" w:firstLine="0"/>
                      <w:jc w:val="left"/>
                      <w:rPr>
                        <w:rFonts w:ascii="Calibri"/>
                        <w:sz w:val="20"/>
                      </w:rPr>
                    </w:pPr>
                    <w:r>
                      <w:rPr>
                        <w:rFonts w:ascii="Calibri"/>
                        <w:sz w:val="20"/>
                      </w:rPr>
                      <w:t>origen</w:t>
                    </w:r>
                    <w:r>
                      <w:rPr>
                        <w:rFonts w:ascii="Calibri"/>
                        <w:spacing w:val="-6"/>
                        <w:sz w:val="20"/>
                      </w:rPr>
                      <w:t> </w:t>
                    </w:r>
                    <w:r>
                      <w:rPr>
                        <w:rFonts w:ascii="Calibri"/>
                        <w:sz w:val="20"/>
                      </w:rPr>
                      <w:t>nacional</w:t>
                    </w:r>
                  </w:p>
                </w:txbxContent>
              </v:textbox>
              <w10:wrap type="none"/>
            </v:shape>
            <v:shape style="position:absolute;left:3540;top:1604;width:354;height:200" type="#_x0000_t202" filled="false" stroked="false">
              <v:textbox inset="0,0,0,0">
                <w:txbxContent>
                  <w:p>
                    <w:pPr>
                      <w:spacing w:line="199" w:lineRule="exact" w:before="0"/>
                      <w:ind w:left="0" w:right="-3" w:firstLine="0"/>
                      <w:jc w:val="left"/>
                      <w:rPr>
                        <w:rFonts w:ascii="Calibri"/>
                        <w:sz w:val="20"/>
                      </w:rPr>
                    </w:pPr>
                    <w:r>
                      <w:rPr>
                        <w:rFonts w:ascii="Calibri"/>
                        <w:w w:val="95"/>
                        <w:sz w:val="20"/>
                      </w:rPr>
                      <w:t>23.4</w:t>
                    </w:r>
                  </w:p>
                </w:txbxContent>
              </v:textbox>
              <w10:wrap type="none"/>
            </v:shape>
            <v:shape style="position:absolute;left:4224;top:2425;width:253;height:200" type="#_x0000_t202" filled="false" stroked="false">
              <v:textbox inset="0,0,0,0">
                <w:txbxContent>
                  <w:p>
                    <w:pPr>
                      <w:spacing w:line="199" w:lineRule="exact" w:before="0"/>
                      <w:ind w:left="0" w:right="-8" w:firstLine="0"/>
                      <w:jc w:val="left"/>
                      <w:rPr>
                        <w:rFonts w:ascii="Calibri"/>
                        <w:sz w:val="20"/>
                      </w:rPr>
                    </w:pPr>
                    <w:r>
                      <w:rPr>
                        <w:rFonts w:ascii="Calibri"/>
                        <w:w w:val="95"/>
                        <w:sz w:val="20"/>
                      </w:rPr>
                      <w:t>5.6</w:t>
                    </w:r>
                  </w:p>
                </w:txbxContent>
              </v:textbox>
              <w10:wrap type="none"/>
            </v:shape>
            <v:shape style="position:absolute;left:4858;top:2481;width:253;height:200" type="#_x0000_t202" filled="false" stroked="false">
              <v:textbox inset="0,0,0,0">
                <w:txbxContent>
                  <w:p>
                    <w:pPr>
                      <w:spacing w:line="200" w:lineRule="exact" w:before="0"/>
                      <w:ind w:left="0" w:right="-8" w:firstLine="0"/>
                      <w:jc w:val="left"/>
                      <w:rPr>
                        <w:rFonts w:ascii="Calibri"/>
                        <w:sz w:val="20"/>
                      </w:rPr>
                    </w:pPr>
                    <w:r>
                      <w:rPr>
                        <w:rFonts w:ascii="Calibri"/>
                        <w:w w:val="95"/>
                        <w:sz w:val="20"/>
                      </w:rPr>
                      <w:t>4.4</w:t>
                    </w:r>
                  </w:p>
                </w:txbxContent>
              </v:textbox>
              <w10:wrap type="none"/>
            </v:shape>
            <v:shape style="position:absolute;left:5492;top:2577;width:3423;height:246" type="#_x0000_t202" filled="false" stroked="false">
              <v:textbox inset="0,0,0,0">
                <w:txbxContent>
                  <w:p>
                    <w:pPr>
                      <w:tabs>
                        <w:tab w:pos="633" w:val="left" w:leader="none"/>
                        <w:tab w:pos="1267" w:val="left" w:leader="none"/>
                        <w:tab w:pos="1901" w:val="left" w:leader="none"/>
                        <w:tab w:pos="2535" w:val="left" w:leader="none"/>
                        <w:tab w:pos="3169" w:val="left" w:leader="none"/>
                      </w:tabs>
                      <w:spacing w:line="246" w:lineRule="exact" w:before="0"/>
                      <w:ind w:left="0" w:right="0" w:firstLine="0"/>
                      <w:jc w:val="left"/>
                      <w:rPr>
                        <w:rFonts w:ascii="Calibri"/>
                        <w:sz w:val="20"/>
                      </w:rPr>
                    </w:pPr>
                    <w:r>
                      <w:rPr>
                        <w:rFonts w:ascii="Calibri"/>
                        <w:position w:val="2"/>
                        <w:sz w:val="20"/>
                      </w:rPr>
                      <w:t>2.3</w:t>
                      <w:tab/>
                      <w:t>2.2</w:t>
                      <w:tab/>
                    </w:r>
                    <w:r>
                      <w:rPr>
                        <w:rFonts w:ascii="Calibri"/>
                        <w:sz w:val="20"/>
                      </w:rPr>
                      <w:t>1.8</w:t>
                      <w:tab/>
                      <w:t>1.8</w:t>
                      <w:tab/>
                    </w:r>
                    <w:r>
                      <w:rPr>
                        <w:rFonts w:ascii="Calibri"/>
                        <w:position w:val="-1"/>
                        <w:sz w:val="20"/>
                      </w:rPr>
                      <w:t>1.4</w:t>
                      <w:tab/>
                      <w:t>1.3</w:t>
                    </w:r>
                  </w:p>
                </w:txbxContent>
              </v:textbox>
              <w10:wrap type="none"/>
            </v:shape>
            <v:shape style="position:absolute;left:9370;top:2637;width:101;height:200" type="#_x0000_t202" filled="false" stroked="false">
              <v:textbox inset="0,0,0,0">
                <w:txbxContent>
                  <w:p>
                    <w:pPr>
                      <w:spacing w:line="199" w:lineRule="exact" w:before="0"/>
                      <w:ind w:left="0" w:right="0" w:firstLine="0"/>
                      <w:jc w:val="left"/>
                      <w:rPr>
                        <w:rFonts w:ascii="Calibri"/>
                        <w:sz w:val="20"/>
                      </w:rPr>
                    </w:pPr>
                    <w:r>
                      <w:rPr>
                        <w:rFonts w:ascii="Calibri"/>
                        <w:w w:val="99"/>
                        <w:sz w:val="20"/>
                      </w:rPr>
                      <w:t>1</w:t>
                    </w:r>
                  </w:p>
                </w:txbxContent>
              </v:textbox>
              <w10:wrap type="none"/>
            </v:shape>
            <w10:wrap type="none"/>
          </v:group>
        </w:pict>
      </w:r>
      <w:r>
        <w:rPr>
          <w:rFonts w:ascii="Calibri"/>
          <w:sz w:val="20"/>
        </w:rPr>
        <w:t>60</w:t>
      </w:r>
    </w:p>
    <w:p>
      <w:pPr>
        <w:pStyle w:val="BodyText"/>
        <w:spacing w:before="9"/>
        <w:rPr>
          <w:rFonts w:ascii="Calibri"/>
          <w:sz w:val="17"/>
        </w:rPr>
      </w:pPr>
    </w:p>
    <w:p>
      <w:pPr>
        <w:spacing w:before="0"/>
        <w:ind w:left="776" w:right="294" w:firstLine="0"/>
        <w:jc w:val="left"/>
        <w:rPr>
          <w:rFonts w:ascii="Calibri"/>
          <w:sz w:val="20"/>
        </w:rPr>
      </w:pPr>
      <w:r>
        <w:rPr>
          <w:rFonts w:ascii="Calibri"/>
          <w:sz w:val="20"/>
        </w:rPr>
        <w:t>50</w:t>
      </w:r>
    </w:p>
    <w:p>
      <w:pPr>
        <w:pStyle w:val="BodyText"/>
        <w:spacing w:before="12"/>
        <w:rPr>
          <w:rFonts w:ascii="Calibri"/>
          <w:sz w:val="12"/>
        </w:rPr>
      </w:pPr>
    </w:p>
    <w:p>
      <w:pPr>
        <w:spacing w:before="59"/>
        <w:ind w:left="776" w:right="294" w:firstLine="0"/>
        <w:jc w:val="left"/>
        <w:rPr>
          <w:rFonts w:ascii="Calibri"/>
          <w:sz w:val="20"/>
        </w:rPr>
      </w:pPr>
      <w:r>
        <w:rPr>
          <w:rFonts w:ascii="Calibri"/>
          <w:sz w:val="20"/>
        </w:rPr>
        <w:t>40</w:t>
      </w:r>
    </w:p>
    <w:p>
      <w:pPr>
        <w:pStyle w:val="BodyText"/>
        <w:spacing w:before="9"/>
        <w:rPr>
          <w:rFonts w:ascii="Calibri"/>
          <w:sz w:val="17"/>
        </w:rPr>
      </w:pPr>
    </w:p>
    <w:p>
      <w:pPr>
        <w:spacing w:before="0"/>
        <w:ind w:left="776" w:right="294" w:firstLine="0"/>
        <w:jc w:val="left"/>
        <w:rPr>
          <w:rFonts w:ascii="Calibri"/>
          <w:sz w:val="20"/>
        </w:rPr>
      </w:pPr>
      <w:r>
        <w:rPr>
          <w:rFonts w:ascii="Calibri"/>
          <w:sz w:val="20"/>
        </w:rPr>
        <w:t>30</w:t>
      </w:r>
    </w:p>
    <w:p>
      <w:pPr>
        <w:pStyle w:val="BodyText"/>
        <w:spacing w:before="9"/>
        <w:rPr>
          <w:rFonts w:ascii="Calibri"/>
          <w:sz w:val="17"/>
        </w:rPr>
      </w:pPr>
    </w:p>
    <w:p>
      <w:pPr>
        <w:spacing w:before="1"/>
        <w:ind w:left="776" w:right="294" w:firstLine="0"/>
        <w:jc w:val="left"/>
        <w:rPr>
          <w:rFonts w:ascii="Calibri"/>
          <w:sz w:val="20"/>
        </w:rPr>
      </w:pPr>
      <w:r>
        <w:rPr>
          <w:rFonts w:ascii="Calibri"/>
          <w:sz w:val="20"/>
        </w:rPr>
        <w:t>20</w:t>
      </w:r>
    </w:p>
    <w:p>
      <w:pPr>
        <w:pStyle w:val="BodyText"/>
        <w:spacing w:before="11"/>
        <w:rPr>
          <w:rFonts w:ascii="Calibri"/>
          <w:sz w:val="12"/>
        </w:rPr>
      </w:pPr>
    </w:p>
    <w:p>
      <w:pPr>
        <w:spacing w:before="59"/>
        <w:ind w:left="776" w:right="294" w:firstLine="0"/>
        <w:jc w:val="left"/>
        <w:rPr>
          <w:rFonts w:ascii="Calibri"/>
          <w:sz w:val="20"/>
        </w:rPr>
      </w:pPr>
      <w:r>
        <w:rPr>
          <w:rFonts w:ascii="Calibri"/>
          <w:sz w:val="20"/>
        </w:rPr>
        <w:t>10</w:t>
      </w:r>
    </w:p>
    <w:p>
      <w:pPr>
        <w:pStyle w:val="BodyText"/>
        <w:spacing w:before="11"/>
        <w:rPr>
          <w:rFonts w:ascii="Calibri"/>
          <w:sz w:val="12"/>
        </w:rPr>
      </w:pPr>
    </w:p>
    <w:p>
      <w:pPr>
        <w:spacing w:before="59"/>
        <w:ind w:left="877" w:right="0" w:firstLine="0"/>
        <w:jc w:val="left"/>
        <w:rPr>
          <w:rFonts w:ascii="Calibri"/>
          <w:sz w:val="20"/>
        </w:rPr>
      </w:pPr>
      <w:r>
        <w:rPr>
          <w:rFonts w:ascii="Calibri"/>
          <w:w w:val="99"/>
          <w:sz w:val="20"/>
        </w:rPr>
        <w:t>0</w:t>
      </w:r>
    </w:p>
    <w:p>
      <w:pPr>
        <w:tabs>
          <w:tab w:pos="1889" w:val="left" w:leader="none"/>
          <w:tab w:pos="2565" w:val="left" w:leader="none"/>
          <w:tab w:pos="3251" w:val="left" w:leader="none"/>
          <w:tab w:pos="3811" w:val="left" w:leader="none"/>
          <w:tab w:pos="4463" w:val="left" w:leader="none"/>
          <w:tab w:pos="5107" w:val="left" w:leader="none"/>
          <w:tab w:pos="5754" w:val="left" w:leader="none"/>
          <w:tab w:pos="6446" w:val="left" w:leader="none"/>
          <w:tab w:pos="7014" w:val="left" w:leader="none"/>
          <w:tab w:pos="7661" w:val="left" w:leader="none"/>
        </w:tabs>
        <w:spacing w:before="16"/>
        <w:ind w:left="1373" w:right="294" w:firstLine="0"/>
        <w:jc w:val="left"/>
        <w:rPr>
          <w:rFonts w:ascii="Calibri"/>
          <w:sz w:val="20"/>
        </w:rPr>
      </w:pPr>
      <w:r>
        <w:rPr>
          <w:rFonts w:ascii="Calibri"/>
          <w:sz w:val="20"/>
        </w:rPr>
        <w:t>DF</w:t>
        <w:tab/>
        <w:t>MICH</w:t>
        <w:tab/>
        <w:t>GRO</w:t>
        <w:tab/>
        <w:t>JAL</w:t>
        <w:tab/>
        <w:t>MOR</w:t>
        <w:tab/>
        <w:t>QRO</w:t>
        <w:tab/>
        <w:t>GTO</w:t>
        <w:tab/>
        <w:t>PUE</w:t>
        <w:tab/>
        <w:t>NL</w:t>
        <w:tab/>
        <w:t>BCN</w:t>
        <w:tab/>
        <w:t>VER</w:t>
      </w:r>
    </w:p>
    <w:p>
      <w:pPr>
        <w:spacing w:before="72"/>
        <w:ind w:left="2845" w:right="294" w:hanging="2351"/>
        <w:jc w:val="left"/>
        <w:rPr>
          <w:sz w:val="20"/>
        </w:rPr>
      </w:pPr>
      <w:r>
        <w:rPr>
          <w:sz w:val="20"/>
        </w:rPr>
        <w:t>Fuente: Elaboración propia con información de la Junta de Caminos del Estado de México, Gobierno del Estado de México 2007.</w:t>
      </w:r>
    </w:p>
    <w:p>
      <w:pPr>
        <w:pStyle w:val="BodyText"/>
        <w:spacing w:before="10"/>
        <w:rPr>
          <w:sz w:val="19"/>
        </w:rPr>
      </w:pPr>
    </w:p>
    <w:p>
      <w:pPr>
        <w:pStyle w:val="BodyText"/>
        <w:spacing w:line="360" w:lineRule="auto" w:before="1"/>
        <w:ind w:left="102" w:right="99"/>
        <w:jc w:val="both"/>
      </w:pPr>
      <w:r>
        <w:rPr/>
        <w:t>La razón principal de los movimientos que transitan por la ZMT sin que esta sea su destino es el trabajo, con 609 seguida del paseo, seguido del paseo con 449, entre las razones de empleo podemos vincular los tipos de carga aunque son inferiores ya que 968 no trasladan ningún tipo de carga, entre los productos que circulan para ser llevados a otro estado se tienen principalmente los industriales con 23 seguidos de 18 que son los forestales, con estas características se puede decir que no necesariamente la ZMT es nodo intermedio por logística de producción o distribución de productos, es mas más bien por su ubicación geográfica  (ver gráfica 24</w:t>
      </w:r>
      <w:r>
        <w:rPr>
          <w:spacing w:val="-4"/>
        </w:rPr>
        <w:t> </w:t>
      </w:r>
      <w:r>
        <w:rPr/>
        <w:t>4.23).</w:t>
      </w:r>
    </w:p>
    <w:p>
      <w:pPr>
        <w:spacing w:after="0" w:line="360" w:lineRule="auto"/>
        <w:jc w:val="both"/>
        <w:sectPr>
          <w:pgSz w:w="12240" w:h="15840"/>
          <w:pgMar w:header="0" w:footer="659" w:top="1360" w:bottom="840" w:left="1600" w:right="1600"/>
        </w:sectPr>
      </w:pPr>
    </w:p>
    <w:p>
      <w:pPr>
        <w:spacing w:before="53"/>
        <w:ind w:left="2197" w:right="-6" w:firstLine="0"/>
        <w:jc w:val="left"/>
        <w:rPr>
          <w:sz w:val="20"/>
        </w:rPr>
      </w:pPr>
      <w:r>
        <w:rPr>
          <w:sz w:val="20"/>
        </w:rPr>
        <w:t>Gráfica 24. Tipos de carga que transitan por la</w:t>
      </w:r>
      <w:r>
        <w:rPr>
          <w:spacing w:val="-17"/>
          <w:sz w:val="20"/>
        </w:rPr>
        <w:t> </w:t>
      </w:r>
      <w:r>
        <w:rPr>
          <w:sz w:val="20"/>
        </w:rPr>
        <w:t>ZMT.</w:t>
      </w:r>
    </w:p>
    <w:p>
      <w:pPr>
        <w:pStyle w:val="BodyText"/>
        <w:spacing w:before="11"/>
        <w:rPr>
          <w:sz w:val="15"/>
        </w:rPr>
      </w:pPr>
    </w:p>
    <w:p>
      <w:pPr>
        <w:spacing w:before="0"/>
        <w:ind w:left="3774" w:right="-6" w:firstLine="0"/>
        <w:jc w:val="left"/>
        <w:rPr>
          <w:rFonts w:ascii="Calibri"/>
          <w:sz w:val="21"/>
        </w:rPr>
      </w:pPr>
      <w:r>
        <w:rPr/>
        <w:pict>
          <v:rect style="position:absolute;margin-left:260.399994pt;margin-top:4.047583pt;width:5.76pt;height:5.88pt;mso-position-horizontal-relative:page;mso-position-vertical-relative:paragraph;z-index:7120" filled="true" fillcolor="#9bba58" stroked="false">
            <v:fill type="solid"/>
            <w10:wrap type="none"/>
          </v:rect>
        </w:pict>
      </w:r>
      <w:r>
        <w:rPr>
          <w:rFonts w:ascii="Calibri"/>
          <w:sz w:val="21"/>
        </w:rPr>
        <w:t>tipo de carga</w:t>
      </w:r>
    </w:p>
    <w:p>
      <w:pPr>
        <w:pStyle w:val="BodyText"/>
        <w:rPr>
          <w:rFonts w:ascii="Calibri"/>
          <w:sz w:val="20"/>
        </w:rPr>
      </w:pPr>
      <w:r>
        <w:rPr/>
        <w:br w:type="column"/>
      </w:r>
      <w:r>
        <w:rPr>
          <w:rFonts w:ascii="Calibri"/>
          <w:sz w:val="20"/>
        </w:rPr>
      </w:r>
    </w:p>
    <w:p>
      <w:pPr>
        <w:pStyle w:val="BodyText"/>
        <w:spacing w:before="3"/>
        <w:rPr>
          <w:rFonts w:ascii="Calibri"/>
          <w:sz w:val="16"/>
        </w:rPr>
      </w:pPr>
    </w:p>
    <w:p>
      <w:pPr>
        <w:spacing w:before="0"/>
        <w:ind w:left="1050" w:right="733" w:firstLine="0"/>
        <w:jc w:val="center"/>
        <w:rPr>
          <w:rFonts w:ascii="Calibri"/>
          <w:sz w:val="20"/>
        </w:rPr>
      </w:pPr>
      <w:r>
        <w:rPr>
          <w:rFonts w:ascii="Calibri"/>
          <w:sz w:val="20"/>
        </w:rPr>
        <w:t>3.27</w:t>
      </w:r>
    </w:p>
    <w:p>
      <w:pPr>
        <w:spacing w:after="0"/>
        <w:jc w:val="center"/>
        <w:rPr>
          <w:rFonts w:ascii="Calibri"/>
          <w:sz w:val="20"/>
        </w:rPr>
        <w:sectPr>
          <w:pgSz w:w="12240" w:h="15840"/>
          <w:pgMar w:header="0" w:footer="659" w:top="1360" w:bottom="840" w:left="1600" w:right="1580"/>
          <w:cols w:num="2" w:equalWidth="0">
            <w:col w:w="6841" w:space="40"/>
            <w:col w:w="2179"/>
          </w:cols>
        </w:sectPr>
      </w:pPr>
    </w:p>
    <w:p>
      <w:pPr>
        <w:pStyle w:val="BodyText"/>
        <w:spacing w:before="6"/>
        <w:rPr>
          <w:rFonts w:ascii="Calibri"/>
          <w:sz w:val="4"/>
        </w:rPr>
      </w:pPr>
    </w:p>
    <w:p>
      <w:pPr>
        <w:pStyle w:val="BodyText"/>
        <w:ind w:left="631"/>
        <w:rPr>
          <w:rFonts w:ascii="Calibri"/>
          <w:sz w:val="20"/>
        </w:rPr>
      </w:pPr>
      <w:r>
        <w:rPr>
          <w:rFonts w:ascii="Calibri"/>
          <w:sz w:val="20"/>
        </w:rPr>
        <w:pict>
          <v:group style="width:400.15pt;height:113.55pt;mso-position-horizontal-relative:char;mso-position-vertical-relative:line" coordorigin="0,0" coordsize="8003,2271">
            <v:rect style="position:absolute;left:308;top:1075;width:398;height:1138" filled="true" fillcolor="#9bba58" stroked="false">
              <v:fill type="solid"/>
            </v:rect>
            <v:rect style="position:absolute;left:1306;top:1265;width:398;height:948" filled="true" fillcolor="#9bba58" stroked="false">
              <v:fill type="solid"/>
            </v:rect>
            <v:rect style="position:absolute;left:2304;top:2088;width:398;height:125" filled="true" fillcolor="#9bba58" stroked="false">
              <v:fill type="solid"/>
            </v:rect>
            <v:rect style="position:absolute;left:3303;top:1961;width:398;height:252" filled="true" fillcolor="#9bba58" stroked="false">
              <v:fill type="solid"/>
            </v:rect>
            <v:rect style="position:absolute;left:4301;top:2023;width:398;height:190" filled="true" fillcolor="#9bba58" stroked="false">
              <v:fill type="solid"/>
            </v:rect>
            <v:line style="position:absolute" from="5300,2182" to="5698,2182" stroked="true" strokeweight="3.12pt" strokecolor="#9bba58"/>
            <v:rect style="position:absolute;left:6298;top:758;width:398;height:1454" filled="true" fillcolor="#9bba58" stroked="false">
              <v:fill type="solid"/>
            </v:rect>
            <v:rect style="position:absolute;left:7296;top:0;width:398;height:2213" filled="true" fillcolor="#9bba58" stroked="false">
              <v:fill type="solid"/>
            </v:rect>
            <v:line style="position:absolute" from="8,2213" to="7995,2213" stroked="true" strokeweight=".72pt" strokecolor="#858585"/>
            <v:line style="position:absolute" from="8,2213" to="8,2263" stroked="true" strokeweight=".72pt" strokecolor="#858585"/>
            <v:line style="position:absolute" from="1006,2213" to="1006,2263" stroked="true" strokeweight=".72pt" strokecolor="#858585"/>
            <v:line style="position:absolute" from="2004,2213" to="2004,2263" stroked="true" strokeweight=".72pt" strokecolor="#858585"/>
            <v:line style="position:absolute" from="3003,2213" to="3003,2263" stroked="true" strokeweight=".72pt" strokecolor="#858585"/>
            <v:line style="position:absolute" from="4001,2213" to="4001,2263" stroked="true" strokeweight=".72pt" strokecolor="#858585"/>
            <v:line style="position:absolute" from="5000,2213" to="5000,2263" stroked="true" strokeweight=".72pt" strokecolor="#858585"/>
            <v:line style="position:absolute" from="5998,2213" to="5998,2263" stroked="true" strokeweight=".72pt" strokecolor="#858585"/>
            <v:line style="position:absolute" from="6996,2213" to="6996,2263" stroked="true" strokeweight=".72pt" strokecolor="#858585"/>
            <v:line style="position:absolute" from="7995,2213" to="7995,2263" stroked="true" strokeweight=".72pt" strokecolor="#858585"/>
            <v:shape style="position:absolute;left:6322;top:465;width:354;height:200" type="#_x0000_t202" filled="false" stroked="false">
              <v:textbox inset="0,0,0,0">
                <w:txbxContent>
                  <w:p>
                    <w:pPr>
                      <w:spacing w:line="199" w:lineRule="exact" w:before="0"/>
                      <w:ind w:left="0" w:right="-3" w:firstLine="0"/>
                      <w:jc w:val="left"/>
                      <w:rPr>
                        <w:rFonts w:ascii="Calibri"/>
                        <w:sz w:val="20"/>
                      </w:rPr>
                    </w:pPr>
                    <w:r>
                      <w:rPr>
                        <w:rFonts w:ascii="Calibri"/>
                        <w:w w:val="95"/>
                        <w:sz w:val="20"/>
                      </w:rPr>
                      <w:t>2.15</w:t>
                    </w:r>
                  </w:p>
                </w:txbxContent>
              </v:textbox>
              <w10:wrap type="none"/>
            </v:shape>
            <v:shape style="position:absolute;left:330;top:782;width:354;height:200" type="#_x0000_t202" filled="false" stroked="false">
              <v:textbox inset="0,0,0,0">
                <w:txbxContent>
                  <w:p>
                    <w:pPr>
                      <w:spacing w:line="199" w:lineRule="exact" w:before="0"/>
                      <w:ind w:left="0" w:right="-3" w:firstLine="0"/>
                      <w:jc w:val="left"/>
                      <w:rPr>
                        <w:rFonts w:ascii="Calibri"/>
                        <w:sz w:val="20"/>
                      </w:rPr>
                    </w:pPr>
                    <w:r>
                      <w:rPr>
                        <w:rFonts w:ascii="Calibri"/>
                        <w:w w:val="95"/>
                        <w:sz w:val="20"/>
                      </w:rPr>
                      <w:t>1.68</w:t>
                    </w:r>
                  </w:p>
                </w:txbxContent>
              </v:textbox>
              <w10:wrap type="none"/>
            </v:shape>
            <v:shape style="position:absolute;left:1329;top:971;width:354;height:200" type="#_x0000_t202" filled="false" stroked="false">
              <v:textbox inset="0,0,0,0">
                <w:txbxContent>
                  <w:p>
                    <w:pPr>
                      <w:spacing w:line="199" w:lineRule="exact" w:before="0"/>
                      <w:ind w:left="0" w:right="-3" w:firstLine="0"/>
                      <w:jc w:val="left"/>
                      <w:rPr>
                        <w:rFonts w:ascii="Calibri"/>
                        <w:sz w:val="20"/>
                      </w:rPr>
                    </w:pPr>
                    <w:r>
                      <w:rPr>
                        <w:rFonts w:ascii="Calibri"/>
                        <w:w w:val="95"/>
                        <w:sz w:val="20"/>
                      </w:rPr>
                      <w:t>1.40</w:t>
                    </w:r>
                  </w:p>
                </w:txbxContent>
              </v:textbox>
              <w10:wrap type="none"/>
            </v:shape>
            <v:shape style="position:absolute;left:2328;top:1794;width:354;height:200" type="#_x0000_t202" filled="false" stroked="false">
              <v:textbox inset="0,0,0,0">
                <w:txbxContent>
                  <w:p>
                    <w:pPr>
                      <w:spacing w:line="199" w:lineRule="exact" w:before="0"/>
                      <w:ind w:left="0" w:right="-3" w:firstLine="0"/>
                      <w:jc w:val="left"/>
                      <w:rPr>
                        <w:rFonts w:ascii="Calibri"/>
                        <w:sz w:val="20"/>
                      </w:rPr>
                    </w:pPr>
                    <w:r>
                      <w:rPr>
                        <w:rFonts w:ascii="Calibri"/>
                        <w:w w:val="95"/>
                        <w:sz w:val="20"/>
                      </w:rPr>
                      <w:t>0.19</w:t>
                    </w:r>
                  </w:p>
                </w:txbxContent>
              </v:textbox>
              <w10:wrap type="none"/>
            </v:shape>
            <v:shape style="position:absolute;left:3326;top:1668;width:354;height:200" type="#_x0000_t202" filled="false" stroked="false">
              <v:textbox inset="0,0,0,0">
                <w:txbxContent>
                  <w:p>
                    <w:pPr>
                      <w:spacing w:line="199" w:lineRule="exact" w:before="0"/>
                      <w:ind w:left="0" w:right="-3" w:firstLine="0"/>
                      <w:jc w:val="left"/>
                      <w:rPr>
                        <w:rFonts w:ascii="Calibri"/>
                        <w:sz w:val="20"/>
                      </w:rPr>
                    </w:pPr>
                    <w:r>
                      <w:rPr>
                        <w:rFonts w:ascii="Calibri"/>
                        <w:w w:val="95"/>
                        <w:sz w:val="20"/>
                      </w:rPr>
                      <w:t>0.37</w:t>
                    </w:r>
                  </w:p>
                </w:txbxContent>
              </v:textbox>
              <w10:wrap type="none"/>
            </v:shape>
            <v:shape style="position:absolute;left:4325;top:1731;width:354;height:200" type="#_x0000_t202" filled="false" stroked="false">
              <v:textbox inset="0,0,0,0">
                <w:txbxContent>
                  <w:p>
                    <w:pPr>
                      <w:spacing w:line="199" w:lineRule="exact" w:before="0"/>
                      <w:ind w:left="0" w:right="-3" w:firstLine="0"/>
                      <w:jc w:val="left"/>
                      <w:rPr>
                        <w:rFonts w:ascii="Calibri"/>
                        <w:sz w:val="20"/>
                      </w:rPr>
                    </w:pPr>
                    <w:r>
                      <w:rPr>
                        <w:rFonts w:ascii="Calibri"/>
                        <w:w w:val="95"/>
                        <w:sz w:val="20"/>
                      </w:rPr>
                      <w:t>0.28</w:t>
                    </w:r>
                  </w:p>
                </w:txbxContent>
              </v:textbox>
              <w10:wrap type="none"/>
            </v:shape>
            <v:shape style="position:absolute;left:5323;top:1857;width:354;height:200" type="#_x0000_t202" filled="false" stroked="false">
              <v:textbox inset="0,0,0,0">
                <w:txbxContent>
                  <w:p>
                    <w:pPr>
                      <w:spacing w:line="199" w:lineRule="exact" w:before="0"/>
                      <w:ind w:left="0" w:right="-3" w:firstLine="0"/>
                      <w:jc w:val="left"/>
                      <w:rPr>
                        <w:rFonts w:ascii="Calibri"/>
                        <w:sz w:val="20"/>
                      </w:rPr>
                    </w:pPr>
                    <w:r>
                      <w:rPr>
                        <w:rFonts w:ascii="Calibri"/>
                        <w:w w:val="95"/>
                        <w:sz w:val="20"/>
                      </w:rPr>
                      <w:t>0.09</w:t>
                    </w:r>
                  </w:p>
                </w:txbxContent>
              </v:textbox>
              <w10:wrap type="none"/>
            </v:shape>
          </v:group>
        </w:pict>
      </w:r>
      <w:r>
        <w:rPr>
          <w:rFonts w:ascii="Calibri"/>
          <w:sz w:val="20"/>
        </w:rPr>
      </w:r>
    </w:p>
    <w:p>
      <w:pPr>
        <w:spacing w:after="0"/>
        <w:rPr>
          <w:rFonts w:ascii="Calibri"/>
          <w:sz w:val="20"/>
        </w:rPr>
        <w:sectPr>
          <w:type w:val="continuous"/>
          <w:pgSz w:w="12240" w:h="15840"/>
          <w:pgMar w:top="1500" w:bottom="280" w:left="1600" w:right="1580"/>
        </w:sectPr>
      </w:pPr>
    </w:p>
    <w:p>
      <w:pPr>
        <w:spacing w:before="20"/>
        <w:ind w:left="0" w:right="0" w:firstLine="0"/>
        <w:jc w:val="right"/>
        <w:rPr>
          <w:rFonts w:ascii="Calibri"/>
          <w:sz w:val="16"/>
        </w:rPr>
      </w:pPr>
      <w:r>
        <w:rPr>
          <w:rFonts w:ascii="Calibri"/>
          <w:sz w:val="16"/>
        </w:rPr>
        <w:t>PROD.</w:t>
      </w:r>
    </w:p>
    <w:p>
      <w:pPr>
        <w:spacing w:before="20"/>
        <w:ind w:left="543" w:right="-19" w:firstLine="0"/>
        <w:jc w:val="left"/>
        <w:rPr>
          <w:rFonts w:ascii="Calibri"/>
          <w:sz w:val="16"/>
        </w:rPr>
      </w:pPr>
      <w:r>
        <w:rPr/>
        <w:br w:type="column"/>
      </w:r>
      <w:r>
        <w:rPr>
          <w:rFonts w:ascii="Calibri"/>
          <w:sz w:val="16"/>
        </w:rPr>
        <w:t>PROD.</w:t>
      </w:r>
    </w:p>
    <w:p>
      <w:pPr>
        <w:spacing w:before="20"/>
        <w:ind w:left="351" w:right="-19" w:firstLine="0"/>
        <w:jc w:val="left"/>
        <w:rPr>
          <w:rFonts w:ascii="Calibri"/>
          <w:sz w:val="16"/>
        </w:rPr>
      </w:pPr>
      <w:r>
        <w:rPr/>
        <w:br w:type="column"/>
      </w:r>
      <w:r>
        <w:rPr>
          <w:rFonts w:ascii="Calibri"/>
          <w:sz w:val="16"/>
        </w:rPr>
        <w:t>ANIMALES Y</w:t>
      </w:r>
    </w:p>
    <w:p>
      <w:pPr>
        <w:spacing w:before="20"/>
        <w:ind w:left="351" w:right="-19" w:firstLine="0"/>
        <w:jc w:val="left"/>
        <w:rPr>
          <w:rFonts w:ascii="Calibri"/>
          <w:sz w:val="16"/>
        </w:rPr>
      </w:pPr>
      <w:r>
        <w:rPr/>
        <w:br w:type="column"/>
      </w:r>
      <w:r>
        <w:rPr>
          <w:rFonts w:ascii="Calibri"/>
          <w:sz w:val="16"/>
        </w:rPr>
        <w:t>PROD.</w:t>
      </w:r>
    </w:p>
    <w:p>
      <w:pPr>
        <w:spacing w:before="20"/>
        <w:ind w:left="353" w:right="-19" w:firstLine="0"/>
        <w:jc w:val="left"/>
        <w:rPr>
          <w:rFonts w:ascii="Calibri"/>
          <w:sz w:val="16"/>
        </w:rPr>
      </w:pPr>
      <w:r>
        <w:rPr/>
        <w:br w:type="column"/>
      </w:r>
      <w:r>
        <w:rPr>
          <w:rFonts w:ascii="Calibri"/>
          <w:sz w:val="16"/>
        </w:rPr>
        <w:t>PETROLEO Y</w:t>
      </w:r>
    </w:p>
    <w:p>
      <w:pPr>
        <w:spacing w:before="20"/>
        <w:ind w:left="351" w:right="-19" w:firstLine="0"/>
        <w:jc w:val="left"/>
        <w:rPr>
          <w:rFonts w:ascii="Calibri"/>
          <w:sz w:val="16"/>
        </w:rPr>
      </w:pPr>
      <w:r>
        <w:rPr/>
        <w:br w:type="column"/>
      </w:r>
      <w:r>
        <w:rPr>
          <w:rFonts w:ascii="Calibri"/>
          <w:sz w:val="16"/>
        </w:rPr>
        <w:t>PROD.</w:t>
      </w:r>
    </w:p>
    <w:p>
      <w:pPr>
        <w:spacing w:before="20"/>
        <w:ind w:left="543" w:right="-20" w:firstLine="0"/>
        <w:jc w:val="left"/>
        <w:rPr>
          <w:rFonts w:ascii="Calibri"/>
          <w:sz w:val="16"/>
        </w:rPr>
      </w:pPr>
      <w:r>
        <w:rPr/>
        <w:br w:type="column"/>
      </w:r>
      <w:r>
        <w:rPr>
          <w:rFonts w:ascii="Calibri"/>
          <w:sz w:val="16"/>
        </w:rPr>
        <w:t>PROD.</w:t>
      </w:r>
    </w:p>
    <w:p>
      <w:pPr>
        <w:spacing w:before="20"/>
        <w:ind w:left="527" w:right="0" w:firstLine="0"/>
        <w:jc w:val="left"/>
        <w:rPr>
          <w:rFonts w:ascii="Calibri"/>
          <w:sz w:val="16"/>
        </w:rPr>
      </w:pPr>
      <w:r>
        <w:rPr/>
        <w:br w:type="column"/>
      </w:r>
      <w:r>
        <w:rPr>
          <w:rFonts w:ascii="Calibri"/>
          <w:sz w:val="16"/>
        </w:rPr>
        <w:t>OTROS</w:t>
      </w:r>
    </w:p>
    <w:p>
      <w:pPr>
        <w:spacing w:after="0"/>
        <w:jc w:val="left"/>
        <w:rPr>
          <w:rFonts w:ascii="Calibri"/>
          <w:sz w:val="16"/>
        </w:rPr>
        <w:sectPr>
          <w:type w:val="continuous"/>
          <w:pgSz w:w="12240" w:h="15840"/>
          <w:pgMar w:top="1500" w:bottom="280" w:left="1600" w:right="1580"/>
          <w:cols w:num="8" w:equalWidth="0">
            <w:col w:w="1347" w:space="40"/>
            <w:col w:w="959" w:space="40"/>
            <w:col w:w="1151" w:space="40"/>
            <w:col w:w="767" w:space="40"/>
            <w:col w:w="1152" w:space="40"/>
            <w:col w:w="767" w:space="40"/>
            <w:col w:w="958" w:space="40"/>
            <w:col w:w="1679"/>
          </w:cols>
        </w:sectPr>
      </w:pPr>
    </w:p>
    <w:p>
      <w:pPr>
        <w:spacing w:line="194" w:lineRule="exact" w:before="0"/>
        <w:ind w:left="735" w:right="-20" w:firstLine="0"/>
        <w:jc w:val="left"/>
        <w:rPr>
          <w:rFonts w:ascii="Calibri"/>
          <w:sz w:val="16"/>
        </w:rPr>
      </w:pPr>
      <w:r>
        <w:rPr>
          <w:rFonts w:ascii="Calibri"/>
          <w:sz w:val="16"/>
        </w:rPr>
        <w:t>FORESTALES</w:t>
      </w:r>
    </w:p>
    <w:p>
      <w:pPr>
        <w:spacing w:line="194" w:lineRule="exact" w:before="0"/>
        <w:ind w:left="182" w:right="-20" w:firstLine="0"/>
        <w:jc w:val="left"/>
        <w:rPr>
          <w:rFonts w:ascii="Calibri"/>
          <w:sz w:val="16"/>
        </w:rPr>
      </w:pPr>
      <w:r>
        <w:rPr/>
        <w:br w:type="column"/>
      </w:r>
      <w:r>
        <w:rPr>
          <w:rFonts w:ascii="Calibri"/>
          <w:sz w:val="16"/>
        </w:rPr>
        <w:t>AGRICOLAS</w:t>
      </w:r>
    </w:p>
    <w:p>
      <w:pPr>
        <w:spacing w:before="0"/>
        <w:ind w:left="203" w:right="-19" w:firstLine="256"/>
        <w:jc w:val="left"/>
        <w:rPr>
          <w:rFonts w:ascii="Calibri"/>
          <w:sz w:val="16"/>
        </w:rPr>
      </w:pPr>
      <w:r>
        <w:rPr/>
        <w:br w:type="column"/>
      </w:r>
      <w:r>
        <w:rPr>
          <w:rFonts w:ascii="Calibri"/>
          <w:sz w:val="16"/>
        </w:rPr>
        <w:t>SUS DERIVADOS</w:t>
      </w:r>
    </w:p>
    <w:p>
      <w:pPr>
        <w:spacing w:line="194" w:lineRule="exact" w:before="0"/>
        <w:ind w:left="197" w:right="-18" w:firstLine="0"/>
        <w:jc w:val="left"/>
        <w:rPr>
          <w:rFonts w:ascii="Calibri"/>
          <w:sz w:val="16"/>
        </w:rPr>
      </w:pPr>
      <w:r>
        <w:rPr/>
        <w:br w:type="column"/>
      </w:r>
      <w:r>
        <w:rPr>
          <w:rFonts w:ascii="Calibri"/>
          <w:sz w:val="16"/>
        </w:rPr>
        <w:t>MINERALES</w:t>
      </w:r>
    </w:p>
    <w:p>
      <w:pPr>
        <w:spacing w:before="0"/>
        <w:ind w:left="197" w:right="-19" w:firstLine="256"/>
        <w:jc w:val="left"/>
        <w:rPr>
          <w:rFonts w:ascii="Calibri"/>
          <w:sz w:val="16"/>
        </w:rPr>
      </w:pPr>
      <w:r>
        <w:rPr/>
        <w:br w:type="column"/>
      </w:r>
      <w:r>
        <w:rPr>
          <w:rFonts w:ascii="Calibri"/>
          <w:sz w:val="16"/>
        </w:rPr>
        <w:t>SUS DERIVADOS</w:t>
      </w:r>
    </w:p>
    <w:p>
      <w:pPr>
        <w:spacing w:line="194" w:lineRule="exact" w:before="0"/>
        <w:ind w:left="106" w:right="0" w:firstLine="0"/>
        <w:jc w:val="left"/>
        <w:rPr>
          <w:rFonts w:ascii="Calibri"/>
          <w:sz w:val="16"/>
        </w:rPr>
      </w:pPr>
      <w:r>
        <w:rPr/>
        <w:br w:type="column"/>
      </w:r>
      <w:r>
        <w:rPr>
          <w:rFonts w:ascii="Calibri"/>
          <w:sz w:val="16"/>
        </w:rPr>
        <w:t>INORGANICOS INDUSTRIALES</w:t>
      </w:r>
    </w:p>
    <w:p>
      <w:pPr>
        <w:spacing w:line="194" w:lineRule="exact" w:before="0"/>
        <w:ind w:left="81" w:right="0" w:firstLine="0"/>
        <w:jc w:val="left"/>
        <w:rPr>
          <w:rFonts w:ascii="Calibri"/>
          <w:sz w:val="16"/>
        </w:rPr>
      </w:pPr>
      <w:r>
        <w:rPr/>
        <w:br w:type="column"/>
      </w:r>
      <w:r>
        <w:rPr>
          <w:rFonts w:ascii="Calibri"/>
          <w:sz w:val="16"/>
        </w:rPr>
        <w:t>PRODUCTOS</w:t>
      </w:r>
    </w:p>
    <w:p>
      <w:pPr>
        <w:spacing w:after="0" w:line="194" w:lineRule="exact"/>
        <w:jc w:val="left"/>
        <w:rPr>
          <w:rFonts w:ascii="Calibri"/>
          <w:sz w:val="16"/>
        </w:rPr>
        <w:sectPr>
          <w:type w:val="continuous"/>
          <w:pgSz w:w="12240" w:h="15840"/>
          <w:pgMar w:top="1500" w:bottom="280" w:left="1600" w:right="1580"/>
          <w:cols w:num="7" w:equalWidth="0">
            <w:col w:w="1543" w:space="40"/>
            <w:col w:w="928" w:space="40"/>
            <w:col w:w="969" w:space="40"/>
            <w:col w:w="956" w:space="40"/>
            <w:col w:w="963" w:space="40"/>
            <w:col w:w="2042" w:space="40"/>
            <w:col w:w="1419"/>
          </w:cols>
        </w:sectPr>
      </w:pPr>
    </w:p>
    <w:p>
      <w:pPr>
        <w:spacing w:before="65"/>
        <w:ind w:left="2845" w:right="496" w:hanging="2351"/>
        <w:jc w:val="left"/>
        <w:rPr>
          <w:sz w:val="20"/>
        </w:rPr>
      </w:pPr>
      <w:r>
        <w:rPr>
          <w:sz w:val="20"/>
        </w:rPr>
        <w:t>Fuente: Elaboración propia con información de la Junta de Caminos del Estado de México, Gobierno del Estado de México 2007.</w:t>
      </w:r>
    </w:p>
    <w:p>
      <w:pPr>
        <w:pStyle w:val="BodyText"/>
        <w:spacing w:before="10"/>
        <w:rPr>
          <w:sz w:val="19"/>
        </w:rPr>
      </w:pPr>
    </w:p>
    <w:p>
      <w:pPr>
        <w:pStyle w:val="BodyText"/>
        <w:spacing w:line="360" w:lineRule="auto" w:before="1"/>
        <w:ind w:left="102" w:right="119"/>
        <w:jc w:val="both"/>
      </w:pPr>
      <w:r>
        <w:rPr/>
        <w:t>Con lo anterior se señala que la Zona Metropolitana de Toluca es un nodo intermedio principalmente de las actividades económicas de los estados vecinos, por su ubicación geográfica, la mayor parte de los traslados que se originan y tienen como destino el Distrito Federal y Michoacán tienen como ruta de recorrido la zona de estudio.</w:t>
      </w:r>
    </w:p>
    <w:p>
      <w:pPr>
        <w:pStyle w:val="BodyText"/>
        <w:spacing w:before="6"/>
      </w:pPr>
    </w:p>
    <w:p>
      <w:pPr>
        <w:pStyle w:val="Heading4"/>
        <w:numPr>
          <w:ilvl w:val="1"/>
          <w:numId w:val="8"/>
        </w:numPr>
        <w:tabs>
          <w:tab w:pos="570" w:val="left" w:leader="none"/>
        </w:tabs>
        <w:spacing w:line="240" w:lineRule="auto" w:before="0" w:after="0"/>
        <w:ind w:left="569" w:right="0" w:hanging="467"/>
        <w:jc w:val="both"/>
      </w:pPr>
      <w:r>
        <w:rPr/>
        <w:t>Impactos en la estructura</w:t>
      </w:r>
      <w:r>
        <w:rPr>
          <w:spacing w:val="-17"/>
        </w:rPr>
        <w:t> </w:t>
      </w:r>
      <w:r>
        <w:rPr/>
        <w:t>territorial</w:t>
      </w:r>
    </w:p>
    <w:p>
      <w:pPr>
        <w:pStyle w:val="BodyText"/>
        <w:spacing w:before="6"/>
        <w:rPr>
          <w:b/>
          <w:sz w:val="38"/>
        </w:rPr>
      </w:pPr>
    </w:p>
    <w:p>
      <w:pPr>
        <w:pStyle w:val="BodyText"/>
        <w:spacing w:line="360" w:lineRule="auto"/>
        <w:ind w:left="102" w:right="117"/>
        <w:jc w:val="both"/>
      </w:pPr>
      <w:r>
        <w:rPr/>
        <w:t>La desconcentración de las variables de población vivienda y la creciente dispersión de los asentamientos ha mostrado una tendencia creciente del consumo de suelo por habitante, es por ello que los impactos de este crecimiento se miden en la variación del uso de</w:t>
      </w:r>
      <w:r>
        <w:rPr>
          <w:spacing w:val="-16"/>
        </w:rPr>
        <w:t> </w:t>
      </w:r>
      <w:r>
        <w:rPr/>
        <w:t>suelo.</w:t>
      </w:r>
    </w:p>
    <w:p>
      <w:pPr>
        <w:pStyle w:val="BodyText"/>
        <w:spacing w:before="7"/>
      </w:pPr>
    </w:p>
    <w:p>
      <w:pPr>
        <w:pStyle w:val="Heading5"/>
        <w:numPr>
          <w:ilvl w:val="2"/>
          <w:numId w:val="8"/>
        </w:numPr>
        <w:tabs>
          <w:tab w:pos="704" w:val="left" w:leader="none"/>
        </w:tabs>
        <w:spacing w:line="240" w:lineRule="auto" w:before="0" w:after="0"/>
        <w:ind w:left="703" w:right="0" w:hanging="601"/>
        <w:jc w:val="both"/>
      </w:pPr>
      <w:r>
        <w:rPr/>
        <w:t>impactos en el uso de suelo del siglo</w:t>
      </w:r>
      <w:r>
        <w:rPr>
          <w:spacing w:val="-8"/>
        </w:rPr>
        <w:t> </w:t>
      </w:r>
      <w:r>
        <w:rPr/>
        <w:t>XX</w:t>
      </w:r>
    </w:p>
    <w:p>
      <w:pPr>
        <w:pStyle w:val="BodyText"/>
        <w:rPr>
          <w:b/>
        </w:rPr>
      </w:pPr>
    </w:p>
    <w:p>
      <w:pPr>
        <w:pStyle w:val="BodyText"/>
        <w:spacing w:line="360" w:lineRule="auto" w:before="141"/>
        <w:ind w:left="102" w:right="121"/>
        <w:jc w:val="both"/>
      </w:pPr>
      <w:r>
        <w:rPr/>
        <w:t>Los usos de suelo en la Zona Metropolitana de Toluca en la última década del  siglo XX, son 7 tipos con una superficie de 271310.17ha., los cuales tiene dos tipos de comportamiento, el tipo a) que son las superficies que descienden, las cuales se presentan en orden ascendente, la primera corresponde al uso de área sin vegetación que en 1992 ocupaba 662.93 ha., reportando en 1997 una pérdida de 98.28ha., el segundo es el uso de suelo agrícola, señalando que es el de  mayor extensión con 174,739.257ha, en 1992 mientras que 1997 fue</w:t>
      </w:r>
      <w:r>
        <w:rPr>
          <w:spacing w:val="-6"/>
        </w:rPr>
        <w:t> </w:t>
      </w:r>
      <w:r>
        <w:rPr/>
        <w:t>de172683.61</w:t>
      </w:r>
    </w:p>
    <w:p>
      <w:pPr>
        <w:spacing w:after="0" w:line="360" w:lineRule="auto"/>
        <w:jc w:val="both"/>
        <w:sectPr>
          <w:type w:val="continuous"/>
          <w:pgSz w:w="12240" w:h="15840"/>
          <w:pgMar w:top="1500" w:bottom="280" w:left="1600" w:right="1580"/>
        </w:sectPr>
      </w:pPr>
    </w:p>
    <w:p>
      <w:pPr>
        <w:pStyle w:val="BodyText"/>
        <w:spacing w:line="360" w:lineRule="auto" w:before="54"/>
        <w:ind w:left="102" w:right="117"/>
        <w:jc w:val="both"/>
      </w:pPr>
      <w:r>
        <w:rPr/>
        <w:t>ha seguida de otros tipos de vegetación con una superficie de 4954.19 en 1992 y en 1997 abarcaba 752.81ha., finalmente el tipo de superficie que se ve afecta por la mayor reducción son los bosques con una cifra inicial en 1992 de 54326.56ha, registrando una pérdida de 4341.86ha.para los siguientes cinco años (ver gráfica 25 y mapas 10 y 11).</w:t>
      </w:r>
    </w:p>
    <w:p>
      <w:pPr>
        <w:pStyle w:val="BodyText"/>
        <w:spacing w:before="9"/>
      </w:pPr>
    </w:p>
    <w:p>
      <w:pPr>
        <w:spacing w:before="0"/>
        <w:ind w:left="1561" w:right="296" w:firstLine="0"/>
        <w:jc w:val="left"/>
        <w:rPr>
          <w:sz w:val="20"/>
        </w:rPr>
      </w:pPr>
      <w:r>
        <w:rPr>
          <w:sz w:val="20"/>
        </w:rPr>
        <w:t>Gráfica 25. Participación relativa de los usos de suelo 1992 y 1997</w:t>
      </w:r>
    </w:p>
    <w:p>
      <w:pPr>
        <w:tabs>
          <w:tab w:pos="1350" w:val="left" w:leader="none"/>
        </w:tabs>
        <w:spacing w:line="157" w:lineRule="exact" w:before="143"/>
        <w:ind w:left="0" w:right="273" w:firstLine="0"/>
        <w:jc w:val="center"/>
        <w:rPr>
          <w:rFonts w:ascii="Calibri"/>
          <w:sz w:val="20"/>
        </w:rPr>
      </w:pPr>
      <w:r>
        <w:rPr/>
        <w:pict>
          <v:rect style="position:absolute;margin-left:247.800003pt;margin-top:11.051462pt;width:5.4pt;height:5.52pt;mso-position-horizontal-relative:page;mso-position-vertical-relative:paragraph;z-index:7360" filled="true" fillcolor="#4f81bc" stroked="false">
            <v:fill type="solid"/>
            <w10:wrap type="none"/>
          </v:rect>
        </w:pict>
      </w:r>
      <w:r>
        <w:rPr/>
        <w:pict>
          <v:rect style="position:absolute;margin-left:315.239990pt;margin-top:11.051462pt;width:5.52pt;height:5.52pt;mso-position-horizontal-relative:page;mso-position-vertical-relative:paragraph;z-index:-295408" filled="true" fillcolor="#6f2f9f" stroked="false">
            <v:fill type="solid"/>
            <w10:wrap type="none"/>
          </v:rect>
        </w:pict>
      </w:r>
      <w:r>
        <w:rPr>
          <w:rFonts w:ascii="Calibri"/>
          <w:sz w:val="20"/>
        </w:rPr>
        <w:t>1992</w:t>
        <w:tab/>
        <w:t>1997</w:t>
      </w:r>
    </w:p>
    <w:p>
      <w:pPr>
        <w:spacing w:line="283" w:lineRule="exact" w:before="0"/>
        <w:ind w:left="841" w:right="296" w:firstLine="0"/>
        <w:jc w:val="left"/>
        <w:rPr>
          <w:rFonts w:ascii="Calibri"/>
          <w:sz w:val="20"/>
        </w:rPr>
      </w:pPr>
      <w:r>
        <w:rPr/>
        <w:pict>
          <v:group style="position:absolute;margin-left:113.144997pt;margin-top:14.65pt;width:389.95pt;height:110.55pt;mso-position-horizontal-relative:page;mso-position-vertical-relative:paragraph;z-index:-295456" coordorigin="2263,293" coordsize="7799,2211">
            <v:rect style="position:absolute;left:2510;top:293;width:317;height:2153" filled="true" fillcolor="#4f81bc" stroked="false">
              <v:fill type="solid"/>
            </v:rect>
            <v:rect style="position:absolute;left:2827;top:317;width:317;height:2129" filled="true" fillcolor="#6f2f9f" stroked="false">
              <v:fill type="solid"/>
            </v:rect>
            <v:rect style="position:absolute;left:3622;top:1776;width:317;height:670" filled="true" fillcolor="#4f81bc" stroked="false">
              <v:fill type="solid"/>
            </v:rect>
            <v:rect style="position:absolute;left:3938;top:1829;width:319;height:617" filled="true" fillcolor="#6f2f9f" stroked="false">
              <v:fill type="solid"/>
            </v:rect>
            <v:rect style="position:absolute;left:4733;top:2028;width:317;height:418" filled="true" fillcolor="#4f81bc" stroked="false">
              <v:fill type="solid"/>
            </v:rect>
            <v:rect style="position:absolute;left:5050;top:2009;width:319;height:437" filled="true" fillcolor="#6f2f9f" stroked="false">
              <v:fill type="solid"/>
            </v:rect>
            <v:line style="position:absolute" from="5844,2415" to="6163,2415" stroked="true" strokeweight="3.12pt" strokecolor="#4f81bc"/>
            <v:line style="position:absolute" from="6163,2441" to="6480,2441" stroked="true" strokeweight=".48pt" strokecolor="#6f2f9f"/>
            <v:line style="position:absolute" from="6958,2434" to="7274,2434" stroked="true" strokeweight="1.2pt" strokecolor="#4f81bc"/>
            <v:line style="position:absolute" from="7274,2433" to="7591,2433" stroked="true" strokeweight="1.32pt" strokecolor="#6f2f9f"/>
            <v:line style="position:absolute" from="8069,2440" to="8386,2440" stroked="true" strokeweight=".6pt" strokecolor="#4f81bc"/>
            <v:rect style="position:absolute;left:8386;top:2323;width:319;height:122" filled="true" fillcolor="#6f2f9f" stroked="false">
              <v:fill type="solid"/>
            </v:rect>
            <v:line style="position:absolute" from="9180,2441" to="9499,2441" stroked="true" strokeweight=".48pt" strokecolor="#4f81bc"/>
            <v:line style="position:absolute" from="9499,2442" to="9816,2442" stroked="true" strokeweight=".36pt" strokecolor="#6f2f9f"/>
            <v:shape style="position:absolute;left:2270;top:2446;width:7784;height:51" coordorigin="2270,2446" coordsize="7784,51" path="m2270,2446l10054,2446m2270,2446l2270,2496m3384,2446l3384,2496m4495,2446l4495,2496m5606,2446l5606,2496m6718,2446l6718,2496m7831,2446l7831,2496m8942,2446l8942,2496m10054,2446l10054,2496e" filled="false" stroked="true" strokeweight=".72pt" strokecolor="#858585">
              <v:path arrowok="t"/>
            </v:shape>
            <v:shape style="position:absolute;left:3440;top:1484;width:887;height:253" type="#_x0000_t202" filled="false" stroked="false">
              <v:textbox inset="0,0,0,0">
                <w:txbxContent>
                  <w:p>
                    <w:pPr>
                      <w:spacing w:line="253" w:lineRule="exact" w:before="0"/>
                      <w:ind w:left="0" w:right="-16" w:firstLine="0"/>
                      <w:jc w:val="left"/>
                      <w:rPr>
                        <w:rFonts w:ascii="Calibri"/>
                        <w:sz w:val="20"/>
                      </w:rPr>
                    </w:pPr>
                    <w:r>
                      <w:rPr>
                        <w:rFonts w:ascii="Calibri"/>
                        <w:spacing w:val="-3"/>
                        <w:sz w:val="20"/>
                      </w:rPr>
                      <w:t>20.02</w:t>
                    </w:r>
                    <w:r>
                      <w:rPr>
                        <w:rFonts w:ascii="Calibri"/>
                        <w:spacing w:val="-3"/>
                        <w:position w:val="-4"/>
                        <w:sz w:val="20"/>
                      </w:rPr>
                      <w:t>18.42</w:t>
                    </w:r>
                  </w:p>
                </w:txbxContent>
              </v:textbox>
              <w10:wrap type="none"/>
            </v:shape>
            <v:shape style="position:absolute;left:4552;top:1737;width:963;height:210" type="#_x0000_t202" filled="false" stroked="false">
              <v:textbox inset="0,0,0,0">
                <w:txbxContent>
                  <w:p>
                    <w:pPr>
                      <w:spacing w:line="209" w:lineRule="exact" w:before="0"/>
                      <w:ind w:left="0" w:right="-15" w:firstLine="0"/>
                      <w:jc w:val="left"/>
                      <w:rPr>
                        <w:rFonts w:ascii="Calibri"/>
                        <w:sz w:val="20"/>
                      </w:rPr>
                    </w:pPr>
                    <w:r>
                      <w:rPr>
                        <w:rFonts w:ascii="Calibri"/>
                        <w:position w:val="1"/>
                        <w:sz w:val="20"/>
                      </w:rPr>
                      <w:t>12.45 </w:t>
                    </w:r>
                    <w:r>
                      <w:rPr>
                        <w:rFonts w:ascii="Calibri"/>
                        <w:sz w:val="20"/>
                      </w:rPr>
                      <w:t>13.02</w:t>
                    </w:r>
                  </w:p>
                </w:txbxContent>
              </v:textbox>
              <w10:wrap type="none"/>
            </v:shape>
            <v:shape style="position:absolute;left:5768;top:2051;width:732;height:293" type="#_x0000_t202" filled="false" stroked="false">
              <v:textbox inset="0,0,0,0">
                <w:txbxContent>
                  <w:p>
                    <w:pPr>
                      <w:spacing w:line="292" w:lineRule="exact" w:before="0"/>
                      <w:ind w:left="0" w:right="0" w:firstLine="0"/>
                      <w:jc w:val="left"/>
                      <w:rPr>
                        <w:rFonts w:ascii="Calibri"/>
                        <w:sz w:val="20"/>
                      </w:rPr>
                    </w:pPr>
                    <w:r>
                      <w:rPr>
                        <w:rFonts w:ascii="Calibri"/>
                        <w:w w:val="95"/>
                        <w:sz w:val="20"/>
                      </w:rPr>
                      <w:t>1.83</w:t>
                    </w:r>
                    <w:r>
                      <w:rPr>
                        <w:rFonts w:ascii="Calibri"/>
                        <w:w w:val="95"/>
                        <w:position w:val="-8"/>
                        <w:sz w:val="20"/>
                      </w:rPr>
                      <w:t>0.28</w:t>
                    </w:r>
                  </w:p>
                </w:txbxContent>
              </v:textbox>
              <w10:wrap type="none"/>
            </v:shape>
            <v:shape style="position:absolute;left:6940;top:2127;width:791;height:201" type="#_x0000_t202" filled="false" stroked="false">
              <v:textbox inset="0,0,0,0">
                <w:txbxContent>
                  <w:p>
                    <w:pPr>
                      <w:spacing w:line="201" w:lineRule="exact" w:before="0"/>
                      <w:ind w:left="0" w:right="-18" w:firstLine="0"/>
                      <w:jc w:val="left"/>
                      <w:rPr>
                        <w:rFonts w:ascii="Calibri"/>
                        <w:sz w:val="20"/>
                      </w:rPr>
                    </w:pPr>
                    <w:r>
                      <w:rPr>
                        <w:rFonts w:ascii="Calibri"/>
                        <w:sz w:val="20"/>
                      </w:rPr>
                      <w:t>0.72 0.77</w:t>
                    </w:r>
                  </w:p>
                </w:txbxContent>
              </v:textbox>
              <w10:wrap type="none"/>
            </v:shape>
            <v:shape style="position:absolute;left:8052;top:2142;width:354;height:200" type="#_x0000_t202" filled="false" stroked="false">
              <v:textbox inset="0,0,0,0">
                <w:txbxContent>
                  <w:p>
                    <w:pPr>
                      <w:spacing w:line="199" w:lineRule="exact" w:before="0"/>
                      <w:ind w:left="0" w:right="-3" w:firstLine="0"/>
                      <w:jc w:val="left"/>
                      <w:rPr>
                        <w:rFonts w:ascii="Calibri"/>
                        <w:sz w:val="20"/>
                      </w:rPr>
                    </w:pPr>
                    <w:r>
                      <w:rPr>
                        <w:rFonts w:ascii="Calibri"/>
                        <w:w w:val="95"/>
                        <w:sz w:val="20"/>
                      </w:rPr>
                      <w:t>0.32</w:t>
                    </w:r>
                  </w:p>
                </w:txbxContent>
              </v:textbox>
              <w10:wrap type="none"/>
            </v:shape>
            <v:shape style="position:absolute;left:8370;top:2031;width:354;height:200" type="#_x0000_t202" filled="false" stroked="false">
              <v:textbox inset="0,0,0,0">
                <w:txbxContent>
                  <w:p>
                    <w:pPr>
                      <w:spacing w:line="199" w:lineRule="exact" w:before="0"/>
                      <w:ind w:left="0" w:right="-3" w:firstLine="0"/>
                      <w:jc w:val="left"/>
                      <w:rPr>
                        <w:rFonts w:ascii="Calibri"/>
                        <w:sz w:val="20"/>
                      </w:rPr>
                    </w:pPr>
                    <w:r>
                      <w:rPr>
                        <w:rFonts w:ascii="Calibri"/>
                        <w:w w:val="95"/>
                        <w:sz w:val="20"/>
                      </w:rPr>
                      <w:t>3.64</w:t>
                    </w:r>
                  </w:p>
                </w:txbxContent>
              </v:textbox>
              <w10:wrap type="none"/>
            </v:shape>
            <v:shape style="position:absolute;left:9024;top:2103;width:354;height:200" type="#_x0000_t202" filled="false" stroked="false">
              <v:textbox inset="0,0,0,0">
                <w:txbxContent>
                  <w:p>
                    <w:pPr>
                      <w:spacing w:line="199" w:lineRule="exact" w:before="0"/>
                      <w:ind w:left="0" w:right="-3" w:firstLine="0"/>
                      <w:jc w:val="left"/>
                      <w:rPr>
                        <w:rFonts w:ascii="Calibri"/>
                        <w:sz w:val="20"/>
                      </w:rPr>
                    </w:pPr>
                    <w:r>
                      <w:rPr>
                        <w:rFonts w:ascii="Calibri"/>
                        <w:w w:val="95"/>
                        <w:sz w:val="20"/>
                      </w:rPr>
                      <w:t>0.24</w:t>
                    </w:r>
                  </w:p>
                </w:txbxContent>
              </v:textbox>
              <w10:wrap type="none"/>
            </v:shape>
            <v:shape style="position:absolute;left:9558;top:2146;width:354;height:200" type="#_x0000_t202" filled="false" stroked="false">
              <v:textbox inset="0,0,0,0">
                <w:txbxContent>
                  <w:p>
                    <w:pPr>
                      <w:spacing w:line="199" w:lineRule="exact" w:before="0"/>
                      <w:ind w:left="0" w:right="-3" w:firstLine="0"/>
                      <w:jc w:val="left"/>
                      <w:rPr>
                        <w:rFonts w:ascii="Calibri"/>
                        <w:sz w:val="20"/>
                      </w:rPr>
                    </w:pPr>
                    <w:r>
                      <w:rPr>
                        <w:rFonts w:ascii="Calibri"/>
                        <w:w w:val="95"/>
                        <w:sz w:val="20"/>
                      </w:rPr>
                      <w:t>0.21</w:t>
                    </w:r>
                  </w:p>
                </w:txbxContent>
              </v:textbox>
              <w10:wrap type="none"/>
            </v:shape>
            <w10:wrap type="none"/>
          </v:group>
        </w:pict>
      </w:r>
      <w:r>
        <w:rPr>
          <w:rFonts w:ascii="Calibri"/>
          <w:sz w:val="20"/>
        </w:rPr>
        <w:t>64.41</w:t>
      </w:r>
      <w:r>
        <w:rPr>
          <w:rFonts w:ascii="Calibri"/>
          <w:position w:val="-7"/>
          <w:sz w:val="20"/>
        </w:rPr>
        <w:t>63.65</w:t>
      </w: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spacing w:before="11"/>
        <w:rPr>
          <w:rFonts w:ascii="Calibri"/>
          <w:sz w:val="19"/>
        </w:rPr>
      </w:pPr>
    </w:p>
    <w:tbl>
      <w:tblPr>
        <w:tblW w:w="0" w:type="auto"/>
        <w:jc w:val="left"/>
        <w:tblInd w:w="664"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246"/>
        <w:gridCol w:w="975"/>
        <w:gridCol w:w="1004"/>
        <w:gridCol w:w="1312"/>
        <w:gridCol w:w="976"/>
        <w:gridCol w:w="1199"/>
        <w:gridCol w:w="987"/>
      </w:tblGrid>
      <w:tr>
        <w:trPr>
          <w:trHeight w:val="278" w:hRule="exact"/>
        </w:trPr>
        <w:tc>
          <w:tcPr>
            <w:tcW w:w="1246" w:type="dxa"/>
          </w:tcPr>
          <w:p>
            <w:pPr>
              <w:pStyle w:val="TableParagraph"/>
              <w:spacing w:before="68"/>
              <w:ind w:left="35"/>
              <w:rPr>
                <w:rFonts w:ascii="Calibri" w:hAnsi="Calibri"/>
                <w:sz w:val="16"/>
              </w:rPr>
            </w:pPr>
            <w:r>
              <w:rPr>
                <w:rFonts w:ascii="Calibri" w:hAnsi="Calibri"/>
                <w:sz w:val="16"/>
              </w:rPr>
              <w:t>ÁREA AGRÍCOLA</w:t>
            </w:r>
          </w:p>
        </w:tc>
        <w:tc>
          <w:tcPr>
            <w:tcW w:w="975" w:type="dxa"/>
          </w:tcPr>
          <w:p>
            <w:pPr>
              <w:pStyle w:val="TableParagraph"/>
              <w:spacing w:before="68"/>
              <w:ind w:left="152"/>
              <w:rPr>
                <w:rFonts w:ascii="Calibri"/>
                <w:sz w:val="16"/>
              </w:rPr>
            </w:pPr>
            <w:r>
              <w:rPr>
                <w:rFonts w:ascii="Calibri"/>
                <w:sz w:val="16"/>
              </w:rPr>
              <w:t>BOSQUE</w:t>
            </w:r>
          </w:p>
        </w:tc>
        <w:tc>
          <w:tcPr>
            <w:tcW w:w="1004" w:type="dxa"/>
          </w:tcPr>
          <w:p>
            <w:pPr>
              <w:pStyle w:val="TableParagraph"/>
              <w:spacing w:before="68"/>
              <w:ind w:left="266"/>
              <w:rPr>
                <w:rFonts w:ascii="Calibri"/>
                <w:sz w:val="16"/>
              </w:rPr>
            </w:pPr>
            <w:r>
              <w:rPr>
                <w:rFonts w:ascii="Calibri"/>
                <w:sz w:val="16"/>
              </w:rPr>
              <w:t>PASTIZAL</w:t>
            </w:r>
          </w:p>
        </w:tc>
        <w:tc>
          <w:tcPr>
            <w:tcW w:w="1312" w:type="dxa"/>
          </w:tcPr>
          <w:p>
            <w:pPr>
              <w:pStyle w:val="TableParagraph"/>
              <w:spacing w:before="68"/>
              <w:ind w:left="114" w:right="77"/>
              <w:jc w:val="center"/>
              <w:rPr>
                <w:rFonts w:ascii="Calibri"/>
                <w:sz w:val="16"/>
              </w:rPr>
            </w:pPr>
            <w:r>
              <w:rPr>
                <w:rFonts w:ascii="Calibri"/>
                <w:sz w:val="16"/>
              </w:rPr>
              <w:t>OTROS TIPOS DE</w:t>
            </w:r>
          </w:p>
        </w:tc>
        <w:tc>
          <w:tcPr>
            <w:tcW w:w="976" w:type="dxa"/>
          </w:tcPr>
          <w:p>
            <w:pPr>
              <w:pStyle w:val="TableParagraph"/>
              <w:spacing w:before="68"/>
              <w:ind w:left="79" w:right="101"/>
              <w:jc w:val="center"/>
              <w:rPr>
                <w:rFonts w:ascii="Calibri"/>
                <w:sz w:val="16"/>
              </w:rPr>
            </w:pPr>
            <w:r>
              <w:rPr>
                <w:rFonts w:ascii="Calibri"/>
                <w:sz w:val="16"/>
              </w:rPr>
              <w:t>CUERPO DE</w:t>
            </w:r>
          </w:p>
        </w:tc>
        <w:tc>
          <w:tcPr>
            <w:tcW w:w="1199" w:type="dxa"/>
          </w:tcPr>
          <w:p>
            <w:pPr>
              <w:pStyle w:val="TableParagraph"/>
              <w:spacing w:before="68"/>
              <w:ind w:left="122"/>
              <w:rPr>
                <w:rFonts w:ascii="Calibri"/>
                <w:sz w:val="16"/>
              </w:rPr>
            </w:pPr>
            <w:r>
              <w:rPr>
                <w:rFonts w:ascii="Calibri"/>
                <w:sz w:val="16"/>
              </w:rPr>
              <w:t>ZONA URBANA</w:t>
            </w:r>
          </w:p>
        </w:tc>
        <w:tc>
          <w:tcPr>
            <w:tcW w:w="987" w:type="dxa"/>
          </w:tcPr>
          <w:p>
            <w:pPr>
              <w:pStyle w:val="TableParagraph"/>
              <w:spacing w:before="68"/>
              <w:ind w:left="76" w:right="16"/>
              <w:jc w:val="center"/>
              <w:rPr>
                <w:rFonts w:ascii="Calibri" w:hAnsi="Calibri"/>
                <w:sz w:val="16"/>
              </w:rPr>
            </w:pPr>
            <w:r>
              <w:rPr>
                <w:rFonts w:ascii="Calibri" w:hAnsi="Calibri"/>
                <w:sz w:val="16"/>
              </w:rPr>
              <w:t>ÁREA SIN</w:t>
            </w:r>
          </w:p>
        </w:tc>
      </w:tr>
      <w:tr>
        <w:trPr>
          <w:trHeight w:val="230" w:hRule="exact"/>
        </w:trPr>
        <w:tc>
          <w:tcPr>
            <w:tcW w:w="1246" w:type="dxa"/>
          </w:tcPr>
          <w:p>
            <w:pPr/>
          </w:p>
        </w:tc>
        <w:tc>
          <w:tcPr>
            <w:tcW w:w="975" w:type="dxa"/>
          </w:tcPr>
          <w:p>
            <w:pPr/>
          </w:p>
        </w:tc>
        <w:tc>
          <w:tcPr>
            <w:tcW w:w="1004" w:type="dxa"/>
          </w:tcPr>
          <w:p>
            <w:pPr/>
          </w:p>
        </w:tc>
        <w:tc>
          <w:tcPr>
            <w:tcW w:w="1312" w:type="dxa"/>
          </w:tcPr>
          <w:p>
            <w:pPr>
              <w:pStyle w:val="TableParagraph"/>
              <w:spacing w:line="181" w:lineRule="exact"/>
              <w:ind w:left="114" w:right="76"/>
              <w:jc w:val="center"/>
              <w:rPr>
                <w:rFonts w:ascii="Calibri" w:hAnsi="Calibri"/>
                <w:sz w:val="16"/>
              </w:rPr>
            </w:pPr>
            <w:r>
              <w:rPr>
                <w:rFonts w:ascii="Calibri" w:hAnsi="Calibri"/>
                <w:sz w:val="16"/>
              </w:rPr>
              <w:t>VEGETACIÓN</w:t>
            </w:r>
          </w:p>
        </w:tc>
        <w:tc>
          <w:tcPr>
            <w:tcW w:w="976" w:type="dxa"/>
          </w:tcPr>
          <w:p>
            <w:pPr>
              <w:pStyle w:val="TableParagraph"/>
              <w:spacing w:line="181" w:lineRule="exact"/>
              <w:ind w:left="77" w:right="101"/>
              <w:jc w:val="center"/>
              <w:rPr>
                <w:rFonts w:ascii="Calibri"/>
                <w:sz w:val="16"/>
              </w:rPr>
            </w:pPr>
            <w:r>
              <w:rPr>
                <w:rFonts w:ascii="Calibri"/>
                <w:sz w:val="16"/>
              </w:rPr>
              <w:t>AGUA</w:t>
            </w:r>
          </w:p>
        </w:tc>
        <w:tc>
          <w:tcPr>
            <w:tcW w:w="1199" w:type="dxa"/>
          </w:tcPr>
          <w:p>
            <w:pPr/>
          </w:p>
        </w:tc>
        <w:tc>
          <w:tcPr>
            <w:tcW w:w="987" w:type="dxa"/>
          </w:tcPr>
          <w:p>
            <w:pPr>
              <w:pStyle w:val="TableParagraph"/>
              <w:spacing w:line="181" w:lineRule="exact"/>
              <w:ind w:left="78" w:right="16"/>
              <w:jc w:val="center"/>
              <w:rPr>
                <w:rFonts w:ascii="Calibri" w:hAnsi="Calibri"/>
                <w:sz w:val="16"/>
              </w:rPr>
            </w:pPr>
            <w:r>
              <w:rPr>
                <w:rFonts w:ascii="Calibri" w:hAnsi="Calibri"/>
                <w:sz w:val="16"/>
              </w:rPr>
              <w:t>VEGETACIÓN</w:t>
            </w:r>
          </w:p>
        </w:tc>
      </w:tr>
    </w:tbl>
    <w:p>
      <w:pPr>
        <w:spacing w:before="14"/>
        <w:ind w:left="1566" w:right="296" w:firstLine="0"/>
        <w:jc w:val="left"/>
        <w:rPr>
          <w:sz w:val="20"/>
        </w:rPr>
      </w:pPr>
      <w:r>
        <w:rPr>
          <w:sz w:val="20"/>
        </w:rPr>
        <w:t>Fuente: Elaboración propia con información de INEGI 1992 y 1997</w:t>
      </w:r>
    </w:p>
    <w:p>
      <w:pPr>
        <w:pStyle w:val="BodyText"/>
        <w:spacing w:before="1"/>
        <w:rPr>
          <w:sz w:val="20"/>
        </w:rPr>
      </w:pPr>
    </w:p>
    <w:p>
      <w:pPr>
        <w:pStyle w:val="BodyText"/>
        <w:spacing w:line="360" w:lineRule="auto"/>
        <w:ind w:left="102" w:right="116"/>
        <w:jc w:val="both"/>
      </w:pPr>
      <w:r>
        <w:rPr/>
        <w:t>El tipo de comportamiento tipo b) son los usos de suelo que adquieren mayor extensión en la superficie que son tres tipos, presentados en orden ascendente  por la cantidad de superficie que ganan están los cuerpos de agua con 1960.39ha en 1992, la cual aumenta 141.41ha más en los siguientes cinco años, la superficie de pastizales en 1992 fue 33786.38ha, cifra creciente en 1997 donde fue de 35334.48 hectáreas, finalmente el uso que tiene mayor incremento en es el destinado a zonas urbanas con 880.46ha en 1992 aumentando 9007.67 ha. en el siguiente lustro (ver gráfica 25 y mapas 10 y</w:t>
      </w:r>
      <w:r>
        <w:rPr>
          <w:spacing w:val="-15"/>
        </w:rPr>
        <w:t> </w:t>
      </w:r>
      <w:r>
        <w:rPr/>
        <w:t>11).</w:t>
      </w:r>
    </w:p>
    <w:p>
      <w:pPr>
        <w:pStyle w:val="BodyText"/>
        <w:spacing w:before="7"/>
      </w:pPr>
    </w:p>
    <w:p>
      <w:pPr>
        <w:pStyle w:val="BodyText"/>
        <w:spacing w:line="360" w:lineRule="auto"/>
        <w:ind w:left="102" w:right="124"/>
        <w:jc w:val="both"/>
      </w:pPr>
      <w:r>
        <w:rPr/>
        <w:t>En los mapas 10 y 11 se observan los impactos del proceso de desconcentración en la última década del siglo XX que como se ha mencionado son principalmente zonas con paisaje natural las que han disminuido por la creciente presencia de  uso de suelo destinado a zonas urbanas en la parte central de la ZMT, en los asentamientos con alta concentración de</w:t>
      </w:r>
      <w:r>
        <w:rPr>
          <w:spacing w:val="-21"/>
        </w:rPr>
        <w:t> </w:t>
      </w:r>
      <w:r>
        <w:rPr/>
        <w:t>población.</w:t>
      </w:r>
    </w:p>
    <w:p>
      <w:pPr>
        <w:spacing w:after="0" w:line="360" w:lineRule="auto"/>
        <w:jc w:val="both"/>
        <w:sectPr>
          <w:pgSz w:w="12240" w:h="15840"/>
          <w:pgMar w:header="0" w:footer="659" w:top="1360" w:bottom="840" w:left="1600" w:right="1580"/>
        </w:sectPr>
      </w:pPr>
    </w:p>
    <w:p>
      <w:pPr>
        <w:spacing w:before="53" w:after="4"/>
        <w:ind w:left="1362" w:right="1241" w:firstLine="0"/>
        <w:jc w:val="left"/>
        <w:rPr>
          <w:sz w:val="20"/>
        </w:rPr>
      </w:pPr>
      <w:r>
        <w:rPr>
          <w:sz w:val="20"/>
        </w:rPr>
        <w:t>Mapa 10. Usos de suelo en la Zona Metropolitana de Toluca en 1992.</w:t>
      </w:r>
    </w:p>
    <w:p>
      <w:pPr>
        <w:pStyle w:val="BodyText"/>
        <w:ind w:left="140"/>
        <w:rPr>
          <w:sz w:val="20"/>
        </w:rPr>
      </w:pPr>
      <w:r>
        <w:rPr>
          <w:sz w:val="20"/>
        </w:rPr>
        <w:drawing>
          <wp:inline distT="0" distB="0" distL="0" distR="0">
            <wp:extent cx="5412321" cy="6759606"/>
            <wp:effectExtent l="0" t="0" r="0" b="0"/>
            <wp:docPr id="39" name="image32.jpeg" descr=""/>
            <wp:cNvGraphicFramePr>
              <a:graphicFrameLocks noChangeAspect="1"/>
            </wp:cNvGraphicFramePr>
            <a:graphic>
              <a:graphicData uri="http://schemas.openxmlformats.org/drawingml/2006/picture">
                <pic:pic>
                  <pic:nvPicPr>
                    <pic:cNvPr id="40" name="image32.jpeg"/>
                    <pic:cNvPicPr/>
                  </pic:nvPicPr>
                  <pic:blipFill>
                    <a:blip r:embed="rId56" cstate="print"/>
                    <a:stretch>
                      <a:fillRect/>
                    </a:stretch>
                  </pic:blipFill>
                  <pic:spPr>
                    <a:xfrm>
                      <a:off x="0" y="0"/>
                      <a:ext cx="5412321" cy="6759606"/>
                    </a:xfrm>
                    <a:prstGeom prst="rect">
                      <a:avLst/>
                    </a:prstGeom>
                  </pic:spPr>
                </pic:pic>
              </a:graphicData>
            </a:graphic>
          </wp:inline>
        </w:drawing>
      </w:r>
      <w:r>
        <w:rPr>
          <w:sz w:val="20"/>
        </w:rPr>
      </w:r>
    </w:p>
    <w:p>
      <w:pPr>
        <w:spacing w:after="0"/>
        <w:rPr>
          <w:sz w:val="20"/>
        </w:rPr>
        <w:sectPr>
          <w:footerReference w:type="default" r:id="rId55"/>
          <w:pgSz w:w="12240" w:h="15840"/>
          <w:pgMar w:footer="659" w:header="0" w:top="1360" w:bottom="840" w:left="1660" w:right="1660"/>
          <w:pgNumType w:start="120"/>
        </w:sectPr>
      </w:pPr>
    </w:p>
    <w:p>
      <w:pPr>
        <w:spacing w:before="53" w:after="4"/>
        <w:ind w:left="88" w:right="93" w:firstLine="0"/>
        <w:jc w:val="center"/>
        <w:rPr>
          <w:sz w:val="20"/>
        </w:rPr>
      </w:pPr>
      <w:r>
        <w:rPr>
          <w:sz w:val="20"/>
        </w:rPr>
        <w:t>Mapa 11. Usos de suelo en la Zona Metropolitana de Toluca en 1997.</w:t>
      </w:r>
    </w:p>
    <w:p>
      <w:pPr>
        <w:pStyle w:val="BodyText"/>
        <w:ind w:left="137"/>
        <w:rPr>
          <w:sz w:val="20"/>
        </w:rPr>
      </w:pPr>
      <w:r>
        <w:rPr>
          <w:sz w:val="20"/>
        </w:rPr>
        <w:drawing>
          <wp:inline distT="0" distB="0" distL="0" distR="0">
            <wp:extent cx="5604928" cy="7077836"/>
            <wp:effectExtent l="0" t="0" r="0" b="0"/>
            <wp:docPr id="41" name="image33.jpeg" descr=""/>
            <wp:cNvGraphicFramePr>
              <a:graphicFrameLocks noChangeAspect="1"/>
            </wp:cNvGraphicFramePr>
            <a:graphic>
              <a:graphicData uri="http://schemas.openxmlformats.org/drawingml/2006/picture">
                <pic:pic>
                  <pic:nvPicPr>
                    <pic:cNvPr id="42" name="image33.jpeg"/>
                    <pic:cNvPicPr/>
                  </pic:nvPicPr>
                  <pic:blipFill>
                    <a:blip r:embed="rId57" cstate="print"/>
                    <a:stretch>
                      <a:fillRect/>
                    </a:stretch>
                  </pic:blipFill>
                  <pic:spPr>
                    <a:xfrm>
                      <a:off x="0" y="0"/>
                      <a:ext cx="5604928" cy="7077836"/>
                    </a:xfrm>
                    <a:prstGeom prst="rect">
                      <a:avLst/>
                    </a:prstGeom>
                  </pic:spPr>
                </pic:pic>
              </a:graphicData>
            </a:graphic>
          </wp:inline>
        </w:drawing>
      </w:r>
      <w:r>
        <w:rPr>
          <w:sz w:val="20"/>
        </w:rPr>
      </w:r>
    </w:p>
    <w:p>
      <w:pPr>
        <w:pStyle w:val="BodyText"/>
        <w:spacing w:before="6"/>
        <w:rPr>
          <w:sz w:val="27"/>
        </w:rPr>
      </w:pPr>
    </w:p>
    <w:p>
      <w:pPr>
        <w:pStyle w:val="BodyText"/>
        <w:spacing w:line="360" w:lineRule="auto" w:before="1"/>
        <w:ind w:left="102" w:right="105" w:hanging="1"/>
        <w:jc w:val="center"/>
      </w:pPr>
      <w:r>
        <w:rPr/>
        <w:t>En síntesis los impactos ser observan claramente en los usos de suelo con comportamiento tipo a que son los que se pierden en la ZMT, mientras que los</w:t>
      </w:r>
    </w:p>
    <w:p>
      <w:pPr>
        <w:spacing w:after="0" w:line="360" w:lineRule="auto"/>
        <w:jc w:val="center"/>
        <w:sectPr>
          <w:pgSz w:w="12240" w:h="15840"/>
          <w:pgMar w:header="0" w:footer="659" w:top="1360" w:bottom="840" w:left="1600" w:right="1600"/>
        </w:sectPr>
      </w:pPr>
    </w:p>
    <w:p>
      <w:pPr>
        <w:pStyle w:val="BodyText"/>
        <w:spacing w:line="360" w:lineRule="auto" w:before="54"/>
        <w:ind w:left="102" w:right="122"/>
        <w:jc w:val="both"/>
      </w:pPr>
      <w:r>
        <w:rPr/>
        <w:t>cáusales de dichos impactos en el deterioro del paisaje natural principalmente son los paisajes artificiales.</w:t>
      </w:r>
    </w:p>
    <w:p>
      <w:pPr>
        <w:pStyle w:val="BodyText"/>
        <w:spacing w:before="7"/>
      </w:pPr>
    </w:p>
    <w:p>
      <w:pPr>
        <w:pStyle w:val="Heading5"/>
        <w:numPr>
          <w:ilvl w:val="2"/>
          <w:numId w:val="8"/>
        </w:numPr>
        <w:tabs>
          <w:tab w:pos="704" w:val="left" w:leader="none"/>
        </w:tabs>
        <w:spacing w:line="240" w:lineRule="auto" w:before="0" w:after="0"/>
        <w:ind w:left="703" w:right="0" w:hanging="601"/>
        <w:jc w:val="both"/>
      </w:pPr>
      <w:r>
        <w:rPr/>
        <w:t>impactos en el uso de suelo del siglo</w:t>
      </w:r>
      <w:r>
        <w:rPr>
          <w:spacing w:val="-11"/>
        </w:rPr>
        <w:t> </w:t>
      </w:r>
      <w:r>
        <w:rPr/>
        <w:t>XXI</w:t>
      </w:r>
    </w:p>
    <w:p>
      <w:pPr>
        <w:pStyle w:val="BodyText"/>
        <w:rPr>
          <w:b/>
        </w:rPr>
      </w:pPr>
    </w:p>
    <w:p>
      <w:pPr>
        <w:pStyle w:val="BodyText"/>
        <w:spacing w:line="360" w:lineRule="auto" w:before="141"/>
        <w:ind w:left="102" w:right="116"/>
        <w:jc w:val="both"/>
      </w:pPr>
      <w:r>
        <w:rPr/>
        <w:t>En el siglo XXI, el comportamiento de los siete usos de suelo se mantiene con dos tipos de comportamiento a) que son los que pierden superficie en el cual se posiciona el suelo de pastizal siendo la única superficie que pierde con 26675.43ha. en 2003 de la cual se restaron 3082.33ha. menos al 2010 (ver gráfica 26 y mapas 12 y 13 y anexos A.24).</w:t>
      </w:r>
    </w:p>
    <w:p>
      <w:pPr>
        <w:pStyle w:val="BodyText"/>
        <w:spacing w:before="6"/>
      </w:pPr>
    </w:p>
    <w:p>
      <w:pPr>
        <w:spacing w:before="0"/>
        <w:ind w:left="1561" w:right="296" w:firstLine="0"/>
        <w:jc w:val="left"/>
        <w:rPr>
          <w:sz w:val="20"/>
        </w:rPr>
      </w:pPr>
      <w:r>
        <w:rPr>
          <w:sz w:val="20"/>
        </w:rPr>
        <w:t>Gráfica 26. Participación relativa de los usos de suelo 2003 y 2010</w:t>
      </w:r>
    </w:p>
    <w:p>
      <w:pPr>
        <w:pStyle w:val="BodyText"/>
        <w:spacing w:before="7"/>
        <w:rPr>
          <w:sz w:val="9"/>
        </w:rPr>
      </w:pPr>
    </w:p>
    <w:p>
      <w:pPr>
        <w:tabs>
          <w:tab w:pos="926" w:val="left" w:leader="none"/>
        </w:tabs>
        <w:spacing w:before="60"/>
        <w:ind w:left="217" w:right="0" w:firstLine="0"/>
        <w:jc w:val="center"/>
        <w:rPr>
          <w:rFonts w:ascii="Calibri"/>
          <w:sz w:val="20"/>
        </w:rPr>
      </w:pPr>
      <w:r>
        <w:rPr/>
        <w:pict>
          <v:rect style="position:absolute;margin-left:109.459999pt;margin-top:-5.358522pt;width:.1pt;height:210.02pt;mso-position-horizontal-relative:page;mso-position-vertical-relative:paragraph;z-index:7600" filled="true" fillcolor="#6f2f9f" stroked="false">
            <v:fill type="solid"/>
            <w10:wrap type="none"/>
          </v:rect>
        </w:pict>
      </w:r>
      <w:r>
        <w:rPr/>
        <w:pict>
          <v:rect style="position:absolute;margin-left:276.239990pt;margin-top:6.831478pt;width:5.4pt;height:5.52pt;mso-position-horizontal-relative:page;mso-position-vertical-relative:paragraph;z-index:7624" filled="true" fillcolor="#4f81bc" stroked="false">
            <v:fill type="solid"/>
            <w10:wrap type="none"/>
          </v:rect>
        </w:pict>
      </w:r>
      <w:r>
        <w:rPr/>
        <w:pict>
          <v:rect style="position:absolute;margin-left:311.640015pt;margin-top:6.831478pt;width:5.52pt;height:5.52pt;mso-position-horizontal-relative:page;mso-position-vertical-relative:paragraph;z-index:-295144" filled="true" fillcolor="#6f2f9f" stroked="false">
            <v:fill type="solid"/>
            <w10:wrap type="none"/>
          </v:rect>
        </w:pict>
      </w:r>
      <w:r>
        <w:rPr>
          <w:rFonts w:ascii="Calibri"/>
          <w:sz w:val="20"/>
        </w:rPr>
        <w:t>2003</w:t>
        <w:tab/>
        <w:t>2010</w:t>
      </w:r>
    </w:p>
    <w:p>
      <w:pPr>
        <w:spacing w:before="125"/>
        <w:ind w:left="958" w:right="296" w:firstLine="0"/>
        <w:jc w:val="left"/>
        <w:rPr>
          <w:rFonts w:ascii="Calibri"/>
          <w:sz w:val="18"/>
        </w:rPr>
      </w:pPr>
      <w:r>
        <w:rPr/>
        <w:pict>
          <v:group style="position:absolute;margin-left:120.224998pt;margin-top:22.689341pt;width:371.7pt;height:121.95pt;mso-position-horizontal-relative:page;mso-position-vertical-relative:paragraph;z-index:7576;mso-wrap-distance-left:0;mso-wrap-distance-right:0" coordorigin="2404,454" coordsize="7434,2439">
            <v:rect style="position:absolute;left:2623;top:471;width:283;height:2414" filled="true" fillcolor="#4f81bc" stroked="false">
              <v:fill type="solid"/>
            </v:rect>
            <v:rect style="position:absolute;left:2976;top:454;width:283;height:2431" filled="true" fillcolor="#6f2f9f" stroked="false">
              <v:fill type="solid"/>
            </v:rect>
            <v:line style="position:absolute" from="3684,2880" to="3965,2880" stroked="true" strokeweight=".48pt" strokecolor="#4f81bc"/>
            <v:line style="position:absolute" from="4037,2880" to="4320,2880" stroked="true" strokeweight=".48pt" strokecolor="#6f2f9f"/>
            <v:rect style="position:absolute;left:4742;top:2206;width:283;height:679" filled="true" fillcolor="#4f81bc" stroked="false">
              <v:fill type="solid"/>
            </v:rect>
            <v:line style="position:absolute" from="5803,2871" to="6086,2871" stroked="true" strokeweight="1.44pt" strokecolor="#4f81bc"/>
            <v:line style="position:absolute" from="6156,2871" to="6439,2871" stroked="true" strokeweight="1.44pt" strokecolor="#6f2f9f"/>
            <v:rect style="position:absolute;left:6864;top:2705;width:281;height:180" filled="true" fillcolor="#4f81bc" stroked="false">
              <v:fill type="solid"/>
            </v:rect>
            <v:line style="position:absolute" from="7922,2879" to="8206,2879" stroked="true" strokeweight=".6pt" strokecolor="#4f81bc"/>
            <v:line style="position:absolute" from="8278,2879" to="8558,2879" stroked="true" strokeweight=".6pt" strokecolor="#6f2f9f"/>
            <v:rect style="position:absolute;left:8983;top:2523;width:283;height:362" filled="true" fillcolor="#4f81bc" stroked="false">
              <v:fill type="solid"/>
            </v:rect>
            <v:rect style="position:absolute;left:9336;top:2563;width:283;height:322" filled="true" fillcolor="#6f2f9f" stroked="false">
              <v:fill type="solid"/>
            </v:rect>
            <v:rect style="position:absolute;left:5098;top:2182;width:281;height:703" filled="true" fillcolor="#6f2f9f" stroked="false">
              <v:fill type="solid"/>
            </v:rect>
            <v:rect style="position:absolute;left:7217;top:2676;width:283;height:209" filled="true" fillcolor="#6f2f9f" stroked="false">
              <v:fill type="solid"/>
            </v:rect>
            <v:line style="position:absolute" from="2412,2885" to="9830,2885" stroked="true" strokeweight=".72pt" strokecolor="#858585"/>
            <v:shape style="position:absolute;left:4679;top:1909;width:895;height:204" type="#_x0000_t202" filled="false" stroked="false">
              <v:textbox inset="0,0,0,0">
                <w:txbxContent>
                  <w:p>
                    <w:pPr>
                      <w:spacing w:line="203" w:lineRule="exact" w:before="0"/>
                      <w:ind w:left="0" w:right="0" w:firstLine="0"/>
                      <w:jc w:val="left"/>
                      <w:rPr>
                        <w:rFonts w:ascii="Calibri"/>
                        <w:sz w:val="18"/>
                      </w:rPr>
                    </w:pPr>
                    <w:r>
                      <w:rPr>
                        <w:rFonts w:ascii="Calibri"/>
                        <w:position w:val="-1"/>
                        <w:sz w:val="18"/>
                      </w:rPr>
                      <w:t>18.31 </w:t>
                    </w:r>
                    <w:r>
                      <w:rPr>
                        <w:rFonts w:ascii="Calibri"/>
                        <w:sz w:val="18"/>
                      </w:rPr>
                      <w:t>18.95</w:t>
                    </w:r>
                  </w:p>
                </w:txbxContent>
              </v:textbox>
              <w10:wrap type="none"/>
            </v:shape>
            <v:shape style="position:absolute;left:6845;top:2404;width:674;height:207" type="#_x0000_t202" filled="false" stroked="false">
              <v:textbox inset="0,0,0,0">
                <w:txbxContent>
                  <w:p>
                    <w:pPr>
                      <w:spacing w:line="207" w:lineRule="exact" w:before="0"/>
                      <w:ind w:left="0" w:right="-18" w:firstLine="0"/>
                      <w:jc w:val="left"/>
                      <w:rPr>
                        <w:rFonts w:ascii="Calibri"/>
                        <w:sz w:val="18"/>
                      </w:rPr>
                    </w:pPr>
                    <w:r>
                      <w:rPr>
                        <w:rFonts w:ascii="Calibri"/>
                        <w:position w:val="-2"/>
                        <w:sz w:val="18"/>
                      </w:rPr>
                      <w:t>4.86</w:t>
                    </w:r>
                    <w:r>
                      <w:rPr>
                        <w:rFonts w:ascii="Calibri"/>
                        <w:spacing w:val="-7"/>
                        <w:position w:val="-2"/>
                        <w:sz w:val="18"/>
                      </w:rPr>
                      <w:t> </w:t>
                    </w:r>
                    <w:r>
                      <w:rPr>
                        <w:rFonts w:ascii="Calibri"/>
                        <w:sz w:val="18"/>
                      </w:rPr>
                      <w:t>5.58</w:t>
                    </w:r>
                  </w:p>
                </w:txbxContent>
              </v:textbox>
              <w10:wrap type="none"/>
            </v:shape>
            <v:shape style="position:absolute;left:8965;top:2249;width:673;height:222" type="#_x0000_t202" filled="false" stroked="false">
              <v:textbox inset="0,0,0,0">
                <w:txbxContent>
                  <w:p>
                    <w:pPr>
                      <w:spacing w:line="222" w:lineRule="exact" w:before="0"/>
                      <w:ind w:left="0" w:right="-19" w:firstLine="0"/>
                      <w:jc w:val="left"/>
                      <w:rPr>
                        <w:rFonts w:ascii="Calibri"/>
                        <w:sz w:val="18"/>
                      </w:rPr>
                    </w:pPr>
                    <w:r>
                      <w:rPr>
                        <w:rFonts w:ascii="Calibri"/>
                        <w:sz w:val="18"/>
                      </w:rPr>
                      <w:t>9.76</w:t>
                    </w:r>
                    <w:r>
                      <w:rPr>
                        <w:rFonts w:ascii="Calibri"/>
                        <w:spacing w:val="-7"/>
                        <w:sz w:val="18"/>
                      </w:rPr>
                      <w:t> </w:t>
                    </w:r>
                    <w:r>
                      <w:rPr>
                        <w:rFonts w:ascii="Calibri"/>
                        <w:position w:val="-3"/>
                        <w:sz w:val="18"/>
                      </w:rPr>
                      <w:t>8.63</w:t>
                    </w:r>
                  </w:p>
                </w:txbxContent>
              </v:textbox>
              <w10:wrap type="none"/>
            </v:shape>
            <v:shape style="position:absolute;left:3468;top:2604;width:869;height:180" type="#_x0000_t202" filled="false" stroked="false">
              <v:textbox inset="0,0,0,0">
                <w:txbxContent>
                  <w:p>
                    <w:pPr>
                      <w:tabs>
                        <w:tab w:pos="549" w:val="left" w:leader="none"/>
                      </w:tabs>
                      <w:spacing w:line="180" w:lineRule="exact" w:before="0"/>
                      <w:ind w:left="0" w:right="0" w:firstLine="0"/>
                      <w:jc w:val="left"/>
                      <w:rPr>
                        <w:rFonts w:ascii="Calibri"/>
                        <w:sz w:val="18"/>
                      </w:rPr>
                    </w:pPr>
                    <w:r>
                      <w:rPr>
                        <w:rFonts w:ascii="Calibri"/>
                        <w:sz w:val="18"/>
                      </w:rPr>
                      <w:t>0.20</w:t>
                      <w:tab/>
                      <w:t>0.20</w:t>
                    </w:r>
                  </w:p>
                </w:txbxContent>
              </v:textbox>
              <w10:wrap type="none"/>
            </v:shape>
            <v:shape style="position:absolute;left:5610;top:2622;width:321;height:180" type="#_x0000_t202" filled="false" stroked="false">
              <v:textbox inset="0,0,0,0">
                <w:txbxContent>
                  <w:p>
                    <w:pPr>
                      <w:spacing w:line="180" w:lineRule="exact" w:before="0"/>
                      <w:ind w:left="0" w:right="-19" w:firstLine="0"/>
                      <w:jc w:val="left"/>
                      <w:rPr>
                        <w:rFonts w:ascii="Calibri"/>
                        <w:sz w:val="18"/>
                      </w:rPr>
                    </w:pPr>
                    <w:r>
                      <w:rPr>
                        <w:rFonts w:ascii="Calibri"/>
                        <w:sz w:val="18"/>
                      </w:rPr>
                      <w:t>0.77</w:t>
                    </w:r>
                  </w:p>
                </w:txbxContent>
              </v:textbox>
              <w10:wrap type="none"/>
            </v:shape>
            <v:shape style="position:absolute;left:6138;top:2583;width:321;height:181" type="#_x0000_t202" filled="false" stroked="false">
              <v:textbox inset="0,0,0,0">
                <w:txbxContent>
                  <w:p>
                    <w:pPr>
                      <w:spacing w:line="180" w:lineRule="exact" w:before="0"/>
                      <w:ind w:left="0" w:right="-19" w:firstLine="0"/>
                      <w:jc w:val="left"/>
                      <w:rPr>
                        <w:rFonts w:ascii="Calibri"/>
                        <w:sz w:val="18"/>
                      </w:rPr>
                    </w:pPr>
                    <w:r>
                      <w:rPr>
                        <w:rFonts w:ascii="Calibri"/>
                        <w:sz w:val="18"/>
                      </w:rPr>
                      <w:t>0.77</w:t>
                    </w:r>
                  </w:p>
                </w:txbxContent>
              </v:textbox>
              <w10:wrap type="none"/>
            </v:shape>
            <v:shape style="position:absolute;left:7905;top:2600;width:673;height:182" type="#_x0000_t202" filled="false" stroked="false">
              <v:textbox inset="0,0,0,0">
                <w:txbxContent>
                  <w:p>
                    <w:pPr>
                      <w:spacing w:line="181" w:lineRule="exact" w:before="0"/>
                      <w:ind w:left="0" w:right="-19" w:firstLine="0"/>
                      <w:jc w:val="left"/>
                      <w:rPr>
                        <w:rFonts w:ascii="Calibri"/>
                        <w:sz w:val="18"/>
                      </w:rPr>
                    </w:pPr>
                    <w:r>
                      <w:rPr>
                        <w:rFonts w:ascii="Calibri"/>
                        <w:sz w:val="18"/>
                      </w:rPr>
                      <w:t>0.28</w:t>
                    </w:r>
                    <w:r>
                      <w:rPr>
                        <w:rFonts w:ascii="Calibri"/>
                        <w:spacing w:val="-7"/>
                        <w:sz w:val="18"/>
                      </w:rPr>
                      <w:t> </w:t>
                    </w:r>
                    <w:r>
                      <w:rPr>
                        <w:rFonts w:ascii="Calibri"/>
                        <w:sz w:val="18"/>
                      </w:rPr>
                      <w:t>0.31</w:t>
                    </w:r>
                  </w:p>
                </w:txbxContent>
              </v:textbox>
              <w10:wrap type="none"/>
            </v:shape>
            <w10:wrap type="topAndBottom"/>
          </v:group>
        </w:pict>
      </w:r>
      <w:r>
        <w:rPr>
          <w:rFonts w:ascii="Calibri"/>
          <w:position w:val="-3"/>
          <w:sz w:val="18"/>
        </w:rPr>
        <w:t>65.09 </w:t>
      </w:r>
      <w:r>
        <w:rPr>
          <w:rFonts w:ascii="Calibri"/>
          <w:sz w:val="18"/>
        </w:rPr>
        <w:t>65.55</w:t>
      </w:r>
    </w:p>
    <w:p>
      <w:pPr>
        <w:pStyle w:val="BodyText"/>
        <w:spacing w:before="8"/>
        <w:rPr>
          <w:rFonts w:ascii="Calibri"/>
          <w:sz w:val="5"/>
        </w:rPr>
      </w:pPr>
    </w:p>
    <w:p>
      <w:pPr>
        <w:spacing w:after="0"/>
        <w:rPr>
          <w:rFonts w:ascii="Calibri"/>
          <w:sz w:val="5"/>
        </w:rPr>
        <w:sectPr>
          <w:pgSz w:w="12240" w:h="15840"/>
          <w:pgMar w:header="0" w:footer="659" w:top="1360" w:bottom="840" w:left="1600" w:right="1580"/>
        </w:sectPr>
      </w:pPr>
    </w:p>
    <w:p>
      <w:pPr>
        <w:spacing w:before="8"/>
        <w:ind w:left="962" w:right="-17" w:firstLine="180"/>
        <w:jc w:val="left"/>
        <w:rPr>
          <w:rFonts w:ascii="Calibri" w:hAnsi="Calibri"/>
          <w:sz w:val="18"/>
        </w:rPr>
      </w:pPr>
      <w:r>
        <w:rPr>
          <w:rFonts w:ascii="Calibri" w:hAnsi="Calibri"/>
          <w:sz w:val="18"/>
        </w:rPr>
        <w:t>ÁREA AGRÍCOLA</w:t>
      </w:r>
    </w:p>
    <w:p>
      <w:pPr>
        <w:spacing w:before="8"/>
        <w:ind w:left="159" w:right="-16" w:firstLine="142"/>
        <w:jc w:val="left"/>
        <w:rPr>
          <w:rFonts w:ascii="Calibri" w:hAnsi="Calibri"/>
          <w:sz w:val="18"/>
        </w:rPr>
      </w:pPr>
      <w:r>
        <w:rPr/>
        <w:br w:type="column"/>
      </w:r>
      <w:r>
        <w:rPr>
          <w:rFonts w:ascii="Calibri" w:hAnsi="Calibri"/>
          <w:sz w:val="18"/>
        </w:rPr>
        <w:t>AREA SIN VEGETACIÓN</w:t>
      </w:r>
    </w:p>
    <w:p>
      <w:pPr>
        <w:tabs>
          <w:tab w:pos="1171" w:val="left" w:leader="none"/>
        </w:tabs>
        <w:spacing w:before="8"/>
        <w:ind w:left="224" w:right="0" w:firstLine="0"/>
        <w:jc w:val="left"/>
        <w:rPr>
          <w:rFonts w:ascii="Calibri"/>
          <w:sz w:val="18"/>
        </w:rPr>
      </w:pPr>
      <w:r>
        <w:rPr/>
        <w:br w:type="column"/>
      </w:r>
      <w:r>
        <w:rPr>
          <w:rFonts w:ascii="Calibri"/>
          <w:sz w:val="18"/>
        </w:rPr>
        <w:t>BOSQUE</w:t>
        <w:tab/>
        <w:t>CUERPO</w:t>
      </w:r>
      <w:r>
        <w:rPr>
          <w:rFonts w:ascii="Calibri"/>
          <w:spacing w:val="-5"/>
          <w:sz w:val="18"/>
        </w:rPr>
        <w:t> </w:t>
      </w:r>
      <w:r>
        <w:rPr>
          <w:rFonts w:ascii="Calibri"/>
          <w:sz w:val="18"/>
        </w:rPr>
        <w:t>DE</w:t>
      </w:r>
    </w:p>
    <w:p>
      <w:pPr>
        <w:spacing w:before="1"/>
        <w:ind w:left="0" w:right="202" w:firstLine="0"/>
        <w:jc w:val="right"/>
        <w:rPr>
          <w:rFonts w:ascii="Calibri"/>
          <w:sz w:val="18"/>
        </w:rPr>
      </w:pPr>
      <w:r>
        <w:rPr>
          <w:rFonts w:ascii="Calibri"/>
          <w:sz w:val="18"/>
        </w:rPr>
        <w:t>AGUA</w:t>
      </w:r>
    </w:p>
    <w:p>
      <w:pPr>
        <w:spacing w:before="8"/>
        <w:ind w:left="278" w:right="-15" w:firstLine="105"/>
        <w:jc w:val="left"/>
        <w:rPr>
          <w:rFonts w:ascii="Calibri"/>
          <w:sz w:val="18"/>
        </w:rPr>
      </w:pPr>
      <w:r>
        <w:rPr/>
        <w:br w:type="column"/>
      </w:r>
      <w:r>
        <w:rPr>
          <w:rFonts w:ascii="Calibri"/>
          <w:sz w:val="18"/>
        </w:rPr>
        <w:t>ZONA </w:t>
      </w:r>
      <w:r>
        <w:rPr>
          <w:rFonts w:ascii="Calibri"/>
          <w:spacing w:val="-1"/>
          <w:sz w:val="18"/>
        </w:rPr>
        <w:t>URBANA</w:t>
      </w:r>
    </w:p>
    <w:p>
      <w:pPr>
        <w:spacing w:before="8"/>
        <w:ind w:left="216" w:right="0" w:firstLine="0"/>
        <w:jc w:val="center"/>
        <w:rPr>
          <w:rFonts w:ascii="Calibri" w:hAnsi="Calibri"/>
          <w:sz w:val="18"/>
        </w:rPr>
      </w:pPr>
      <w:r>
        <w:rPr/>
        <w:br w:type="column"/>
      </w:r>
      <w:r>
        <w:rPr>
          <w:rFonts w:ascii="Calibri" w:hAnsi="Calibri"/>
          <w:sz w:val="18"/>
        </w:rPr>
        <w:t>OTROS</w:t>
      </w:r>
      <w:r>
        <w:rPr>
          <w:rFonts w:ascii="Calibri" w:hAnsi="Calibri"/>
          <w:spacing w:val="-5"/>
          <w:sz w:val="18"/>
        </w:rPr>
        <w:t> </w:t>
      </w:r>
      <w:r>
        <w:rPr>
          <w:rFonts w:ascii="Calibri" w:hAnsi="Calibri"/>
          <w:sz w:val="18"/>
        </w:rPr>
        <w:t>TIPOS DE     VEGETACIÓN</w:t>
      </w:r>
    </w:p>
    <w:p>
      <w:pPr>
        <w:spacing w:before="8"/>
        <w:ind w:left="194" w:right="0" w:firstLine="0"/>
        <w:jc w:val="left"/>
        <w:rPr>
          <w:rFonts w:ascii="Calibri"/>
          <w:sz w:val="18"/>
        </w:rPr>
      </w:pPr>
      <w:r>
        <w:rPr/>
        <w:br w:type="column"/>
      </w:r>
      <w:r>
        <w:rPr>
          <w:rFonts w:ascii="Calibri"/>
          <w:sz w:val="18"/>
        </w:rPr>
        <w:t>PASTIZAL</w:t>
      </w:r>
    </w:p>
    <w:p>
      <w:pPr>
        <w:spacing w:after="0"/>
        <w:jc w:val="left"/>
        <w:rPr>
          <w:rFonts w:ascii="Calibri"/>
          <w:sz w:val="18"/>
        </w:rPr>
        <w:sectPr>
          <w:type w:val="continuous"/>
          <w:pgSz w:w="12240" w:h="15840"/>
          <w:pgMar w:top="1500" w:bottom="280" w:left="1600" w:right="1580"/>
          <w:cols w:num="6" w:equalWidth="0">
            <w:col w:w="1721" w:space="40"/>
            <w:col w:w="1124" w:space="40"/>
            <w:col w:w="2021" w:space="40"/>
            <w:col w:w="913" w:space="40"/>
            <w:col w:w="1191" w:space="40"/>
            <w:col w:w="1890"/>
          </w:cols>
        </w:sectPr>
      </w:pPr>
    </w:p>
    <w:p>
      <w:pPr>
        <w:spacing w:before="128"/>
        <w:ind w:left="1566" w:right="296" w:firstLine="0"/>
        <w:jc w:val="left"/>
        <w:rPr>
          <w:sz w:val="20"/>
        </w:rPr>
      </w:pPr>
      <w:r>
        <w:rPr>
          <w:sz w:val="20"/>
        </w:rPr>
        <w:t>Fuente: Elaboración propia con información de INEGI 2003 y 2010</w:t>
      </w:r>
    </w:p>
    <w:p>
      <w:pPr>
        <w:pStyle w:val="BodyText"/>
        <w:spacing w:before="1"/>
        <w:rPr>
          <w:sz w:val="20"/>
        </w:rPr>
      </w:pPr>
    </w:p>
    <w:p>
      <w:pPr>
        <w:pStyle w:val="BodyText"/>
        <w:spacing w:line="360" w:lineRule="auto"/>
        <w:ind w:left="102" w:right="119"/>
        <w:jc w:val="both"/>
      </w:pPr>
      <w:r>
        <w:rPr/>
        <w:t>En el grupo de comportamiento b) de las superficies ganadoras en orden ascendente está el aumento de áreas sin vegetación que 2003 tenía una  superficie de 552.49 con un aumento ligero de 0.03 ha., seguido de los cuerpos de agua con 2101.75ha. en 2003 y 2104.89 ha. en 2010, patrón que se repite en  otros tipos de vegetación y el uso de suelo agrícola el cual en 2003 ocupaba 177911.38 ha., y 179153.54 en 2010 los bosques se reposicionan al ser el tipo de vegetación que había perdido superficie en la década anterior con 50038.95 ha., en 2003 y un aumento de 1757.75ha. más en el año final siendo el suelo </w:t>
      </w:r>
      <w:r>
        <w:rPr>
          <w:spacing w:val="43"/>
        </w:rPr>
        <w:t> </w:t>
      </w:r>
      <w:r>
        <w:rPr/>
        <w:t>ganador</w:t>
      </w:r>
    </w:p>
    <w:p>
      <w:pPr>
        <w:spacing w:after="0" w:line="360" w:lineRule="auto"/>
        <w:jc w:val="both"/>
        <w:sectPr>
          <w:type w:val="continuous"/>
          <w:pgSz w:w="12240" w:h="15840"/>
          <w:pgMar w:top="1500" w:bottom="280" w:left="1600" w:right="1580"/>
        </w:sectPr>
      </w:pPr>
    </w:p>
    <w:p>
      <w:pPr>
        <w:pStyle w:val="BodyText"/>
        <w:spacing w:line="360" w:lineRule="auto" w:before="54"/>
        <w:ind w:left="102" w:right="294"/>
      </w:pPr>
      <w:r>
        <w:rPr/>
        <w:t>de superficie las zonas urbanas con 1987.11 ha. más para el 2010, pues en los siete años previos la superficie fue de 13277.37ha.</w:t>
      </w:r>
    </w:p>
    <w:p>
      <w:pPr>
        <w:pStyle w:val="BodyText"/>
        <w:spacing w:before="6"/>
      </w:pPr>
    </w:p>
    <w:p>
      <w:pPr>
        <w:spacing w:before="0" w:after="3"/>
        <w:ind w:left="89" w:right="89" w:firstLine="0"/>
        <w:jc w:val="center"/>
        <w:rPr>
          <w:sz w:val="20"/>
        </w:rPr>
      </w:pPr>
      <w:r>
        <w:rPr>
          <w:sz w:val="20"/>
        </w:rPr>
        <w:t>Mapa No. 12 Usos de Suelo 2003</w:t>
      </w:r>
    </w:p>
    <w:p>
      <w:pPr>
        <w:pStyle w:val="BodyText"/>
        <w:ind w:left="695"/>
        <w:rPr>
          <w:sz w:val="20"/>
        </w:rPr>
      </w:pPr>
      <w:r>
        <w:rPr>
          <w:sz w:val="20"/>
        </w:rPr>
        <w:drawing>
          <wp:inline distT="0" distB="0" distL="0" distR="0">
            <wp:extent cx="4810543" cy="6647402"/>
            <wp:effectExtent l="0" t="0" r="0" b="0"/>
            <wp:docPr id="43" name="image34.jpeg" descr=""/>
            <wp:cNvGraphicFramePr>
              <a:graphicFrameLocks noChangeAspect="1"/>
            </wp:cNvGraphicFramePr>
            <a:graphic>
              <a:graphicData uri="http://schemas.openxmlformats.org/drawingml/2006/picture">
                <pic:pic>
                  <pic:nvPicPr>
                    <pic:cNvPr id="44" name="image34.jpeg"/>
                    <pic:cNvPicPr/>
                  </pic:nvPicPr>
                  <pic:blipFill>
                    <a:blip r:embed="rId58" cstate="print"/>
                    <a:stretch>
                      <a:fillRect/>
                    </a:stretch>
                  </pic:blipFill>
                  <pic:spPr>
                    <a:xfrm>
                      <a:off x="0" y="0"/>
                      <a:ext cx="4810543" cy="6647402"/>
                    </a:xfrm>
                    <a:prstGeom prst="rect">
                      <a:avLst/>
                    </a:prstGeom>
                  </pic:spPr>
                </pic:pic>
              </a:graphicData>
            </a:graphic>
          </wp:inline>
        </w:drawing>
      </w:r>
      <w:r>
        <w:rPr>
          <w:sz w:val="20"/>
        </w:rPr>
      </w:r>
    </w:p>
    <w:p>
      <w:pPr>
        <w:spacing w:after="0"/>
        <w:rPr>
          <w:sz w:val="20"/>
        </w:rPr>
        <w:sectPr>
          <w:pgSz w:w="12240" w:h="15840"/>
          <w:pgMar w:header="0" w:footer="659" w:top="1360" w:bottom="840" w:left="1600" w:right="1600"/>
        </w:sectPr>
      </w:pPr>
    </w:p>
    <w:p>
      <w:pPr>
        <w:spacing w:before="53" w:after="4"/>
        <w:ind w:left="89" w:right="91" w:firstLine="0"/>
        <w:jc w:val="center"/>
        <w:rPr>
          <w:sz w:val="20"/>
        </w:rPr>
      </w:pPr>
      <w:r>
        <w:rPr>
          <w:sz w:val="20"/>
        </w:rPr>
        <w:t>Mapa No. 13 Usos de Suelo 2010</w:t>
      </w:r>
    </w:p>
    <w:p>
      <w:pPr>
        <w:pStyle w:val="BodyText"/>
        <w:ind w:left="101"/>
        <w:rPr>
          <w:sz w:val="20"/>
        </w:rPr>
      </w:pPr>
      <w:r>
        <w:rPr>
          <w:sz w:val="20"/>
        </w:rPr>
        <w:drawing>
          <wp:inline distT="0" distB="0" distL="0" distR="0">
            <wp:extent cx="5529760" cy="6577774"/>
            <wp:effectExtent l="0" t="0" r="0" b="0"/>
            <wp:docPr id="45" name="image35.jpeg" descr=""/>
            <wp:cNvGraphicFramePr>
              <a:graphicFrameLocks noChangeAspect="1"/>
            </wp:cNvGraphicFramePr>
            <a:graphic>
              <a:graphicData uri="http://schemas.openxmlformats.org/drawingml/2006/picture">
                <pic:pic>
                  <pic:nvPicPr>
                    <pic:cNvPr id="46" name="image35.jpeg"/>
                    <pic:cNvPicPr/>
                  </pic:nvPicPr>
                  <pic:blipFill>
                    <a:blip r:embed="rId59" cstate="print"/>
                    <a:stretch>
                      <a:fillRect/>
                    </a:stretch>
                  </pic:blipFill>
                  <pic:spPr>
                    <a:xfrm>
                      <a:off x="0" y="0"/>
                      <a:ext cx="5529760" cy="6577774"/>
                    </a:xfrm>
                    <a:prstGeom prst="rect">
                      <a:avLst/>
                    </a:prstGeom>
                  </pic:spPr>
                </pic:pic>
              </a:graphicData>
            </a:graphic>
          </wp:inline>
        </w:drawing>
      </w:r>
      <w:r>
        <w:rPr>
          <w:sz w:val="20"/>
        </w:rPr>
      </w:r>
    </w:p>
    <w:p>
      <w:pPr>
        <w:pStyle w:val="BodyText"/>
        <w:spacing w:line="360" w:lineRule="auto" w:before="155"/>
        <w:ind w:left="102" w:right="99"/>
        <w:jc w:val="both"/>
      </w:pPr>
      <w:r>
        <w:rPr/>
        <w:t>En síntesis los impactos del patrón de crecimiento a nivel territorial, son generados por la desconcentración de población, vivienda y la dispersión de los asentamientos lo que ha generado la perdida de hectáreas principalmente de uso de suelo para pastizal con un saldo negativo 10,193.29 ha., en 18 años de 1992 al 2010,  los  mismo  sucede  con  el  suelo  con  otro  tipo  de  vegetación  (hidrófilas</w:t>
      </w:r>
    </w:p>
    <w:p>
      <w:pPr>
        <w:spacing w:after="0" w:line="360" w:lineRule="auto"/>
        <w:jc w:val="both"/>
        <w:sectPr>
          <w:pgSz w:w="12240" w:h="15840"/>
          <w:pgMar w:header="0" w:footer="659" w:top="1360" w:bottom="840" w:left="1600" w:right="1600"/>
        </w:sectPr>
      </w:pPr>
    </w:p>
    <w:p>
      <w:pPr>
        <w:pStyle w:val="BodyText"/>
        <w:spacing w:line="360" w:lineRule="auto" w:before="54"/>
        <w:ind w:left="102" w:right="117"/>
        <w:jc w:val="both"/>
      </w:pPr>
      <w:r>
        <w:rPr/>
        <w:t>principalmente) con una pérdida de -4,106.26 ha., y en cuanto a la superficie de suelo con bosque se tiene un descenso de 2,529.86ha., señalando que este tipo de suelo al igual que el anterior se reposicionaron el siglo XXI (ver cuadro en anexos A.</w:t>
      </w:r>
      <w:r>
        <w:rPr>
          <w:spacing w:val="-6"/>
        </w:rPr>
        <w:t> </w:t>
      </w:r>
      <w:r>
        <w:rPr/>
        <w:t>24).</w:t>
      </w:r>
    </w:p>
    <w:p>
      <w:pPr>
        <w:pStyle w:val="BodyText"/>
        <w:spacing w:before="7"/>
      </w:pPr>
    </w:p>
    <w:p>
      <w:pPr>
        <w:pStyle w:val="BodyText"/>
        <w:spacing w:line="360" w:lineRule="auto"/>
        <w:ind w:left="102" w:right="117"/>
        <w:jc w:val="both"/>
      </w:pPr>
      <w:r>
        <w:rPr/>
        <w:t>Mientras que las superficies ganadoras fueron los cuerpos de agua con 144.51ha., el área agrícola la cual también se reposiciona en el siglo XXI con un aumento de 4,414.29ha., mientras el suelo que tuvo una expansión en la ZMT fue el de zona urbana con 14,384.02ha., más en el transcurso de 1992 a 2010. Con estas cifras se señala que este patrón de crecimiento tiene fuerte incidencia en los usos de suelo ya que las zonas con paisajes naturales, áreas boscosas y de pastizal principalmente son las que se deterioran en la ZMT, por dar paso a una serie de asentamientos desconcentrados los cuales muestran solo una concentración de asentamientos en la parte central correspondiente al área urbana continua por la jerarquía de esta zona y polarización que se ha dicho mantiene.</w:t>
      </w:r>
    </w:p>
    <w:p>
      <w:pPr>
        <w:pStyle w:val="BodyText"/>
        <w:spacing w:before="6"/>
      </w:pPr>
    </w:p>
    <w:p>
      <w:pPr>
        <w:pStyle w:val="Heading4"/>
      </w:pPr>
      <w:r>
        <w:rPr/>
        <w:t>4.5 Conclusión. Cambio y funcionamiento metropolitano</w:t>
      </w:r>
    </w:p>
    <w:p>
      <w:pPr>
        <w:pStyle w:val="BodyText"/>
        <w:spacing w:before="6"/>
        <w:rPr>
          <w:b/>
          <w:sz w:val="38"/>
        </w:rPr>
      </w:pPr>
    </w:p>
    <w:p>
      <w:pPr>
        <w:pStyle w:val="BodyText"/>
        <w:spacing w:line="360" w:lineRule="auto"/>
        <w:ind w:left="102" w:right="124"/>
        <w:jc w:val="both"/>
      </w:pPr>
      <w:r>
        <w:rPr/>
        <w:t>La Zona Metropolitana de Toluca presenta un comportamiento de expansión, con dinámicas de crecimiento que describen primero la consolidación del Área urbana continua, seguida de características de la suburnanización en el ámbito de interrelación funcional intermedia, que desde finales del siglo XX comenzó a presentar dinamismo que dio los primeros esbozos de desurbanización, esto porque el crecimiento de la población, está siendo dinámico en la zona de relación externa.</w:t>
      </w:r>
    </w:p>
    <w:p>
      <w:pPr>
        <w:pStyle w:val="BodyText"/>
        <w:spacing w:before="10"/>
      </w:pPr>
    </w:p>
    <w:p>
      <w:pPr>
        <w:pStyle w:val="BodyText"/>
        <w:spacing w:line="360" w:lineRule="auto"/>
        <w:ind w:left="102" w:right="116"/>
        <w:jc w:val="both"/>
      </w:pPr>
      <w:r>
        <w:rPr/>
        <w:t>La desconcentración de vivienda se orienta hacia esa zona, otra de las variables que comprueba la desurbanización en la ZMT son la distribución de la población por tamaños de población; cuando el centro comienza a expulsar población, son los asentamientos menores de la corona inmediata o la corona externa los que albergan a esa población, entonces los núcleos pequeños comienza a aumentar sus</w:t>
      </w:r>
      <w:r>
        <w:rPr>
          <w:spacing w:val="58"/>
        </w:rPr>
        <w:t> </w:t>
      </w:r>
      <w:r>
        <w:rPr/>
        <w:t>tamaños,</w:t>
      </w:r>
      <w:r>
        <w:rPr>
          <w:spacing w:val="56"/>
        </w:rPr>
        <w:t> </w:t>
      </w:r>
      <w:r>
        <w:rPr/>
        <w:t>y</w:t>
      </w:r>
      <w:r>
        <w:rPr>
          <w:spacing w:val="56"/>
        </w:rPr>
        <w:t> </w:t>
      </w:r>
      <w:r>
        <w:rPr/>
        <w:t>esto</w:t>
      </w:r>
      <w:r>
        <w:rPr>
          <w:spacing w:val="55"/>
        </w:rPr>
        <w:t> </w:t>
      </w:r>
      <w:r>
        <w:rPr/>
        <w:t>es</w:t>
      </w:r>
      <w:r>
        <w:rPr>
          <w:spacing w:val="58"/>
        </w:rPr>
        <w:t> </w:t>
      </w:r>
      <w:r>
        <w:rPr/>
        <w:t>lo</w:t>
      </w:r>
      <w:r>
        <w:rPr>
          <w:spacing w:val="59"/>
        </w:rPr>
        <w:t> </w:t>
      </w:r>
      <w:r>
        <w:rPr/>
        <w:t>que</w:t>
      </w:r>
      <w:r>
        <w:rPr>
          <w:spacing w:val="57"/>
        </w:rPr>
        <w:t> </w:t>
      </w:r>
      <w:r>
        <w:rPr/>
        <w:t>pasa</w:t>
      </w:r>
      <w:r>
        <w:rPr>
          <w:spacing w:val="56"/>
        </w:rPr>
        <w:t> </w:t>
      </w:r>
      <w:r>
        <w:rPr/>
        <w:t>en</w:t>
      </w:r>
      <w:r>
        <w:rPr>
          <w:spacing w:val="57"/>
        </w:rPr>
        <w:t> </w:t>
      </w:r>
      <w:r>
        <w:rPr/>
        <w:t>la</w:t>
      </w:r>
      <w:r>
        <w:rPr>
          <w:spacing w:val="56"/>
        </w:rPr>
        <w:t> </w:t>
      </w:r>
      <w:r>
        <w:rPr/>
        <w:t>ZMT,</w:t>
      </w:r>
      <w:r>
        <w:rPr>
          <w:spacing w:val="56"/>
        </w:rPr>
        <w:t> </w:t>
      </w:r>
      <w:r>
        <w:rPr/>
        <w:t>pues</w:t>
      </w:r>
      <w:r>
        <w:rPr>
          <w:spacing w:val="58"/>
        </w:rPr>
        <w:t> </w:t>
      </w:r>
      <w:r>
        <w:rPr/>
        <w:t>las</w:t>
      </w:r>
      <w:r>
        <w:rPr>
          <w:spacing w:val="56"/>
        </w:rPr>
        <w:t> </w:t>
      </w:r>
      <w:r>
        <w:rPr/>
        <w:t>localidades</w:t>
      </w:r>
      <w:r>
        <w:rPr>
          <w:spacing w:val="58"/>
        </w:rPr>
        <w:t> </w:t>
      </w:r>
      <w:r>
        <w:rPr/>
        <w:t>rurales</w:t>
      </w:r>
    </w:p>
    <w:p>
      <w:pPr>
        <w:spacing w:after="0" w:line="360" w:lineRule="auto"/>
        <w:jc w:val="both"/>
        <w:sectPr>
          <w:pgSz w:w="12240" w:h="15840"/>
          <w:pgMar w:header="0" w:footer="659" w:top="1360" w:bottom="840" w:left="1600" w:right="1580"/>
        </w:sectPr>
      </w:pPr>
    </w:p>
    <w:p>
      <w:pPr>
        <w:pStyle w:val="BodyText"/>
        <w:spacing w:line="360" w:lineRule="auto" w:before="54"/>
        <w:ind w:left="102" w:right="124"/>
        <w:jc w:val="both"/>
      </w:pPr>
      <w:r>
        <w:rPr/>
        <w:t>disminuyeron en el ámbito de relación externa, mostrando una presencia creciente hacia el 2010 de ciudades pequeñas y centros de población, con un patrón de dispersión tal como se ha descrito, pues predominan las localidades con menos de 15,mil habitantes, cumpliendo a su vez con la particularidad de baja densidad, se incrementa la población pero hace un mayor consumo de suelo, con mezclas de tejidos urbanos y rurales.</w:t>
      </w:r>
    </w:p>
    <w:p>
      <w:pPr>
        <w:pStyle w:val="BodyText"/>
        <w:spacing w:before="7"/>
      </w:pPr>
    </w:p>
    <w:p>
      <w:pPr>
        <w:pStyle w:val="BodyText"/>
        <w:spacing w:line="360" w:lineRule="auto"/>
        <w:ind w:left="102" w:right="121"/>
        <w:jc w:val="both"/>
      </w:pPr>
      <w:r>
        <w:rPr/>
        <w:t>Las actividades económicas, en el empleo urbano describen una tendencia de crecimiento de este en la relación externa e intermedia, que se ha disminuido, con ligeros indicios de desconcentración pues la presencia de este elemento es muy baja en el resto de la ZMT.</w:t>
      </w:r>
    </w:p>
    <w:p>
      <w:pPr>
        <w:pStyle w:val="BodyText"/>
        <w:spacing w:before="10"/>
      </w:pPr>
    </w:p>
    <w:p>
      <w:pPr>
        <w:pStyle w:val="BodyText"/>
        <w:spacing w:line="360" w:lineRule="auto"/>
        <w:ind w:left="102" w:right="116"/>
        <w:jc w:val="both"/>
      </w:pPr>
      <w:r>
        <w:rPr/>
        <w:t>A manera de cierre y considerando de forma única el comportamiento por variable en la ZMT, así como el ámbito en donde tiene mayor incidencia se hace un  análisis limitado de la supuesta fase en que se encontraría la ZMT. En el caso de la variable de población al manifestar un decrecimiento de la ciudad central y un repunte en la parte externa entre 1990 y 2000 califica en una fase temprana de desurbanización, esta misma variable en el periodo 2000-2010 demuestra un patrón de crecimiento con sentido centro periferia además de una intensa  dinámica de crecimiento en el ámbito intermedio con ello la fase es suburbanización con un fuerte proceso en ambos periodos de desconcentración  de población (ver cuadro</w:t>
      </w:r>
      <w:r>
        <w:rPr>
          <w:spacing w:val="-8"/>
        </w:rPr>
        <w:t> </w:t>
      </w:r>
      <w:r>
        <w:rPr/>
        <w:t>8).</w:t>
      </w:r>
    </w:p>
    <w:p>
      <w:pPr>
        <w:pStyle w:val="BodyText"/>
        <w:spacing w:before="7"/>
      </w:pPr>
    </w:p>
    <w:p>
      <w:pPr>
        <w:pStyle w:val="BodyText"/>
        <w:spacing w:line="360" w:lineRule="auto"/>
        <w:ind w:left="102" w:right="118"/>
        <w:jc w:val="both"/>
      </w:pPr>
      <w:r>
        <w:rPr/>
        <w:t>Por tamaño de localidad se observa en la Zona metropolitana de Toluca un proceso de fuerte concentración en el periodo 1990-2000 con una fase inicial de suburbanización con fuerte dispersión. En el siglo XXI esta variable muestra un cambio entrando a la siguiente fase denominada desurbanización por la consolidación de ciudades pequeñas en la periferia externa con un proceso de dispersión principalmente en el área intermedia. En cuanto a la vivienda esta muestra la presencia de la segunda fase (suburbanización) por el patrón decreciente en absolutos de la vivienda y las tasas de crecimiento en los dos</w:t>
      </w:r>
    </w:p>
    <w:p>
      <w:pPr>
        <w:spacing w:after="0" w:line="360" w:lineRule="auto"/>
        <w:jc w:val="both"/>
        <w:sectPr>
          <w:pgSz w:w="12240" w:h="15840"/>
          <w:pgMar w:header="0" w:footer="659" w:top="1360" w:bottom="840" w:left="1600" w:right="1580"/>
        </w:sectPr>
      </w:pPr>
    </w:p>
    <w:p>
      <w:pPr>
        <w:pStyle w:val="BodyText"/>
        <w:spacing w:line="360" w:lineRule="auto" w:before="54"/>
        <w:ind w:left="102" w:right="121"/>
        <w:jc w:val="both"/>
      </w:pPr>
      <w:r>
        <w:rPr/>
        <w:t>periodos analizados, por lo que se presenta un proceso de desconcentración de la vivienda (ver cuadro 8).</w:t>
      </w:r>
    </w:p>
    <w:p>
      <w:pPr>
        <w:pStyle w:val="BodyText"/>
        <w:spacing w:before="7"/>
      </w:pPr>
    </w:p>
    <w:p>
      <w:pPr>
        <w:pStyle w:val="BodyText"/>
        <w:spacing w:line="360" w:lineRule="auto"/>
        <w:ind w:left="102" w:right="115"/>
        <w:jc w:val="both"/>
      </w:pPr>
      <w:r>
        <w:rPr/>
        <w:t>En cuanto a las variables de densidad se confirma la presencia de la fase de suburbanización en ambos periodos al tener un patrón decreciente del centro a la periferia, pero con un indicio de desurbanización por el proceso y patrón en el consumo de suelo que muestra en la periferia externa baja densidad y aumento en los consumos por habitante durante la primer década del siglo XXI. En cuanto a la variable de empleo urbano por la fuerte desconcentración con la alta tasa de crecimiento en la última década del siglo XX en la parte externa de la ZMT y los datos en absolutos en ambos periodos se describe una fase de desurbanización.</w:t>
      </w:r>
    </w:p>
    <w:p>
      <w:pPr>
        <w:pStyle w:val="BodyText"/>
        <w:spacing w:before="9"/>
      </w:pPr>
    </w:p>
    <w:p>
      <w:pPr>
        <w:spacing w:line="229" w:lineRule="exact" w:before="0"/>
        <w:ind w:left="1285" w:right="296" w:firstLine="0"/>
        <w:jc w:val="left"/>
        <w:rPr>
          <w:sz w:val="20"/>
        </w:rPr>
      </w:pPr>
      <w:r>
        <w:rPr>
          <w:sz w:val="20"/>
        </w:rPr>
        <w:t>Cuadro 8 Situación de la Zona Metropolitana de Toluca por las variables.</w:t>
      </w:r>
    </w:p>
    <w:p>
      <w:pPr>
        <w:tabs>
          <w:tab w:pos="2168" w:val="left" w:leader="none"/>
          <w:tab w:pos="4328" w:val="left" w:leader="none"/>
          <w:tab w:pos="5745" w:val="left" w:leader="none"/>
        </w:tabs>
        <w:spacing w:line="229" w:lineRule="exact" w:before="0"/>
        <w:ind w:left="534" w:right="296" w:firstLine="0"/>
        <w:jc w:val="left"/>
        <w:rPr>
          <w:sz w:val="20"/>
        </w:rPr>
      </w:pPr>
      <w:r>
        <w:rPr/>
        <w:pict>
          <v:shape style="position:absolute;margin-left:101.300003pt;margin-top:17.610352pt;width:409.55pt;height:12.5pt;mso-position-horizontal-relative:page;mso-position-vertical-relative:paragraph;z-index:7696" type="#_x0000_t202" filled="false" stroked="false">
            <v:textbox inset="0,0,0,0">
              <w:txbxContent>
                <w:tbl>
                  <w:tblPr>
                    <w:tblW w:w="0" w:type="auto"/>
                    <w:jc w:val="lef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634"/>
                    <w:gridCol w:w="1932"/>
                    <w:gridCol w:w="1645"/>
                    <w:gridCol w:w="2979"/>
                  </w:tblGrid>
                  <w:tr>
                    <w:trPr>
                      <w:trHeight w:val="240" w:hRule="exact"/>
                    </w:trPr>
                    <w:tc>
                      <w:tcPr>
                        <w:tcW w:w="1634" w:type="dxa"/>
                        <w:tcBorders>
                          <w:left w:val="nil"/>
                          <w:bottom w:val="nil"/>
                          <w:right w:val="single" w:sz="43" w:space="0" w:color="EDEBE0"/>
                        </w:tcBorders>
                      </w:tcPr>
                      <w:p>
                        <w:pPr/>
                      </w:p>
                    </w:tc>
                    <w:tc>
                      <w:tcPr>
                        <w:tcW w:w="1932" w:type="dxa"/>
                        <w:tcBorders>
                          <w:left w:val="nil"/>
                          <w:right w:val="nil"/>
                        </w:tcBorders>
                        <w:shd w:val="clear" w:color="auto" w:fill="EDEBE0"/>
                      </w:tcPr>
                      <w:p>
                        <w:pPr>
                          <w:pStyle w:val="TableParagraph"/>
                          <w:spacing w:line="227" w:lineRule="exact"/>
                          <w:ind w:left="107"/>
                          <w:rPr>
                            <w:sz w:val="20"/>
                          </w:rPr>
                        </w:pPr>
                        <w:r>
                          <w:rPr>
                            <w:sz w:val="20"/>
                          </w:rPr>
                          <w:t>Desurbanización</w:t>
                        </w:r>
                      </w:p>
                    </w:tc>
                    <w:tc>
                      <w:tcPr>
                        <w:tcW w:w="1645" w:type="dxa"/>
                        <w:tcBorders>
                          <w:left w:val="nil"/>
                          <w:right w:val="nil"/>
                        </w:tcBorders>
                        <w:shd w:val="clear" w:color="auto" w:fill="EDEBE0"/>
                      </w:tcPr>
                      <w:p>
                        <w:pPr>
                          <w:pStyle w:val="TableParagraph"/>
                          <w:spacing w:line="227" w:lineRule="exact"/>
                          <w:ind w:left="336"/>
                          <w:rPr>
                            <w:sz w:val="20"/>
                          </w:rPr>
                        </w:pPr>
                        <w:r>
                          <w:rPr>
                            <w:sz w:val="20"/>
                          </w:rPr>
                          <w:t>1990-2000</w:t>
                        </w:r>
                      </w:p>
                    </w:tc>
                    <w:tc>
                      <w:tcPr>
                        <w:tcW w:w="2979" w:type="dxa"/>
                        <w:tcBorders>
                          <w:left w:val="single" w:sz="43" w:space="0" w:color="EDEBE0"/>
                          <w:bottom w:val="nil"/>
                          <w:right w:val="nil"/>
                        </w:tcBorders>
                      </w:tcPr>
                      <w:p>
                        <w:pPr>
                          <w:pStyle w:val="TableParagraph"/>
                          <w:spacing w:line="227" w:lineRule="exact"/>
                          <w:ind w:left="53"/>
                          <w:rPr>
                            <w:sz w:val="20"/>
                          </w:rPr>
                        </w:pPr>
                        <w:r>
                          <w:rPr>
                            <w:sz w:val="20"/>
                          </w:rPr>
                          <w:t>Desconcentración</w:t>
                        </w:r>
                      </w:p>
                    </w:tc>
                  </w:tr>
                </w:tbl>
                <w:p>
                  <w:pPr>
                    <w:pStyle w:val="BodyText"/>
                  </w:pPr>
                </w:p>
              </w:txbxContent>
            </v:textbox>
            <w10:wrap type="none"/>
          </v:shape>
        </w:pict>
      </w:r>
      <w:r>
        <w:rPr>
          <w:sz w:val="20"/>
        </w:rPr>
        <w:t>VARIABLE</w:t>
        <w:tab/>
        <w:t>FASE</w:t>
        <w:tab/>
        <w:t>PERIODO</w:t>
        <w:tab/>
        <w:t>PROCESO</w:t>
      </w:r>
    </w:p>
    <w:p>
      <w:pPr>
        <w:pStyle w:val="BodyText"/>
        <w:spacing w:before="8"/>
        <w:rPr>
          <w:sz w:val="21"/>
        </w:rPr>
      </w:pPr>
    </w:p>
    <w:p>
      <w:pPr>
        <w:spacing w:before="0"/>
        <w:ind w:left="534" w:right="296" w:firstLine="0"/>
        <w:jc w:val="left"/>
        <w:rPr>
          <w:sz w:val="20"/>
        </w:rPr>
      </w:pPr>
      <w:r>
        <w:rPr/>
        <w:pict>
          <v:shape style="position:absolute;margin-left:183.020004pt;margin-top:-6.10013pt;width:327.8pt;height:110.8pt;mso-position-horizontal-relative:page;mso-position-vertical-relative:paragraph;z-index:7768"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932"/>
                    <w:gridCol w:w="1522"/>
                    <w:gridCol w:w="3101"/>
                  </w:tblGrid>
                  <w:tr>
                    <w:trPr>
                      <w:trHeight w:val="240" w:hRule="exact"/>
                    </w:trPr>
                    <w:tc>
                      <w:tcPr>
                        <w:tcW w:w="1932" w:type="dxa"/>
                      </w:tcPr>
                      <w:p>
                        <w:pPr/>
                      </w:p>
                    </w:tc>
                    <w:tc>
                      <w:tcPr>
                        <w:tcW w:w="1522" w:type="dxa"/>
                      </w:tcPr>
                      <w:p>
                        <w:pPr/>
                      </w:p>
                    </w:tc>
                    <w:tc>
                      <w:tcPr>
                        <w:tcW w:w="3101" w:type="dxa"/>
                        <w:vMerge w:val="restart"/>
                      </w:tcPr>
                      <w:p>
                        <w:pPr/>
                      </w:p>
                    </w:tc>
                  </w:tr>
                  <w:tr>
                    <w:trPr>
                      <w:trHeight w:val="240" w:hRule="exact"/>
                    </w:trPr>
                    <w:tc>
                      <w:tcPr>
                        <w:tcW w:w="1932" w:type="dxa"/>
                      </w:tcPr>
                      <w:p>
                        <w:pPr>
                          <w:pStyle w:val="TableParagraph"/>
                          <w:spacing w:before="2"/>
                          <w:ind w:left="107"/>
                          <w:rPr>
                            <w:sz w:val="20"/>
                          </w:rPr>
                        </w:pPr>
                        <w:r>
                          <w:rPr>
                            <w:sz w:val="20"/>
                          </w:rPr>
                          <w:t>Suburbanización</w:t>
                        </w:r>
                      </w:p>
                    </w:tc>
                    <w:tc>
                      <w:tcPr>
                        <w:tcW w:w="1522" w:type="dxa"/>
                      </w:tcPr>
                      <w:p>
                        <w:pPr>
                          <w:pStyle w:val="TableParagraph"/>
                          <w:spacing w:before="2"/>
                          <w:ind w:left="0" w:right="228"/>
                          <w:jc w:val="right"/>
                          <w:rPr>
                            <w:sz w:val="20"/>
                          </w:rPr>
                        </w:pPr>
                        <w:r>
                          <w:rPr>
                            <w:sz w:val="20"/>
                          </w:rPr>
                          <w:t>2000-2010</w:t>
                        </w:r>
                      </w:p>
                    </w:tc>
                    <w:tc>
                      <w:tcPr>
                        <w:tcW w:w="3101" w:type="dxa"/>
                        <w:vMerge/>
                      </w:tcPr>
                      <w:p>
                        <w:pPr/>
                      </w:p>
                    </w:tc>
                  </w:tr>
                  <w:tr>
                    <w:trPr>
                      <w:trHeight w:val="394" w:hRule="exact"/>
                    </w:trPr>
                    <w:tc>
                      <w:tcPr>
                        <w:tcW w:w="1932" w:type="dxa"/>
                      </w:tcPr>
                      <w:p>
                        <w:pPr/>
                      </w:p>
                    </w:tc>
                    <w:tc>
                      <w:tcPr>
                        <w:tcW w:w="1522" w:type="dxa"/>
                      </w:tcPr>
                      <w:p>
                        <w:pPr/>
                      </w:p>
                    </w:tc>
                    <w:tc>
                      <w:tcPr>
                        <w:tcW w:w="3101" w:type="dxa"/>
                      </w:tcPr>
                      <w:p>
                        <w:pPr/>
                      </w:p>
                    </w:tc>
                  </w:tr>
                  <w:tr>
                    <w:trPr>
                      <w:trHeight w:val="240" w:hRule="exact"/>
                    </w:trPr>
                    <w:tc>
                      <w:tcPr>
                        <w:tcW w:w="1932" w:type="dxa"/>
                      </w:tcPr>
                      <w:p>
                        <w:pPr>
                          <w:pStyle w:val="TableParagraph"/>
                          <w:spacing w:before="2"/>
                          <w:ind w:left="107"/>
                          <w:rPr>
                            <w:sz w:val="20"/>
                          </w:rPr>
                        </w:pPr>
                        <w:r>
                          <w:rPr>
                            <w:sz w:val="20"/>
                          </w:rPr>
                          <w:t>Desurbanización</w:t>
                        </w:r>
                      </w:p>
                    </w:tc>
                    <w:tc>
                      <w:tcPr>
                        <w:tcW w:w="1522" w:type="dxa"/>
                      </w:tcPr>
                      <w:p>
                        <w:pPr>
                          <w:pStyle w:val="TableParagraph"/>
                          <w:spacing w:before="2"/>
                          <w:ind w:left="0" w:right="228"/>
                          <w:jc w:val="right"/>
                          <w:rPr>
                            <w:sz w:val="20"/>
                          </w:rPr>
                        </w:pPr>
                        <w:r>
                          <w:rPr>
                            <w:sz w:val="20"/>
                          </w:rPr>
                          <w:t>2000-2010</w:t>
                        </w:r>
                      </w:p>
                    </w:tc>
                    <w:tc>
                      <w:tcPr>
                        <w:tcW w:w="3101" w:type="dxa"/>
                      </w:tcPr>
                      <w:p>
                        <w:pPr/>
                      </w:p>
                    </w:tc>
                  </w:tr>
                  <w:tr>
                    <w:trPr>
                      <w:trHeight w:val="391" w:hRule="exact"/>
                    </w:trPr>
                    <w:tc>
                      <w:tcPr>
                        <w:tcW w:w="1932" w:type="dxa"/>
                      </w:tcPr>
                      <w:p>
                        <w:pPr/>
                      </w:p>
                    </w:tc>
                    <w:tc>
                      <w:tcPr>
                        <w:tcW w:w="1522" w:type="dxa"/>
                      </w:tcPr>
                      <w:p>
                        <w:pPr/>
                      </w:p>
                    </w:tc>
                    <w:tc>
                      <w:tcPr>
                        <w:tcW w:w="3101" w:type="dxa"/>
                      </w:tcPr>
                      <w:p>
                        <w:pPr/>
                      </w:p>
                    </w:tc>
                  </w:tr>
                  <w:tr>
                    <w:trPr>
                      <w:trHeight w:val="240" w:hRule="exact"/>
                    </w:trPr>
                    <w:tc>
                      <w:tcPr>
                        <w:tcW w:w="1932" w:type="dxa"/>
                      </w:tcPr>
                      <w:p>
                        <w:pPr>
                          <w:pStyle w:val="TableParagraph"/>
                          <w:spacing w:before="2"/>
                          <w:ind w:left="107"/>
                          <w:rPr>
                            <w:sz w:val="20"/>
                          </w:rPr>
                        </w:pPr>
                        <w:r>
                          <w:rPr>
                            <w:sz w:val="20"/>
                          </w:rPr>
                          <w:t>Suburbanización</w:t>
                        </w:r>
                      </w:p>
                    </w:tc>
                    <w:tc>
                      <w:tcPr>
                        <w:tcW w:w="1522" w:type="dxa"/>
                      </w:tcPr>
                      <w:p>
                        <w:pPr>
                          <w:pStyle w:val="TableParagraph"/>
                          <w:spacing w:before="2"/>
                          <w:ind w:left="0" w:right="228"/>
                          <w:jc w:val="right"/>
                          <w:rPr>
                            <w:sz w:val="20"/>
                          </w:rPr>
                        </w:pPr>
                        <w:r>
                          <w:rPr>
                            <w:sz w:val="20"/>
                          </w:rPr>
                          <w:t>2000-2010</w:t>
                        </w:r>
                      </w:p>
                    </w:tc>
                    <w:tc>
                      <w:tcPr>
                        <w:tcW w:w="3101" w:type="dxa"/>
                      </w:tcPr>
                      <w:p>
                        <w:pPr/>
                      </w:p>
                    </w:tc>
                  </w:tr>
                  <w:tr>
                    <w:trPr>
                      <w:trHeight w:val="471" w:hRule="exact"/>
                    </w:trPr>
                    <w:tc>
                      <w:tcPr>
                        <w:tcW w:w="1932" w:type="dxa"/>
                      </w:tcPr>
                      <w:p>
                        <w:pPr/>
                      </w:p>
                    </w:tc>
                    <w:tc>
                      <w:tcPr>
                        <w:tcW w:w="1522" w:type="dxa"/>
                      </w:tcPr>
                      <w:p>
                        <w:pPr/>
                      </w:p>
                    </w:tc>
                    <w:tc>
                      <w:tcPr>
                        <w:tcW w:w="3101" w:type="dxa"/>
                      </w:tcPr>
                      <w:p>
                        <w:pPr/>
                      </w:p>
                    </w:tc>
                  </w:tr>
                </w:tbl>
                <w:p>
                  <w:pPr>
                    <w:pStyle w:val="BodyText"/>
                  </w:pPr>
                </w:p>
              </w:txbxContent>
            </v:textbox>
            <w10:wrap type="none"/>
          </v:shape>
        </w:pict>
      </w:r>
      <w:r>
        <w:rPr>
          <w:sz w:val="20"/>
        </w:rPr>
        <w:t>Población</w:t>
      </w:r>
    </w:p>
    <w:p>
      <w:pPr>
        <w:pStyle w:val="BodyText"/>
        <w:rPr>
          <w:sz w:val="20"/>
        </w:rPr>
      </w:pPr>
    </w:p>
    <w:p>
      <w:pPr>
        <w:pStyle w:val="BodyText"/>
        <w:spacing w:before="5"/>
        <w:rPr>
          <w:sz w:val="18"/>
        </w:rPr>
      </w:pPr>
    </w:p>
    <w:p>
      <w:pPr>
        <w:spacing w:before="0"/>
        <w:ind w:left="534" w:right="296" w:firstLine="0"/>
        <w:jc w:val="left"/>
        <w:rPr>
          <w:sz w:val="20"/>
        </w:rPr>
      </w:pPr>
      <w:r>
        <w:rPr/>
        <w:pict>
          <v:shape style="position:absolute;margin-left:101.300003pt;margin-top:-15.940141pt;width:409.55pt;height:20.2pt;mso-position-horizontal-relative:page;mso-position-vertical-relative:paragraph;z-index:7720" type="#_x0000_t202" filled="false" stroked="false">
            <v:textbox inset="0,0,0,0">
              <w:txbxContent>
                <w:tbl>
                  <w:tblPr>
                    <w:tblW w:w="0" w:type="auto"/>
                    <w:jc w:val="lef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634"/>
                    <w:gridCol w:w="1932"/>
                    <w:gridCol w:w="1645"/>
                    <w:gridCol w:w="2979"/>
                  </w:tblGrid>
                  <w:tr>
                    <w:trPr>
                      <w:trHeight w:val="394" w:hRule="exact"/>
                    </w:trPr>
                    <w:tc>
                      <w:tcPr>
                        <w:tcW w:w="1634" w:type="dxa"/>
                        <w:tcBorders>
                          <w:left w:val="nil"/>
                          <w:bottom w:val="nil"/>
                          <w:right w:val="nil"/>
                        </w:tcBorders>
                      </w:tcPr>
                      <w:p>
                        <w:pPr>
                          <w:pStyle w:val="TableParagraph"/>
                          <w:spacing w:before="79"/>
                          <w:ind w:left="108"/>
                          <w:rPr>
                            <w:sz w:val="20"/>
                          </w:rPr>
                        </w:pPr>
                        <w:r>
                          <w:rPr>
                            <w:sz w:val="20"/>
                          </w:rPr>
                          <w:t>Tamaño de</w:t>
                        </w:r>
                      </w:p>
                    </w:tc>
                    <w:tc>
                      <w:tcPr>
                        <w:tcW w:w="1932" w:type="dxa"/>
                        <w:tcBorders>
                          <w:left w:val="nil"/>
                          <w:right w:val="nil"/>
                        </w:tcBorders>
                        <w:shd w:val="clear" w:color="auto" w:fill="EDEBE0"/>
                      </w:tcPr>
                      <w:p>
                        <w:pPr>
                          <w:pStyle w:val="TableParagraph"/>
                          <w:spacing w:line="227" w:lineRule="exact"/>
                          <w:ind w:left="107"/>
                          <w:rPr>
                            <w:sz w:val="20"/>
                          </w:rPr>
                        </w:pPr>
                        <w:r>
                          <w:rPr>
                            <w:sz w:val="20"/>
                          </w:rPr>
                          <w:t>Suburbanización</w:t>
                        </w:r>
                      </w:p>
                    </w:tc>
                    <w:tc>
                      <w:tcPr>
                        <w:tcW w:w="1645" w:type="dxa"/>
                        <w:tcBorders>
                          <w:left w:val="nil"/>
                          <w:right w:val="nil"/>
                        </w:tcBorders>
                        <w:shd w:val="clear" w:color="auto" w:fill="EDEBE0"/>
                      </w:tcPr>
                      <w:p>
                        <w:pPr>
                          <w:pStyle w:val="TableParagraph"/>
                          <w:spacing w:line="227" w:lineRule="exact"/>
                          <w:ind w:left="336"/>
                          <w:rPr>
                            <w:sz w:val="20"/>
                          </w:rPr>
                        </w:pPr>
                        <w:r>
                          <w:rPr>
                            <w:sz w:val="20"/>
                          </w:rPr>
                          <w:t>1990-2000</w:t>
                        </w:r>
                      </w:p>
                    </w:tc>
                    <w:tc>
                      <w:tcPr>
                        <w:tcW w:w="2979" w:type="dxa"/>
                        <w:tcBorders>
                          <w:left w:val="nil"/>
                          <w:bottom w:val="nil"/>
                          <w:right w:val="nil"/>
                        </w:tcBorders>
                      </w:tcPr>
                      <w:p>
                        <w:pPr>
                          <w:pStyle w:val="TableParagraph"/>
                          <w:ind w:left="107" w:right="1317"/>
                          <w:rPr>
                            <w:sz w:val="20"/>
                          </w:rPr>
                        </w:pPr>
                        <w:r>
                          <w:rPr>
                            <w:sz w:val="20"/>
                          </w:rPr>
                          <w:t>Dispersión de los asentamientos</w:t>
                        </w:r>
                      </w:p>
                    </w:tc>
                  </w:tr>
                </w:tbl>
                <w:p>
                  <w:pPr>
                    <w:pStyle w:val="BodyText"/>
                  </w:pPr>
                </w:p>
              </w:txbxContent>
            </v:textbox>
            <w10:wrap type="none"/>
          </v:shape>
        </w:pict>
      </w:r>
      <w:r>
        <w:rPr>
          <w:sz w:val="20"/>
        </w:rPr>
        <w:t>localidades</w:t>
      </w:r>
    </w:p>
    <w:p>
      <w:pPr>
        <w:pStyle w:val="BodyText"/>
        <w:spacing w:before="4"/>
        <w:rPr>
          <w:sz w:val="7"/>
        </w:rPr>
      </w:pPr>
    </w:p>
    <w:tbl>
      <w:tblPr>
        <w:tblW w:w="0" w:type="auto"/>
        <w:jc w:val="left"/>
        <w:tblInd w:w="42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634"/>
        <w:gridCol w:w="1932"/>
        <w:gridCol w:w="1645"/>
        <w:gridCol w:w="2979"/>
      </w:tblGrid>
      <w:tr>
        <w:trPr>
          <w:trHeight w:val="391" w:hRule="exact"/>
        </w:trPr>
        <w:tc>
          <w:tcPr>
            <w:tcW w:w="1634" w:type="dxa"/>
            <w:tcBorders>
              <w:left w:val="nil"/>
              <w:bottom w:val="nil"/>
              <w:right w:val="nil"/>
            </w:tcBorders>
          </w:tcPr>
          <w:p>
            <w:pPr>
              <w:pStyle w:val="TableParagraph"/>
              <w:spacing w:before="7"/>
              <w:ind w:left="0"/>
              <w:rPr>
                <w:sz w:val="16"/>
              </w:rPr>
            </w:pPr>
          </w:p>
          <w:p>
            <w:pPr>
              <w:pStyle w:val="TableParagraph"/>
              <w:ind w:left="108"/>
              <w:rPr>
                <w:sz w:val="20"/>
              </w:rPr>
            </w:pPr>
            <w:r>
              <w:rPr>
                <w:sz w:val="20"/>
              </w:rPr>
              <w:t>Vivienda</w:t>
            </w:r>
          </w:p>
        </w:tc>
        <w:tc>
          <w:tcPr>
            <w:tcW w:w="1932" w:type="dxa"/>
            <w:tcBorders>
              <w:left w:val="nil"/>
              <w:right w:val="nil"/>
            </w:tcBorders>
            <w:shd w:val="clear" w:color="auto" w:fill="EDEBE0"/>
          </w:tcPr>
          <w:p>
            <w:pPr>
              <w:pStyle w:val="TableParagraph"/>
              <w:spacing w:line="227" w:lineRule="exact"/>
              <w:ind w:left="107"/>
              <w:rPr>
                <w:sz w:val="20"/>
              </w:rPr>
            </w:pPr>
            <w:r>
              <w:rPr>
                <w:sz w:val="20"/>
              </w:rPr>
              <w:t>Suburbanización</w:t>
            </w:r>
          </w:p>
        </w:tc>
        <w:tc>
          <w:tcPr>
            <w:tcW w:w="1645" w:type="dxa"/>
            <w:tcBorders>
              <w:left w:val="nil"/>
              <w:right w:val="nil"/>
            </w:tcBorders>
            <w:shd w:val="clear" w:color="auto" w:fill="EDEBE0"/>
          </w:tcPr>
          <w:p>
            <w:pPr>
              <w:pStyle w:val="TableParagraph"/>
              <w:spacing w:line="227" w:lineRule="exact"/>
              <w:ind w:left="336"/>
              <w:rPr>
                <w:sz w:val="20"/>
              </w:rPr>
            </w:pPr>
            <w:r>
              <w:rPr>
                <w:sz w:val="20"/>
              </w:rPr>
              <w:t>1990-200</w:t>
            </w:r>
          </w:p>
        </w:tc>
        <w:tc>
          <w:tcPr>
            <w:tcW w:w="2979" w:type="dxa"/>
            <w:tcBorders>
              <w:left w:val="nil"/>
              <w:bottom w:val="nil"/>
              <w:right w:val="nil"/>
            </w:tcBorders>
          </w:tcPr>
          <w:p>
            <w:pPr>
              <w:pStyle w:val="TableParagraph"/>
              <w:spacing w:line="227" w:lineRule="exact"/>
              <w:ind w:left="107"/>
              <w:rPr>
                <w:sz w:val="20"/>
              </w:rPr>
            </w:pPr>
            <w:r>
              <w:rPr>
                <w:sz w:val="20"/>
              </w:rPr>
              <w:t>Desconcentración</w:t>
            </w:r>
          </w:p>
        </w:tc>
      </w:tr>
    </w:tbl>
    <w:p>
      <w:pPr>
        <w:pStyle w:val="BodyText"/>
        <w:rPr>
          <w:sz w:val="20"/>
        </w:rPr>
      </w:pPr>
    </w:p>
    <w:p>
      <w:pPr>
        <w:pStyle w:val="BodyText"/>
        <w:spacing w:before="8"/>
      </w:pPr>
    </w:p>
    <w:p>
      <w:pPr>
        <w:spacing w:after="0"/>
        <w:sectPr>
          <w:pgSz w:w="12240" w:h="15840"/>
          <w:pgMar w:header="0" w:footer="659" w:top="1360" w:bottom="840" w:left="1600" w:right="1580"/>
        </w:sectPr>
      </w:pPr>
    </w:p>
    <w:p>
      <w:pPr>
        <w:spacing w:before="74"/>
        <w:ind w:left="534" w:right="0" w:firstLine="0"/>
        <w:jc w:val="left"/>
        <w:rPr>
          <w:sz w:val="20"/>
        </w:rPr>
      </w:pPr>
      <w:r>
        <w:rPr/>
        <w:pict>
          <v:shape style="position:absolute;margin-left:101.300003pt;margin-top:-14.180103pt;width:409.55pt;height:24.05pt;mso-position-horizontal-relative:page;mso-position-vertical-relative:paragraph;z-index:7744" type="#_x0000_t202" filled="false" stroked="false">
            <v:textbox inset="0,0,0,0">
              <w:txbxContent>
                <w:tbl>
                  <w:tblPr>
                    <w:tblW w:w="0" w:type="auto"/>
                    <w:jc w:val="lef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634"/>
                    <w:gridCol w:w="1932"/>
                    <w:gridCol w:w="1645"/>
                    <w:gridCol w:w="2979"/>
                  </w:tblGrid>
                  <w:tr>
                    <w:trPr>
                      <w:trHeight w:val="471" w:hRule="exact"/>
                    </w:trPr>
                    <w:tc>
                      <w:tcPr>
                        <w:tcW w:w="1634" w:type="dxa"/>
                        <w:tcBorders>
                          <w:left w:val="nil"/>
                          <w:bottom w:val="nil"/>
                          <w:right w:val="nil"/>
                        </w:tcBorders>
                      </w:tcPr>
                      <w:p>
                        <w:pPr/>
                      </w:p>
                    </w:tc>
                    <w:tc>
                      <w:tcPr>
                        <w:tcW w:w="1932" w:type="dxa"/>
                        <w:tcBorders>
                          <w:left w:val="nil"/>
                          <w:right w:val="nil"/>
                        </w:tcBorders>
                        <w:shd w:val="clear" w:color="auto" w:fill="EDEBE0"/>
                      </w:tcPr>
                      <w:p>
                        <w:pPr>
                          <w:pStyle w:val="TableParagraph"/>
                          <w:spacing w:line="228" w:lineRule="exact"/>
                          <w:ind w:left="107"/>
                          <w:rPr>
                            <w:sz w:val="20"/>
                          </w:rPr>
                        </w:pPr>
                        <w:r>
                          <w:rPr>
                            <w:sz w:val="20"/>
                          </w:rPr>
                          <w:t>Suburbanización</w:t>
                        </w:r>
                      </w:p>
                    </w:tc>
                    <w:tc>
                      <w:tcPr>
                        <w:tcW w:w="1645" w:type="dxa"/>
                        <w:tcBorders>
                          <w:left w:val="nil"/>
                          <w:right w:val="nil"/>
                        </w:tcBorders>
                        <w:shd w:val="clear" w:color="auto" w:fill="EDEBE0"/>
                      </w:tcPr>
                      <w:p>
                        <w:pPr>
                          <w:pStyle w:val="TableParagraph"/>
                          <w:spacing w:line="228" w:lineRule="exact"/>
                          <w:ind w:left="336"/>
                          <w:rPr>
                            <w:sz w:val="20"/>
                          </w:rPr>
                        </w:pPr>
                        <w:r>
                          <w:rPr>
                            <w:sz w:val="20"/>
                          </w:rPr>
                          <w:t>1990-2000</w:t>
                        </w:r>
                      </w:p>
                    </w:tc>
                    <w:tc>
                      <w:tcPr>
                        <w:tcW w:w="2979" w:type="dxa"/>
                        <w:tcBorders>
                          <w:left w:val="nil"/>
                          <w:right w:val="nil"/>
                        </w:tcBorders>
                      </w:tcPr>
                      <w:p>
                        <w:pPr>
                          <w:pStyle w:val="TableParagraph"/>
                          <w:ind w:left="107"/>
                          <w:rPr>
                            <w:sz w:val="20"/>
                          </w:rPr>
                        </w:pPr>
                        <w:r>
                          <w:rPr>
                            <w:sz w:val="20"/>
                          </w:rPr>
                          <w:t>expansión de la ocupación del suelo</w:t>
                        </w:r>
                      </w:p>
                    </w:tc>
                  </w:tr>
                </w:tbl>
                <w:p>
                  <w:pPr>
                    <w:pStyle w:val="BodyText"/>
                  </w:pPr>
                </w:p>
              </w:txbxContent>
            </v:textbox>
            <w10:wrap type="none"/>
          </v:shape>
        </w:pict>
      </w:r>
      <w:r>
        <w:rPr>
          <w:w w:val="95"/>
          <w:sz w:val="20"/>
        </w:rPr>
        <w:t>Densidades</w:t>
      </w:r>
    </w:p>
    <w:p>
      <w:pPr>
        <w:pStyle w:val="BodyText"/>
        <w:spacing w:before="10"/>
        <w:rPr>
          <w:sz w:val="16"/>
        </w:rPr>
      </w:pPr>
      <w:r>
        <w:rPr/>
        <w:br w:type="column"/>
      </w:r>
      <w:r>
        <w:rPr>
          <w:sz w:val="16"/>
        </w:rPr>
      </w:r>
    </w:p>
    <w:p>
      <w:pPr>
        <w:tabs>
          <w:tab w:pos="2694" w:val="left" w:leader="none"/>
          <w:tab w:pos="4110" w:val="left" w:leader="none"/>
        </w:tabs>
        <w:spacing w:before="0"/>
        <w:ind w:left="534" w:right="0" w:firstLine="0"/>
        <w:jc w:val="left"/>
        <w:rPr>
          <w:sz w:val="20"/>
        </w:rPr>
      </w:pPr>
      <w:r>
        <w:rPr>
          <w:sz w:val="20"/>
        </w:rPr>
        <w:t>Desurbanización</w:t>
        <w:tab/>
        <w:t>2000-2010</w:t>
        <w:tab/>
        <w:t>asentamientos de</w:t>
      </w:r>
      <w:r>
        <w:rPr>
          <w:spacing w:val="-6"/>
          <w:sz w:val="20"/>
        </w:rPr>
        <w:t> </w:t>
      </w:r>
      <w:r>
        <w:rPr>
          <w:sz w:val="20"/>
        </w:rPr>
        <w:t>baja</w:t>
      </w:r>
    </w:p>
    <w:p>
      <w:pPr>
        <w:spacing w:before="0"/>
        <w:ind w:left="4088" w:right="2484" w:firstLine="0"/>
        <w:jc w:val="center"/>
        <w:rPr>
          <w:sz w:val="20"/>
        </w:rPr>
      </w:pPr>
      <w:r>
        <w:rPr>
          <w:sz w:val="20"/>
        </w:rPr>
        <w:t>densidad</w:t>
      </w:r>
    </w:p>
    <w:p>
      <w:pPr>
        <w:spacing w:after="0"/>
        <w:jc w:val="center"/>
        <w:rPr>
          <w:sz w:val="20"/>
        </w:rPr>
        <w:sectPr>
          <w:type w:val="continuous"/>
          <w:pgSz w:w="12240" w:h="15840"/>
          <w:pgMar w:top="1500" w:bottom="280" w:left="1600" w:right="1580"/>
          <w:cols w:num="2" w:equalWidth="0">
            <w:col w:w="1587" w:space="48"/>
            <w:col w:w="7425"/>
          </w:cols>
        </w:sectPr>
      </w:pPr>
    </w:p>
    <w:tbl>
      <w:tblPr>
        <w:tblW w:w="0" w:type="auto"/>
        <w:jc w:val="left"/>
        <w:tblInd w:w="42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634"/>
        <w:gridCol w:w="1987"/>
        <w:gridCol w:w="1590"/>
        <w:gridCol w:w="2979"/>
      </w:tblGrid>
      <w:tr>
        <w:trPr>
          <w:trHeight w:val="391" w:hRule="exact"/>
        </w:trPr>
        <w:tc>
          <w:tcPr>
            <w:tcW w:w="1634" w:type="dxa"/>
            <w:tcBorders>
              <w:left w:val="nil"/>
              <w:bottom w:val="nil"/>
              <w:right w:val="nil"/>
            </w:tcBorders>
          </w:tcPr>
          <w:p>
            <w:pPr>
              <w:pStyle w:val="TableParagraph"/>
              <w:spacing w:before="7"/>
              <w:ind w:left="0"/>
              <w:rPr>
                <w:sz w:val="16"/>
              </w:rPr>
            </w:pPr>
          </w:p>
          <w:p>
            <w:pPr>
              <w:pStyle w:val="TableParagraph"/>
              <w:ind w:left="108"/>
              <w:rPr>
                <w:sz w:val="20"/>
              </w:rPr>
            </w:pPr>
            <w:r>
              <w:rPr>
                <w:sz w:val="20"/>
              </w:rPr>
              <w:t>Empleo urbano</w:t>
            </w:r>
          </w:p>
        </w:tc>
        <w:tc>
          <w:tcPr>
            <w:tcW w:w="1987" w:type="dxa"/>
            <w:tcBorders>
              <w:left w:val="nil"/>
              <w:right w:val="nil"/>
            </w:tcBorders>
            <w:shd w:val="clear" w:color="auto" w:fill="EDEBE0"/>
          </w:tcPr>
          <w:p>
            <w:pPr>
              <w:pStyle w:val="TableParagraph"/>
              <w:spacing w:line="227" w:lineRule="exact"/>
              <w:ind w:left="107"/>
              <w:rPr>
                <w:sz w:val="20"/>
              </w:rPr>
            </w:pPr>
            <w:r>
              <w:rPr>
                <w:sz w:val="20"/>
              </w:rPr>
              <w:t>Desurbanización .</w:t>
            </w:r>
          </w:p>
        </w:tc>
        <w:tc>
          <w:tcPr>
            <w:tcW w:w="1590" w:type="dxa"/>
            <w:tcBorders>
              <w:left w:val="nil"/>
              <w:right w:val="nil"/>
            </w:tcBorders>
            <w:shd w:val="clear" w:color="auto" w:fill="EDEBE0"/>
          </w:tcPr>
          <w:p>
            <w:pPr>
              <w:pStyle w:val="TableParagraph"/>
              <w:spacing w:line="227" w:lineRule="exact"/>
              <w:ind w:left="281"/>
              <w:rPr>
                <w:sz w:val="20"/>
              </w:rPr>
            </w:pPr>
            <w:r>
              <w:rPr>
                <w:sz w:val="20"/>
              </w:rPr>
              <w:t>1990-2000</w:t>
            </w:r>
          </w:p>
        </w:tc>
        <w:tc>
          <w:tcPr>
            <w:tcW w:w="2979" w:type="dxa"/>
            <w:tcBorders>
              <w:left w:val="nil"/>
              <w:bottom w:val="nil"/>
              <w:right w:val="nil"/>
            </w:tcBorders>
          </w:tcPr>
          <w:p>
            <w:pPr>
              <w:pStyle w:val="TableParagraph"/>
              <w:spacing w:line="227" w:lineRule="exact"/>
              <w:ind w:left="107"/>
              <w:rPr>
                <w:sz w:val="20"/>
              </w:rPr>
            </w:pPr>
            <w:r>
              <w:rPr>
                <w:sz w:val="20"/>
              </w:rPr>
              <w:t>desconcentración</w:t>
            </w:r>
          </w:p>
        </w:tc>
      </w:tr>
    </w:tbl>
    <w:p>
      <w:pPr>
        <w:tabs>
          <w:tab w:pos="4328" w:val="left" w:leader="none"/>
        </w:tabs>
        <w:spacing w:before="0" w:after="3"/>
        <w:ind w:left="2168" w:right="296" w:firstLine="0"/>
        <w:jc w:val="left"/>
        <w:rPr>
          <w:sz w:val="20"/>
        </w:rPr>
      </w:pPr>
      <w:r>
        <w:rPr>
          <w:sz w:val="20"/>
        </w:rPr>
        <w:t>Desurbanización</w:t>
        <w:tab/>
        <w:t>2000-2010</w:t>
      </w:r>
    </w:p>
    <w:tbl>
      <w:tblPr>
        <w:tblW w:w="0" w:type="auto"/>
        <w:jc w:val="left"/>
        <w:tblInd w:w="42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634"/>
        <w:gridCol w:w="1754"/>
        <w:gridCol w:w="1823"/>
        <w:gridCol w:w="2979"/>
      </w:tblGrid>
      <w:tr>
        <w:trPr>
          <w:trHeight w:val="391" w:hRule="exact"/>
        </w:trPr>
        <w:tc>
          <w:tcPr>
            <w:tcW w:w="1634" w:type="dxa"/>
            <w:tcBorders>
              <w:left w:val="nil"/>
              <w:bottom w:val="nil"/>
              <w:right w:val="nil"/>
            </w:tcBorders>
          </w:tcPr>
          <w:p>
            <w:pPr>
              <w:pStyle w:val="TableParagraph"/>
              <w:spacing w:before="10"/>
              <w:ind w:left="0"/>
              <w:rPr>
                <w:sz w:val="16"/>
              </w:rPr>
            </w:pPr>
          </w:p>
          <w:p>
            <w:pPr>
              <w:pStyle w:val="TableParagraph"/>
              <w:ind w:left="108"/>
              <w:rPr>
                <w:sz w:val="20"/>
              </w:rPr>
            </w:pPr>
            <w:r>
              <w:rPr>
                <w:sz w:val="20"/>
              </w:rPr>
              <w:t>vehículos</w:t>
            </w:r>
          </w:p>
        </w:tc>
        <w:tc>
          <w:tcPr>
            <w:tcW w:w="1754" w:type="dxa"/>
            <w:tcBorders>
              <w:left w:val="nil"/>
              <w:right w:val="nil"/>
            </w:tcBorders>
            <w:shd w:val="clear" w:color="auto" w:fill="EDEBE0"/>
          </w:tcPr>
          <w:p>
            <w:pPr>
              <w:pStyle w:val="TableParagraph"/>
              <w:spacing w:line="227" w:lineRule="exact"/>
              <w:ind w:left="107"/>
              <w:rPr>
                <w:sz w:val="20"/>
              </w:rPr>
            </w:pPr>
            <w:r>
              <w:rPr>
                <w:sz w:val="20"/>
              </w:rPr>
              <w:t>urbanización</w:t>
            </w:r>
          </w:p>
        </w:tc>
        <w:tc>
          <w:tcPr>
            <w:tcW w:w="1823" w:type="dxa"/>
            <w:tcBorders>
              <w:left w:val="nil"/>
              <w:right w:val="nil"/>
            </w:tcBorders>
            <w:shd w:val="clear" w:color="auto" w:fill="EDEBE0"/>
          </w:tcPr>
          <w:p>
            <w:pPr>
              <w:pStyle w:val="TableParagraph"/>
              <w:spacing w:line="227" w:lineRule="exact"/>
              <w:ind w:left="514"/>
              <w:rPr>
                <w:sz w:val="20"/>
              </w:rPr>
            </w:pPr>
            <w:r>
              <w:rPr>
                <w:sz w:val="20"/>
              </w:rPr>
              <w:t>1990-2000</w:t>
            </w:r>
          </w:p>
        </w:tc>
        <w:tc>
          <w:tcPr>
            <w:tcW w:w="2979" w:type="dxa"/>
            <w:tcBorders>
              <w:left w:val="nil"/>
              <w:right w:val="nil"/>
            </w:tcBorders>
          </w:tcPr>
          <w:p>
            <w:pPr>
              <w:pStyle w:val="TableParagraph"/>
              <w:spacing w:line="227" w:lineRule="exact"/>
              <w:ind w:left="107" w:right="1317"/>
              <w:rPr>
                <w:sz w:val="20"/>
              </w:rPr>
            </w:pPr>
            <w:r>
              <w:rPr>
                <w:sz w:val="20"/>
              </w:rPr>
              <w:t>concentración</w:t>
            </w:r>
          </w:p>
        </w:tc>
      </w:tr>
    </w:tbl>
    <w:p>
      <w:pPr>
        <w:tabs>
          <w:tab w:pos="4328" w:val="left" w:leader="none"/>
          <w:tab w:pos="5745" w:val="left" w:leader="none"/>
        </w:tabs>
        <w:spacing w:line="227" w:lineRule="exact" w:before="0" w:after="3"/>
        <w:ind w:left="2168" w:right="296" w:firstLine="0"/>
        <w:jc w:val="left"/>
        <w:rPr>
          <w:sz w:val="20"/>
        </w:rPr>
      </w:pPr>
      <w:r>
        <w:rPr>
          <w:sz w:val="20"/>
        </w:rPr>
        <w:t>Desurbanización</w:t>
        <w:tab/>
        <w:t>2000-2010</w:t>
        <w:tab/>
        <w:t>desconcentración</w:t>
      </w:r>
    </w:p>
    <w:tbl>
      <w:tblPr>
        <w:tblW w:w="0" w:type="auto"/>
        <w:jc w:val="left"/>
        <w:tblInd w:w="42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634"/>
        <w:gridCol w:w="1865"/>
        <w:gridCol w:w="1712"/>
        <w:gridCol w:w="2979"/>
      </w:tblGrid>
      <w:tr>
        <w:trPr>
          <w:trHeight w:val="470" w:hRule="exact"/>
        </w:trPr>
        <w:tc>
          <w:tcPr>
            <w:tcW w:w="1634" w:type="dxa"/>
            <w:tcBorders>
              <w:left w:val="nil"/>
              <w:bottom w:val="nil"/>
              <w:right w:val="nil"/>
            </w:tcBorders>
          </w:tcPr>
          <w:p>
            <w:pPr>
              <w:pStyle w:val="TableParagraph"/>
              <w:spacing w:before="2"/>
              <w:ind w:left="0"/>
              <w:rPr>
                <w:sz w:val="20"/>
              </w:rPr>
            </w:pPr>
          </w:p>
          <w:p>
            <w:pPr>
              <w:pStyle w:val="TableParagraph"/>
              <w:ind w:left="108"/>
              <w:rPr>
                <w:sz w:val="20"/>
              </w:rPr>
            </w:pPr>
            <w:r>
              <w:rPr>
                <w:sz w:val="20"/>
              </w:rPr>
              <w:t>Relaciones</w:t>
            </w:r>
          </w:p>
        </w:tc>
        <w:tc>
          <w:tcPr>
            <w:tcW w:w="1865" w:type="dxa"/>
            <w:tcBorders>
              <w:left w:val="nil"/>
              <w:right w:val="nil"/>
            </w:tcBorders>
            <w:shd w:val="clear" w:color="auto" w:fill="EDEBE0"/>
          </w:tcPr>
          <w:p>
            <w:pPr>
              <w:pStyle w:val="TableParagraph"/>
              <w:spacing w:line="227" w:lineRule="exact"/>
              <w:ind w:left="107"/>
              <w:rPr>
                <w:sz w:val="20"/>
              </w:rPr>
            </w:pPr>
            <w:r>
              <w:rPr>
                <w:sz w:val="20"/>
              </w:rPr>
              <w:t>suburbanizaion</w:t>
            </w:r>
          </w:p>
        </w:tc>
        <w:tc>
          <w:tcPr>
            <w:tcW w:w="1712" w:type="dxa"/>
            <w:tcBorders>
              <w:left w:val="nil"/>
              <w:right w:val="nil"/>
            </w:tcBorders>
            <w:shd w:val="clear" w:color="auto" w:fill="EDEBE0"/>
          </w:tcPr>
          <w:p>
            <w:pPr>
              <w:pStyle w:val="TableParagraph"/>
              <w:spacing w:line="227" w:lineRule="exact"/>
              <w:ind w:left="403"/>
              <w:rPr>
                <w:sz w:val="20"/>
              </w:rPr>
            </w:pPr>
            <w:r>
              <w:rPr>
                <w:sz w:val="20"/>
              </w:rPr>
              <w:t>1990-2000</w:t>
            </w:r>
          </w:p>
        </w:tc>
        <w:tc>
          <w:tcPr>
            <w:tcW w:w="2979" w:type="dxa"/>
            <w:tcBorders>
              <w:left w:val="nil"/>
              <w:right w:val="nil"/>
            </w:tcBorders>
          </w:tcPr>
          <w:p>
            <w:pPr>
              <w:pStyle w:val="TableParagraph"/>
              <w:ind w:left="107"/>
              <w:rPr>
                <w:sz w:val="20"/>
              </w:rPr>
            </w:pPr>
            <w:r>
              <w:rPr>
                <w:sz w:val="20"/>
              </w:rPr>
              <w:t>Relaciones funcionales de dependencia</w:t>
            </w:r>
          </w:p>
        </w:tc>
      </w:tr>
    </w:tbl>
    <w:p>
      <w:pPr>
        <w:spacing w:after="0"/>
        <w:rPr>
          <w:sz w:val="20"/>
        </w:rPr>
        <w:sectPr>
          <w:type w:val="continuous"/>
          <w:pgSz w:w="12240" w:h="15840"/>
          <w:pgMar w:top="1500" w:bottom="280" w:left="1600" w:right="1580"/>
        </w:sectPr>
      </w:pPr>
    </w:p>
    <w:p>
      <w:pPr>
        <w:spacing w:line="222" w:lineRule="exact" w:before="0"/>
        <w:ind w:left="534" w:right="-20" w:firstLine="0"/>
        <w:jc w:val="left"/>
        <w:rPr>
          <w:sz w:val="20"/>
        </w:rPr>
      </w:pPr>
      <w:r>
        <w:rPr>
          <w:w w:val="95"/>
          <w:sz w:val="20"/>
        </w:rPr>
        <w:t>funcionales</w:t>
      </w:r>
    </w:p>
    <w:p>
      <w:pPr>
        <w:tabs>
          <w:tab w:pos="2694" w:val="left" w:leader="none"/>
          <w:tab w:pos="4110" w:val="left" w:leader="none"/>
        </w:tabs>
        <w:spacing w:line="227" w:lineRule="exact" w:before="0"/>
        <w:ind w:left="534" w:right="0" w:firstLine="0"/>
        <w:jc w:val="left"/>
        <w:rPr>
          <w:sz w:val="20"/>
        </w:rPr>
      </w:pPr>
      <w:r>
        <w:rPr/>
        <w:br w:type="column"/>
      </w:r>
      <w:r>
        <w:rPr>
          <w:sz w:val="20"/>
        </w:rPr>
        <w:t>des</w:t>
      </w:r>
      <w:r>
        <w:rPr>
          <w:spacing w:val="-3"/>
          <w:sz w:val="20"/>
        </w:rPr>
        <w:t> </w:t>
      </w:r>
      <w:r>
        <w:rPr>
          <w:sz w:val="20"/>
        </w:rPr>
        <w:t>urbanización</w:t>
        <w:tab/>
        <w:t>2000-2010</w:t>
        <w:tab/>
        <w:t>Mayor escala</w:t>
      </w:r>
      <w:r>
        <w:rPr>
          <w:spacing w:val="-9"/>
          <w:sz w:val="20"/>
        </w:rPr>
        <w:t> </w:t>
      </w:r>
      <w:r>
        <w:rPr>
          <w:sz w:val="20"/>
        </w:rPr>
        <w:t>de</w:t>
      </w:r>
    </w:p>
    <w:p>
      <w:pPr>
        <w:spacing w:before="0"/>
        <w:ind w:left="4111" w:right="0" w:firstLine="0"/>
        <w:jc w:val="left"/>
        <w:rPr>
          <w:sz w:val="20"/>
        </w:rPr>
      </w:pPr>
      <w:r>
        <w:rPr>
          <w:sz w:val="20"/>
        </w:rPr>
        <w:t>funcionamiento</w:t>
      </w:r>
    </w:p>
    <w:p>
      <w:pPr>
        <w:spacing w:after="0"/>
        <w:jc w:val="left"/>
        <w:rPr>
          <w:sz w:val="20"/>
        </w:rPr>
        <w:sectPr>
          <w:type w:val="continuous"/>
          <w:pgSz w:w="12240" w:h="15840"/>
          <w:pgMar w:top="1500" w:bottom="280" w:left="1600" w:right="1580"/>
          <w:cols w:num="2" w:equalWidth="0">
            <w:col w:w="1543" w:space="91"/>
            <w:col w:w="7426"/>
          </w:cols>
        </w:sectPr>
      </w:pPr>
    </w:p>
    <w:p>
      <w:pPr>
        <w:pStyle w:val="BodyText"/>
        <w:spacing w:line="20" w:lineRule="exact"/>
        <w:ind w:left="421"/>
        <w:rPr>
          <w:sz w:val="2"/>
        </w:rPr>
      </w:pPr>
      <w:r>
        <w:rPr>
          <w:sz w:val="2"/>
        </w:rPr>
        <w:pict>
          <v:group style="width:410.05pt;height:.5pt;mso-position-horizontal-relative:char;mso-position-vertical-relative:line" coordorigin="0,0" coordsize="8201,10">
            <v:line style="position:absolute" from="5,5" to="1639,5" stroked="true" strokeweight=".47998pt" strokecolor="#000000"/>
            <v:line style="position:absolute" from="1639,5" to="1649,5" stroked="true" strokeweight=".47998pt" strokecolor="#000000"/>
            <v:line style="position:absolute" from="1649,5" to="3800,5" stroked="true" strokeweight=".47998pt" strokecolor="#000000"/>
            <v:line style="position:absolute" from="3800,5" to="3810,5" stroked="true" strokeweight=".47998pt" strokecolor="#000000"/>
            <v:line style="position:absolute" from="3810,5" to="5219,5" stroked="true" strokeweight=".47998pt" strokecolor="#000000"/>
            <v:line style="position:absolute" from="5219,5" to="5228,5" stroked="true" strokeweight=".47998pt" strokecolor="#000000"/>
            <v:line style="position:absolute" from="5228,5" to="8195,5" stroked="true" strokeweight=".47998pt" strokecolor="#000000"/>
          </v:group>
        </w:pict>
      </w:r>
      <w:r>
        <w:rPr>
          <w:sz w:val="2"/>
        </w:rPr>
      </w:r>
    </w:p>
    <w:p>
      <w:pPr>
        <w:spacing w:before="0"/>
        <w:ind w:left="339" w:right="362" w:hanging="1"/>
        <w:jc w:val="center"/>
        <w:rPr>
          <w:sz w:val="20"/>
        </w:rPr>
      </w:pPr>
      <w:r>
        <w:rPr>
          <w:sz w:val="20"/>
        </w:rPr>
        <w:t>Nota: La calificación de la fase por variable única no determina la presencia de una fase, es</w:t>
      </w:r>
      <w:r>
        <w:rPr>
          <w:spacing w:val="-29"/>
          <w:sz w:val="20"/>
        </w:rPr>
        <w:t> </w:t>
      </w:r>
      <w:r>
        <w:rPr>
          <w:sz w:val="20"/>
        </w:rPr>
        <w:t>el conjunto de las mismas, el que define la etapa del ciclo de vida urbano en que se encuentra</w:t>
      </w:r>
      <w:r>
        <w:rPr>
          <w:spacing w:val="-19"/>
          <w:sz w:val="20"/>
        </w:rPr>
        <w:t> </w:t>
      </w:r>
      <w:r>
        <w:rPr>
          <w:sz w:val="20"/>
        </w:rPr>
        <w:t>la ZMT, este es solo un ejercicio que mide que fase seria por el ámbito en que manifiesta mayor dinamismo de la variable y por el proceso que se manifiesta en cada periodo de</w:t>
      </w:r>
      <w:r>
        <w:rPr>
          <w:spacing w:val="-14"/>
          <w:sz w:val="20"/>
        </w:rPr>
        <w:t> </w:t>
      </w:r>
      <w:r>
        <w:rPr>
          <w:sz w:val="20"/>
        </w:rPr>
        <w:t>tiempo.</w:t>
      </w:r>
    </w:p>
    <w:p>
      <w:pPr>
        <w:spacing w:before="0"/>
        <w:ind w:left="125" w:right="146" w:firstLine="0"/>
        <w:jc w:val="center"/>
        <w:rPr>
          <w:sz w:val="20"/>
        </w:rPr>
      </w:pPr>
      <w:r>
        <w:rPr>
          <w:sz w:val="20"/>
        </w:rPr>
        <w:t>Fuente Elaboración propia con información del capitulo</w:t>
      </w:r>
    </w:p>
    <w:p>
      <w:pPr>
        <w:pStyle w:val="BodyText"/>
        <w:spacing w:before="1"/>
        <w:rPr>
          <w:sz w:val="20"/>
        </w:rPr>
      </w:pPr>
    </w:p>
    <w:p>
      <w:pPr>
        <w:pStyle w:val="BodyText"/>
        <w:spacing w:line="360" w:lineRule="auto"/>
        <w:ind w:left="102" w:right="118"/>
        <w:jc w:val="both"/>
      </w:pPr>
      <w:r>
        <w:rPr/>
        <w:t>Por la cantidad el stock vehicular que se incrementa entre 2000 y 2010 se asume una fase desurbanización al ser la parte externa la que manifiesta mayor dependencia  del  vehículo  por  la  dinámica  en  aumento  de  parque     vehicular</w:t>
      </w:r>
    </w:p>
    <w:p>
      <w:pPr>
        <w:spacing w:after="0" w:line="360" w:lineRule="auto"/>
        <w:jc w:val="both"/>
        <w:sectPr>
          <w:type w:val="continuous"/>
          <w:pgSz w:w="12240" w:h="15840"/>
          <w:pgMar w:top="1500" w:bottom="280" w:left="1600" w:right="1580"/>
        </w:sectPr>
      </w:pPr>
    </w:p>
    <w:p>
      <w:pPr>
        <w:pStyle w:val="BodyText"/>
        <w:spacing w:line="360" w:lineRule="auto" w:before="54"/>
        <w:ind w:left="102" w:right="118"/>
        <w:jc w:val="both"/>
      </w:pPr>
      <w:r>
        <w:rPr/>
        <w:t>Finalmente por las relaciones funcionales al mostrar una dependencia de las primeras dos coronas en el siglo XX se califica en una fase de suburbanizacion, que en siguiente periodo de 2000 a 2010 entra a la tercera fase  de desurbanización al ampliar la escala de funcionamiento (ver cuadro 8).</w:t>
      </w:r>
    </w:p>
    <w:p>
      <w:pPr>
        <w:pStyle w:val="BodyText"/>
        <w:spacing w:before="7"/>
      </w:pPr>
    </w:p>
    <w:p>
      <w:pPr>
        <w:pStyle w:val="BodyText"/>
        <w:spacing w:line="360" w:lineRule="auto"/>
        <w:ind w:left="102" w:right="117"/>
        <w:jc w:val="both"/>
      </w:pPr>
      <w:r>
        <w:rPr/>
        <w:t>En conclusión los impactos que se señalan en el siglo XX, a consecuencia del aumento de las zonas urbanas, es la disminución de superficie de bosque, señalando que el siglo XXI, se presenta una recuperación de zonas de bosque, sin que ello alcance la recuperación total esto se traduce en efectos negativos ya que aumenta el consumo del vehículos, mientras aumenta la carecía de una reserva pulmonar que contribuya a mejorar la calidad del aires, pese a que en el siglo XXI siendo el usos de suelo más afectado el de tipo pastizal al disminuir significativamente ( 5% menos de participación relativa).</w:t>
      </w:r>
    </w:p>
    <w:p>
      <w:pPr>
        <w:spacing w:after="0" w:line="360" w:lineRule="auto"/>
        <w:jc w:val="both"/>
        <w:sectPr>
          <w:pgSz w:w="12240" w:h="15840"/>
          <w:pgMar w:header="0" w:footer="659" w:top="1360" w:bottom="840" w:left="1600" w:right="158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6"/>
        <w:rPr>
          <w:sz w:val="28"/>
        </w:rPr>
      </w:pPr>
    </w:p>
    <w:p>
      <w:pPr>
        <w:pStyle w:val="Heading1"/>
        <w:spacing w:line="360" w:lineRule="auto"/>
        <w:ind w:left="1101" w:right="82" w:hanging="1001"/>
      </w:pPr>
      <w:r>
        <w:rPr/>
        <w:t>Capítulo V. Análisis de resultados y discusión sobre la desurbanización de la ZMT</w:t>
      </w:r>
    </w:p>
    <w:p>
      <w:pPr>
        <w:spacing w:after="0" w:line="360" w:lineRule="auto"/>
        <w:sectPr>
          <w:pgSz w:w="12240" w:h="15840"/>
          <w:pgMar w:header="0" w:footer="659" w:top="1500" w:bottom="840" w:left="1640" w:right="1640"/>
        </w:sectPr>
      </w:pPr>
    </w:p>
    <w:p>
      <w:pPr>
        <w:pStyle w:val="Heading1"/>
        <w:spacing w:line="360" w:lineRule="auto" w:before="33"/>
        <w:ind w:left="1141" w:right="142" w:hanging="1001"/>
      </w:pPr>
      <w:r>
        <w:rPr/>
        <w:t>Capítulo V. Análisis de resultados y discusión sobre la desurbanización de la ZMT</w:t>
      </w:r>
    </w:p>
    <w:p>
      <w:pPr>
        <w:pStyle w:val="BodyText"/>
        <w:spacing w:line="360" w:lineRule="auto" w:before="287"/>
        <w:ind w:left="102" w:right="127"/>
        <w:jc w:val="both"/>
      </w:pPr>
      <w:r>
        <w:rPr/>
        <w:t>En este capítulo se discute la comprobación de la hipótesis con base en los resultados obtenidos en el proceso de la investigación.</w:t>
      </w:r>
    </w:p>
    <w:p>
      <w:pPr>
        <w:pStyle w:val="BodyText"/>
        <w:spacing w:before="3"/>
      </w:pPr>
    </w:p>
    <w:p>
      <w:pPr>
        <w:pStyle w:val="Heading4"/>
        <w:numPr>
          <w:ilvl w:val="1"/>
          <w:numId w:val="9"/>
        </w:numPr>
        <w:tabs>
          <w:tab w:pos="649" w:val="left" w:leader="none"/>
        </w:tabs>
        <w:spacing w:line="240" w:lineRule="auto" w:before="0" w:after="0"/>
        <w:ind w:left="648" w:right="0" w:hanging="546"/>
        <w:jc w:val="both"/>
      </w:pPr>
      <w:r>
        <w:rPr/>
        <w:t>La hipótesis de la</w:t>
      </w:r>
      <w:r>
        <w:rPr>
          <w:spacing w:val="-22"/>
        </w:rPr>
        <w:t> </w:t>
      </w:r>
      <w:r>
        <w:rPr/>
        <w:t>desurbanización</w:t>
      </w:r>
    </w:p>
    <w:p>
      <w:pPr>
        <w:pStyle w:val="BodyText"/>
        <w:spacing w:before="8"/>
        <w:rPr>
          <w:b/>
          <w:sz w:val="38"/>
        </w:rPr>
      </w:pPr>
    </w:p>
    <w:p>
      <w:pPr>
        <w:pStyle w:val="BodyText"/>
        <w:spacing w:line="360" w:lineRule="auto"/>
        <w:ind w:left="102" w:right="117"/>
        <w:jc w:val="both"/>
      </w:pPr>
      <w:r>
        <w:rPr/>
        <w:t>La hipótesis planteada en esta investigación sustenta que el proceso de desurbanización está presente en la Zona Metropolitana de Toluca y ello explica los cambios de la estructura territorial que se manifiestan con mayor dinamismo en la franja intermedia y externa, en localidades urbanas pequeñas y rurales, propiciando el incremento de las interrelaciones entre los asentamientos, es decir propicia el poblamiento en la región.</w:t>
      </w:r>
    </w:p>
    <w:p>
      <w:pPr>
        <w:pStyle w:val="BodyText"/>
        <w:spacing w:before="7"/>
      </w:pPr>
    </w:p>
    <w:p>
      <w:pPr>
        <w:pStyle w:val="BodyText"/>
        <w:spacing w:line="360" w:lineRule="auto"/>
        <w:ind w:left="102" w:right="117"/>
        <w:jc w:val="both"/>
      </w:pPr>
      <w:r>
        <w:rPr/>
        <w:t>La fase del proceso identificada en la Zona Metropolitana de Toluca -variables de localización de población, vivienda, y empleo urbano- muestra un cambio en la dinámica de urbanización en la parte externa que se puede calificar como la fase inicial de desurbanización, ésta comienza en la década del 1990 que es cuando irrumpe la desconcentración hacia el ámbito denominado “resto de municipios de relación externa” (ver esquema 8 y cuadro 9).</w:t>
      </w:r>
    </w:p>
    <w:p>
      <w:pPr>
        <w:pStyle w:val="BodyText"/>
        <w:spacing w:before="7"/>
      </w:pPr>
    </w:p>
    <w:p>
      <w:pPr>
        <w:pStyle w:val="BodyText"/>
        <w:spacing w:line="360" w:lineRule="auto"/>
        <w:ind w:left="102" w:right="117"/>
        <w:jc w:val="both"/>
      </w:pPr>
      <w:r>
        <w:rPr/>
        <w:t>El comportamiento de la franja externa, se caracteriza por dos tipos de cambios el de la población y el del empleo en la última década del siglo XX. En cuanto al primer cambio, la tasa de crecimiento de población total es igual de dinámica que la ciudad central, lo que indica que la periferia externa ejerce una fuerza de atracción, resultado de los desplazamientos de la población en la periferia desde  el área urbana continua (AUC), es decir, que el ámbito externo es un espacio en formación y evolución por el aumento en viviendas y con ello la desconcentración de población y los traslados, aunque no significa un declive importante del centro (o AUC). En cuanto al empleo urbano, la tasa de crecimiento reporta aumento  </w:t>
      </w:r>
      <w:r>
        <w:rPr>
          <w:spacing w:val="49"/>
        </w:rPr>
        <w:t> </w:t>
      </w:r>
      <w:r>
        <w:rPr/>
        <w:t>en</w:t>
      </w:r>
    </w:p>
    <w:p>
      <w:pPr>
        <w:spacing w:after="0" w:line="360" w:lineRule="auto"/>
        <w:jc w:val="both"/>
        <w:sectPr>
          <w:footerReference w:type="default" r:id="rId60"/>
          <w:pgSz w:w="12240" w:h="15840"/>
          <w:pgMar w:footer="659" w:header="0" w:top="1380" w:bottom="840" w:left="1600" w:right="1580"/>
          <w:pgNumType w:start="130"/>
        </w:sectPr>
      </w:pPr>
    </w:p>
    <w:p>
      <w:pPr>
        <w:pStyle w:val="BodyText"/>
        <w:spacing w:line="360" w:lineRule="auto" w:before="54"/>
        <w:ind w:left="242" w:right="104"/>
        <w:jc w:val="both"/>
      </w:pPr>
      <w:r>
        <w:rPr/>
        <w:t>los municipios externos, aunque en magnitudes inferiores al dominio central, por ello, se dice que está en formación un nodo económico externo, se trata de un grado de desconcentración de las actividades económicas.</w:t>
      </w:r>
    </w:p>
    <w:p>
      <w:pPr>
        <w:pStyle w:val="BodyText"/>
        <w:spacing w:before="9"/>
      </w:pPr>
    </w:p>
    <w:p>
      <w:pPr>
        <w:spacing w:before="0"/>
        <w:ind w:left="1924" w:right="0" w:firstLine="0"/>
        <w:jc w:val="left"/>
        <w:rPr>
          <w:sz w:val="20"/>
        </w:rPr>
      </w:pPr>
      <w:r>
        <w:rPr>
          <w:sz w:val="20"/>
        </w:rPr>
        <w:t>Cuadro 9. ZMT. Funcionamiento según ámbitos, 1990 - 2010.</w:t>
      </w:r>
    </w:p>
    <w:p>
      <w:pPr>
        <w:pStyle w:val="BodyText"/>
        <w:spacing w:before="1"/>
        <w:rPr>
          <w:sz w:val="20"/>
        </w:rPr>
      </w:pPr>
    </w:p>
    <w:tbl>
      <w:tblPr>
        <w:tblW w:w="0" w:type="auto"/>
        <w:jc w:val="left"/>
        <w:tblInd w:w="10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272"/>
        <w:gridCol w:w="2499"/>
        <w:gridCol w:w="2544"/>
        <w:gridCol w:w="2305"/>
      </w:tblGrid>
      <w:tr>
        <w:trPr>
          <w:trHeight w:val="701" w:hRule="exact"/>
        </w:trPr>
        <w:tc>
          <w:tcPr>
            <w:tcW w:w="1272" w:type="dxa"/>
            <w:tcBorders>
              <w:left w:val="nil"/>
              <w:right w:val="nil"/>
            </w:tcBorders>
          </w:tcPr>
          <w:p>
            <w:pPr>
              <w:pStyle w:val="TableParagraph"/>
              <w:ind w:left="108" w:right="127"/>
              <w:rPr>
                <w:sz w:val="20"/>
              </w:rPr>
            </w:pPr>
            <w:r>
              <w:rPr>
                <w:sz w:val="20"/>
              </w:rPr>
              <w:t>Ámbito </w:t>
            </w:r>
            <w:r>
              <w:rPr>
                <w:w w:val="95"/>
                <w:sz w:val="20"/>
              </w:rPr>
              <w:t>Variables</w:t>
            </w:r>
          </w:p>
        </w:tc>
        <w:tc>
          <w:tcPr>
            <w:tcW w:w="2499" w:type="dxa"/>
            <w:tcBorders>
              <w:left w:val="nil"/>
              <w:right w:val="nil"/>
            </w:tcBorders>
          </w:tcPr>
          <w:p>
            <w:pPr>
              <w:pStyle w:val="TableParagraph"/>
              <w:ind w:left="108" w:right="134"/>
              <w:rPr>
                <w:sz w:val="20"/>
              </w:rPr>
            </w:pPr>
            <w:r>
              <w:rPr>
                <w:sz w:val="20"/>
              </w:rPr>
              <w:t>Área urbana continua (concentración)</w:t>
            </w:r>
          </w:p>
        </w:tc>
        <w:tc>
          <w:tcPr>
            <w:tcW w:w="2544" w:type="dxa"/>
            <w:tcBorders>
              <w:left w:val="nil"/>
              <w:right w:val="nil"/>
            </w:tcBorders>
          </w:tcPr>
          <w:p>
            <w:pPr>
              <w:pStyle w:val="TableParagraph"/>
              <w:ind w:left="136"/>
              <w:rPr>
                <w:sz w:val="20"/>
              </w:rPr>
            </w:pPr>
            <w:r>
              <w:rPr>
                <w:sz w:val="20"/>
              </w:rPr>
              <w:t>Interrelación funcional intermedia (suburbanización)</w:t>
            </w:r>
          </w:p>
        </w:tc>
        <w:tc>
          <w:tcPr>
            <w:tcW w:w="2305" w:type="dxa"/>
            <w:tcBorders>
              <w:left w:val="nil"/>
              <w:right w:val="nil"/>
            </w:tcBorders>
          </w:tcPr>
          <w:p>
            <w:pPr>
              <w:pStyle w:val="TableParagraph"/>
              <w:ind w:left="142" w:right="104"/>
              <w:rPr>
                <w:sz w:val="20"/>
              </w:rPr>
            </w:pPr>
            <w:r>
              <w:rPr>
                <w:sz w:val="20"/>
              </w:rPr>
              <w:t>Interrelación externa (desurbanización)</w:t>
            </w:r>
          </w:p>
        </w:tc>
      </w:tr>
      <w:tr>
        <w:trPr>
          <w:trHeight w:val="2079" w:hRule="exact"/>
        </w:trPr>
        <w:tc>
          <w:tcPr>
            <w:tcW w:w="1272" w:type="dxa"/>
            <w:tcBorders>
              <w:left w:val="nil"/>
              <w:bottom w:val="nil"/>
              <w:right w:val="nil"/>
            </w:tcBorders>
          </w:tcPr>
          <w:p>
            <w:pPr>
              <w:pStyle w:val="TableParagraph"/>
              <w:ind w:left="0"/>
              <w:rPr>
                <w:sz w:val="20"/>
              </w:rPr>
            </w:pPr>
          </w:p>
          <w:p>
            <w:pPr>
              <w:pStyle w:val="TableParagraph"/>
              <w:ind w:left="0"/>
              <w:rPr>
                <w:sz w:val="20"/>
              </w:rPr>
            </w:pPr>
          </w:p>
          <w:p>
            <w:pPr>
              <w:pStyle w:val="TableParagraph"/>
              <w:ind w:left="0"/>
              <w:rPr>
                <w:sz w:val="20"/>
              </w:rPr>
            </w:pPr>
          </w:p>
          <w:p>
            <w:pPr>
              <w:pStyle w:val="TableParagraph"/>
              <w:ind w:left="0"/>
              <w:rPr>
                <w:sz w:val="22"/>
              </w:rPr>
            </w:pPr>
          </w:p>
          <w:p>
            <w:pPr>
              <w:pStyle w:val="TableParagraph"/>
              <w:ind w:left="108" w:right="127"/>
              <w:rPr>
                <w:sz w:val="20"/>
              </w:rPr>
            </w:pPr>
            <w:r>
              <w:rPr>
                <w:w w:val="95"/>
                <w:sz w:val="20"/>
              </w:rPr>
              <w:t>Población </w:t>
            </w:r>
            <w:r>
              <w:rPr>
                <w:sz w:val="20"/>
              </w:rPr>
              <w:t>total</w:t>
            </w:r>
          </w:p>
        </w:tc>
        <w:tc>
          <w:tcPr>
            <w:tcW w:w="2499" w:type="dxa"/>
            <w:tcBorders>
              <w:left w:val="nil"/>
              <w:right w:val="nil"/>
            </w:tcBorders>
          </w:tcPr>
          <w:p>
            <w:pPr>
              <w:pStyle w:val="TableParagraph"/>
              <w:ind w:left="108" w:right="356"/>
              <w:jc w:val="both"/>
              <w:rPr>
                <w:sz w:val="20"/>
              </w:rPr>
            </w:pPr>
            <w:r>
              <w:rPr>
                <w:sz w:val="20"/>
              </w:rPr>
              <w:t>En ambos decenios de estudio tiene un patrón de concentración.</w:t>
            </w:r>
          </w:p>
          <w:p>
            <w:pPr>
              <w:pStyle w:val="TableParagraph"/>
              <w:ind w:left="108" w:right="134"/>
              <w:rPr>
                <w:sz w:val="20"/>
              </w:rPr>
            </w:pPr>
            <w:r>
              <w:rPr>
                <w:sz w:val="20"/>
              </w:rPr>
              <w:t>Consolidación de la concentración absoluta en éste ámbito.</w:t>
            </w:r>
          </w:p>
        </w:tc>
        <w:tc>
          <w:tcPr>
            <w:tcW w:w="2544" w:type="dxa"/>
            <w:tcBorders>
              <w:left w:val="nil"/>
              <w:right w:val="nil"/>
            </w:tcBorders>
          </w:tcPr>
          <w:p>
            <w:pPr>
              <w:pStyle w:val="TableParagraph"/>
              <w:ind w:left="136"/>
              <w:rPr>
                <w:sz w:val="20"/>
              </w:rPr>
            </w:pPr>
            <w:r>
              <w:rPr>
                <w:sz w:val="20"/>
              </w:rPr>
              <w:t>De 1990 al 2005, se presentaba una leve desconcentración de la vivienda. En 2010 hay desconcentración, madurando el proceso de sububanización, con un crecimiento en auge.</w:t>
            </w:r>
          </w:p>
        </w:tc>
        <w:tc>
          <w:tcPr>
            <w:tcW w:w="2305" w:type="dxa"/>
            <w:tcBorders>
              <w:left w:val="nil"/>
              <w:right w:val="nil"/>
            </w:tcBorders>
          </w:tcPr>
          <w:p>
            <w:pPr>
              <w:pStyle w:val="TableParagraph"/>
              <w:spacing w:line="227" w:lineRule="exact"/>
              <w:ind w:left="142" w:right="104"/>
              <w:rPr>
                <w:sz w:val="20"/>
              </w:rPr>
            </w:pPr>
            <w:r>
              <w:rPr>
                <w:sz w:val="20"/>
              </w:rPr>
              <w:t>De 1990 a 2005</w:t>
            </w:r>
          </w:p>
          <w:p>
            <w:pPr>
              <w:pStyle w:val="TableParagraph"/>
              <w:ind w:left="142" w:right="104"/>
              <w:rPr>
                <w:sz w:val="20"/>
              </w:rPr>
            </w:pPr>
            <w:r>
              <w:rPr>
                <w:sz w:val="20"/>
              </w:rPr>
              <w:t>aumentos absolutos por la expansión a ritmo acelerado. En 2010 disminuye la población absoluta por efecto de la yuxtaponían de la suburbanización.</w:t>
            </w:r>
          </w:p>
        </w:tc>
      </w:tr>
      <w:tr>
        <w:trPr>
          <w:trHeight w:val="283" w:hRule="exact"/>
        </w:trPr>
        <w:tc>
          <w:tcPr>
            <w:tcW w:w="8620" w:type="dxa"/>
            <w:gridSpan w:val="4"/>
            <w:tcBorders>
              <w:top w:val="nil"/>
              <w:left w:val="nil"/>
              <w:right w:val="nil"/>
            </w:tcBorders>
          </w:tcPr>
          <w:p>
            <w:pPr>
              <w:pStyle w:val="TableParagraph"/>
              <w:spacing w:before="4"/>
              <w:ind w:left="1379"/>
              <w:rPr>
                <w:sz w:val="20"/>
              </w:rPr>
            </w:pPr>
            <w:r>
              <w:rPr>
                <w:sz w:val="20"/>
              </w:rPr>
              <w:t>Hay decremento poblacional en 2000-2010 con respecto a la década anterior</w:t>
            </w:r>
          </w:p>
        </w:tc>
      </w:tr>
      <w:tr>
        <w:trPr>
          <w:trHeight w:val="2770" w:hRule="exact"/>
        </w:trPr>
        <w:tc>
          <w:tcPr>
            <w:tcW w:w="1272" w:type="dxa"/>
            <w:tcBorders>
              <w:left w:val="nil"/>
              <w:right w:val="nil"/>
            </w:tcBorders>
          </w:tcPr>
          <w:p>
            <w:pPr>
              <w:pStyle w:val="TableParagraph"/>
              <w:ind w:left="0"/>
              <w:rPr>
                <w:sz w:val="20"/>
              </w:rPr>
            </w:pPr>
          </w:p>
          <w:p>
            <w:pPr>
              <w:pStyle w:val="TableParagraph"/>
              <w:ind w:left="0"/>
              <w:rPr>
                <w:sz w:val="20"/>
              </w:rPr>
            </w:pPr>
          </w:p>
          <w:p>
            <w:pPr>
              <w:pStyle w:val="TableParagraph"/>
              <w:ind w:left="0"/>
              <w:rPr>
                <w:sz w:val="20"/>
              </w:rPr>
            </w:pPr>
          </w:p>
          <w:p>
            <w:pPr>
              <w:pStyle w:val="TableParagraph"/>
              <w:spacing w:before="8"/>
              <w:ind w:left="0"/>
              <w:rPr>
                <w:sz w:val="29"/>
              </w:rPr>
            </w:pPr>
          </w:p>
          <w:p>
            <w:pPr>
              <w:pStyle w:val="TableParagraph"/>
              <w:ind w:left="108" w:right="127"/>
              <w:rPr>
                <w:sz w:val="20"/>
              </w:rPr>
            </w:pPr>
            <w:r>
              <w:rPr>
                <w:sz w:val="20"/>
              </w:rPr>
              <w:t>Tamaños de </w:t>
            </w:r>
            <w:r>
              <w:rPr>
                <w:w w:val="95"/>
                <w:sz w:val="20"/>
              </w:rPr>
              <w:t>localidades</w:t>
            </w:r>
          </w:p>
        </w:tc>
        <w:tc>
          <w:tcPr>
            <w:tcW w:w="2499" w:type="dxa"/>
            <w:tcBorders>
              <w:left w:val="nil"/>
              <w:right w:val="nil"/>
            </w:tcBorders>
          </w:tcPr>
          <w:p>
            <w:pPr>
              <w:pStyle w:val="TableParagraph"/>
              <w:ind w:left="108" w:right="134"/>
              <w:rPr>
                <w:sz w:val="20"/>
              </w:rPr>
            </w:pPr>
            <w:r>
              <w:rPr>
                <w:sz w:val="20"/>
              </w:rPr>
              <w:t>En 2000 predominio de dispersión en localidades pequeñas. En 2010 marcando por una tendencia a la concentración. Este ámbito es el único con ciudades medias y con proporciones semejantes en ciudades pequeñas y baja dispersión (menor de 15,000).</w:t>
            </w:r>
          </w:p>
        </w:tc>
        <w:tc>
          <w:tcPr>
            <w:tcW w:w="2544" w:type="dxa"/>
            <w:tcBorders>
              <w:left w:val="nil"/>
              <w:right w:val="nil"/>
            </w:tcBorders>
          </w:tcPr>
          <w:p>
            <w:pPr>
              <w:pStyle w:val="TableParagraph"/>
              <w:ind w:left="136" w:right="137"/>
              <w:rPr>
                <w:sz w:val="20"/>
              </w:rPr>
            </w:pPr>
            <w:r>
              <w:rPr>
                <w:sz w:val="20"/>
              </w:rPr>
              <w:t>En 2010, mayor dispersión con mayor presencia de asentamientos rurales. Reporta a la vez dispersión en asentamientos rurales con población urbana.</w:t>
            </w:r>
          </w:p>
        </w:tc>
        <w:tc>
          <w:tcPr>
            <w:tcW w:w="2305" w:type="dxa"/>
            <w:tcBorders>
              <w:left w:val="nil"/>
              <w:right w:val="nil"/>
            </w:tcBorders>
          </w:tcPr>
          <w:p>
            <w:pPr>
              <w:pStyle w:val="TableParagraph"/>
              <w:ind w:left="142" w:right="164"/>
              <w:rPr>
                <w:sz w:val="20"/>
              </w:rPr>
            </w:pPr>
            <w:r>
              <w:rPr>
                <w:sz w:val="20"/>
              </w:rPr>
              <w:t>En 1990 es el ámbito con un patrón total de dispersión. En 2010, continua con elementos de dispersión, pero con cierta proporción de concentración con ciudades pequeñas.</w:t>
            </w:r>
          </w:p>
        </w:tc>
      </w:tr>
      <w:tr>
        <w:trPr>
          <w:trHeight w:val="1390" w:hRule="exact"/>
        </w:trPr>
        <w:tc>
          <w:tcPr>
            <w:tcW w:w="1272" w:type="dxa"/>
            <w:tcBorders>
              <w:left w:val="nil"/>
              <w:right w:val="nil"/>
            </w:tcBorders>
          </w:tcPr>
          <w:p>
            <w:pPr>
              <w:pStyle w:val="TableParagraph"/>
              <w:ind w:left="0"/>
              <w:rPr>
                <w:sz w:val="20"/>
              </w:rPr>
            </w:pPr>
          </w:p>
          <w:p>
            <w:pPr>
              <w:pStyle w:val="TableParagraph"/>
              <w:spacing w:before="7"/>
              <w:ind w:left="0"/>
              <w:rPr>
                <w:sz w:val="29"/>
              </w:rPr>
            </w:pPr>
          </w:p>
          <w:p>
            <w:pPr>
              <w:pStyle w:val="TableParagraph"/>
              <w:ind w:left="108" w:right="127"/>
              <w:rPr>
                <w:sz w:val="20"/>
              </w:rPr>
            </w:pPr>
            <w:r>
              <w:rPr>
                <w:sz w:val="20"/>
              </w:rPr>
              <w:t>Vivienda</w:t>
            </w:r>
          </w:p>
        </w:tc>
        <w:tc>
          <w:tcPr>
            <w:tcW w:w="2499" w:type="dxa"/>
            <w:tcBorders>
              <w:left w:val="nil"/>
              <w:right w:val="nil"/>
            </w:tcBorders>
          </w:tcPr>
          <w:p>
            <w:pPr>
              <w:pStyle w:val="TableParagraph"/>
              <w:ind w:left="108" w:right="134"/>
              <w:rPr>
                <w:sz w:val="20"/>
              </w:rPr>
            </w:pPr>
            <w:r>
              <w:rPr>
                <w:sz w:val="20"/>
              </w:rPr>
              <w:t>En ambos periodos el patrón de distribución de vivienda se concentra en este ámbito aunque aminora el ritmo de crecimiento.</w:t>
            </w:r>
          </w:p>
        </w:tc>
        <w:tc>
          <w:tcPr>
            <w:tcW w:w="2544" w:type="dxa"/>
            <w:tcBorders>
              <w:left w:val="nil"/>
              <w:right w:val="nil"/>
            </w:tcBorders>
          </w:tcPr>
          <w:p>
            <w:pPr>
              <w:pStyle w:val="TableParagraph"/>
              <w:ind w:left="136" w:right="241"/>
              <w:jc w:val="both"/>
              <w:rPr>
                <w:sz w:val="20"/>
              </w:rPr>
            </w:pPr>
            <w:r>
              <w:rPr>
                <w:sz w:val="20"/>
              </w:rPr>
              <w:t>El mayor crecimiento de la vivienda se genera</w:t>
            </w:r>
            <w:r>
              <w:rPr>
                <w:spacing w:val="-11"/>
                <w:sz w:val="20"/>
              </w:rPr>
              <w:t> </w:t>
            </w:r>
            <w:r>
              <w:rPr>
                <w:sz w:val="20"/>
              </w:rPr>
              <w:t>en éste</w:t>
            </w:r>
            <w:r>
              <w:rPr>
                <w:spacing w:val="-4"/>
                <w:sz w:val="20"/>
              </w:rPr>
              <w:t> </w:t>
            </w:r>
            <w:r>
              <w:rPr>
                <w:sz w:val="20"/>
              </w:rPr>
              <w:t>ámbito.</w:t>
            </w:r>
          </w:p>
        </w:tc>
        <w:tc>
          <w:tcPr>
            <w:tcW w:w="2305" w:type="dxa"/>
            <w:tcBorders>
              <w:left w:val="nil"/>
              <w:right w:val="nil"/>
            </w:tcBorders>
          </w:tcPr>
          <w:p>
            <w:pPr>
              <w:pStyle w:val="TableParagraph"/>
              <w:ind w:left="142" w:right="164"/>
              <w:rPr>
                <w:sz w:val="20"/>
              </w:rPr>
            </w:pPr>
            <w:r>
              <w:rPr>
                <w:sz w:val="20"/>
              </w:rPr>
              <w:t>Menor volumen de vivienda y ritmo de crecimiento bajo pero de mayor consumo de suelo. Hay dispersión.</w:t>
            </w:r>
          </w:p>
        </w:tc>
      </w:tr>
      <w:tr>
        <w:trPr>
          <w:trHeight w:val="473" w:hRule="exact"/>
        </w:trPr>
        <w:tc>
          <w:tcPr>
            <w:tcW w:w="1272" w:type="dxa"/>
            <w:tcBorders>
              <w:left w:val="nil"/>
              <w:bottom w:val="nil"/>
              <w:right w:val="nil"/>
            </w:tcBorders>
          </w:tcPr>
          <w:p>
            <w:pPr/>
          </w:p>
        </w:tc>
        <w:tc>
          <w:tcPr>
            <w:tcW w:w="2499" w:type="dxa"/>
            <w:vMerge w:val="restart"/>
            <w:tcBorders>
              <w:left w:val="nil"/>
              <w:right w:val="nil"/>
            </w:tcBorders>
          </w:tcPr>
          <w:p>
            <w:pPr>
              <w:pStyle w:val="TableParagraph"/>
              <w:ind w:left="108" w:right="114"/>
              <w:rPr>
                <w:sz w:val="20"/>
              </w:rPr>
            </w:pPr>
            <w:r>
              <w:rPr>
                <w:sz w:val="20"/>
              </w:rPr>
              <w:t>Es el ámbito con mejor densidad urbana relativa. Tiende a la consolidación del tejido construido.</w:t>
            </w:r>
          </w:p>
        </w:tc>
        <w:tc>
          <w:tcPr>
            <w:tcW w:w="2544" w:type="dxa"/>
            <w:tcBorders>
              <w:left w:val="nil"/>
              <w:bottom w:val="nil"/>
              <w:right w:val="nil"/>
            </w:tcBorders>
          </w:tcPr>
          <w:p>
            <w:pPr>
              <w:pStyle w:val="TableParagraph"/>
              <w:ind w:left="136"/>
              <w:rPr>
                <w:sz w:val="20"/>
              </w:rPr>
            </w:pPr>
            <w:r>
              <w:rPr>
                <w:sz w:val="20"/>
              </w:rPr>
              <w:t>Incrementa la densidad urbana.</w:t>
            </w:r>
          </w:p>
        </w:tc>
        <w:tc>
          <w:tcPr>
            <w:tcW w:w="2305" w:type="dxa"/>
            <w:vMerge w:val="restart"/>
            <w:tcBorders>
              <w:left w:val="nil"/>
              <w:right w:val="nil"/>
            </w:tcBorders>
          </w:tcPr>
          <w:p>
            <w:pPr>
              <w:pStyle w:val="TableParagraph"/>
              <w:ind w:left="142" w:right="104"/>
              <w:rPr>
                <w:sz w:val="20"/>
              </w:rPr>
            </w:pPr>
            <w:r>
              <w:rPr>
                <w:sz w:val="20"/>
              </w:rPr>
              <w:t>Ámbito con bajas densidades y mayor consumo de suelo. Expansión de la</w:t>
            </w:r>
          </w:p>
          <w:p>
            <w:pPr>
              <w:pStyle w:val="TableParagraph"/>
              <w:tabs>
                <w:tab w:pos="142" w:val="left" w:leader="none"/>
                <w:tab w:pos="2304" w:val="left" w:leader="none"/>
              </w:tabs>
              <w:ind w:left="-6315"/>
              <w:rPr>
                <w:sz w:val="20"/>
              </w:rPr>
            </w:pPr>
            <w:r>
              <w:rPr>
                <w:w w:val="99"/>
                <w:sz w:val="20"/>
                <w:u w:val="single"/>
              </w:rPr>
              <w:t> </w:t>
            </w:r>
            <w:r>
              <w:rPr>
                <w:sz w:val="20"/>
                <w:u w:val="single"/>
              </w:rPr>
              <w:tab/>
              <w:t>ocupación.</w:t>
              <w:tab/>
            </w:r>
          </w:p>
        </w:tc>
      </w:tr>
      <w:tr>
        <w:trPr>
          <w:trHeight w:val="1098" w:hRule="exact"/>
        </w:trPr>
        <w:tc>
          <w:tcPr>
            <w:tcW w:w="1272" w:type="dxa"/>
            <w:tcBorders>
              <w:top w:val="nil"/>
              <w:left w:val="nil"/>
              <w:bottom w:val="nil"/>
              <w:right w:val="nil"/>
            </w:tcBorders>
          </w:tcPr>
          <w:p>
            <w:pPr>
              <w:pStyle w:val="TableParagraph"/>
              <w:spacing w:line="219" w:lineRule="exact"/>
              <w:ind w:left="108"/>
              <w:rPr>
                <w:sz w:val="20"/>
              </w:rPr>
            </w:pPr>
            <w:r>
              <w:rPr>
                <w:sz w:val="20"/>
              </w:rPr>
              <w:t>Densidades</w:t>
            </w:r>
          </w:p>
        </w:tc>
        <w:tc>
          <w:tcPr>
            <w:tcW w:w="2499" w:type="dxa"/>
            <w:vMerge/>
            <w:tcBorders>
              <w:left w:val="nil"/>
              <w:bottom w:val="nil"/>
              <w:right w:val="nil"/>
            </w:tcBorders>
          </w:tcPr>
          <w:p>
            <w:pPr/>
          </w:p>
        </w:tc>
        <w:tc>
          <w:tcPr>
            <w:tcW w:w="2544" w:type="dxa"/>
            <w:tcBorders>
              <w:top w:val="nil"/>
              <w:left w:val="nil"/>
              <w:bottom w:val="nil"/>
              <w:right w:val="nil"/>
            </w:tcBorders>
          </w:tcPr>
          <w:p>
            <w:pPr/>
          </w:p>
        </w:tc>
        <w:tc>
          <w:tcPr>
            <w:tcW w:w="2305" w:type="dxa"/>
            <w:vMerge/>
            <w:tcBorders>
              <w:left w:val="nil"/>
              <w:bottom w:val="nil"/>
              <w:right w:val="nil"/>
            </w:tcBorders>
          </w:tcPr>
          <w:p>
            <w:pPr/>
          </w:p>
        </w:tc>
      </w:tr>
      <w:tr>
        <w:trPr>
          <w:trHeight w:val="624" w:hRule="exact"/>
        </w:trPr>
        <w:tc>
          <w:tcPr>
            <w:tcW w:w="1272" w:type="dxa"/>
            <w:tcBorders>
              <w:top w:val="nil"/>
              <w:left w:val="nil"/>
              <w:bottom w:val="nil"/>
              <w:right w:val="nil"/>
            </w:tcBorders>
          </w:tcPr>
          <w:p>
            <w:pPr/>
          </w:p>
        </w:tc>
        <w:tc>
          <w:tcPr>
            <w:tcW w:w="2499" w:type="dxa"/>
            <w:tcBorders>
              <w:top w:val="nil"/>
              <w:left w:val="nil"/>
              <w:bottom w:val="nil"/>
              <w:right w:val="nil"/>
            </w:tcBorders>
          </w:tcPr>
          <w:p>
            <w:pPr/>
          </w:p>
        </w:tc>
        <w:tc>
          <w:tcPr>
            <w:tcW w:w="2544" w:type="dxa"/>
            <w:tcBorders>
              <w:top w:val="nil"/>
              <w:left w:val="nil"/>
              <w:bottom w:val="nil"/>
              <w:right w:val="nil"/>
            </w:tcBorders>
          </w:tcPr>
          <w:p>
            <w:pPr/>
          </w:p>
        </w:tc>
        <w:tc>
          <w:tcPr>
            <w:tcW w:w="2305" w:type="dxa"/>
            <w:tcBorders>
              <w:top w:val="nil"/>
              <w:left w:val="nil"/>
              <w:bottom w:val="nil"/>
              <w:right w:val="nil"/>
            </w:tcBorders>
          </w:tcPr>
          <w:p>
            <w:pPr>
              <w:pStyle w:val="TableParagraph"/>
              <w:ind w:left="0"/>
              <w:rPr>
                <w:sz w:val="20"/>
              </w:rPr>
            </w:pPr>
          </w:p>
          <w:p>
            <w:pPr>
              <w:pStyle w:val="TableParagraph"/>
              <w:spacing w:before="169"/>
              <w:ind w:left="638" w:right="104"/>
              <w:rPr>
                <w:sz w:val="20"/>
              </w:rPr>
            </w:pPr>
            <w:r>
              <w:rPr>
                <w:sz w:val="20"/>
              </w:rPr>
              <w:t>Continúa….</w:t>
            </w:r>
          </w:p>
        </w:tc>
      </w:tr>
    </w:tbl>
    <w:p>
      <w:pPr>
        <w:spacing w:after="0"/>
        <w:rPr>
          <w:sz w:val="20"/>
        </w:rPr>
        <w:sectPr>
          <w:pgSz w:w="12240" w:h="15840"/>
          <w:pgMar w:header="0" w:footer="659" w:top="1360" w:bottom="840" w:left="1460" w:right="1600"/>
        </w:sectPr>
      </w:pPr>
    </w:p>
    <w:p>
      <w:pPr>
        <w:spacing w:before="45"/>
        <w:ind w:left="228" w:right="0" w:firstLine="0"/>
        <w:jc w:val="left"/>
        <w:rPr>
          <w:sz w:val="20"/>
        </w:rPr>
      </w:pPr>
      <w:r>
        <w:rPr/>
        <w:pict>
          <v:group style="position:absolute;margin-left:77.774002pt;margin-top:1.779868pt;width:431.5pt;height:.5pt;mso-position-horizontal-relative:page;mso-position-vertical-relative:paragraph;z-index:-294952" coordorigin="1555,36" coordsize="8630,10">
            <v:line style="position:absolute" from="1560,41" to="2832,41" stroked="true" strokeweight=".48pt" strokecolor="#000000"/>
            <v:line style="position:absolute" from="2832,41" to="2842,41" stroked="true" strokeweight=".48pt" strokecolor="#000000"/>
            <v:line style="position:absolute" from="2842,41" to="5360,41" stroked="true" strokeweight=".48pt" strokecolor="#000000"/>
            <v:line style="position:absolute" from="5360,41" to="5370,41" stroked="true" strokeweight=".48pt" strokecolor="#000000"/>
            <v:line style="position:absolute" from="5370,41" to="7912,41" stroked="true" strokeweight=".48pt" strokecolor="#000000"/>
            <v:line style="position:absolute" from="7912,41" to="7921,41" stroked="true" strokeweight=".48pt" strokecolor="#000000"/>
            <v:line style="position:absolute" from="7921,41" to="10180,41" stroked="true" strokeweight=".48pt" strokecolor="#000000"/>
            <w10:wrap type="none"/>
          </v:group>
        </w:pict>
      </w:r>
      <w:r>
        <w:rPr/>
        <w:pict>
          <v:group style="position:absolute;margin-left:77.774002pt;margin-top:36.839867pt;width:431.5pt;height:.5pt;mso-position-horizontal-relative:page;mso-position-vertical-relative:paragraph;z-index:-294928" coordorigin="1555,737" coordsize="8630,10">
            <v:line style="position:absolute" from="1560,742" to="2832,742" stroked="true" strokeweight=".48pt" strokecolor="#000000"/>
            <v:line style="position:absolute" from="2832,742" to="2842,742" stroked="true" strokeweight=".48pt" strokecolor="#000000"/>
            <v:line style="position:absolute" from="2842,742" to="5360,742" stroked="true" strokeweight=".48pt" strokecolor="#000000"/>
            <v:line style="position:absolute" from="5360,742" to="5370,742" stroked="true" strokeweight=".48pt" strokecolor="#000000"/>
            <v:line style="position:absolute" from="5370,742" to="7912,742" stroked="true" strokeweight=".48pt" strokecolor="#000000"/>
            <v:line style="position:absolute" from="7912,742" to="7921,742" stroked="true" strokeweight=".48pt" strokecolor="#000000"/>
            <v:line style="position:absolute" from="7921,742" to="10180,742" stroked="true" strokeweight=".48pt" strokecolor="#000000"/>
            <w10:wrap type="none"/>
          </v:group>
        </w:pict>
      </w:r>
      <w:r>
        <w:rPr>
          <w:sz w:val="20"/>
        </w:rPr>
        <w:t>Ámbito </w:t>
      </w:r>
      <w:r>
        <w:rPr>
          <w:w w:val="95"/>
          <w:sz w:val="20"/>
        </w:rPr>
        <w:t>Variables</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spacing w:before="175"/>
        <w:ind w:left="228" w:right="133" w:firstLine="0"/>
        <w:jc w:val="left"/>
        <w:rPr>
          <w:sz w:val="20"/>
        </w:rPr>
      </w:pPr>
      <w:r>
        <w:rPr>
          <w:sz w:val="20"/>
        </w:rPr>
        <w:t>Empleo</w:t>
      </w:r>
      <w:r>
        <w:rPr>
          <w:w w:val="99"/>
          <w:sz w:val="20"/>
        </w:rPr>
        <w:t> </w:t>
      </w:r>
      <w:r>
        <w:rPr>
          <w:sz w:val="20"/>
        </w:rPr>
        <w:t>urbano</w:t>
      </w:r>
    </w:p>
    <w:p>
      <w:pPr>
        <w:spacing w:before="45"/>
        <w:ind w:left="228" w:right="0" w:firstLine="0"/>
        <w:jc w:val="left"/>
        <w:rPr>
          <w:sz w:val="20"/>
        </w:rPr>
      </w:pPr>
      <w:r>
        <w:rPr/>
        <w:br w:type="column"/>
      </w:r>
      <w:r>
        <w:rPr>
          <w:sz w:val="20"/>
        </w:rPr>
        <w:t>Área urbana continua (concentración)</w:t>
      </w:r>
    </w:p>
    <w:p>
      <w:pPr>
        <w:pStyle w:val="BodyText"/>
        <w:spacing w:before="10"/>
        <w:rPr>
          <w:sz w:val="20"/>
        </w:rPr>
      </w:pPr>
    </w:p>
    <w:p>
      <w:pPr>
        <w:spacing w:before="0"/>
        <w:ind w:left="228" w:right="0" w:firstLine="0"/>
        <w:jc w:val="left"/>
        <w:rPr>
          <w:sz w:val="20"/>
        </w:rPr>
      </w:pPr>
      <w:r>
        <w:rPr>
          <w:sz w:val="20"/>
        </w:rPr>
        <w:t>Altamente concentrado es el ámbito donde se concentran las fuentes</w:t>
      </w:r>
      <w:r>
        <w:rPr>
          <w:spacing w:val="-8"/>
          <w:sz w:val="20"/>
        </w:rPr>
        <w:t> </w:t>
      </w:r>
      <w:r>
        <w:rPr>
          <w:sz w:val="20"/>
        </w:rPr>
        <w:t>de empleo</w:t>
      </w:r>
      <w:r>
        <w:rPr>
          <w:spacing w:val="-5"/>
          <w:sz w:val="20"/>
        </w:rPr>
        <w:t> </w:t>
      </w:r>
      <w:r>
        <w:rPr>
          <w:sz w:val="20"/>
        </w:rPr>
        <w:t>urbano.</w:t>
      </w:r>
    </w:p>
    <w:p>
      <w:pPr>
        <w:spacing w:before="45"/>
        <w:ind w:left="201" w:right="-14" w:firstLine="0"/>
        <w:jc w:val="left"/>
        <w:rPr>
          <w:sz w:val="20"/>
        </w:rPr>
      </w:pPr>
      <w:r>
        <w:rPr/>
        <w:br w:type="column"/>
      </w:r>
      <w:r>
        <w:rPr>
          <w:sz w:val="20"/>
        </w:rPr>
        <w:t>Interrelación funcional intermedia (suburbanización)</w:t>
      </w:r>
    </w:p>
    <w:p>
      <w:pPr>
        <w:spacing w:before="10"/>
        <w:ind w:left="201" w:right="-14" w:firstLine="0"/>
        <w:jc w:val="left"/>
        <w:rPr>
          <w:sz w:val="20"/>
        </w:rPr>
      </w:pPr>
      <w:r>
        <w:rPr>
          <w:sz w:val="20"/>
        </w:rPr>
        <w:t>Este ámbito se encuentra opacado por los otros</w:t>
      </w:r>
      <w:r>
        <w:rPr>
          <w:spacing w:val="-10"/>
          <w:sz w:val="20"/>
        </w:rPr>
        <w:t> </w:t>
      </w:r>
      <w:r>
        <w:rPr>
          <w:sz w:val="20"/>
        </w:rPr>
        <w:t>dos ámbitos, con ligero cambio en 2010. Ratifica su interrelación funcional claramente</w:t>
      </w:r>
      <w:r>
        <w:rPr>
          <w:spacing w:val="-8"/>
          <w:sz w:val="20"/>
        </w:rPr>
        <w:t> </w:t>
      </w:r>
      <w:r>
        <w:rPr>
          <w:sz w:val="20"/>
        </w:rPr>
        <w:t>dependiente.</w:t>
      </w:r>
    </w:p>
    <w:p>
      <w:pPr>
        <w:spacing w:before="45"/>
        <w:ind w:left="212" w:right="779" w:firstLine="0"/>
        <w:jc w:val="left"/>
        <w:rPr>
          <w:sz w:val="20"/>
        </w:rPr>
      </w:pPr>
      <w:r>
        <w:rPr/>
        <w:br w:type="column"/>
      </w:r>
      <w:r>
        <w:rPr>
          <w:sz w:val="20"/>
        </w:rPr>
        <w:t>Interrelación externa (desurbanización)</w:t>
      </w:r>
    </w:p>
    <w:p>
      <w:pPr>
        <w:pStyle w:val="BodyText"/>
        <w:spacing w:before="10"/>
        <w:rPr>
          <w:sz w:val="20"/>
        </w:rPr>
      </w:pPr>
    </w:p>
    <w:p>
      <w:pPr>
        <w:spacing w:before="0"/>
        <w:ind w:left="212" w:right="590" w:firstLine="0"/>
        <w:jc w:val="left"/>
        <w:rPr>
          <w:sz w:val="20"/>
        </w:rPr>
      </w:pPr>
      <w:r>
        <w:rPr>
          <w:sz w:val="20"/>
        </w:rPr>
        <w:t>La tasa de crecimiento del decenio anterior mostró dinamismo e indicio de desconcentración económica, situación que revierte su potencial de crecimiento en el último decenio.</w:t>
      </w:r>
    </w:p>
    <w:p>
      <w:pPr>
        <w:spacing w:after="0"/>
        <w:jc w:val="left"/>
        <w:rPr>
          <w:sz w:val="20"/>
        </w:rPr>
        <w:sectPr>
          <w:pgSz w:w="12240" w:h="15840"/>
          <w:pgMar w:header="0" w:footer="659" w:top="1380" w:bottom="840" w:left="1440" w:right="1600"/>
          <w:cols w:num="4" w:equalWidth="0">
            <w:col w:w="1060" w:space="211"/>
            <w:col w:w="2515" w:space="40"/>
            <w:col w:w="2499" w:space="40"/>
            <w:col w:w="2835"/>
          </w:cols>
        </w:sectPr>
      </w:pPr>
    </w:p>
    <w:p>
      <w:pPr>
        <w:pStyle w:val="BodyText"/>
        <w:spacing w:line="20" w:lineRule="exact"/>
        <w:ind w:left="1387"/>
        <w:rPr>
          <w:sz w:val="2"/>
        </w:rPr>
      </w:pPr>
      <w:r>
        <w:rPr>
          <w:sz w:val="2"/>
        </w:rPr>
        <w:pict>
          <v:group style="width:367.9pt;height:.5pt;mso-position-horizontal-relative:char;mso-position-vertical-relative:line" coordorigin="0,0" coordsize="7358,10">
            <v:line style="position:absolute" from="5,5" to="2533,5" stroked="true" strokeweight=".48pt" strokecolor="#000000"/>
            <v:line style="position:absolute" from="2533,5" to="2542,5" stroked="true" strokeweight=".48pt" strokecolor="#000000"/>
            <v:line style="position:absolute" from="2542,5" to="5084,5" stroked="true" strokeweight=".48pt" strokecolor="#000000"/>
            <v:line style="position:absolute" from="5084,5" to="5094,5" stroked="true" strokeweight=".48pt" strokecolor="#000000"/>
            <v:line style="position:absolute" from="5094,5" to="7353,5" stroked="true" strokeweight=".48pt" strokecolor="#000000"/>
          </v:group>
        </w:pict>
      </w:r>
      <w:r>
        <w:rPr>
          <w:sz w:val="2"/>
        </w:rPr>
      </w:r>
    </w:p>
    <w:p>
      <w:pPr>
        <w:spacing w:before="0"/>
        <w:ind w:left="1500" w:right="0" w:firstLine="0"/>
        <w:jc w:val="left"/>
        <w:rPr>
          <w:sz w:val="20"/>
        </w:rPr>
      </w:pPr>
      <w:r>
        <w:rPr/>
        <w:pict>
          <v:group style="position:absolute;margin-left:77.774002pt;margin-top:15.969868pt;width:431.5pt;height:.5pt;mso-position-horizontal-relative:page;mso-position-vertical-relative:paragraph;z-index:-294904" coordorigin="1555,319" coordsize="8630,10">
            <v:line style="position:absolute" from="1560,324" to="2832,324" stroked="true" strokeweight=".48pt" strokecolor="#000000"/>
            <v:line style="position:absolute" from="2832,324" to="2842,324" stroked="true" strokeweight=".48pt" strokecolor="#000000"/>
            <v:line style="position:absolute" from="2842,324" to="5360,324" stroked="true" strokeweight=".48pt" strokecolor="#000000"/>
            <v:line style="position:absolute" from="5360,324" to="5370,324" stroked="true" strokeweight=".48pt" strokecolor="#000000"/>
            <v:line style="position:absolute" from="5370,324" to="7912,324" stroked="true" strokeweight=".48pt" strokecolor="#000000"/>
            <v:line style="position:absolute" from="7912,324" to="7921,324" stroked="true" strokeweight=".48pt" strokecolor="#000000"/>
            <v:line style="position:absolute" from="7921,324" to="10180,324" stroked="true" strokeweight=".48pt" strokecolor="#000000"/>
            <w10:wrap type="none"/>
          </v:group>
        </w:pict>
      </w:r>
      <w:r>
        <w:rPr>
          <w:sz w:val="20"/>
        </w:rPr>
        <w:t>El periodo de impulso económico fue de 1988 a 1994</w:t>
      </w:r>
    </w:p>
    <w:p>
      <w:pPr>
        <w:spacing w:after="0"/>
        <w:jc w:val="left"/>
        <w:rPr>
          <w:sz w:val="20"/>
        </w:rPr>
        <w:sectPr>
          <w:type w:val="continuous"/>
          <w:pgSz w:w="12240" w:h="15840"/>
          <w:pgMar w:top="1500" w:bottom="280" w:left="1440" w:right="1600"/>
        </w:sectPr>
      </w:pPr>
    </w:p>
    <w:p>
      <w:pPr>
        <w:pStyle w:val="BodyText"/>
        <w:rPr>
          <w:sz w:val="20"/>
        </w:rPr>
      </w:pPr>
    </w:p>
    <w:p>
      <w:pPr>
        <w:pStyle w:val="BodyText"/>
        <w:rPr>
          <w:sz w:val="20"/>
        </w:rPr>
      </w:pPr>
    </w:p>
    <w:p>
      <w:pPr>
        <w:pStyle w:val="BodyText"/>
        <w:spacing w:before="3"/>
        <w:rPr>
          <w:sz w:val="18"/>
        </w:rPr>
      </w:pPr>
    </w:p>
    <w:p>
      <w:pPr>
        <w:spacing w:before="0"/>
        <w:ind w:left="228" w:right="0" w:firstLine="0"/>
        <w:jc w:val="left"/>
        <w:rPr>
          <w:sz w:val="20"/>
        </w:rPr>
      </w:pPr>
      <w:r>
        <w:rPr>
          <w:w w:val="95"/>
          <w:sz w:val="20"/>
        </w:rPr>
        <w:t>Vehículos </w:t>
      </w:r>
      <w:r>
        <w:rPr>
          <w:sz w:val="20"/>
        </w:rPr>
        <w:t>privados</w:t>
      </w:r>
    </w:p>
    <w:p>
      <w:pPr>
        <w:spacing w:before="96"/>
        <w:ind w:left="228" w:right="-15" w:firstLine="0"/>
        <w:jc w:val="left"/>
        <w:rPr>
          <w:sz w:val="20"/>
        </w:rPr>
      </w:pPr>
      <w:r>
        <w:rPr/>
        <w:br w:type="column"/>
      </w:r>
      <w:r>
        <w:rPr>
          <w:sz w:val="20"/>
        </w:rPr>
        <w:t>Concentra el parque vehicular privado</w:t>
      </w:r>
      <w:r>
        <w:rPr>
          <w:spacing w:val="-9"/>
          <w:sz w:val="20"/>
        </w:rPr>
        <w:t> </w:t>
      </w:r>
      <w:r>
        <w:rPr>
          <w:sz w:val="20"/>
        </w:rPr>
        <w:t>desde 1985 hasta el</w:t>
      </w:r>
      <w:r>
        <w:rPr>
          <w:spacing w:val="-6"/>
          <w:sz w:val="20"/>
        </w:rPr>
        <w:t> </w:t>
      </w:r>
      <w:r>
        <w:rPr>
          <w:sz w:val="20"/>
        </w:rPr>
        <w:t>2010.</w:t>
      </w:r>
    </w:p>
    <w:p>
      <w:pPr>
        <w:spacing w:before="0"/>
        <w:ind w:left="228" w:right="165" w:firstLine="0"/>
        <w:jc w:val="left"/>
        <w:rPr>
          <w:sz w:val="20"/>
        </w:rPr>
      </w:pPr>
      <w:r>
        <w:rPr>
          <w:sz w:val="20"/>
        </w:rPr>
        <w:t>Potencial de alta movilidad y traslados.</w:t>
      </w:r>
    </w:p>
    <w:p>
      <w:pPr>
        <w:spacing w:before="96"/>
        <w:ind w:left="228" w:right="0" w:firstLine="0"/>
        <w:jc w:val="both"/>
        <w:rPr>
          <w:sz w:val="20"/>
        </w:rPr>
      </w:pPr>
      <w:r>
        <w:rPr/>
        <w:br w:type="column"/>
      </w:r>
      <w:r>
        <w:rPr>
          <w:sz w:val="20"/>
        </w:rPr>
        <w:t>La motorización privada de la población en</w:t>
      </w:r>
      <w:r>
        <w:rPr>
          <w:spacing w:val="-10"/>
          <w:sz w:val="20"/>
        </w:rPr>
        <w:t> </w:t>
      </w:r>
      <w:r>
        <w:rPr>
          <w:sz w:val="20"/>
        </w:rPr>
        <w:t>estos municipios es</w:t>
      </w:r>
      <w:r>
        <w:rPr>
          <w:spacing w:val="-6"/>
          <w:sz w:val="20"/>
        </w:rPr>
        <w:t> </w:t>
      </w:r>
      <w:r>
        <w:rPr>
          <w:sz w:val="20"/>
        </w:rPr>
        <w:t>baja.</w:t>
      </w:r>
    </w:p>
    <w:p>
      <w:pPr>
        <w:spacing w:before="96"/>
        <w:ind w:left="228" w:right="669" w:firstLine="0"/>
        <w:jc w:val="left"/>
        <w:rPr>
          <w:sz w:val="20"/>
        </w:rPr>
      </w:pPr>
      <w:r>
        <w:rPr/>
        <w:br w:type="column"/>
      </w:r>
      <w:r>
        <w:rPr>
          <w:sz w:val="20"/>
        </w:rPr>
        <w:t>De 2000 a 2010</w:t>
      </w:r>
    </w:p>
    <w:p>
      <w:pPr>
        <w:spacing w:before="1"/>
        <w:ind w:left="228" w:right="669" w:firstLine="0"/>
        <w:jc w:val="left"/>
        <w:rPr>
          <w:sz w:val="20"/>
        </w:rPr>
      </w:pPr>
      <w:r>
        <w:rPr>
          <w:sz w:val="20"/>
        </w:rPr>
        <w:t>incrementa el número de vehículos. La interrelación externa potencializa los desplazamientos en forma privada.</w:t>
      </w:r>
    </w:p>
    <w:p>
      <w:pPr>
        <w:spacing w:after="0"/>
        <w:jc w:val="left"/>
        <w:rPr>
          <w:sz w:val="20"/>
        </w:rPr>
        <w:sectPr>
          <w:type w:val="continuous"/>
          <w:pgSz w:w="12240" w:h="15840"/>
          <w:pgMar w:top="1500" w:bottom="280" w:left="1440" w:right="1600"/>
          <w:cols w:num="4" w:equalWidth="0">
            <w:col w:w="1104" w:space="168"/>
            <w:col w:w="2337" w:space="190"/>
            <w:col w:w="2382" w:space="167"/>
            <w:col w:w="2852"/>
          </w:cols>
        </w:sectPr>
      </w:pPr>
    </w:p>
    <w:p>
      <w:pPr>
        <w:pStyle w:val="BodyText"/>
        <w:spacing w:line="20" w:lineRule="exact"/>
        <w:ind w:left="101"/>
        <w:rPr>
          <w:sz w:val="2"/>
        </w:rPr>
      </w:pPr>
      <w:r>
        <w:rPr>
          <w:sz w:val="2"/>
        </w:rPr>
        <w:pict>
          <v:group style="width:432.25pt;height:.5pt;mso-position-horizontal-relative:char;mso-position-vertical-relative:line" coordorigin="0,0" coordsize="8645,10">
            <v:line style="position:absolute" from="5,5" to="1291,5" stroked="true" strokeweight=".48001pt" strokecolor="#000000"/>
            <v:line style="position:absolute" from="1277,5" to="1287,5" stroked="true" strokeweight=".48001pt" strokecolor="#000000"/>
            <v:line style="position:absolute" from="1287,5" to="3819,5" stroked="true" strokeweight=".48001pt" strokecolor="#000000"/>
            <v:line style="position:absolute" from="3805,5" to="3814,5" stroked="true" strokeweight=".48001pt" strokecolor="#000000"/>
            <v:line style="position:absolute" from="3814,5" to="6371,5" stroked="true" strokeweight=".48001pt" strokecolor="#000000"/>
            <v:line style="position:absolute" from="6356,5" to="6366,5" stroked="true" strokeweight=".48001pt" strokecolor="#000000"/>
            <v:line style="position:absolute" from="6366,5" to="8639,5" stroked="true" strokeweight=".48001pt" strokecolor="#000000"/>
          </v:group>
        </w:pict>
      </w:r>
      <w:r>
        <w:rPr>
          <w:sz w:val="2"/>
        </w:rPr>
      </w:r>
    </w:p>
    <w:p>
      <w:pPr>
        <w:spacing w:before="0"/>
        <w:ind w:left="262" w:right="108" w:firstLine="0"/>
        <w:jc w:val="center"/>
        <w:rPr>
          <w:sz w:val="20"/>
        </w:rPr>
      </w:pPr>
      <w:r>
        <w:rPr>
          <w:b/>
          <w:sz w:val="20"/>
        </w:rPr>
        <w:t>Fuente: </w:t>
      </w:r>
      <w:r>
        <w:rPr>
          <w:sz w:val="20"/>
        </w:rPr>
        <w:t>Elaboración propia con resultados de la investigación.</w:t>
      </w:r>
    </w:p>
    <w:p>
      <w:pPr>
        <w:pStyle w:val="BodyText"/>
        <w:rPr>
          <w:sz w:val="20"/>
        </w:rPr>
      </w:pPr>
    </w:p>
    <w:p>
      <w:pPr>
        <w:spacing w:before="116" w:after="3"/>
        <w:ind w:left="262" w:right="109" w:firstLine="0"/>
        <w:jc w:val="center"/>
        <w:rPr>
          <w:sz w:val="20"/>
        </w:rPr>
      </w:pPr>
      <w:r>
        <w:rPr>
          <w:sz w:val="20"/>
        </w:rPr>
        <w:t>Esquema 8.Cambios de población, vivienda y empleo urbano del siglo XX al XXI.</w:t>
      </w:r>
    </w:p>
    <w:p>
      <w:pPr>
        <w:pStyle w:val="BodyText"/>
        <w:ind w:left="261"/>
        <w:rPr>
          <w:sz w:val="20"/>
        </w:rPr>
      </w:pPr>
      <w:r>
        <w:rPr>
          <w:sz w:val="20"/>
        </w:rPr>
        <w:drawing>
          <wp:inline distT="0" distB="0" distL="0" distR="0">
            <wp:extent cx="5558092" cy="3566160"/>
            <wp:effectExtent l="0" t="0" r="0" b="0"/>
            <wp:docPr id="47" name="image36.jpeg" descr=""/>
            <wp:cNvGraphicFramePr>
              <a:graphicFrameLocks noChangeAspect="1"/>
            </wp:cNvGraphicFramePr>
            <a:graphic>
              <a:graphicData uri="http://schemas.openxmlformats.org/drawingml/2006/picture">
                <pic:pic>
                  <pic:nvPicPr>
                    <pic:cNvPr id="48" name="image36.jpeg"/>
                    <pic:cNvPicPr/>
                  </pic:nvPicPr>
                  <pic:blipFill>
                    <a:blip r:embed="rId61" cstate="print"/>
                    <a:stretch>
                      <a:fillRect/>
                    </a:stretch>
                  </pic:blipFill>
                  <pic:spPr>
                    <a:xfrm>
                      <a:off x="0" y="0"/>
                      <a:ext cx="5558092" cy="3566160"/>
                    </a:xfrm>
                    <a:prstGeom prst="rect">
                      <a:avLst/>
                    </a:prstGeom>
                  </pic:spPr>
                </pic:pic>
              </a:graphicData>
            </a:graphic>
          </wp:inline>
        </w:drawing>
      </w:r>
      <w:r>
        <w:rPr>
          <w:sz w:val="20"/>
        </w:rPr>
      </w:r>
    </w:p>
    <w:p>
      <w:pPr>
        <w:spacing w:before="54"/>
        <w:ind w:left="262" w:right="105" w:firstLine="0"/>
        <w:jc w:val="center"/>
        <w:rPr>
          <w:sz w:val="20"/>
        </w:rPr>
      </w:pPr>
      <w:r>
        <w:rPr>
          <w:sz w:val="20"/>
        </w:rPr>
        <w:t>Nota: el tamaño de los iconos corresponde a la cantidad de cada variable que representa el de mayor tamaño indica que la concentración del elemento se ubica en determinado ámbito.</w:t>
      </w:r>
    </w:p>
    <w:p>
      <w:pPr>
        <w:spacing w:before="0"/>
        <w:ind w:left="262" w:right="112" w:firstLine="0"/>
        <w:jc w:val="center"/>
        <w:rPr>
          <w:sz w:val="20"/>
        </w:rPr>
      </w:pPr>
      <w:r>
        <w:rPr>
          <w:sz w:val="20"/>
        </w:rPr>
        <w:t>Fuente: Elaboración propia con los resultados de la investigación</w:t>
      </w:r>
    </w:p>
    <w:p>
      <w:pPr>
        <w:spacing w:after="0"/>
        <w:jc w:val="center"/>
        <w:rPr>
          <w:sz w:val="20"/>
        </w:rPr>
        <w:sectPr>
          <w:type w:val="continuous"/>
          <w:pgSz w:w="12240" w:h="15840"/>
          <w:pgMar w:top="1500" w:bottom="280" w:left="1440" w:right="1600"/>
        </w:sectPr>
      </w:pPr>
    </w:p>
    <w:p>
      <w:pPr>
        <w:pStyle w:val="BodyText"/>
        <w:spacing w:line="360" w:lineRule="auto" w:before="54"/>
        <w:ind w:left="102" w:right="117"/>
        <w:jc w:val="both"/>
      </w:pPr>
      <w:r>
        <w:rPr/>
        <w:t>Los cambios observados en la estructuración metropolitana de Toluca en las dos últimas décadas (1990-2010) se deben principalmente al proceso de maduración de la suburbanización, desde donde inicia la fase de desurbanización. La suburbanización se muestra en el continuo crecimiento de población, vivienda y empleo urbano en la franja de municipios de interrelación funcional intermedia (MIFI). Es decir, que la ZMT presenta dos fases yuxtapuestas, las cuales explican la dinámica de la periferia extendida.</w:t>
      </w:r>
    </w:p>
    <w:p>
      <w:pPr>
        <w:pStyle w:val="BodyText"/>
        <w:spacing w:before="7"/>
      </w:pPr>
    </w:p>
    <w:p>
      <w:pPr>
        <w:pStyle w:val="BodyText"/>
        <w:spacing w:line="360" w:lineRule="auto"/>
        <w:ind w:left="102" w:right="119"/>
        <w:jc w:val="both"/>
      </w:pPr>
      <w:r>
        <w:rPr/>
        <w:t>La suburbanización se caracteriza por una etapa avanzada o madura, el crecimiento de población y de la vivienda se desconcentra en la década de 1990 al 2000 y se intensifica de 2000 al 2010, siendo el ámbito con mayor dinámica los municipios de interrelación funcional intermedia (MIFI), tales cambios llevan dos décadas de dinamismo, en términos absolutos y relativos como se observa en el esquema 8.</w:t>
      </w:r>
    </w:p>
    <w:p>
      <w:pPr>
        <w:pStyle w:val="BodyText"/>
        <w:spacing w:before="7"/>
      </w:pPr>
    </w:p>
    <w:p>
      <w:pPr>
        <w:pStyle w:val="BodyText"/>
        <w:spacing w:line="360" w:lineRule="auto"/>
        <w:ind w:left="102" w:right="123"/>
        <w:jc w:val="both"/>
      </w:pPr>
      <w:r>
        <w:rPr/>
        <w:t>Revisando la descripción conceptual de la suburbanización como aquel proceso  de crecimiento que se localiza en la periferia inmediata, donde la población realiza viajes diarios de las afueras de la ciudad hacia su interior, como lo explica Pacione (2005); esto se corrobora en la investigación en la dependencia de la población activa que radica en la franja intermedia (MIFI) y trabaja en el área central (AUC), se cumple también lo dicho por Zárate (2012) que la población se traslada en su área metropolitana central, quedando los espacios habitacionales en las zonas conformando un patrón dual</w:t>
      </w:r>
      <w:r>
        <w:rPr>
          <w:spacing w:val="-19"/>
        </w:rPr>
        <w:t> </w:t>
      </w:r>
      <w:r>
        <w:rPr/>
        <w:t>centro-periferia.</w:t>
      </w:r>
    </w:p>
    <w:p>
      <w:pPr>
        <w:pStyle w:val="BodyText"/>
        <w:spacing w:before="10"/>
      </w:pPr>
    </w:p>
    <w:p>
      <w:pPr>
        <w:pStyle w:val="BodyText"/>
        <w:spacing w:line="360" w:lineRule="auto"/>
        <w:ind w:left="102" w:right="116"/>
        <w:jc w:val="both"/>
      </w:pPr>
      <w:r>
        <w:rPr/>
        <w:t>De manera que los patrones de localización de las variables estudiadas -en la corona llamada Municipios de Interrelación Funcional Intermedia (MIFI) y Resto de Municipios de Relación Externa (RMRE)-, confirman un grado de  desconcentración desde la ciudad central a consecuencia de los procesos de descentralización de la vivienda y la población, así como el  aumento  de dinamismo en la franja intermedia y externa, como lo planteaba la hipótesis de la investigación como se observa en el esquema</w:t>
      </w:r>
      <w:r>
        <w:rPr>
          <w:spacing w:val="-14"/>
        </w:rPr>
        <w:t> </w:t>
      </w:r>
      <w:r>
        <w:rPr/>
        <w:t>8.</w:t>
      </w:r>
    </w:p>
    <w:p>
      <w:pPr>
        <w:spacing w:after="0" w:line="360" w:lineRule="auto"/>
        <w:jc w:val="both"/>
        <w:sectPr>
          <w:pgSz w:w="12240" w:h="15840"/>
          <w:pgMar w:header="0" w:footer="659" w:top="1360" w:bottom="840" w:left="1600" w:right="1580"/>
        </w:sectPr>
      </w:pPr>
    </w:p>
    <w:p>
      <w:pPr>
        <w:pStyle w:val="BodyText"/>
        <w:spacing w:line="360" w:lineRule="auto" w:before="54"/>
        <w:ind w:left="102" w:right="125"/>
        <w:jc w:val="both"/>
      </w:pPr>
      <w:r>
        <w:rPr/>
        <w:t>Por tanto, la dinámica externa observada permite asegurar el inicio de la desurbanización en forma parcial en el caso de la Zona Metropolitana de Toluca, pues se cumple una parte de lo señalado en la bibliografía especializada (Dematteis, 1998; Pacione, 2005 y Zárate, 2012) donde hay consenso en asentar que la dinámica del crecimiento externo es mayor, al área central y al área de suburbanización, se debe cumplir un cambio total a favor de la zona externa.</w:t>
      </w:r>
    </w:p>
    <w:p>
      <w:pPr>
        <w:pStyle w:val="BodyText"/>
        <w:spacing w:before="7"/>
      </w:pPr>
    </w:p>
    <w:p>
      <w:pPr>
        <w:pStyle w:val="BodyText"/>
        <w:spacing w:line="360" w:lineRule="auto"/>
        <w:ind w:left="102" w:right="114"/>
        <w:jc w:val="both"/>
      </w:pPr>
      <w:r>
        <w:rPr/>
        <w:t>Por ejemplo, Pacione (2005) afirma que el aumento del anillo externo, -en nuestro caso del ámbito de resto de municipios de relación Externa-, debería ser mayor a la pérdida de la población que se genera en la ciudad central –para el caso del AUC-, situación que todavía no registra la Zona Metropolitana de Toluca, ya que solo se observa una disminución del ritmo de crecimiento poblacional, pero la ciudad central no presenta tasas</w:t>
      </w:r>
      <w:r>
        <w:rPr>
          <w:spacing w:val="-18"/>
        </w:rPr>
        <w:t> </w:t>
      </w:r>
      <w:r>
        <w:rPr/>
        <w:t>negativas.</w:t>
      </w:r>
    </w:p>
    <w:p>
      <w:pPr>
        <w:pStyle w:val="BodyText"/>
        <w:spacing w:before="10"/>
      </w:pPr>
    </w:p>
    <w:p>
      <w:pPr>
        <w:pStyle w:val="BodyText"/>
        <w:spacing w:line="360" w:lineRule="auto"/>
        <w:ind w:left="102" w:right="119"/>
        <w:jc w:val="both"/>
      </w:pPr>
      <w:r>
        <w:rPr/>
        <w:t>Con las variables de los desplazamientos se comprueba la dependencia de la población de la parte externa de la ZMT con la parte central, ya que se desconcentra la vivienda pero las fuentes de empleo están polarizadas en la franja central, y para la población es determinante realizar esos desplazamientos de residencia-trabajo</w:t>
      </w:r>
    </w:p>
    <w:p>
      <w:pPr>
        <w:pStyle w:val="BodyText"/>
        <w:spacing w:before="7"/>
      </w:pPr>
    </w:p>
    <w:p>
      <w:pPr>
        <w:pStyle w:val="BodyText"/>
        <w:spacing w:line="360" w:lineRule="auto"/>
        <w:ind w:left="102" w:right="117"/>
        <w:jc w:val="both"/>
      </w:pPr>
      <w:r>
        <w:rPr/>
        <w:t>Otra condición que describe Dematteis (1998), referente a los cambios  económicos externos que generan campos de polarización independientes a las grandes concentraciones, en la ZMT el espacio llamado área urbana continua se caracteriza por mantener la concentración y también centralización de la economía que propicia se convierta en un polo sobre el cual depende la población activa de la franja externa. Si bien hay un subnodo de actividad y cierta dinámica externa en el caso de estudio, sólo puede calificarse como primer indicio de desconcentración del empleo, el cual tampoco organiza áreas de relativa densificación económica, la tasa de crecimiento del empleo más alta se presentó en el periodo 1990-2000, y el período siguiente no intensifica el proceso en la periferia externa (ver esquema</w:t>
      </w:r>
      <w:r>
        <w:rPr>
          <w:spacing w:val="-28"/>
        </w:rPr>
        <w:t> </w:t>
      </w:r>
      <w:r>
        <w:rPr>
          <w:spacing w:val="2"/>
        </w:rPr>
        <w:t>8).</w:t>
      </w:r>
    </w:p>
    <w:p>
      <w:pPr>
        <w:pStyle w:val="BodyText"/>
        <w:spacing w:before="7"/>
      </w:pPr>
    </w:p>
    <w:p>
      <w:pPr>
        <w:pStyle w:val="BodyText"/>
        <w:spacing w:line="360" w:lineRule="auto"/>
        <w:ind w:left="102" w:right="125"/>
        <w:jc w:val="both"/>
      </w:pPr>
      <w:r>
        <w:rPr/>
        <w:t>La realidad mexiquense (ZMT) difiere de las descritas para el contexto europeo, donde identifican procesos de desconcentración de las actividades económicas</w:t>
      </w:r>
    </w:p>
    <w:p>
      <w:pPr>
        <w:spacing w:after="0" w:line="360" w:lineRule="auto"/>
        <w:jc w:val="both"/>
        <w:sectPr>
          <w:pgSz w:w="12240" w:h="15840"/>
          <w:pgMar w:header="0" w:footer="659" w:top="1360" w:bottom="840" w:left="1600" w:right="1580"/>
        </w:sectPr>
      </w:pPr>
    </w:p>
    <w:p>
      <w:pPr>
        <w:pStyle w:val="BodyText"/>
        <w:spacing w:line="360" w:lineRule="auto" w:before="54"/>
        <w:ind w:left="102" w:right="118"/>
        <w:jc w:val="both"/>
      </w:pPr>
      <w:r>
        <w:rPr/>
        <w:t>que transforman los territorios agrícolas y la aparición de centros industriales, que en conjunto potencializan las relaciones productivas externas e impulsan el crecimiento de nodos económicos incrementando interrelaciones hasta formar redes; el caso de la “ciudad difusa” de Indovina (1998), esto puede explicarse a partir de que la zona metropolitana de Toluca comenzó con la actividad industrial por la desconcentración de estas actividades en la ZMVM., y la dinámica de desconcentración en Toluca apenas tiene ligueros indicios de descentralización de las actividades y el empleo en las dos coronas externas pero no se puede catalogar como nodos competitivos además de que las políticas económicas aun responden a un esquema centralizado.</w:t>
      </w:r>
    </w:p>
    <w:p>
      <w:pPr>
        <w:pStyle w:val="BodyText"/>
        <w:spacing w:before="7"/>
      </w:pPr>
    </w:p>
    <w:p>
      <w:pPr>
        <w:pStyle w:val="BodyText"/>
        <w:spacing w:line="360" w:lineRule="auto"/>
        <w:ind w:left="102" w:right="116"/>
        <w:jc w:val="both"/>
      </w:pPr>
      <w:r>
        <w:rPr/>
        <w:t>Con lo anterior se corrobora que la Zona Metropolitana de Toluca manifiesta cambios en la estructura territorial, y se caracteriza por la yuxtaposición de la fase de suburbanización madura e inicio de la desurbanización, esto permite asentar que en la actual estructuración metropolitana de Toluca, la hipótesis de la desurbanización se cumpla parcialmente.</w:t>
      </w:r>
    </w:p>
    <w:p>
      <w:pPr>
        <w:pStyle w:val="BodyText"/>
        <w:spacing w:before="7"/>
      </w:pPr>
    </w:p>
    <w:p>
      <w:pPr>
        <w:pStyle w:val="BodyText"/>
        <w:spacing w:line="360" w:lineRule="auto"/>
        <w:ind w:left="102" w:right="116"/>
        <w:jc w:val="both"/>
      </w:pPr>
      <w:r>
        <w:rPr/>
        <w:t>Con ello se da respuesta a la pregunta ¿Cuáles han sido los cambios en la estructura territorial de la Zona Metropolitana de Toluca en las dos últimas décadas? En las últimas dos décadas en la Zona Metropolitana de Toluca ha iniciado el proceso de urbanización desconcentrada luego de la maduración de la suburbanización, pero todavía con alta dependencia económica del área urbana continua lo que mantiene su jerarquía, limitando el dinamismo de la económica en otros nodos externos. Es una expansión del crecimiento físico y demográfico en las coronas externas, pero con una centralidad económica</w:t>
      </w:r>
      <w:r>
        <w:rPr>
          <w:spacing w:val="-24"/>
        </w:rPr>
        <w:t> </w:t>
      </w:r>
      <w:r>
        <w:rPr/>
        <w:t>dominante.</w:t>
      </w:r>
    </w:p>
    <w:p>
      <w:pPr>
        <w:pStyle w:val="BodyText"/>
        <w:spacing w:before="6"/>
      </w:pPr>
    </w:p>
    <w:p>
      <w:pPr>
        <w:pStyle w:val="Heading4"/>
        <w:numPr>
          <w:ilvl w:val="1"/>
          <w:numId w:val="9"/>
        </w:numPr>
        <w:tabs>
          <w:tab w:pos="649" w:val="left" w:leader="none"/>
        </w:tabs>
        <w:spacing w:line="240" w:lineRule="auto" w:before="0" w:after="0"/>
        <w:ind w:left="648" w:right="0" w:hanging="546"/>
        <w:jc w:val="both"/>
      </w:pPr>
      <w:r>
        <w:rPr/>
        <w:t>El cambio de escala por la amplitud de</w:t>
      </w:r>
      <w:r>
        <w:rPr>
          <w:spacing w:val="-21"/>
        </w:rPr>
        <w:t> </w:t>
      </w:r>
      <w:r>
        <w:rPr/>
        <w:t>funcionamiento</w:t>
      </w:r>
    </w:p>
    <w:p>
      <w:pPr>
        <w:pStyle w:val="BodyText"/>
        <w:spacing w:before="5"/>
        <w:rPr>
          <w:b/>
          <w:sz w:val="38"/>
        </w:rPr>
      </w:pPr>
    </w:p>
    <w:p>
      <w:pPr>
        <w:pStyle w:val="BodyText"/>
        <w:spacing w:line="360" w:lineRule="auto"/>
        <w:ind w:left="102" w:right="120"/>
        <w:jc w:val="both"/>
      </w:pPr>
      <w:r>
        <w:rPr/>
        <w:t>La relación funcional se intensifica a medida que aumenta la expansión urbana, con ello se amplía el radio de distancia de los desplazamientos de la población,  por la presencia de vivienda en la periferia, que para el último quinquenio del 2005 al 2010, aumenta significativamente en la parte externa de la Zona  </w:t>
      </w:r>
      <w:r>
        <w:rPr>
          <w:spacing w:val="57"/>
        </w:rPr>
        <w:t> </w:t>
      </w:r>
      <w:r>
        <w:rPr/>
        <w:t>Metropolitana</w:t>
      </w:r>
    </w:p>
    <w:p>
      <w:pPr>
        <w:spacing w:after="0" w:line="360" w:lineRule="auto"/>
        <w:jc w:val="both"/>
        <w:sectPr>
          <w:pgSz w:w="12240" w:h="15840"/>
          <w:pgMar w:header="0" w:footer="659" w:top="1360" w:bottom="840" w:left="1600" w:right="1580"/>
        </w:sectPr>
      </w:pPr>
    </w:p>
    <w:p>
      <w:pPr>
        <w:pStyle w:val="BodyText"/>
        <w:spacing w:line="360" w:lineRule="auto" w:before="54"/>
        <w:ind w:left="102" w:right="121"/>
        <w:jc w:val="both"/>
      </w:pPr>
      <w:r>
        <w:rPr/>
        <w:t>de Toluca configurando un patrón de distribución decreciente en población y vivienda que, conforme se aleja del centro, tiende al aumento en el consumo de tierras, lo que indica baja densidad, dispersión y desconcentración.</w:t>
      </w:r>
    </w:p>
    <w:p>
      <w:pPr>
        <w:pStyle w:val="BodyText"/>
        <w:spacing w:before="10"/>
      </w:pPr>
    </w:p>
    <w:p>
      <w:pPr>
        <w:pStyle w:val="BodyText"/>
        <w:spacing w:line="360" w:lineRule="auto"/>
        <w:ind w:left="102" w:right="118"/>
        <w:jc w:val="both"/>
      </w:pPr>
      <w:r>
        <w:rPr/>
        <w:t>El aumento en la intensidad de los desplazamientos también se debe a la distribución por tamaño de asentamientos de la ZMT la cual en el siglo XX mantiene una presencia de características rurales en la corona suburbana llamada Municipios de Interrelación Funcional Intermedia (MIFI) y en la externa nombrada Resto de Municipios de Relación Externa (RMRE) señalando que los asentamientos de mayor tamaño concentran un máximo de 14, 999 habitantes denominados centros de población, para la primer década del siglo XXI, la distribución de los asentamientos comienza a adquirir características urbanas, aunque conserva un paisaje de ciudades pequeñas en los ámbitos (MIFI y RMRE), siendo el periodo en donde se registran ciudades medias únicamente en el área urbana continua ratificando el modelo de distribución de los asentamientos disperso con múltiples asentamientos de pequeña concentración de población.</w:t>
      </w:r>
    </w:p>
    <w:p>
      <w:pPr>
        <w:pStyle w:val="BodyText"/>
        <w:spacing w:before="7"/>
      </w:pPr>
    </w:p>
    <w:p>
      <w:pPr>
        <w:pStyle w:val="BodyText"/>
        <w:spacing w:line="360" w:lineRule="auto"/>
        <w:ind w:left="102" w:right="115"/>
        <w:jc w:val="both"/>
      </w:pPr>
      <w:r>
        <w:rPr/>
        <w:t>Derivado de lo anterior una de las aportaciones de la investigación es las relaciones funcionales las cuales ampliaron su escala de funcionamiento sobrepasando los límites de la Zona Metropolitana de Toluca, las cuales señalan un escala mayor a la que reconoce el grupo interinstitucional, asemejándose con la escala nacional que describe Garrocho (2012) en la jerarquía de ciudades 2005, aunque se observa un espacio nacional de influencia</w:t>
      </w:r>
      <w:r>
        <w:rPr>
          <w:spacing w:val="-25"/>
        </w:rPr>
        <w:t> </w:t>
      </w:r>
      <w:r>
        <w:rPr/>
        <w:t>mayor.</w:t>
      </w:r>
    </w:p>
    <w:p>
      <w:pPr>
        <w:pStyle w:val="BodyText"/>
        <w:spacing w:before="10"/>
      </w:pPr>
    </w:p>
    <w:p>
      <w:pPr>
        <w:pStyle w:val="BodyText"/>
        <w:spacing w:line="360" w:lineRule="auto"/>
        <w:ind w:left="102" w:right="118"/>
        <w:jc w:val="both"/>
      </w:pPr>
      <w:r>
        <w:rPr/>
        <w:t>Este documento encontró tres escalas de funcionamiento por las relaciones funcionales, la primera corresponde a los desplazamientos intra metropolitanos en ellos se observa por la información disponible para el año 2000, que los movimientos se polarizan hacia al ámbito área urbana continua (AUC), con una fuerte dependencia de la corona suburbana denominada aquí municipios de interrelación funcional intermedia (MIFI), el dinamismo se ubica en la parce central y en el ámbito intermedio, con lo que se observa una interrelación de suburbanización ya que la población activa vive en la periferia inmediata  </w:t>
      </w:r>
      <w:r>
        <w:rPr>
          <w:spacing w:val="60"/>
        </w:rPr>
        <w:t> </w:t>
      </w:r>
      <w:r>
        <w:rPr/>
        <w:t>llamada</w:t>
      </w:r>
    </w:p>
    <w:p>
      <w:pPr>
        <w:spacing w:after="0" w:line="360" w:lineRule="auto"/>
        <w:jc w:val="both"/>
        <w:sectPr>
          <w:pgSz w:w="12240" w:h="15840"/>
          <w:pgMar w:header="0" w:footer="659" w:top="1360" w:bottom="840" w:left="1600" w:right="1580"/>
        </w:sectPr>
      </w:pPr>
    </w:p>
    <w:p>
      <w:pPr>
        <w:pStyle w:val="BodyText"/>
        <w:spacing w:line="360" w:lineRule="auto" w:before="54"/>
        <w:ind w:left="102" w:right="126"/>
        <w:jc w:val="both"/>
      </w:pPr>
      <w:r>
        <w:rPr/>
        <w:t>(MIFI) y se emplea en el Área Urbana Continua como se observa en el esquema  9.</w:t>
      </w:r>
    </w:p>
    <w:p>
      <w:pPr>
        <w:pStyle w:val="BodyText"/>
        <w:spacing w:before="7"/>
      </w:pPr>
    </w:p>
    <w:p>
      <w:pPr>
        <w:pStyle w:val="BodyText"/>
        <w:spacing w:line="360" w:lineRule="auto"/>
        <w:ind w:left="102" w:right="115"/>
        <w:jc w:val="both"/>
      </w:pPr>
      <w:r>
        <w:rPr/>
        <w:t>Mientras que para el 2010 se observa la presencia de un subnodo de empleo en el Resto de Municipios de Relación Externa (RMRE) con ello se dinamiza los desplazamientos en esta zona, la cual genera sus propias dinámicas convirtiéndose en un espacio de relación funcional interna dinámica manifestando un comienzo de desurbanización con una dinámica que califica como metropolitana al corresponder a otro espacio metropolitano según la delimitación del grupo interinstitucional y se configura esta periferia por </w:t>
      </w:r>
      <w:r>
        <w:rPr>
          <w:spacing w:val="3"/>
        </w:rPr>
        <w:t>los </w:t>
      </w:r>
      <w:r>
        <w:rPr/>
        <w:t>flujos poblacionales empleo-residencia, aunque con desplazamientos que sobrepasan los límites de este ámbito, los cuales se dirigen principalmente al AUC, esto con la información de las encuestas origen destino, siguiendo con esta fuente el municipio con mayor atractividad en este ámbito es Tenango del Valle (ver esquema</w:t>
      </w:r>
      <w:r>
        <w:rPr>
          <w:spacing w:val="-21"/>
        </w:rPr>
        <w:t> </w:t>
      </w:r>
      <w:r>
        <w:rPr>
          <w:spacing w:val="2"/>
        </w:rPr>
        <w:t>9).</w:t>
      </w:r>
    </w:p>
    <w:p>
      <w:pPr>
        <w:pStyle w:val="BodyText"/>
        <w:spacing w:before="6"/>
      </w:pPr>
    </w:p>
    <w:p>
      <w:pPr>
        <w:spacing w:before="0" w:after="2"/>
        <w:ind w:left="122" w:right="146" w:firstLine="0"/>
        <w:jc w:val="center"/>
        <w:rPr>
          <w:sz w:val="20"/>
        </w:rPr>
      </w:pPr>
      <w:r>
        <w:rPr>
          <w:sz w:val="20"/>
        </w:rPr>
        <w:t>Esquema 9. Cambios en relaciones funcionales</w:t>
      </w:r>
    </w:p>
    <w:p>
      <w:pPr>
        <w:pStyle w:val="BodyText"/>
        <w:ind w:left="374"/>
        <w:rPr>
          <w:sz w:val="20"/>
        </w:rPr>
      </w:pPr>
      <w:r>
        <w:rPr>
          <w:sz w:val="20"/>
        </w:rPr>
        <w:drawing>
          <wp:inline distT="0" distB="0" distL="0" distR="0">
            <wp:extent cx="5244805" cy="3360420"/>
            <wp:effectExtent l="0" t="0" r="0" b="0"/>
            <wp:docPr id="49" name="image37.jpeg" descr=""/>
            <wp:cNvGraphicFramePr>
              <a:graphicFrameLocks noChangeAspect="1"/>
            </wp:cNvGraphicFramePr>
            <a:graphic>
              <a:graphicData uri="http://schemas.openxmlformats.org/drawingml/2006/picture">
                <pic:pic>
                  <pic:nvPicPr>
                    <pic:cNvPr id="50" name="image37.jpeg"/>
                    <pic:cNvPicPr/>
                  </pic:nvPicPr>
                  <pic:blipFill>
                    <a:blip r:embed="rId62" cstate="print"/>
                    <a:stretch>
                      <a:fillRect/>
                    </a:stretch>
                  </pic:blipFill>
                  <pic:spPr>
                    <a:xfrm>
                      <a:off x="0" y="0"/>
                      <a:ext cx="5244805" cy="3360420"/>
                    </a:xfrm>
                    <a:prstGeom prst="rect">
                      <a:avLst/>
                    </a:prstGeom>
                  </pic:spPr>
                </pic:pic>
              </a:graphicData>
            </a:graphic>
          </wp:inline>
        </w:drawing>
      </w:r>
      <w:r>
        <w:rPr>
          <w:sz w:val="20"/>
        </w:rPr>
      </w:r>
    </w:p>
    <w:p>
      <w:pPr>
        <w:spacing w:before="21"/>
        <w:ind w:left="119" w:right="146" w:firstLine="0"/>
        <w:jc w:val="center"/>
        <w:rPr>
          <w:sz w:val="20"/>
        </w:rPr>
      </w:pPr>
      <w:r>
        <w:rPr>
          <w:sz w:val="20"/>
        </w:rPr>
        <w:t>Fuente: Elaboración propia con los resultados de la investigación</w:t>
      </w:r>
    </w:p>
    <w:p>
      <w:pPr>
        <w:pStyle w:val="BodyText"/>
        <w:spacing w:before="10"/>
        <w:rPr>
          <w:sz w:val="19"/>
        </w:rPr>
      </w:pPr>
    </w:p>
    <w:p>
      <w:pPr>
        <w:pStyle w:val="BodyText"/>
        <w:spacing w:line="360" w:lineRule="auto" w:before="1"/>
        <w:ind w:left="102" w:right="115"/>
        <w:jc w:val="both"/>
      </w:pPr>
      <w:r>
        <w:rPr/>
        <w:t>Con esta información se corrobora la madurez de la fase de suburbanización por  la continua dependencia de la periferia inmediata con el centro (ver en el</w:t>
      </w:r>
      <w:r>
        <w:rPr>
          <w:spacing w:val="16"/>
        </w:rPr>
        <w:t> </w:t>
      </w:r>
      <w:r>
        <w:rPr/>
        <w:t>esquema</w:t>
      </w:r>
    </w:p>
    <w:p>
      <w:pPr>
        <w:spacing w:after="0" w:line="360" w:lineRule="auto"/>
        <w:jc w:val="both"/>
        <w:sectPr>
          <w:pgSz w:w="12240" w:h="15840"/>
          <w:pgMar w:header="0" w:footer="659" w:top="1360" w:bottom="840" w:left="1600" w:right="1580"/>
        </w:sectPr>
      </w:pPr>
    </w:p>
    <w:p>
      <w:pPr>
        <w:pStyle w:val="BodyText"/>
        <w:spacing w:line="360" w:lineRule="auto" w:before="54"/>
        <w:ind w:left="102" w:right="103"/>
        <w:jc w:val="both"/>
      </w:pPr>
      <w:r>
        <w:rPr/>
        <w:t>9). Además se observa una configuración binodal por empleo También se  identifica con las dos fuentes de información que la dinámica de movimientos entre los ámbitos es abierta, así como la polarización de los desplazamientos hacia el AUC, principalmente por</w:t>
      </w:r>
      <w:r>
        <w:rPr>
          <w:spacing w:val="-9"/>
        </w:rPr>
        <w:t> </w:t>
      </w:r>
      <w:r>
        <w:rPr/>
        <w:t>empleo.</w:t>
      </w:r>
    </w:p>
    <w:p>
      <w:pPr>
        <w:pStyle w:val="BodyText"/>
        <w:spacing w:before="6"/>
      </w:pPr>
    </w:p>
    <w:p>
      <w:pPr>
        <w:spacing w:before="0" w:after="3"/>
        <w:ind w:left="2591" w:right="294" w:firstLine="0"/>
        <w:jc w:val="left"/>
        <w:rPr>
          <w:sz w:val="20"/>
        </w:rPr>
      </w:pPr>
      <w:r>
        <w:rPr>
          <w:sz w:val="20"/>
        </w:rPr>
        <w:t>Mapa 14. Relaciones funcionales estatales.</w:t>
      </w:r>
    </w:p>
    <w:p>
      <w:pPr>
        <w:pStyle w:val="BodyText"/>
        <w:ind w:left="965"/>
        <w:rPr>
          <w:sz w:val="20"/>
        </w:rPr>
      </w:pPr>
      <w:r>
        <w:rPr>
          <w:sz w:val="20"/>
        </w:rPr>
        <w:drawing>
          <wp:inline distT="0" distB="0" distL="0" distR="0">
            <wp:extent cx="4542319" cy="5875782"/>
            <wp:effectExtent l="0" t="0" r="0" b="0"/>
            <wp:docPr id="51" name="image38.jpeg" descr=""/>
            <wp:cNvGraphicFramePr>
              <a:graphicFrameLocks noChangeAspect="1"/>
            </wp:cNvGraphicFramePr>
            <a:graphic>
              <a:graphicData uri="http://schemas.openxmlformats.org/drawingml/2006/picture">
                <pic:pic>
                  <pic:nvPicPr>
                    <pic:cNvPr id="52" name="image38.jpeg"/>
                    <pic:cNvPicPr/>
                  </pic:nvPicPr>
                  <pic:blipFill>
                    <a:blip r:embed="rId63" cstate="print"/>
                    <a:stretch>
                      <a:fillRect/>
                    </a:stretch>
                  </pic:blipFill>
                  <pic:spPr>
                    <a:xfrm>
                      <a:off x="0" y="0"/>
                      <a:ext cx="4542319" cy="5875782"/>
                    </a:xfrm>
                    <a:prstGeom prst="rect">
                      <a:avLst/>
                    </a:prstGeom>
                  </pic:spPr>
                </pic:pic>
              </a:graphicData>
            </a:graphic>
          </wp:inline>
        </w:drawing>
      </w:r>
      <w:r>
        <w:rPr>
          <w:sz w:val="20"/>
        </w:rPr>
      </w:r>
    </w:p>
    <w:p>
      <w:pPr>
        <w:pStyle w:val="BodyText"/>
        <w:spacing w:before="4"/>
        <w:rPr>
          <w:sz w:val="28"/>
        </w:rPr>
      </w:pPr>
    </w:p>
    <w:p>
      <w:pPr>
        <w:pStyle w:val="BodyText"/>
        <w:spacing w:line="360" w:lineRule="auto" w:before="1"/>
        <w:ind w:left="102" w:right="101"/>
        <w:jc w:val="both"/>
      </w:pPr>
      <w:r>
        <w:rPr/>
        <w:t>En la escala de relación funcional estatal, se registra que predominan las relaciones funcionales de la población activa, las cuales se intensifican hacia la parte poniente de la ZMT aunados a los movimientos hacia los municipios</w:t>
      </w:r>
      <w:r>
        <w:rPr>
          <w:spacing w:val="54"/>
        </w:rPr>
        <w:t> </w:t>
      </w:r>
      <w:r>
        <w:rPr/>
        <w:t>vecinos</w:t>
      </w:r>
    </w:p>
    <w:p>
      <w:pPr>
        <w:spacing w:after="0" w:line="360" w:lineRule="auto"/>
        <w:jc w:val="both"/>
        <w:sectPr>
          <w:pgSz w:w="12240" w:h="15840"/>
          <w:pgMar w:header="0" w:footer="659" w:top="1360" w:bottom="840" w:left="1600" w:right="1600"/>
        </w:sectPr>
      </w:pPr>
    </w:p>
    <w:p>
      <w:pPr>
        <w:pStyle w:val="BodyText"/>
        <w:spacing w:line="360" w:lineRule="auto" w:before="54"/>
        <w:ind w:left="102" w:right="101"/>
        <w:jc w:val="both"/>
      </w:pPr>
      <w:r>
        <w:rPr/>
        <w:t>configurando un funcionamiento diario que se abre en dirección norte, poniente y sur de la Zona metropolitana mientras en la parte poniente destaca el caso de Naucalpan, ya que el patrón de movimientos hacia esa zona muestra una disminución conforme se incrementa la distancia (ver mapa 14).</w:t>
      </w:r>
    </w:p>
    <w:p>
      <w:pPr>
        <w:pStyle w:val="BodyText"/>
        <w:spacing w:before="6"/>
      </w:pPr>
    </w:p>
    <w:p>
      <w:pPr>
        <w:spacing w:before="0" w:after="3"/>
        <w:ind w:left="2514" w:right="294" w:firstLine="0"/>
        <w:jc w:val="left"/>
        <w:rPr>
          <w:sz w:val="20"/>
        </w:rPr>
      </w:pPr>
      <w:r>
        <w:rPr>
          <w:sz w:val="20"/>
        </w:rPr>
        <w:t>Mapa 15. Relaciones funcionales nacionales.</w:t>
      </w:r>
    </w:p>
    <w:p>
      <w:pPr>
        <w:pStyle w:val="BodyText"/>
        <w:ind w:left="101" w:right="-21"/>
        <w:rPr>
          <w:sz w:val="20"/>
        </w:rPr>
      </w:pPr>
      <w:r>
        <w:rPr>
          <w:sz w:val="20"/>
        </w:rPr>
        <w:drawing>
          <wp:inline distT="0" distB="0" distL="0" distR="0">
            <wp:extent cx="5664079" cy="3658742"/>
            <wp:effectExtent l="0" t="0" r="0" b="0"/>
            <wp:docPr id="53" name="image39.jpeg" descr=""/>
            <wp:cNvGraphicFramePr>
              <a:graphicFrameLocks noChangeAspect="1"/>
            </wp:cNvGraphicFramePr>
            <a:graphic>
              <a:graphicData uri="http://schemas.openxmlformats.org/drawingml/2006/picture">
                <pic:pic>
                  <pic:nvPicPr>
                    <pic:cNvPr id="54" name="image39.jpeg"/>
                    <pic:cNvPicPr/>
                  </pic:nvPicPr>
                  <pic:blipFill>
                    <a:blip r:embed="rId64" cstate="print"/>
                    <a:stretch>
                      <a:fillRect/>
                    </a:stretch>
                  </pic:blipFill>
                  <pic:spPr>
                    <a:xfrm>
                      <a:off x="0" y="0"/>
                      <a:ext cx="5664079" cy="3658742"/>
                    </a:xfrm>
                    <a:prstGeom prst="rect">
                      <a:avLst/>
                    </a:prstGeom>
                  </pic:spPr>
                </pic:pic>
              </a:graphicData>
            </a:graphic>
          </wp:inline>
        </w:drawing>
      </w:r>
      <w:r>
        <w:rPr>
          <w:sz w:val="20"/>
        </w:rPr>
      </w:r>
    </w:p>
    <w:p>
      <w:pPr>
        <w:pStyle w:val="BodyText"/>
        <w:spacing w:before="9"/>
        <w:rPr>
          <w:sz w:val="29"/>
        </w:rPr>
      </w:pPr>
    </w:p>
    <w:p>
      <w:pPr>
        <w:pStyle w:val="BodyText"/>
        <w:spacing w:line="360" w:lineRule="auto"/>
        <w:ind w:left="102" w:right="98"/>
        <w:jc w:val="both"/>
      </w:pPr>
      <w:r>
        <w:rPr/>
        <w:t>En la escala nacional se intensifican las relaciones funcionales de la población activa en los estados vecinos, coincidiendo con Garrocho (2012) en estados como Morelos, Guerrero Hidalgo y Michoacán, mientras que en la parte norte del país  se disminuye significativamente los desplazamientos hacia el noroeste siendo punto de llegada para la población de la ZMT a señalar en esta zona Baja California. En contraparte en el sur este la relación de la zona metropolitana son nulas con excepción del estado Yucatán como se puede ver en el mapa</w:t>
      </w:r>
      <w:r>
        <w:rPr>
          <w:spacing w:val="-21"/>
        </w:rPr>
        <w:t> </w:t>
      </w:r>
      <w:r>
        <w:rPr/>
        <w:t>15.</w:t>
      </w:r>
    </w:p>
    <w:p>
      <w:pPr>
        <w:spacing w:after="0" w:line="360" w:lineRule="auto"/>
        <w:jc w:val="both"/>
        <w:sectPr>
          <w:pgSz w:w="12240" w:h="15840"/>
          <w:pgMar w:header="0" w:footer="659" w:top="1360" w:bottom="840" w:left="1600" w:right="160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2"/>
      </w:pPr>
    </w:p>
    <w:p>
      <w:pPr>
        <w:pStyle w:val="Heading1"/>
        <w:spacing w:line="360" w:lineRule="auto"/>
        <w:ind w:left="2893" w:right="197" w:hanging="2682"/>
      </w:pPr>
      <w:r>
        <w:rPr/>
        <w:t>Capítulo VI. Conclusiones generales y líneas de investigación</w:t>
      </w:r>
    </w:p>
    <w:p>
      <w:pPr>
        <w:spacing w:after="0" w:line="360" w:lineRule="auto"/>
        <w:sectPr>
          <w:footerReference w:type="default" r:id="rId65"/>
          <w:pgSz w:w="12240" w:h="15840"/>
          <w:pgMar w:footer="659" w:header="0" w:top="1500" w:bottom="840" w:left="1660" w:right="1660"/>
          <w:pgNumType w:start="140"/>
        </w:sectPr>
      </w:pPr>
    </w:p>
    <w:p>
      <w:pPr>
        <w:pStyle w:val="Heading3"/>
        <w:spacing w:line="360" w:lineRule="auto"/>
        <w:ind w:left="3498" w:hanging="2607"/>
      </w:pPr>
      <w:r>
        <w:rPr/>
        <w:t>Capítulo VI. Conclusiones generales y líneas de investigación</w:t>
      </w:r>
    </w:p>
    <w:p>
      <w:pPr>
        <w:pStyle w:val="BodyText"/>
        <w:spacing w:before="4"/>
        <w:rPr>
          <w:b/>
          <w:sz w:val="25"/>
        </w:rPr>
      </w:pPr>
    </w:p>
    <w:p>
      <w:pPr>
        <w:pStyle w:val="Heading5"/>
        <w:numPr>
          <w:ilvl w:val="1"/>
          <w:numId w:val="10"/>
        </w:numPr>
        <w:tabs>
          <w:tab w:pos="505" w:val="left" w:leader="none"/>
        </w:tabs>
        <w:spacing w:line="240" w:lineRule="auto" w:before="0" w:after="0"/>
        <w:ind w:left="504" w:right="0" w:hanging="402"/>
        <w:jc w:val="both"/>
      </w:pPr>
      <w:r>
        <w:rPr/>
        <w:t>Reflexiones generales y propuesta</w:t>
      </w:r>
      <w:r>
        <w:rPr>
          <w:spacing w:val="-17"/>
        </w:rPr>
        <w:t> </w:t>
      </w:r>
      <w:r>
        <w:rPr/>
        <w:t>metodológica</w:t>
      </w:r>
    </w:p>
    <w:p>
      <w:pPr>
        <w:pStyle w:val="BodyText"/>
        <w:rPr>
          <w:b/>
        </w:rPr>
      </w:pPr>
    </w:p>
    <w:p>
      <w:pPr>
        <w:pStyle w:val="BodyText"/>
        <w:spacing w:line="360" w:lineRule="auto" w:before="141"/>
        <w:ind w:left="102" w:right="115"/>
        <w:jc w:val="both"/>
      </w:pPr>
      <w:r>
        <w:rPr/>
        <w:t>Entre las características particulares de la Zona Metropolitana de Toluca están las condiciones desiguales del empleo en la franja externa, resultado de la polarización hacia el ámbito “Área Urbana Continua”, el cual mantiene la jerarquía y ha condicionado ejerciendo una fuerte concentración de población, vivienda y empleo en la zona central que hasta los últimos veinte años en los que ha comenzado a desconcentrar dichos elementos, que se conjuntan con la salida de población del Área urbana Continua, hacia los Municipios de Interrelación Funcional Intermedia y el Resto de Municipios de Relación Externa, lo que propicia la presencia de dos procesos yuxtapuestos, en el ámbito intermedio suburbanización y en el ámbito externo</w:t>
      </w:r>
      <w:r>
        <w:rPr>
          <w:spacing w:val="-19"/>
        </w:rPr>
        <w:t> </w:t>
      </w:r>
      <w:r>
        <w:rPr/>
        <w:t>desurbanización.</w:t>
      </w:r>
    </w:p>
    <w:p>
      <w:pPr>
        <w:pStyle w:val="BodyText"/>
        <w:spacing w:before="7"/>
      </w:pPr>
    </w:p>
    <w:p>
      <w:pPr>
        <w:pStyle w:val="BodyText"/>
        <w:spacing w:line="360" w:lineRule="auto"/>
        <w:ind w:left="102" w:right="117"/>
        <w:jc w:val="both"/>
      </w:pPr>
      <w:r>
        <w:rPr/>
        <w:t>Entonces pese a que la evidencia en un primer momento puede llegar a demostrar que se presenta desurbanización en la Zona Metropolitana de Toluca, es preciso considerar que en esta investigación se toma con cautela afirmar la situación y se opta por decir que si existe pero en una fase inicial, debido a que las condiciones económicas aun no alcanzan a reunir las características para aseverar la presencia de la tercera etapa del ciclo de vida urbano, al ser simplemente indicios de desconcentración del empleo urbano, sin que detonen dinamismo del proceso de urbanización en la zona externa; aunado a la descripción del primer capítulo en el que se explica a la desurbanización como parte de un proceso evolutivo, y entonces al señalar que se presenta la suburbanización en etapa madura, es casi consecuente que comienza la desurbanización, siendo estas las razones por las que se cataloga como en un estado de arranque o en una etapa</w:t>
      </w:r>
      <w:r>
        <w:rPr>
          <w:spacing w:val="-22"/>
        </w:rPr>
        <w:t> </w:t>
      </w:r>
      <w:r>
        <w:rPr/>
        <w:t>inicial.</w:t>
      </w:r>
    </w:p>
    <w:p>
      <w:pPr>
        <w:pStyle w:val="BodyText"/>
        <w:spacing w:before="7"/>
      </w:pPr>
    </w:p>
    <w:p>
      <w:pPr>
        <w:pStyle w:val="BodyText"/>
        <w:spacing w:line="360" w:lineRule="auto"/>
        <w:ind w:left="102" w:right="124"/>
        <w:jc w:val="both"/>
      </w:pPr>
      <w:r>
        <w:rPr/>
        <w:t>Mientras que la periferia de relación externa en el siglo XXI, cambia al presentar características de dualidad con la presencia creciente de ciudades pequeñas y las localidades   rurales   convirtiéndose   en   la   franja   periurbana   comprobando la</w:t>
      </w:r>
    </w:p>
    <w:p>
      <w:pPr>
        <w:spacing w:after="0" w:line="360" w:lineRule="auto"/>
        <w:jc w:val="both"/>
        <w:sectPr>
          <w:pgSz w:w="12240" w:h="15840"/>
          <w:pgMar w:header="0" w:footer="659" w:top="1380" w:bottom="840" w:left="1600" w:right="1580"/>
        </w:sectPr>
      </w:pPr>
    </w:p>
    <w:p>
      <w:pPr>
        <w:pStyle w:val="BodyText"/>
        <w:spacing w:line="360" w:lineRule="auto" w:before="54"/>
        <w:ind w:left="102" w:right="122"/>
        <w:jc w:val="both"/>
      </w:pPr>
      <w:r>
        <w:rPr/>
        <w:t>desconcentración y dispersión, que combinan el paisaje urbano en espacios rurales. Como señalaba Entrena (2005) es uno de los cambios en la fase de des urbanización, en donde el periurbano es la zona de cambio entre rural y urbano con mezcla de actividades, quedando pendiente la relación en red en la ZMT.</w:t>
      </w:r>
    </w:p>
    <w:p>
      <w:pPr>
        <w:pStyle w:val="BodyText"/>
        <w:spacing w:before="7"/>
      </w:pPr>
    </w:p>
    <w:p>
      <w:pPr>
        <w:pStyle w:val="BodyText"/>
        <w:spacing w:line="360" w:lineRule="auto"/>
        <w:ind w:left="102" w:right="117"/>
        <w:jc w:val="both"/>
      </w:pPr>
      <w:r>
        <w:rPr/>
        <w:t>En este documento la identificación de la fase y sus características derivo de la aplicación de una metodología la cual se preparó considerando otros casos de estudio semejantes, de los cuales se arma una tipología de análisis, ésta consiste en la tipificación de los procesos que los autores median y las características que definía cada autor, así como los instrumentos de medición que utilizaba, con lo  que finalmente se identificaron las variable de medición</w:t>
      </w:r>
      <w:r>
        <w:rPr>
          <w:spacing w:val="-26"/>
        </w:rPr>
        <w:t> </w:t>
      </w:r>
      <w:r>
        <w:rPr/>
        <w:t>empleadas.</w:t>
      </w:r>
    </w:p>
    <w:p>
      <w:pPr>
        <w:pStyle w:val="BodyText"/>
        <w:spacing w:before="10"/>
      </w:pPr>
    </w:p>
    <w:p>
      <w:pPr>
        <w:pStyle w:val="BodyText"/>
        <w:spacing w:line="360" w:lineRule="auto"/>
        <w:ind w:left="102" w:right="126"/>
        <w:jc w:val="both"/>
      </w:pPr>
      <w:r>
        <w:rPr/>
        <w:t>La propuesta armada en esta investigación consiste primero en la selección de  una Zona metropolitana la cual debe subdividirse en tres ámbitos los cuales</w:t>
      </w:r>
      <w:r>
        <w:rPr>
          <w:spacing w:val="-31"/>
        </w:rPr>
        <w:t> </w:t>
      </w:r>
      <w:r>
        <w:rPr/>
        <w:t>son:</w:t>
      </w:r>
    </w:p>
    <w:p>
      <w:pPr>
        <w:pStyle w:val="BodyText"/>
        <w:spacing w:before="8"/>
      </w:pPr>
    </w:p>
    <w:p>
      <w:pPr>
        <w:pStyle w:val="ListParagraph"/>
        <w:numPr>
          <w:ilvl w:val="2"/>
          <w:numId w:val="10"/>
        </w:numPr>
        <w:tabs>
          <w:tab w:pos="1535" w:val="left" w:leader="none"/>
        </w:tabs>
        <w:spacing w:line="350" w:lineRule="auto" w:before="0" w:after="0"/>
        <w:ind w:left="1534" w:right="121" w:hanging="355"/>
        <w:jc w:val="both"/>
        <w:rPr>
          <w:sz w:val="24"/>
        </w:rPr>
      </w:pPr>
      <w:r>
        <w:rPr>
          <w:sz w:val="24"/>
        </w:rPr>
        <w:t>El área urbana central, en esta zona se consideran los municipios centrales que originaron a la zona</w:t>
      </w:r>
      <w:r>
        <w:rPr>
          <w:spacing w:val="-18"/>
          <w:sz w:val="24"/>
        </w:rPr>
        <w:t> </w:t>
      </w:r>
      <w:r>
        <w:rPr>
          <w:sz w:val="24"/>
        </w:rPr>
        <w:t>metropolitana,</w:t>
      </w:r>
    </w:p>
    <w:p>
      <w:pPr>
        <w:pStyle w:val="ListParagraph"/>
        <w:numPr>
          <w:ilvl w:val="2"/>
          <w:numId w:val="10"/>
        </w:numPr>
        <w:tabs>
          <w:tab w:pos="1535" w:val="left" w:leader="none"/>
        </w:tabs>
        <w:spacing w:line="357" w:lineRule="auto" w:before="16" w:after="0"/>
        <w:ind w:left="1534" w:right="117" w:hanging="355"/>
        <w:jc w:val="both"/>
        <w:rPr>
          <w:sz w:val="24"/>
        </w:rPr>
      </w:pPr>
      <w:r>
        <w:rPr>
          <w:sz w:val="24"/>
        </w:rPr>
        <w:t>Los municipios de la periferia inmediata o área intermedia en este espacio se consideran los municipios que mantienen una relación funcional, y se ubican a una distancia del centro superable con las vías de comunicación, que facilita y permite los traslados continuos de la</w:t>
      </w:r>
      <w:r>
        <w:rPr>
          <w:spacing w:val="-5"/>
          <w:sz w:val="24"/>
        </w:rPr>
        <w:t> </w:t>
      </w:r>
      <w:r>
        <w:rPr>
          <w:sz w:val="24"/>
        </w:rPr>
        <w:t>población,</w:t>
      </w:r>
    </w:p>
    <w:p>
      <w:pPr>
        <w:pStyle w:val="ListParagraph"/>
        <w:numPr>
          <w:ilvl w:val="2"/>
          <w:numId w:val="10"/>
        </w:numPr>
        <w:tabs>
          <w:tab w:pos="1535" w:val="left" w:leader="none"/>
        </w:tabs>
        <w:spacing w:line="357" w:lineRule="auto" w:before="6" w:after="0"/>
        <w:ind w:left="1534" w:right="120" w:hanging="355"/>
        <w:jc w:val="both"/>
        <w:rPr>
          <w:sz w:val="24"/>
        </w:rPr>
      </w:pPr>
      <w:r>
        <w:rPr>
          <w:sz w:val="24"/>
        </w:rPr>
        <w:t>El anillo de municipios externos serán aquellos que se localicen a mayor distancia, pero que tengan una relación  funcional (movimientos residencia-trabajo), con el área central, además de mantener conectividad con la ciudad central y el área</w:t>
      </w:r>
      <w:r>
        <w:rPr>
          <w:spacing w:val="-22"/>
          <w:sz w:val="24"/>
        </w:rPr>
        <w:t> </w:t>
      </w:r>
      <w:r>
        <w:rPr>
          <w:sz w:val="24"/>
        </w:rPr>
        <w:t>intermedia.</w:t>
      </w:r>
    </w:p>
    <w:p>
      <w:pPr>
        <w:pStyle w:val="BodyText"/>
        <w:spacing w:before="10"/>
      </w:pPr>
    </w:p>
    <w:p>
      <w:pPr>
        <w:pStyle w:val="BodyText"/>
        <w:spacing w:line="360" w:lineRule="auto" w:before="1"/>
        <w:ind w:left="102" w:right="122"/>
        <w:jc w:val="both"/>
      </w:pPr>
      <w:r>
        <w:rPr/>
        <w:t>La segunda fase es la medición de la desconcentración e identificación de hacia donde se genera la expansión territorial, esta se logra con la comparación  temporal de las variables de localización: Población, vivienda y empleo urbano por cada uno de los ámbitos así como en cuantificación de crecimiento de las variables</w:t>
      </w:r>
      <w:r>
        <w:rPr>
          <w:spacing w:val="51"/>
        </w:rPr>
        <w:t> </w:t>
      </w:r>
      <w:r>
        <w:rPr/>
        <w:t>y</w:t>
      </w:r>
      <w:r>
        <w:rPr>
          <w:spacing w:val="51"/>
        </w:rPr>
        <w:t> </w:t>
      </w:r>
      <w:r>
        <w:rPr/>
        <w:t>cifras</w:t>
      </w:r>
      <w:r>
        <w:rPr>
          <w:spacing w:val="51"/>
        </w:rPr>
        <w:t> </w:t>
      </w:r>
      <w:r>
        <w:rPr/>
        <w:t>absolutas,</w:t>
      </w:r>
      <w:r>
        <w:rPr>
          <w:spacing w:val="51"/>
        </w:rPr>
        <w:t> </w:t>
      </w:r>
      <w:r>
        <w:rPr/>
        <w:t>con</w:t>
      </w:r>
      <w:r>
        <w:rPr>
          <w:spacing w:val="52"/>
        </w:rPr>
        <w:t> </w:t>
      </w:r>
      <w:r>
        <w:rPr/>
        <w:t>ella</w:t>
      </w:r>
      <w:r>
        <w:rPr>
          <w:spacing w:val="52"/>
        </w:rPr>
        <w:t> </w:t>
      </w:r>
      <w:r>
        <w:rPr/>
        <w:t>se</w:t>
      </w:r>
      <w:r>
        <w:rPr>
          <w:spacing w:val="52"/>
        </w:rPr>
        <w:t> </w:t>
      </w:r>
      <w:r>
        <w:rPr/>
        <w:t>logra</w:t>
      </w:r>
      <w:r>
        <w:rPr>
          <w:spacing w:val="51"/>
        </w:rPr>
        <w:t> </w:t>
      </w:r>
      <w:r>
        <w:rPr/>
        <w:t>la</w:t>
      </w:r>
      <w:r>
        <w:rPr>
          <w:spacing w:val="51"/>
        </w:rPr>
        <w:t> </w:t>
      </w:r>
      <w:r>
        <w:rPr/>
        <w:t>identificación</w:t>
      </w:r>
      <w:r>
        <w:rPr>
          <w:spacing w:val="52"/>
        </w:rPr>
        <w:t> </w:t>
      </w:r>
      <w:r>
        <w:rPr/>
        <w:t>de</w:t>
      </w:r>
      <w:r>
        <w:rPr>
          <w:spacing w:val="52"/>
        </w:rPr>
        <w:t> </w:t>
      </w:r>
      <w:r>
        <w:rPr/>
        <w:t>la</w:t>
      </w:r>
      <w:r>
        <w:rPr>
          <w:spacing w:val="51"/>
        </w:rPr>
        <w:t> </w:t>
      </w:r>
      <w:r>
        <w:rPr/>
        <w:t>estructura</w:t>
      </w:r>
    </w:p>
    <w:p>
      <w:pPr>
        <w:spacing w:after="0" w:line="360" w:lineRule="auto"/>
        <w:jc w:val="both"/>
        <w:sectPr>
          <w:pgSz w:w="12240" w:h="15840"/>
          <w:pgMar w:header="0" w:footer="659" w:top="1360" w:bottom="840" w:left="1600" w:right="1580"/>
        </w:sectPr>
      </w:pPr>
    </w:p>
    <w:p>
      <w:pPr>
        <w:pStyle w:val="BodyText"/>
        <w:spacing w:line="360" w:lineRule="auto" w:before="54"/>
        <w:ind w:left="102" w:right="121"/>
        <w:jc w:val="both"/>
      </w:pPr>
      <w:r>
        <w:rPr/>
        <w:t>urbana, la cual se alcanza con la comparación de los cambios en la presencia del tamaño de los asentamientos, lo que identifica el modelo de asentamientos, además de las densidades y consumos de uso de suelo en cada ámbito.</w:t>
      </w:r>
    </w:p>
    <w:p>
      <w:pPr>
        <w:pStyle w:val="BodyText"/>
        <w:spacing w:before="10"/>
      </w:pPr>
    </w:p>
    <w:p>
      <w:pPr>
        <w:pStyle w:val="BodyText"/>
        <w:spacing w:line="360" w:lineRule="auto"/>
        <w:ind w:left="102" w:right="116"/>
        <w:jc w:val="both"/>
      </w:pPr>
      <w:r>
        <w:rPr/>
        <w:t>Señalando que esta fase la carencia de información cartográfica de años anteriores como 1990, dificulta la comparación espacial, con lo que se facilitaría la identificación del patrón de los asentamientos, además de la dirección hacia la cual se distribuyen los desplazamientos de la población, la desconcentración de la vivienda lo mismo sucede para identificar espacialmente en los municipios los espacios de</w:t>
      </w:r>
      <w:r>
        <w:rPr>
          <w:spacing w:val="-6"/>
        </w:rPr>
        <w:t> </w:t>
      </w:r>
      <w:r>
        <w:rPr/>
        <w:t>empleo.</w:t>
      </w:r>
    </w:p>
    <w:p>
      <w:pPr>
        <w:pStyle w:val="BodyText"/>
        <w:spacing w:before="7"/>
      </w:pPr>
    </w:p>
    <w:p>
      <w:pPr>
        <w:pStyle w:val="BodyText"/>
        <w:spacing w:line="360" w:lineRule="auto"/>
        <w:ind w:left="102" w:right="115"/>
        <w:jc w:val="both"/>
      </w:pPr>
      <w:r>
        <w:rPr/>
        <w:t>La tercer fase es la medición del funcionamiento de la zona metropolitana, ésta es una fase compleja ya que se deben considerar las relaciones funcionales  mediante el conteo de los desplazamientos de la población, así como la causa; entre las variables que se pueden utilizar, están las mediciones del grupo interinstitucional o el levantamiento de encuestas origen destino, considerando  que estas últimas no se realizan con periodicidad ni en todo el territorio o a nivel municipal, señalando que entre las limitantes en este tipo de mediciones se tiene la disponibilidad de información ya que no se hace una cuantificación de los desplazamientos municipales y estatales por municipios, desglosados por las actividades, empleo, educación o servicios, ni existe una dependencia o institución que realice la recopilación de esta</w:t>
      </w:r>
      <w:r>
        <w:rPr>
          <w:spacing w:val="-18"/>
        </w:rPr>
        <w:t> </w:t>
      </w:r>
      <w:r>
        <w:rPr/>
        <w:t>información.</w:t>
      </w:r>
    </w:p>
    <w:p>
      <w:pPr>
        <w:pStyle w:val="BodyText"/>
        <w:spacing w:before="7"/>
      </w:pPr>
    </w:p>
    <w:p>
      <w:pPr>
        <w:pStyle w:val="BodyText"/>
        <w:spacing w:line="360" w:lineRule="auto"/>
        <w:ind w:left="102" w:right="122"/>
        <w:jc w:val="both"/>
      </w:pPr>
      <w:r>
        <w:rPr/>
        <w:t>Ante las limitantes por falta de disposición de información, se propone que de contar con recursos y tiempo se ejecuten levantamientos o muestreos de encuestas origen destino en puntos estratégicos, otra opción en caso de no poder hacer el trabajo de campo es obtener esta información de forma indirecta con los aforos en las vías terrestres principales que comunican a los municipios de los tres ámbitos.</w:t>
      </w:r>
    </w:p>
    <w:p>
      <w:pPr>
        <w:pStyle w:val="BodyText"/>
        <w:spacing w:before="7"/>
      </w:pPr>
    </w:p>
    <w:p>
      <w:pPr>
        <w:pStyle w:val="BodyText"/>
        <w:spacing w:line="360" w:lineRule="auto"/>
        <w:ind w:left="102" w:right="123"/>
        <w:jc w:val="both"/>
      </w:pPr>
      <w:r>
        <w:rPr/>
        <w:t>Finalmente la medición de los resultados identifica la fase del ciclo de vida urbano, además de la comprobación del cambio en el proceso de urbanización por concentración  al  proceso  de  urbanización  por  desconcentración  en  la     parte</w:t>
      </w:r>
    </w:p>
    <w:p>
      <w:pPr>
        <w:spacing w:after="0" w:line="360" w:lineRule="auto"/>
        <w:jc w:val="both"/>
        <w:sectPr>
          <w:pgSz w:w="12240" w:h="15840"/>
          <w:pgMar w:header="0" w:footer="659" w:top="1360" w:bottom="840" w:left="1600" w:right="1580"/>
        </w:sectPr>
      </w:pPr>
    </w:p>
    <w:p>
      <w:pPr>
        <w:pStyle w:val="BodyText"/>
        <w:spacing w:line="360" w:lineRule="auto" w:before="54"/>
        <w:ind w:left="102" w:right="115"/>
        <w:jc w:val="both"/>
      </w:pPr>
      <w:r>
        <w:rPr/>
        <w:t>externa se comprueba con la dinámica (tasa de crecimiento de las variables de localización) la cual corresponderá a suburbanizacion, en cambio si la desconcentración se dirige a los municipios de la periferia inmediata o área intermedia en caso que el crecimiento se ubique en el anillo de municipios externos se corroborará la presencia de la fase de des</w:t>
      </w:r>
      <w:r>
        <w:rPr>
          <w:spacing w:val="-24"/>
        </w:rPr>
        <w:t> </w:t>
      </w:r>
      <w:r>
        <w:rPr/>
        <w:t>urbanización.</w:t>
      </w:r>
    </w:p>
    <w:p>
      <w:pPr>
        <w:pStyle w:val="BodyText"/>
        <w:spacing w:before="10"/>
      </w:pPr>
    </w:p>
    <w:p>
      <w:pPr>
        <w:pStyle w:val="BodyText"/>
        <w:spacing w:line="360" w:lineRule="auto"/>
        <w:ind w:left="102" w:right="124"/>
        <w:jc w:val="both"/>
      </w:pPr>
      <w:r>
        <w:rPr/>
        <w:t>En el caso de que los aumentos de las variables estén en el área urbana central, deben considerarse en la comparación temporal si ha cambiado, ya que si se comprueba que los procesos se localizan en la parte central y nunca han salido de ella se habla de una fase de urbanización pero si por el contrario en un periodo de medición previo se ubicaban en la parte externa y han regresado a la parte central de identificar la fase del ciclo de vida urbano llamada reurbanización.</w:t>
      </w:r>
    </w:p>
    <w:p>
      <w:pPr>
        <w:pStyle w:val="BodyText"/>
        <w:spacing w:before="7"/>
      </w:pPr>
    </w:p>
    <w:p>
      <w:pPr>
        <w:pStyle w:val="Heading5"/>
        <w:numPr>
          <w:ilvl w:val="1"/>
          <w:numId w:val="10"/>
        </w:numPr>
        <w:tabs>
          <w:tab w:pos="506" w:val="left" w:leader="none"/>
        </w:tabs>
        <w:spacing w:line="240" w:lineRule="auto" w:before="0" w:after="0"/>
        <w:ind w:left="505" w:right="0" w:hanging="403"/>
        <w:jc w:val="both"/>
      </w:pPr>
      <w:r>
        <w:rPr/>
        <w:t>Impactos del proceso de</w:t>
      </w:r>
      <w:r>
        <w:rPr>
          <w:spacing w:val="-15"/>
        </w:rPr>
        <w:t> </w:t>
      </w:r>
      <w:r>
        <w:rPr/>
        <w:t>expansión</w:t>
      </w:r>
    </w:p>
    <w:p>
      <w:pPr>
        <w:pStyle w:val="BodyText"/>
        <w:rPr>
          <w:b/>
        </w:rPr>
      </w:pPr>
    </w:p>
    <w:p>
      <w:pPr>
        <w:pStyle w:val="BodyText"/>
        <w:spacing w:line="360" w:lineRule="auto" w:before="141"/>
        <w:ind w:left="102" w:right="118"/>
        <w:jc w:val="both"/>
      </w:pPr>
      <w:r>
        <w:rPr/>
        <w:t>Las consecuencias de la expansión de la Zona Metropolitana de Toluca hacia la periferia externa, resultado de las fases yuxtapuestas de suburbanización y desurbanización se presentan en lo territorial y ambiental los impactos al ser los únicos identificables con la investigación, tanto en el área urbana continua, municipios de interrelación funcional intermedia, el resto de municipios de relación externa, en el estado y a nivel nacional de la siguiente forma:</w:t>
      </w:r>
    </w:p>
    <w:p>
      <w:pPr>
        <w:pStyle w:val="BodyText"/>
        <w:spacing w:before="7"/>
      </w:pPr>
    </w:p>
    <w:p>
      <w:pPr>
        <w:pStyle w:val="BodyText"/>
        <w:spacing w:line="360" w:lineRule="auto"/>
        <w:ind w:left="102" w:right="118"/>
        <w:jc w:val="both"/>
      </w:pPr>
      <w:r>
        <w:rPr/>
        <w:t>En lo territorial los impactos para el Área Urbana Continua, es la densidad de población y vivienda, situación que limita sus posibilidades para detonar otras actividades o usos, otra de las consecuencias es la carencia de espacio para el consumo de suelo por habitantes, el cual se ha reducido y continúa con este comportamiento. En lo económico también se han generado impactos negativos  en el AUC como lo es la alta concentración de servicios, educativos, administrativos y empleos, que siguen el patrón de aglomeración por ello este ámbito se satura de población residente y visitante, lo que lo posiciona como el nodo con mayor atracción de viajes, que le ha propiciado alta congestión de las vías </w:t>
      </w:r>
      <w:r>
        <w:rPr>
          <w:spacing w:val="51"/>
        </w:rPr>
        <w:t> </w:t>
      </w:r>
      <w:r>
        <w:rPr/>
        <w:t>de </w:t>
      </w:r>
      <w:r>
        <w:rPr>
          <w:spacing w:val="52"/>
        </w:rPr>
        <w:t> </w:t>
      </w:r>
      <w:r>
        <w:rPr/>
        <w:t>acceso </w:t>
      </w:r>
      <w:r>
        <w:rPr>
          <w:spacing w:val="52"/>
        </w:rPr>
        <w:t> </w:t>
      </w:r>
      <w:r>
        <w:rPr/>
        <w:t>y </w:t>
      </w:r>
      <w:r>
        <w:rPr>
          <w:spacing w:val="51"/>
        </w:rPr>
        <w:t> </w:t>
      </w:r>
      <w:r>
        <w:rPr/>
        <w:t>salida </w:t>
      </w:r>
      <w:r>
        <w:rPr>
          <w:spacing w:val="52"/>
        </w:rPr>
        <w:t> </w:t>
      </w:r>
      <w:r>
        <w:rPr/>
        <w:t>en </w:t>
      </w:r>
      <w:r>
        <w:rPr>
          <w:spacing w:val="52"/>
        </w:rPr>
        <w:t> </w:t>
      </w:r>
      <w:r>
        <w:rPr/>
        <w:t>esta </w:t>
      </w:r>
      <w:r>
        <w:rPr>
          <w:spacing w:val="53"/>
        </w:rPr>
        <w:t> </w:t>
      </w:r>
      <w:r>
        <w:rPr/>
        <w:t>zona, </w:t>
      </w:r>
      <w:r>
        <w:rPr>
          <w:spacing w:val="52"/>
        </w:rPr>
        <w:t> </w:t>
      </w:r>
      <w:r>
        <w:rPr/>
        <w:t>condición </w:t>
      </w:r>
      <w:r>
        <w:rPr>
          <w:spacing w:val="52"/>
        </w:rPr>
        <w:t> </w:t>
      </w:r>
      <w:r>
        <w:rPr/>
        <w:t>que </w:t>
      </w:r>
      <w:r>
        <w:rPr>
          <w:spacing w:val="52"/>
        </w:rPr>
        <w:t> </w:t>
      </w:r>
      <w:r>
        <w:rPr/>
        <w:t>se </w:t>
      </w:r>
      <w:r>
        <w:rPr>
          <w:spacing w:val="50"/>
        </w:rPr>
        <w:t> </w:t>
      </w:r>
      <w:r>
        <w:rPr/>
        <w:t>acompaña </w:t>
      </w:r>
      <w:r>
        <w:rPr>
          <w:spacing w:val="52"/>
        </w:rPr>
        <w:t> </w:t>
      </w:r>
      <w:r>
        <w:rPr/>
        <w:t>de</w:t>
      </w:r>
    </w:p>
    <w:p>
      <w:pPr>
        <w:spacing w:after="0" w:line="360" w:lineRule="auto"/>
        <w:jc w:val="both"/>
        <w:sectPr>
          <w:pgSz w:w="12240" w:h="15840"/>
          <w:pgMar w:header="0" w:footer="659" w:top="1360" w:bottom="840" w:left="1600" w:right="1580"/>
        </w:sectPr>
      </w:pPr>
    </w:p>
    <w:p>
      <w:pPr>
        <w:pStyle w:val="BodyText"/>
        <w:spacing w:line="360" w:lineRule="auto" w:before="54"/>
        <w:ind w:left="102" w:right="125"/>
        <w:jc w:val="both"/>
      </w:pPr>
      <w:r>
        <w:rPr/>
        <w:t>desigualdades entre los municipios para cubrir con las necesidades económicas, sociales y hasta políticas de la población.</w:t>
      </w:r>
    </w:p>
    <w:p>
      <w:pPr>
        <w:pStyle w:val="BodyText"/>
        <w:spacing w:before="7"/>
      </w:pPr>
    </w:p>
    <w:p>
      <w:pPr>
        <w:pStyle w:val="BodyText"/>
        <w:spacing w:line="360" w:lineRule="auto"/>
        <w:ind w:left="102" w:right="120"/>
        <w:jc w:val="both"/>
      </w:pPr>
      <w:r>
        <w:rPr/>
        <w:t>En lo ambiental el área urbana continua tiene impactos nuevamente por las densidades de población y vivienda que reducen los espacios libres para medios naturales, aunado a la concentración de vivienda se genera un fuerte impacto por el stock vehicular que es el más alto y los ya mencionados congestionamientos que aminoran la calidad del aire por las partículas contaminantes que se emiten con los</w:t>
      </w:r>
      <w:r>
        <w:rPr>
          <w:spacing w:val="-5"/>
        </w:rPr>
        <w:t> </w:t>
      </w:r>
      <w:r>
        <w:rPr/>
        <w:t>vehículos.</w:t>
      </w:r>
    </w:p>
    <w:p>
      <w:pPr>
        <w:pStyle w:val="BodyText"/>
        <w:spacing w:before="10"/>
      </w:pPr>
    </w:p>
    <w:p>
      <w:pPr>
        <w:pStyle w:val="BodyText"/>
        <w:spacing w:line="360" w:lineRule="auto"/>
        <w:ind w:left="102" w:right="115"/>
        <w:jc w:val="both"/>
      </w:pPr>
      <w:r>
        <w:rPr/>
        <w:t>Los efectos en el ámbito de interrelación funcional intermedia son, que estos municipios ha adquirido el papel de lugares para la construcción de viviendas en altas cantidades, pero carecen de condiciones económicas, de educación y servicios, para que los nuevos residentes eviten largos recorridos en busca de la satisfacción de sus necesidades, debido a que la presencia de vivienda es de forma desarticula. En las condiciones ambientales, el que se dirija la desconcentración de vivienda y población hacia este ámbito incrementa el número de vehículos, y la cantidad de viajes que se generan afectando la calidad del aire y disminuyendo la presencia de otros usos de suelo naturales.</w:t>
      </w:r>
    </w:p>
    <w:p>
      <w:pPr>
        <w:pStyle w:val="BodyText"/>
        <w:spacing w:before="7"/>
      </w:pPr>
    </w:p>
    <w:p>
      <w:pPr>
        <w:pStyle w:val="BodyText"/>
        <w:spacing w:line="360" w:lineRule="auto"/>
        <w:ind w:left="102" w:right="118"/>
        <w:jc w:val="both"/>
      </w:pPr>
      <w:r>
        <w:rPr/>
        <w:t>Los efectos de la expansión de la ZMT en el ámbito de relación externa, resto de municipios es que la presencia de asentamientos con algunas condiciones  urbanas como los son las ciudades pequeñas y el aumento de la densidad y el consumo de suelo por habitante, generan carencias para los habitantes de esta zona, obligando a que se generen viajes diarios por dependencia económica, de educación y hasta servicios, situación que obliga a la población a tener vehículos propios o realizar desplazamientos con medios motorizados ya que dichos recorridos tienen una amplia magnitud de la distancia, impactando desfavorablemente en el medio</w:t>
      </w:r>
      <w:r>
        <w:rPr>
          <w:spacing w:val="-17"/>
        </w:rPr>
        <w:t> </w:t>
      </w:r>
      <w:r>
        <w:rPr/>
        <w:t>ambiente.</w:t>
      </w:r>
    </w:p>
    <w:p>
      <w:pPr>
        <w:pStyle w:val="BodyText"/>
        <w:spacing w:before="7"/>
      </w:pPr>
    </w:p>
    <w:p>
      <w:pPr>
        <w:pStyle w:val="BodyText"/>
        <w:spacing w:line="360" w:lineRule="auto"/>
        <w:ind w:left="102" w:right="116"/>
        <w:jc w:val="both"/>
      </w:pPr>
      <w:r>
        <w:rPr/>
        <w:t>El alcance de las relaciones funcionales como consecuencia de la expansión metropolitana influyen en dos escalas primero la estatal que obliga a la intensificación de las relaciones funcionales por causas laborales de la ZMT con el</w:t>
      </w:r>
    </w:p>
    <w:p>
      <w:pPr>
        <w:spacing w:after="0" w:line="360" w:lineRule="auto"/>
        <w:jc w:val="both"/>
        <w:sectPr>
          <w:pgSz w:w="12240" w:h="15840"/>
          <w:pgMar w:header="0" w:footer="659" w:top="1360" w:bottom="840" w:left="1600" w:right="1580"/>
        </w:sectPr>
      </w:pPr>
    </w:p>
    <w:p>
      <w:pPr>
        <w:pStyle w:val="BodyText"/>
        <w:spacing w:line="360" w:lineRule="auto" w:before="54"/>
        <w:ind w:left="102" w:right="121"/>
        <w:jc w:val="both"/>
      </w:pPr>
      <w:r>
        <w:rPr/>
        <w:t>resto de municipios cercanos, intensificando los viajes y recorridos en la entidad, además del aumento de la precariedad en las condiciones de empleo en la ZMT que obligan la salida de población.</w:t>
      </w:r>
    </w:p>
    <w:p>
      <w:pPr>
        <w:pStyle w:val="BodyText"/>
        <w:spacing w:before="10"/>
      </w:pPr>
    </w:p>
    <w:p>
      <w:pPr>
        <w:pStyle w:val="BodyText"/>
        <w:spacing w:line="360" w:lineRule="auto"/>
        <w:ind w:left="102" w:right="116"/>
        <w:jc w:val="both"/>
      </w:pPr>
      <w:r>
        <w:rPr/>
        <w:t>La segunda escala es la nacional, que tiene un patrón por un lado el  fortalecimiento y aumento de la dimensión de la salida de población para laborar o satisfacer necesidades de compras y paseo lo que indica la insuficiente capacidad de la ZMT y el estado para satisfacer las necesidades de la población lo que impacta en la perdida de mano de obra o el abaratamiento de la misma que prefiere salir de su municipio de origen para tener un ingreso quizás mejor remunerado. El papel de la ZMT a nivel nacional, por su ubicación geográfica, también es el de nodo intermedio por el cual circulan productos, mercancías y población en búsqueda de entretenimiento o compras, lo cual podría ser una posible ventaja que ha faltado ser explotada al ser un nodo que puede acortar las distancias de recorrido al estar en una zona intermedia de los flujos de</w:t>
      </w:r>
      <w:r>
        <w:rPr>
          <w:spacing w:val="-30"/>
        </w:rPr>
        <w:t> </w:t>
      </w:r>
      <w:r>
        <w:rPr/>
        <w:t>paso.</w:t>
      </w:r>
    </w:p>
    <w:p>
      <w:pPr>
        <w:pStyle w:val="BodyText"/>
        <w:spacing w:before="10"/>
      </w:pPr>
    </w:p>
    <w:p>
      <w:pPr>
        <w:pStyle w:val="Heading5"/>
        <w:numPr>
          <w:ilvl w:val="1"/>
          <w:numId w:val="10"/>
        </w:numPr>
        <w:tabs>
          <w:tab w:pos="506" w:val="left" w:leader="none"/>
        </w:tabs>
        <w:spacing w:line="240" w:lineRule="auto" w:before="0" w:after="0"/>
        <w:ind w:left="505" w:right="0" w:hanging="403"/>
        <w:jc w:val="both"/>
      </w:pPr>
      <w:r>
        <w:rPr/>
        <w:t>Líneas de</w:t>
      </w:r>
      <w:r>
        <w:rPr>
          <w:spacing w:val="-9"/>
        </w:rPr>
        <w:t> </w:t>
      </w:r>
      <w:r>
        <w:rPr/>
        <w:t>investigación</w:t>
      </w:r>
    </w:p>
    <w:p>
      <w:pPr>
        <w:pStyle w:val="BodyText"/>
        <w:rPr>
          <w:b/>
        </w:rPr>
      </w:pPr>
    </w:p>
    <w:p>
      <w:pPr>
        <w:pStyle w:val="BodyText"/>
        <w:spacing w:line="360" w:lineRule="auto" w:before="142"/>
        <w:ind w:left="102" w:right="123"/>
        <w:jc w:val="both"/>
      </w:pPr>
      <w:r>
        <w:rPr/>
        <w:t>Entre los problemas que se identificaron al realizar la investigación se puntualizan aspectos como la carencia de información, por lo que se propone como línea de investigación que complemente este documento la territorialidad cartográfica de la expansión metropolitana, con ella se tendría un marco espacial de la distribución de los asentamientos, población vivienda y empleo urbano.</w:t>
      </w:r>
    </w:p>
    <w:p>
      <w:pPr>
        <w:pStyle w:val="BodyText"/>
        <w:spacing w:before="7"/>
      </w:pPr>
    </w:p>
    <w:p>
      <w:pPr>
        <w:pStyle w:val="BodyText"/>
        <w:spacing w:line="360" w:lineRule="auto"/>
        <w:ind w:left="102" w:right="116"/>
        <w:jc w:val="both"/>
      </w:pPr>
      <w:r>
        <w:rPr/>
        <w:t>Esta investigación ha agotado el análisis de los impactos territoriales por la desconcentración de la vivienda, por lo que aún está pendiente conocer cómo influye en los procesos de poblamiento, y en las relaciones sociales, a detalle y considerando todos los impactos (económicos y políticos) Abriendo la opción a identificar y puntualizar la integración de los asentamientos o la desintegración de los mismos en el sistema urbano metropolitano.</w:t>
      </w:r>
    </w:p>
    <w:p>
      <w:pPr>
        <w:pStyle w:val="BodyText"/>
        <w:spacing w:before="7"/>
      </w:pPr>
    </w:p>
    <w:p>
      <w:pPr>
        <w:pStyle w:val="BodyText"/>
        <w:spacing w:line="360" w:lineRule="auto"/>
        <w:ind w:left="102" w:right="120"/>
        <w:jc w:val="both"/>
      </w:pPr>
      <w:r>
        <w:rPr/>
        <w:t>Otra de las limitantes por disposición de la información que puede ser otra línea para  desarrollar  investigación   es  la  carencia  de  información  que  mida     </w:t>
      </w:r>
      <w:r>
        <w:rPr>
          <w:spacing w:val="61"/>
        </w:rPr>
        <w:t> </w:t>
      </w:r>
      <w:r>
        <w:rPr/>
        <w:t>los</w:t>
      </w:r>
    </w:p>
    <w:p>
      <w:pPr>
        <w:spacing w:after="0" w:line="360" w:lineRule="auto"/>
        <w:jc w:val="both"/>
        <w:sectPr>
          <w:pgSz w:w="12240" w:h="15840"/>
          <w:pgMar w:header="0" w:footer="659" w:top="1360" w:bottom="840" w:left="1600" w:right="1580"/>
        </w:sectPr>
      </w:pPr>
    </w:p>
    <w:p>
      <w:pPr>
        <w:pStyle w:val="BodyText"/>
        <w:spacing w:line="360" w:lineRule="auto" w:before="54"/>
        <w:ind w:left="102" w:right="115"/>
        <w:jc w:val="both"/>
      </w:pPr>
      <w:r>
        <w:rPr/>
        <w:t>desplazamientos por otros motivos como educación o servicios siendo cada razón posibles áreas de investigación, además de que conocer los desplazamientos por municipios y motivos pueden favorecer y sustentar la elaboración de propuestas para infraestructura vial o adicionalmente la propuesta a una reestructuración de las rutas de transporte público con lo que se tiene como posible línea de investigación la conectividad de los asentamientos.</w:t>
      </w:r>
    </w:p>
    <w:p>
      <w:pPr>
        <w:pStyle w:val="BodyText"/>
        <w:spacing w:before="7"/>
      </w:pPr>
    </w:p>
    <w:p>
      <w:pPr>
        <w:pStyle w:val="BodyText"/>
        <w:spacing w:line="360" w:lineRule="auto"/>
        <w:ind w:left="102" w:right="118"/>
        <w:jc w:val="both"/>
      </w:pPr>
      <w:r>
        <w:rPr/>
        <w:t>El aumento de la escala en las relaciones funcionales, puede analizarse considerando los impactos que representa en cifras económicas, por las distancias recorridas además del costo que éstas significan, o las horas hombre que se pierden en los congestionamientos.</w:t>
      </w:r>
    </w:p>
    <w:p>
      <w:pPr>
        <w:spacing w:after="0" w:line="360" w:lineRule="auto"/>
        <w:jc w:val="both"/>
        <w:sectPr>
          <w:pgSz w:w="12240" w:h="15840"/>
          <w:pgMar w:header="0" w:footer="659" w:top="1360" w:bottom="840" w:left="1600" w:right="1580"/>
        </w:sectPr>
      </w:pPr>
    </w:p>
    <w:p>
      <w:pPr>
        <w:pStyle w:val="Heading3"/>
        <w:ind w:right="146"/>
        <w:jc w:val="center"/>
      </w:pPr>
      <w:r>
        <w:rPr/>
        <w:t>Bibliografía</w:t>
      </w:r>
    </w:p>
    <w:p>
      <w:pPr>
        <w:pStyle w:val="BodyText"/>
        <w:rPr>
          <w:b/>
          <w:sz w:val="20"/>
        </w:rPr>
      </w:pPr>
    </w:p>
    <w:p>
      <w:pPr>
        <w:pStyle w:val="BodyText"/>
        <w:spacing w:before="5"/>
        <w:rPr>
          <w:b/>
          <w:sz w:val="20"/>
        </w:rPr>
      </w:pPr>
    </w:p>
    <w:p>
      <w:pPr>
        <w:spacing w:before="0"/>
        <w:ind w:left="810" w:right="296" w:firstLine="0"/>
        <w:jc w:val="left"/>
        <w:rPr>
          <w:b/>
          <w:sz w:val="22"/>
        </w:rPr>
      </w:pPr>
      <w:r>
        <w:rPr>
          <w:b/>
          <w:sz w:val="22"/>
        </w:rPr>
        <w:t>Libros</w:t>
      </w:r>
    </w:p>
    <w:p>
      <w:pPr>
        <w:pStyle w:val="BodyText"/>
        <w:spacing w:before="8"/>
        <w:rPr>
          <w:b/>
        </w:rPr>
      </w:pPr>
    </w:p>
    <w:p>
      <w:pPr>
        <w:spacing w:before="0"/>
        <w:ind w:left="102" w:right="0" w:firstLine="0"/>
        <w:jc w:val="both"/>
        <w:rPr>
          <w:sz w:val="22"/>
        </w:rPr>
      </w:pPr>
      <w:r>
        <w:rPr>
          <w:sz w:val="22"/>
        </w:rPr>
        <w:t>Geddes, P., 2009. </w:t>
      </w:r>
      <w:r>
        <w:rPr>
          <w:i/>
          <w:sz w:val="22"/>
        </w:rPr>
        <w:t>Ciudades en evolución. </w:t>
      </w:r>
      <w:r>
        <w:rPr>
          <w:sz w:val="22"/>
        </w:rPr>
        <w:t>Lisboa: KRK Ediciones.</w:t>
      </w:r>
    </w:p>
    <w:p>
      <w:pPr>
        <w:pStyle w:val="BodyText"/>
        <w:spacing w:before="3"/>
      </w:pPr>
    </w:p>
    <w:p>
      <w:pPr>
        <w:spacing w:before="1"/>
        <w:ind w:left="102" w:right="116" w:firstLine="0"/>
        <w:jc w:val="both"/>
        <w:rPr>
          <w:sz w:val="22"/>
        </w:rPr>
      </w:pPr>
      <w:r>
        <w:rPr>
          <w:sz w:val="22"/>
        </w:rPr>
        <w:t>Hall, P., 1996. </w:t>
      </w:r>
      <w:r>
        <w:rPr>
          <w:i/>
          <w:sz w:val="22"/>
        </w:rPr>
        <w:t>Las ciudades del mañana Historia del urbanismo en el siglo XX. </w:t>
      </w:r>
      <w:r>
        <w:rPr>
          <w:sz w:val="22"/>
        </w:rPr>
        <w:t>Barcelona, España: Ediciones del Serbal Traducción de Consol Freixa.</w:t>
      </w:r>
    </w:p>
    <w:p>
      <w:pPr>
        <w:pStyle w:val="BodyText"/>
        <w:spacing w:before="3"/>
      </w:pPr>
    </w:p>
    <w:p>
      <w:pPr>
        <w:spacing w:before="1"/>
        <w:ind w:left="102" w:right="118" w:firstLine="0"/>
        <w:jc w:val="both"/>
        <w:rPr>
          <w:sz w:val="22"/>
        </w:rPr>
      </w:pPr>
      <w:r>
        <w:rPr>
          <w:sz w:val="22"/>
        </w:rPr>
        <w:t>Negrete, M. E., 2008. </w:t>
      </w:r>
      <w:r>
        <w:rPr>
          <w:i/>
          <w:sz w:val="22"/>
        </w:rPr>
        <w:t>El centro de México. Evolución, límites y oportunidades para el </w:t>
      </w:r>
      <w:r>
        <w:rPr>
          <w:i/>
          <w:sz w:val="22"/>
        </w:rPr>
        <w:t>desarrollo regional. </w:t>
      </w:r>
      <w:r>
        <w:rPr>
          <w:sz w:val="22"/>
        </w:rPr>
        <w:t>México D.F: El Colegio de México.</w:t>
      </w:r>
    </w:p>
    <w:p>
      <w:pPr>
        <w:pStyle w:val="BodyText"/>
        <w:spacing w:before="4"/>
      </w:pPr>
    </w:p>
    <w:p>
      <w:pPr>
        <w:spacing w:before="0"/>
        <w:ind w:left="102" w:right="117" w:firstLine="0"/>
        <w:jc w:val="both"/>
        <w:rPr>
          <w:sz w:val="22"/>
        </w:rPr>
      </w:pPr>
      <w:r>
        <w:rPr>
          <w:sz w:val="22"/>
        </w:rPr>
        <w:t>Martín, R. Á., 2004. </w:t>
      </w:r>
      <w:r>
        <w:rPr>
          <w:i/>
          <w:sz w:val="22"/>
        </w:rPr>
        <w:t>Lo Urbano en veinte autores contemporáneos. </w:t>
      </w:r>
      <w:r>
        <w:rPr>
          <w:sz w:val="22"/>
        </w:rPr>
        <w:t>Barcelona España: Universidad Politécnica de Cataluña España.</w:t>
      </w:r>
    </w:p>
    <w:p>
      <w:pPr>
        <w:pStyle w:val="BodyText"/>
        <w:spacing w:before="3"/>
      </w:pPr>
    </w:p>
    <w:p>
      <w:pPr>
        <w:spacing w:before="1"/>
        <w:ind w:left="102" w:right="116" w:firstLine="0"/>
        <w:jc w:val="both"/>
        <w:rPr>
          <w:sz w:val="22"/>
        </w:rPr>
      </w:pPr>
      <w:r>
        <w:rPr>
          <w:sz w:val="22"/>
        </w:rPr>
        <w:t>Michael, P., 2005:. </w:t>
      </w:r>
      <w:r>
        <w:rPr>
          <w:i/>
          <w:sz w:val="22"/>
        </w:rPr>
        <w:t>Urban Geography. A Global Perspective, London and New </w:t>
      </w:r>
      <w:r>
        <w:rPr>
          <w:i/>
          <w:sz w:val="22"/>
        </w:rPr>
        <w:t>York:Routledge The Global Context of Urbanization and Urban Change.. </w:t>
      </w:r>
      <w:r>
        <w:rPr>
          <w:sz w:val="22"/>
        </w:rPr>
        <w:t>second ed. Washington, DC: Patent and Trademark Office.</w:t>
      </w:r>
    </w:p>
    <w:p>
      <w:pPr>
        <w:pStyle w:val="BodyText"/>
        <w:spacing w:before="6"/>
      </w:pPr>
    </w:p>
    <w:p>
      <w:pPr>
        <w:spacing w:before="0"/>
        <w:ind w:left="102" w:right="115" w:firstLine="0"/>
        <w:jc w:val="both"/>
        <w:rPr>
          <w:sz w:val="22"/>
        </w:rPr>
      </w:pPr>
      <w:r>
        <w:rPr>
          <w:sz w:val="22"/>
        </w:rPr>
        <w:t>Soja, E., 2008. </w:t>
      </w:r>
      <w:r>
        <w:rPr>
          <w:i/>
          <w:sz w:val="22"/>
        </w:rPr>
        <w:t>Postmetrópolis. Estudios críticos sobre las ciudades y las regione. </w:t>
      </w:r>
      <w:r>
        <w:rPr>
          <w:sz w:val="22"/>
        </w:rPr>
        <w:t>Madrid España: Traficantes de sueño.</w:t>
      </w:r>
    </w:p>
    <w:p>
      <w:pPr>
        <w:pStyle w:val="BodyText"/>
        <w:spacing w:before="3"/>
      </w:pPr>
    </w:p>
    <w:p>
      <w:pPr>
        <w:spacing w:before="1"/>
        <w:ind w:left="102" w:right="116" w:firstLine="0"/>
        <w:jc w:val="both"/>
        <w:rPr>
          <w:sz w:val="22"/>
        </w:rPr>
      </w:pPr>
      <w:r>
        <w:rPr>
          <w:sz w:val="22"/>
        </w:rPr>
        <w:t>Zárate, M. M., 2012. </w:t>
      </w:r>
      <w:r>
        <w:rPr>
          <w:i/>
          <w:sz w:val="22"/>
        </w:rPr>
        <w:t>Geografía urbana. Dinámicas locales, procesos globales. </w:t>
      </w:r>
      <w:r>
        <w:rPr>
          <w:sz w:val="22"/>
        </w:rPr>
        <w:t>Madrid, España: : Universitaria Ramón Areces-UNED.</w:t>
      </w:r>
    </w:p>
    <w:p>
      <w:pPr>
        <w:pStyle w:val="BodyText"/>
        <w:spacing w:before="3"/>
      </w:pPr>
    </w:p>
    <w:p>
      <w:pPr>
        <w:spacing w:before="1"/>
        <w:ind w:left="810" w:right="296" w:firstLine="0"/>
        <w:jc w:val="left"/>
        <w:rPr>
          <w:b/>
          <w:sz w:val="22"/>
        </w:rPr>
      </w:pPr>
      <w:r>
        <w:rPr>
          <w:b/>
          <w:sz w:val="22"/>
        </w:rPr>
        <w:t>Capitulo de libro</w:t>
      </w:r>
    </w:p>
    <w:p>
      <w:pPr>
        <w:pStyle w:val="BodyText"/>
        <w:spacing w:before="6"/>
        <w:rPr>
          <w:b/>
        </w:rPr>
      </w:pPr>
    </w:p>
    <w:p>
      <w:pPr>
        <w:spacing w:before="0"/>
        <w:ind w:left="102" w:right="116" w:firstLine="0"/>
        <w:jc w:val="both"/>
        <w:rPr>
          <w:sz w:val="22"/>
        </w:rPr>
      </w:pPr>
      <w:r>
        <w:rPr>
          <w:sz w:val="22"/>
        </w:rPr>
        <w:t>Dematteis, G., 1998. “Suburbanización y periurbanización. Ciudades anglosajonas y ciudades latinas”. En: F. J. Monclús, ed. </w:t>
      </w:r>
      <w:r>
        <w:rPr>
          <w:i/>
          <w:sz w:val="22"/>
        </w:rPr>
        <w:t>La ciudad dispersa. </w:t>
      </w:r>
      <w:r>
        <w:rPr>
          <w:sz w:val="22"/>
        </w:rPr>
        <w:t>Barcelona.: Centro  de Cultura Contemporánea de Barcelona, pp.</w:t>
      </w:r>
      <w:r>
        <w:rPr>
          <w:spacing w:val="-11"/>
          <w:sz w:val="22"/>
        </w:rPr>
        <w:t> </w:t>
      </w:r>
      <w:r>
        <w:rPr>
          <w:sz w:val="22"/>
        </w:rPr>
        <w:t>17-33.</w:t>
      </w:r>
    </w:p>
    <w:p>
      <w:pPr>
        <w:pStyle w:val="BodyText"/>
        <w:spacing w:before="3"/>
      </w:pPr>
    </w:p>
    <w:p>
      <w:pPr>
        <w:spacing w:before="1"/>
        <w:ind w:left="102" w:right="118" w:firstLine="0"/>
        <w:jc w:val="both"/>
        <w:rPr>
          <w:sz w:val="22"/>
        </w:rPr>
      </w:pPr>
      <w:r>
        <w:rPr>
          <w:sz w:val="22"/>
        </w:rPr>
        <w:t>Graizbord, B., 1995. ”Ciclos metropolitanos: notas preliminares”. En: C. Garrocho &amp; J. Sobrino, edits. </w:t>
      </w:r>
      <w:r>
        <w:rPr>
          <w:i/>
          <w:sz w:val="22"/>
        </w:rPr>
        <w:t>en Sistemas metropolitanos enfoques y prospectivas. </w:t>
      </w:r>
      <w:r>
        <w:rPr>
          <w:sz w:val="22"/>
        </w:rPr>
        <w:t>Toluca, México: El colegio Mexiquense, pp. 47-62.</w:t>
      </w:r>
    </w:p>
    <w:p>
      <w:pPr>
        <w:pStyle w:val="BodyText"/>
        <w:spacing w:before="3"/>
      </w:pPr>
    </w:p>
    <w:p>
      <w:pPr>
        <w:spacing w:before="1"/>
        <w:ind w:left="102" w:right="115" w:firstLine="0"/>
        <w:jc w:val="both"/>
        <w:rPr>
          <w:sz w:val="22"/>
        </w:rPr>
      </w:pPr>
      <w:r>
        <w:rPr>
          <w:sz w:val="22"/>
        </w:rPr>
        <w:t>Hoyos, G., 2011. “Región Toluca. Suburbanización polarizada”. En: E. Orozco, ed. </w:t>
      </w:r>
      <w:r>
        <w:rPr>
          <w:i/>
          <w:sz w:val="22"/>
        </w:rPr>
        <w:t>Entorno regional de la ciudad de Toluca, Estado de México. </w:t>
      </w:r>
      <w:r>
        <w:rPr>
          <w:sz w:val="22"/>
        </w:rPr>
        <w:t>Toluca: Cuerpo Académico  de Estudios Territoriales y Ambientales/Fapur-UAEMEX., pp.</w:t>
      </w:r>
      <w:r>
        <w:rPr>
          <w:spacing w:val="-17"/>
          <w:sz w:val="22"/>
        </w:rPr>
        <w:t> </w:t>
      </w:r>
      <w:r>
        <w:rPr>
          <w:sz w:val="22"/>
        </w:rPr>
        <w:t>65-86.</w:t>
      </w:r>
    </w:p>
    <w:p>
      <w:pPr>
        <w:pStyle w:val="BodyText"/>
        <w:spacing w:before="4"/>
      </w:pPr>
    </w:p>
    <w:p>
      <w:pPr>
        <w:spacing w:before="0"/>
        <w:ind w:left="102" w:right="113" w:firstLine="0"/>
        <w:jc w:val="both"/>
        <w:rPr>
          <w:sz w:val="22"/>
        </w:rPr>
      </w:pPr>
      <w:r>
        <w:rPr>
          <w:sz w:val="22"/>
        </w:rPr>
        <w:t>Hoyos, G., 2012a. “Descentralización en la región centro de México. Morfología urbana y funcionamiento económico”. En: J. J. Gutiérrez, ed. </w:t>
      </w:r>
      <w:r>
        <w:rPr>
          <w:i/>
          <w:sz w:val="22"/>
        </w:rPr>
        <w:t>Planeación, participación y gestión en </w:t>
      </w:r>
      <w:r>
        <w:rPr>
          <w:i/>
          <w:sz w:val="22"/>
        </w:rPr>
        <w:t>los procesos urbanos actuales. Una visión iberoamerica. </w:t>
      </w:r>
      <w:r>
        <w:rPr>
          <w:sz w:val="22"/>
        </w:rPr>
        <w:t>Toluca: Universidad Autónoma del Estado de México, Facultad de Planeación Urbana y Regional – CEPLAT, pp. 295- 324.</w:t>
      </w:r>
    </w:p>
    <w:p>
      <w:pPr>
        <w:pStyle w:val="BodyText"/>
        <w:spacing w:before="3"/>
      </w:pPr>
    </w:p>
    <w:p>
      <w:pPr>
        <w:spacing w:before="1"/>
        <w:ind w:left="102" w:right="118" w:firstLine="0"/>
        <w:jc w:val="both"/>
        <w:rPr>
          <w:sz w:val="22"/>
        </w:rPr>
      </w:pPr>
      <w:r>
        <w:rPr>
          <w:sz w:val="22"/>
        </w:rPr>
        <w:t>Negrete, M. E., 1995. “Evolución de las Zonas Metropolitanas en México”. En: C.  Garrocho &amp; J. Sobrino, edits. </w:t>
      </w:r>
      <w:r>
        <w:rPr>
          <w:i/>
          <w:sz w:val="22"/>
        </w:rPr>
        <w:t>Sistemas metropolitanos enfoques y prospectivas, México:. </w:t>
      </w:r>
      <w:r>
        <w:rPr>
          <w:sz w:val="22"/>
        </w:rPr>
        <w:t>Toluca, México: El colegio Mexiquense, pp.</w:t>
      </w:r>
      <w:r>
        <w:rPr>
          <w:spacing w:val="-14"/>
          <w:sz w:val="22"/>
        </w:rPr>
        <w:t> </w:t>
      </w:r>
      <w:r>
        <w:rPr>
          <w:sz w:val="22"/>
        </w:rPr>
        <w:t>19-46.</w:t>
      </w:r>
    </w:p>
    <w:p>
      <w:pPr>
        <w:spacing w:after="0"/>
        <w:jc w:val="both"/>
        <w:rPr>
          <w:sz w:val="22"/>
        </w:rPr>
        <w:sectPr>
          <w:pgSz w:w="12240" w:h="15840"/>
          <w:pgMar w:header="0" w:footer="659" w:top="1380" w:bottom="840" w:left="1600" w:right="1580"/>
        </w:sectPr>
      </w:pPr>
    </w:p>
    <w:p>
      <w:pPr>
        <w:spacing w:before="53"/>
        <w:ind w:left="102" w:right="117" w:firstLine="0"/>
        <w:jc w:val="both"/>
        <w:rPr>
          <w:sz w:val="22"/>
        </w:rPr>
      </w:pPr>
      <w:r>
        <w:rPr>
          <w:sz w:val="22"/>
        </w:rPr>
        <w:t>Sobrino, L. J., 1995. “Funciones económicas predominantes en los sistemas de ciudades”. En: C. Garrocho &amp; J. Sobrino, edits. </w:t>
      </w:r>
      <w:r>
        <w:rPr>
          <w:i/>
          <w:sz w:val="22"/>
        </w:rPr>
        <w:t>Sistemas metropolitanos enfoques y prospectivas. </w:t>
      </w:r>
      <w:r>
        <w:rPr>
          <w:sz w:val="22"/>
        </w:rPr>
        <w:t>Toluca, México: El colegio Mexiquense.</w:t>
      </w:r>
    </w:p>
    <w:p>
      <w:pPr>
        <w:pStyle w:val="BodyText"/>
        <w:spacing w:before="3"/>
      </w:pPr>
    </w:p>
    <w:p>
      <w:pPr>
        <w:spacing w:before="1"/>
        <w:ind w:left="102" w:right="115" w:firstLine="0"/>
        <w:jc w:val="both"/>
        <w:rPr>
          <w:sz w:val="22"/>
        </w:rPr>
      </w:pPr>
      <w:r>
        <w:rPr>
          <w:sz w:val="22"/>
        </w:rPr>
        <w:t>Balbo, M., 2012. "Ciudad y centralidad en Europa". En: M. Balbo, ed. </w:t>
      </w:r>
      <w:r>
        <w:rPr>
          <w:i/>
          <w:sz w:val="22"/>
        </w:rPr>
        <w:t>Europa: La ciudad </w:t>
      </w:r>
      <w:r>
        <w:rPr>
          <w:i/>
          <w:sz w:val="22"/>
        </w:rPr>
        <w:t>central en el sistema urbano. </w:t>
      </w:r>
      <w:r>
        <w:rPr>
          <w:sz w:val="22"/>
        </w:rPr>
        <w:t>Quito, Ecuador: OLACCHI - Centralidades, pp. 9-37.</w:t>
      </w:r>
    </w:p>
    <w:p>
      <w:pPr>
        <w:pStyle w:val="BodyText"/>
        <w:spacing w:before="3"/>
      </w:pPr>
    </w:p>
    <w:p>
      <w:pPr>
        <w:spacing w:before="1"/>
        <w:ind w:left="102" w:right="116" w:firstLine="0"/>
        <w:jc w:val="both"/>
        <w:rPr>
          <w:sz w:val="22"/>
        </w:rPr>
      </w:pPr>
      <w:r>
        <w:rPr>
          <w:sz w:val="22"/>
        </w:rPr>
        <w:t>Trullén, J. &amp; Boix, R., 2006. “Producción y espacio urbano: algunos problemas económicos”. En: A. T. y. R.Camagni, ed. </w:t>
      </w:r>
      <w:r>
        <w:rPr>
          <w:i/>
          <w:sz w:val="22"/>
        </w:rPr>
        <w:t>La nueva cultura del territorio. </w:t>
      </w:r>
      <w:r>
        <w:rPr>
          <w:sz w:val="22"/>
        </w:rPr>
        <w:t>Barcelona: Departamento de Economía Aplicada Universidad Autónoma de Barcelona.</w:t>
      </w:r>
    </w:p>
    <w:p>
      <w:pPr>
        <w:pStyle w:val="BodyText"/>
        <w:spacing w:before="1"/>
      </w:pPr>
    </w:p>
    <w:p>
      <w:pPr>
        <w:spacing w:before="0"/>
        <w:ind w:left="810" w:right="296" w:firstLine="0"/>
        <w:jc w:val="left"/>
        <w:rPr>
          <w:b/>
          <w:sz w:val="22"/>
        </w:rPr>
      </w:pPr>
      <w:r>
        <w:rPr>
          <w:b/>
          <w:sz w:val="22"/>
        </w:rPr>
        <w:t>Revista</w:t>
      </w:r>
    </w:p>
    <w:p>
      <w:pPr>
        <w:pStyle w:val="BodyText"/>
        <w:spacing w:before="6"/>
        <w:rPr>
          <w:b/>
        </w:rPr>
      </w:pPr>
    </w:p>
    <w:p>
      <w:pPr>
        <w:spacing w:before="0"/>
        <w:ind w:left="102" w:right="122" w:firstLine="0"/>
        <w:jc w:val="both"/>
        <w:rPr>
          <w:sz w:val="22"/>
        </w:rPr>
      </w:pPr>
      <w:r>
        <w:rPr>
          <w:sz w:val="22"/>
        </w:rPr>
        <w:t>Álvarez, G., 2010. "El crecimiento urbano y estructura urbana en las ciudades medias mexicanas". </w:t>
      </w:r>
      <w:r>
        <w:rPr>
          <w:i/>
          <w:sz w:val="22"/>
        </w:rPr>
        <w:t>en Revista Quivera, </w:t>
      </w:r>
      <w:r>
        <w:rPr>
          <w:sz w:val="22"/>
        </w:rPr>
        <w:t>12(2), pp. 94-114</w:t>
      </w:r>
    </w:p>
    <w:p>
      <w:pPr>
        <w:pStyle w:val="BodyText"/>
        <w:spacing w:before="3"/>
      </w:pPr>
    </w:p>
    <w:p>
      <w:pPr>
        <w:spacing w:before="1"/>
        <w:ind w:left="102" w:right="0" w:firstLine="0"/>
        <w:jc w:val="both"/>
        <w:rPr>
          <w:i/>
          <w:sz w:val="22"/>
        </w:rPr>
      </w:pPr>
      <w:r>
        <w:rPr>
          <w:sz w:val="22"/>
        </w:rPr>
        <w:t>Brenner, N., 2013. “Tesis sobre la urbanización planetaria”.    </w:t>
      </w:r>
      <w:r>
        <w:rPr>
          <w:i/>
          <w:sz w:val="22"/>
        </w:rPr>
        <w:t>en Revista Nueva Sociedad,</w:t>
      </w:r>
    </w:p>
    <w:p>
      <w:pPr>
        <w:spacing w:before="1"/>
        <w:ind w:left="102" w:right="0" w:firstLine="0"/>
        <w:jc w:val="both"/>
        <w:rPr>
          <w:sz w:val="22"/>
        </w:rPr>
      </w:pPr>
      <w:r>
        <w:rPr>
          <w:sz w:val="22"/>
        </w:rPr>
        <w:t>Issue 243 enero-febrero, pp. 38-66.</w:t>
      </w:r>
    </w:p>
    <w:p>
      <w:pPr>
        <w:pStyle w:val="BodyText"/>
        <w:spacing w:before="3"/>
      </w:pPr>
    </w:p>
    <w:p>
      <w:pPr>
        <w:spacing w:before="1"/>
        <w:ind w:left="102" w:right="118" w:firstLine="0"/>
        <w:jc w:val="both"/>
        <w:rPr>
          <w:sz w:val="22"/>
        </w:rPr>
      </w:pPr>
      <w:r>
        <w:rPr>
          <w:sz w:val="22"/>
        </w:rPr>
        <w:t>Cardoso M, M., 2013. "Atisbos de contraurbanización en la Zona Metropolitana Valle de México y en el sistema urbano nacional". </w:t>
      </w:r>
      <w:r>
        <w:rPr>
          <w:i/>
          <w:sz w:val="22"/>
        </w:rPr>
        <w:t>Cuadernos de Geografía - Revista Colombiana </w:t>
      </w:r>
      <w:r>
        <w:rPr>
          <w:i/>
          <w:sz w:val="22"/>
        </w:rPr>
        <w:t>de Geografía, </w:t>
      </w:r>
      <w:r>
        <w:rPr>
          <w:sz w:val="22"/>
        </w:rPr>
        <w:t>Issue Enero-Junio, pp. 127-140.</w:t>
      </w:r>
    </w:p>
    <w:p>
      <w:pPr>
        <w:pStyle w:val="BodyText"/>
        <w:spacing w:before="3"/>
      </w:pPr>
    </w:p>
    <w:p>
      <w:pPr>
        <w:spacing w:before="1"/>
        <w:ind w:left="102" w:right="117" w:firstLine="0"/>
        <w:jc w:val="both"/>
        <w:rPr>
          <w:sz w:val="22"/>
        </w:rPr>
      </w:pPr>
      <w:r>
        <w:rPr>
          <w:sz w:val="22"/>
        </w:rPr>
        <w:t>Entrena, F. D., 2005. “Procesos de periurbanización y cambios en los modelos de ciudad. Un estudio europeo de casos sobre sus causas y consecuencias”. </w:t>
      </w:r>
      <w:r>
        <w:rPr>
          <w:i/>
          <w:sz w:val="22"/>
        </w:rPr>
        <w:t>Papers, </w:t>
      </w:r>
      <w:r>
        <w:rPr>
          <w:sz w:val="22"/>
        </w:rPr>
        <w:t>( 78, 2005), pp. 59-88.</w:t>
      </w:r>
    </w:p>
    <w:p>
      <w:pPr>
        <w:pStyle w:val="BodyText"/>
        <w:spacing w:before="4"/>
      </w:pPr>
    </w:p>
    <w:p>
      <w:pPr>
        <w:spacing w:before="0"/>
        <w:ind w:left="102" w:right="116" w:firstLine="0"/>
        <w:jc w:val="both"/>
        <w:rPr>
          <w:sz w:val="22"/>
        </w:rPr>
      </w:pPr>
      <w:r>
        <w:rPr>
          <w:sz w:val="22"/>
        </w:rPr>
        <w:t>Esmaragda, B. A. &amp; Roca, J. C., 2012. “El urban sprawl, ¿Un fenómeno de alcance planetario? Los ejemplos de México y España”. </w:t>
      </w:r>
      <w:r>
        <w:rPr>
          <w:i/>
          <w:sz w:val="22"/>
        </w:rPr>
        <w:t>en ACE Architecture, City and </w:t>
      </w:r>
      <w:r>
        <w:rPr>
          <w:i/>
          <w:sz w:val="22"/>
        </w:rPr>
        <w:t>Environment Arquitectura, Ciudad y Entorno , </w:t>
      </w:r>
      <w:r>
        <w:rPr>
          <w:sz w:val="22"/>
        </w:rPr>
        <w:t>Año IV(12), pp.</w:t>
      </w:r>
      <w:r>
        <w:rPr>
          <w:spacing w:val="-22"/>
          <w:sz w:val="22"/>
        </w:rPr>
        <w:t> </w:t>
      </w:r>
      <w:r>
        <w:rPr>
          <w:sz w:val="22"/>
        </w:rPr>
        <w:t>115-147.</w:t>
      </w:r>
    </w:p>
    <w:p>
      <w:pPr>
        <w:pStyle w:val="BodyText"/>
        <w:spacing w:before="3"/>
      </w:pPr>
    </w:p>
    <w:p>
      <w:pPr>
        <w:spacing w:before="1"/>
        <w:ind w:left="102" w:right="115" w:firstLine="0"/>
        <w:jc w:val="both"/>
        <w:rPr>
          <w:sz w:val="22"/>
        </w:rPr>
      </w:pPr>
      <w:r>
        <w:rPr>
          <w:sz w:val="22"/>
        </w:rPr>
        <w:t>Feria, T., 2010. ” La delimitación y organización espacial de las áreas metropolitanas españolas: una perspectiva desde la movilidad residencia-trabajo. </w:t>
      </w:r>
      <w:r>
        <w:rPr>
          <w:i/>
          <w:sz w:val="22"/>
        </w:rPr>
        <w:t>en Estudios  </w:t>
      </w:r>
      <w:r>
        <w:rPr>
          <w:i/>
          <w:sz w:val="22"/>
        </w:rPr>
        <w:t>territoriales, </w:t>
      </w:r>
      <w:r>
        <w:rPr>
          <w:sz w:val="22"/>
        </w:rPr>
        <w:t>XLII CUARTA ÉPOCA(164, 2010), pp.</w:t>
      </w:r>
      <w:r>
        <w:rPr>
          <w:spacing w:val="-18"/>
          <w:sz w:val="22"/>
        </w:rPr>
        <w:t> </w:t>
      </w:r>
      <w:r>
        <w:rPr>
          <w:sz w:val="22"/>
        </w:rPr>
        <w:t>189-210.</w:t>
      </w:r>
    </w:p>
    <w:p>
      <w:pPr>
        <w:pStyle w:val="BodyText"/>
        <w:spacing w:before="3"/>
      </w:pPr>
    </w:p>
    <w:p>
      <w:pPr>
        <w:spacing w:before="1"/>
        <w:ind w:left="102" w:right="117" w:firstLine="0"/>
        <w:jc w:val="both"/>
        <w:rPr>
          <w:sz w:val="22"/>
        </w:rPr>
      </w:pPr>
      <w:r>
        <w:rPr>
          <w:sz w:val="22"/>
        </w:rPr>
        <w:t>Ferras, C., 2007. “El enigma de la contraurbanización. Fenómeno empírico y concepto caótico”. </w:t>
      </w:r>
      <w:r>
        <w:rPr>
          <w:i/>
          <w:sz w:val="22"/>
        </w:rPr>
        <w:t>en EURE, </w:t>
      </w:r>
      <w:r>
        <w:rPr>
          <w:sz w:val="22"/>
        </w:rPr>
        <w:t>XXXIII(098), pp. 5-25.</w:t>
      </w:r>
    </w:p>
    <w:p>
      <w:pPr>
        <w:pStyle w:val="BodyText"/>
        <w:spacing w:before="3"/>
      </w:pPr>
    </w:p>
    <w:p>
      <w:pPr>
        <w:spacing w:before="1"/>
        <w:ind w:left="102" w:right="118" w:firstLine="0"/>
        <w:jc w:val="both"/>
        <w:rPr>
          <w:sz w:val="22"/>
        </w:rPr>
      </w:pPr>
      <w:r>
        <w:rPr>
          <w:sz w:val="22"/>
        </w:rPr>
        <w:t>García, A. L. &amp; Muñiz, I. O., 2007. “¿Policentrismo o dispersión? Una aproximación desde la nueva economía urbana”. </w:t>
      </w:r>
      <w:r>
        <w:rPr>
          <w:i/>
          <w:sz w:val="22"/>
        </w:rPr>
        <w:t>en Revista Investigaciones Regionales. , </w:t>
      </w:r>
      <w:r>
        <w:rPr>
          <w:sz w:val="22"/>
        </w:rPr>
        <w:t>Issue 11, pp. 25-43.</w:t>
      </w:r>
    </w:p>
    <w:p>
      <w:pPr>
        <w:pStyle w:val="BodyText"/>
        <w:spacing w:before="4"/>
      </w:pPr>
    </w:p>
    <w:p>
      <w:pPr>
        <w:spacing w:before="0"/>
        <w:ind w:left="102" w:right="0" w:firstLine="0"/>
        <w:jc w:val="both"/>
        <w:rPr>
          <w:i/>
          <w:sz w:val="22"/>
        </w:rPr>
      </w:pPr>
      <w:r>
        <w:rPr>
          <w:sz w:val="22"/>
        </w:rPr>
        <w:t>Giampino, A., 2000. “¿Metrópolis dispersas?”. </w:t>
      </w:r>
      <w:r>
        <w:rPr>
          <w:i/>
          <w:sz w:val="22"/>
        </w:rPr>
        <w:t>en Cuaderno de Investigación  Urbanística,</w:t>
      </w:r>
    </w:p>
    <w:p>
      <w:pPr>
        <w:spacing w:before="1"/>
        <w:ind w:left="102" w:right="0" w:firstLine="0"/>
        <w:jc w:val="both"/>
        <w:rPr>
          <w:sz w:val="22"/>
        </w:rPr>
      </w:pPr>
      <w:r>
        <w:rPr>
          <w:sz w:val="22"/>
        </w:rPr>
        <w:t>Issue 72, p. en Cuaderno de Investigación Urbanística, pp.2-122.</w:t>
      </w:r>
    </w:p>
    <w:p>
      <w:pPr>
        <w:pStyle w:val="BodyText"/>
        <w:spacing w:before="3"/>
      </w:pPr>
    </w:p>
    <w:p>
      <w:pPr>
        <w:spacing w:before="1"/>
        <w:ind w:left="102" w:right="120" w:firstLine="0"/>
        <w:jc w:val="both"/>
        <w:rPr>
          <w:sz w:val="22"/>
        </w:rPr>
      </w:pPr>
      <w:r>
        <w:rPr>
          <w:sz w:val="22"/>
        </w:rPr>
        <w:t>Hoyos, G., 2009. "El cambio urbano. concentración, difusión descentrada y desarticulación". </w:t>
      </w:r>
      <w:r>
        <w:rPr>
          <w:i/>
          <w:sz w:val="22"/>
        </w:rPr>
        <w:t>En Quivera, </w:t>
      </w:r>
      <w:r>
        <w:rPr>
          <w:sz w:val="22"/>
        </w:rPr>
        <w:t>Issue Enero-Junio, pp. 103-124.</w:t>
      </w:r>
    </w:p>
    <w:p>
      <w:pPr>
        <w:pStyle w:val="BodyText"/>
        <w:spacing w:before="3"/>
      </w:pPr>
    </w:p>
    <w:p>
      <w:pPr>
        <w:spacing w:before="0"/>
        <w:ind w:left="102" w:right="115" w:firstLine="0"/>
        <w:jc w:val="both"/>
        <w:rPr>
          <w:sz w:val="22"/>
        </w:rPr>
      </w:pPr>
      <w:r>
        <w:rPr>
          <w:sz w:val="22"/>
        </w:rPr>
        <w:t>Indovina, F., 1998. “Algunas consideraciones sobre ´la ciutat difusa´”. En </w:t>
      </w:r>
      <w:r>
        <w:rPr>
          <w:i/>
          <w:sz w:val="22"/>
        </w:rPr>
        <w:t>Documentos </w:t>
      </w:r>
      <w:r>
        <w:rPr>
          <w:i/>
          <w:sz w:val="22"/>
        </w:rPr>
        <w:t>Anales de Geografía, </w:t>
      </w:r>
      <w:r>
        <w:rPr>
          <w:sz w:val="22"/>
        </w:rPr>
        <w:t>(33), pp. 21-32.</w:t>
      </w:r>
    </w:p>
    <w:p>
      <w:pPr>
        <w:spacing w:after="0"/>
        <w:jc w:val="both"/>
        <w:rPr>
          <w:sz w:val="22"/>
        </w:rPr>
        <w:sectPr>
          <w:pgSz w:w="12240" w:h="15840"/>
          <w:pgMar w:header="0" w:footer="659" w:top="1360" w:bottom="840" w:left="1600" w:right="1580"/>
        </w:sectPr>
      </w:pPr>
    </w:p>
    <w:p>
      <w:pPr>
        <w:spacing w:before="53"/>
        <w:ind w:left="102" w:right="122" w:firstLine="0"/>
        <w:jc w:val="both"/>
        <w:rPr>
          <w:sz w:val="22"/>
        </w:rPr>
      </w:pPr>
      <w:r>
        <w:rPr>
          <w:sz w:val="22"/>
        </w:rPr>
        <w:t>Nogués L., S. y. S. O. H., 2009. “Modelos de crecimiento urbano. Estrategias de planificación y sostenibilidad”. </w:t>
      </w:r>
      <w:r>
        <w:rPr>
          <w:i/>
          <w:sz w:val="22"/>
        </w:rPr>
        <w:t>en SCIV 2009, </w:t>
      </w:r>
      <w:r>
        <w:rPr>
          <w:sz w:val="22"/>
        </w:rPr>
        <w:t>pp. pp. 25-36.</w:t>
      </w:r>
    </w:p>
    <w:p>
      <w:pPr>
        <w:pStyle w:val="BodyText"/>
        <w:spacing w:before="3"/>
      </w:pPr>
    </w:p>
    <w:p>
      <w:pPr>
        <w:spacing w:before="1"/>
        <w:ind w:left="102" w:right="113" w:firstLine="0"/>
        <w:jc w:val="both"/>
        <w:rPr>
          <w:sz w:val="22"/>
        </w:rPr>
      </w:pPr>
      <w:r>
        <w:rPr>
          <w:sz w:val="22"/>
        </w:rPr>
        <w:t>Otero , E. R. &amp; Gómez , R. S., 2007. “La desconcentración urbana en el sistema territorial de Galicia: un enfoque conceptual y empírico”. </w:t>
      </w:r>
      <w:r>
        <w:rPr>
          <w:i/>
          <w:sz w:val="22"/>
        </w:rPr>
        <w:t>en Boletín de la A.G.E. , </w:t>
      </w:r>
      <w:r>
        <w:rPr>
          <w:sz w:val="22"/>
        </w:rPr>
        <w:t>Issue 44, pp. 259- 277.</w:t>
      </w:r>
    </w:p>
    <w:p>
      <w:pPr>
        <w:pStyle w:val="BodyText"/>
        <w:spacing w:before="3"/>
      </w:pPr>
    </w:p>
    <w:p>
      <w:pPr>
        <w:spacing w:before="1"/>
        <w:ind w:left="102" w:right="120" w:firstLine="0"/>
        <w:jc w:val="both"/>
        <w:rPr>
          <w:sz w:val="22"/>
        </w:rPr>
      </w:pPr>
      <w:r>
        <w:rPr>
          <w:sz w:val="22"/>
        </w:rPr>
        <w:t>Pujadas, R. . I., 2009. “Movilidad residencial y expansión urbana en la región metropolitana de Barcelona, 1982-2005”. </w:t>
      </w:r>
      <w:r>
        <w:rPr>
          <w:i/>
          <w:sz w:val="22"/>
        </w:rPr>
        <w:t>en Revista Electrónica de Geografía y Ciencias </w:t>
      </w:r>
      <w:r>
        <w:rPr>
          <w:i/>
          <w:sz w:val="22"/>
        </w:rPr>
        <w:t>Sociales, </w:t>
      </w:r>
      <w:r>
        <w:rPr>
          <w:sz w:val="22"/>
        </w:rPr>
        <w:t>XIII (290 mayo), pp.</w:t>
      </w:r>
      <w:r>
        <w:rPr>
          <w:spacing w:val="-8"/>
          <w:sz w:val="22"/>
        </w:rPr>
        <w:t> </w:t>
      </w:r>
      <w:r>
        <w:rPr>
          <w:sz w:val="22"/>
        </w:rPr>
        <w:t>2-31.</w:t>
      </w:r>
    </w:p>
    <w:p>
      <w:pPr>
        <w:pStyle w:val="BodyText"/>
        <w:spacing w:before="3"/>
      </w:pPr>
    </w:p>
    <w:p>
      <w:pPr>
        <w:spacing w:before="1"/>
        <w:ind w:left="102" w:right="115" w:firstLine="0"/>
        <w:jc w:val="both"/>
        <w:rPr>
          <w:sz w:val="22"/>
        </w:rPr>
      </w:pPr>
      <w:r>
        <w:rPr>
          <w:sz w:val="22"/>
        </w:rPr>
        <w:t>Rufí, J. V., 2003. “¿Nuevas Palabras, Nuevas Ciudades?”. </w:t>
      </w:r>
      <w:r>
        <w:rPr>
          <w:i/>
          <w:sz w:val="22"/>
        </w:rPr>
        <w:t>en Revista de Geografia, </w:t>
      </w:r>
      <w:r>
        <w:rPr>
          <w:sz w:val="22"/>
        </w:rPr>
        <w:t>Issue 2, pp. 79-103.</w:t>
      </w:r>
    </w:p>
    <w:p>
      <w:pPr>
        <w:pStyle w:val="BodyText"/>
        <w:spacing w:before="4"/>
      </w:pPr>
    </w:p>
    <w:p>
      <w:pPr>
        <w:spacing w:before="0"/>
        <w:ind w:left="102" w:right="115" w:firstLine="0"/>
        <w:jc w:val="both"/>
        <w:rPr>
          <w:sz w:val="22"/>
        </w:rPr>
      </w:pPr>
      <w:r>
        <w:rPr>
          <w:sz w:val="22"/>
        </w:rPr>
        <w:t>Sobrino, L. J., 2007. “Patrones de dispersión intrametropolitana en México”. </w:t>
      </w:r>
      <w:r>
        <w:rPr>
          <w:i/>
          <w:sz w:val="22"/>
        </w:rPr>
        <w:t>en Estudios </w:t>
      </w:r>
      <w:r>
        <w:rPr>
          <w:i/>
          <w:sz w:val="22"/>
        </w:rPr>
        <w:t>Demográficos y Urbanos, </w:t>
      </w:r>
      <w:r>
        <w:rPr>
          <w:sz w:val="22"/>
        </w:rPr>
        <w:t>22 (3 /66), pp. 583-617.</w:t>
      </w:r>
    </w:p>
    <w:p>
      <w:pPr>
        <w:pStyle w:val="BodyText"/>
        <w:spacing w:before="3"/>
      </w:pPr>
    </w:p>
    <w:p>
      <w:pPr>
        <w:spacing w:before="1"/>
        <w:ind w:left="102" w:right="0" w:firstLine="0"/>
        <w:jc w:val="both"/>
        <w:rPr>
          <w:sz w:val="22"/>
        </w:rPr>
      </w:pPr>
      <w:r>
        <w:rPr>
          <w:sz w:val="22"/>
        </w:rPr>
        <w:t>Ponencia</w:t>
      </w:r>
    </w:p>
    <w:p>
      <w:pPr>
        <w:pStyle w:val="BodyText"/>
        <w:spacing w:before="3"/>
      </w:pPr>
    </w:p>
    <w:p>
      <w:pPr>
        <w:spacing w:before="1"/>
        <w:ind w:left="102" w:right="118" w:firstLine="0"/>
        <w:jc w:val="both"/>
        <w:rPr>
          <w:sz w:val="22"/>
        </w:rPr>
      </w:pPr>
      <w:r>
        <w:rPr>
          <w:sz w:val="22"/>
        </w:rPr>
        <w:t>Cuervo, M. L., 2010. </w:t>
      </w:r>
      <w:r>
        <w:rPr>
          <w:i/>
          <w:sz w:val="22"/>
        </w:rPr>
        <w:t>"America Latina: metrópolis en mutación". </w:t>
      </w:r>
      <w:r>
        <w:rPr>
          <w:sz w:val="22"/>
        </w:rPr>
        <w:t>Mendoza, Argentina, XI Seminario Internacional de la Red de Investigadores sobre Globalización y Territorio y IV Taller de Red Iberoamericana de Editores de Revista.</w:t>
      </w:r>
    </w:p>
    <w:p>
      <w:pPr>
        <w:pStyle w:val="BodyText"/>
        <w:spacing w:before="3"/>
      </w:pPr>
    </w:p>
    <w:p>
      <w:pPr>
        <w:spacing w:before="1"/>
        <w:ind w:left="102" w:right="119" w:firstLine="0"/>
        <w:jc w:val="both"/>
        <w:rPr>
          <w:sz w:val="22"/>
        </w:rPr>
      </w:pPr>
      <w:r>
        <w:rPr>
          <w:sz w:val="22"/>
        </w:rPr>
        <w:t>Hoyos, G., 2012b:. </w:t>
      </w:r>
      <w:r>
        <w:rPr>
          <w:i/>
          <w:sz w:val="22"/>
        </w:rPr>
        <w:t>“Ciudad-territorio. Descentralización urbana en América latina y </w:t>
      </w:r>
      <w:r>
        <w:rPr>
          <w:i/>
          <w:sz w:val="22"/>
        </w:rPr>
        <w:t>México”. </w:t>
      </w:r>
      <w:r>
        <w:rPr>
          <w:sz w:val="22"/>
        </w:rPr>
        <w:t>Palacio de Minería, AMECIDER AC..</w:t>
      </w:r>
    </w:p>
    <w:p>
      <w:pPr>
        <w:pStyle w:val="BodyText"/>
        <w:spacing w:before="3"/>
      </w:pPr>
    </w:p>
    <w:p>
      <w:pPr>
        <w:spacing w:before="1"/>
        <w:ind w:left="102" w:right="116" w:firstLine="0"/>
        <w:jc w:val="both"/>
        <w:rPr>
          <w:sz w:val="22"/>
        </w:rPr>
      </w:pPr>
      <w:r>
        <w:rPr>
          <w:sz w:val="22"/>
        </w:rPr>
        <w:t>Sobrino, L. J., 2011. </w:t>
      </w:r>
      <w:r>
        <w:rPr>
          <w:i/>
          <w:sz w:val="22"/>
        </w:rPr>
        <w:t>La urbanización en México contemporáneo. </w:t>
      </w:r>
      <w:r>
        <w:rPr>
          <w:sz w:val="22"/>
        </w:rPr>
        <w:t>Santiago, CEPAL/CELADE. Reunión de expertos sobre: Población, territorio y desarrollo sostenible.</w:t>
      </w:r>
    </w:p>
    <w:p>
      <w:pPr>
        <w:pStyle w:val="BodyText"/>
        <w:spacing w:before="6"/>
      </w:pPr>
    </w:p>
    <w:p>
      <w:pPr>
        <w:spacing w:before="0"/>
        <w:ind w:left="102" w:right="119" w:firstLine="0"/>
        <w:jc w:val="both"/>
        <w:rPr>
          <w:sz w:val="22"/>
        </w:rPr>
      </w:pPr>
      <w:r>
        <w:rPr>
          <w:sz w:val="22"/>
        </w:rPr>
        <w:t>Topelson de G., S., 2012a. </w:t>
      </w:r>
      <w:r>
        <w:rPr>
          <w:i/>
          <w:sz w:val="22"/>
        </w:rPr>
        <w:t>“Modelos de ciudad. Ciudad compacta vs. ciudad dispersa”. </w:t>
      </w:r>
      <w:r>
        <w:rPr>
          <w:sz w:val="22"/>
        </w:rPr>
        <w:t>Culiacán, Sinaloa., Foro Mundial de Desarrollo Urbano Nuestras Ciudades Nuestro Mañana.</w:t>
      </w:r>
    </w:p>
    <w:p>
      <w:pPr>
        <w:pStyle w:val="BodyText"/>
        <w:spacing w:before="3"/>
      </w:pPr>
    </w:p>
    <w:p>
      <w:pPr>
        <w:spacing w:before="1"/>
        <w:ind w:left="102" w:right="116" w:firstLine="0"/>
        <w:jc w:val="both"/>
        <w:rPr>
          <w:sz w:val="22"/>
        </w:rPr>
      </w:pPr>
      <w:r>
        <w:rPr>
          <w:sz w:val="22"/>
        </w:rPr>
        <w:t>Topelson de G, S., 2012b. </w:t>
      </w:r>
      <w:r>
        <w:rPr>
          <w:i/>
          <w:sz w:val="22"/>
        </w:rPr>
        <w:t>“El costo de la ciudad. El desarrollo urbano sustentable y la </w:t>
      </w:r>
      <w:r>
        <w:rPr>
          <w:i/>
          <w:sz w:val="22"/>
        </w:rPr>
        <w:t>vocación de las ciudades”. </w:t>
      </w:r>
      <w:r>
        <w:rPr>
          <w:sz w:val="22"/>
        </w:rPr>
        <w:t>Ciudad de México, EXPO CIHAC. Centro impulsor de la Construcción y Habitación A.C.</w:t>
      </w:r>
    </w:p>
    <w:p>
      <w:pPr>
        <w:pStyle w:val="BodyText"/>
        <w:spacing w:before="3"/>
      </w:pPr>
    </w:p>
    <w:p>
      <w:pPr>
        <w:spacing w:before="1"/>
        <w:ind w:left="102" w:right="120" w:firstLine="0"/>
        <w:jc w:val="both"/>
        <w:rPr>
          <w:sz w:val="22"/>
        </w:rPr>
      </w:pPr>
      <w:r>
        <w:rPr>
          <w:sz w:val="22"/>
        </w:rPr>
        <w:t>Trullén, J. &amp; Boix, R., 2000. </w:t>
      </w:r>
      <w:r>
        <w:rPr>
          <w:i/>
          <w:sz w:val="22"/>
        </w:rPr>
        <w:t>“Policentrismo y redes de ciudades en la región metropolitana </w:t>
      </w:r>
      <w:r>
        <w:rPr>
          <w:i/>
          <w:sz w:val="22"/>
        </w:rPr>
        <w:t>de Barcelona". </w:t>
      </w:r>
      <w:r>
        <w:rPr>
          <w:sz w:val="22"/>
        </w:rPr>
        <w:t>Barcelona España, II Congreso de economía aplicada en Valencia Departament d´Economia Aplicada Universitat Autónoma de Barcelona.</w:t>
      </w:r>
    </w:p>
    <w:p>
      <w:pPr>
        <w:pStyle w:val="BodyText"/>
        <w:spacing w:before="2"/>
      </w:pPr>
    </w:p>
    <w:p>
      <w:pPr>
        <w:spacing w:before="0"/>
        <w:ind w:left="810" w:right="296" w:firstLine="0"/>
        <w:jc w:val="left"/>
        <w:rPr>
          <w:b/>
          <w:sz w:val="22"/>
        </w:rPr>
      </w:pPr>
      <w:r>
        <w:rPr>
          <w:b/>
          <w:sz w:val="22"/>
        </w:rPr>
        <w:t>Institucional</w:t>
      </w:r>
    </w:p>
    <w:p>
      <w:pPr>
        <w:pStyle w:val="BodyText"/>
        <w:spacing w:before="6"/>
        <w:rPr>
          <w:b/>
        </w:rPr>
      </w:pPr>
    </w:p>
    <w:p>
      <w:pPr>
        <w:spacing w:before="0"/>
        <w:ind w:left="102" w:right="121" w:firstLine="0"/>
        <w:jc w:val="both"/>
        <w:rPr>
          <w:sz w:val="22"/>
        </w:rPr>
      </w:pPr>
      <w:r>
        <w:rPr>
          <w:sz w:val="22"/>
        </w:rPr>
        <w:t>GEM- Gobierno del Estado de México, Junta de Caminos del Estado de México, 2007. </w:t>
      </w:r>
      <w:r>
        <w:rPr>
          <w:i/>
          <w:sz w:val="22"/>
        </w:rPr>
        <w:t>Anexos del Tomo 2 de la Prolongación de la Vialidad Las Torres, tramo oriente poniente y </w:t>
      </w:r>
      <w:r>
        <w:rPr>
          <w:i/>
          <w:sz w:val="22"/>
        </w:rPr>
        <w:t>modernización vía rápida. </w:t>
      </w:r>
      <w:r>
        <w:rPr>
          <w:sz w:val="22"/>
        </w:rPr>
        <w:t>Toluca: GEM.</w:t>
      </w:r>
    </w:p>
    <w:p>
      <w:pPr>
        <w:pStyle w:val="BodyText"/>
        <w:spacing w:before="3"/>
      </w:pPr>
    </w:p>
    <w:p>
      <w:pPr>
        <w:spacing w:before="0"/>
        <w:ind w:left="102" w:right="116" w:firstLine="0"/>
        <w:jc w:val="both"/>
        <w:rPr>
          <w:sz w:val="22"/>
        </w:rPr>
      </w:pPr>
      <w:r>
        <w:rPr>
          <w:sz w:val="22"/>
        </w:rPr>
        <w:t>GEM- SDU, Gobierno del Estado de México, Secretaría de Desarrollo Urbano, 2005. </w:t>
      </w:r>
      <w:r>
        <w:rPr>
          <w:i/>
          <w:sz w:val="22"/>
        </w:rPr>
        <w:t>Plan </w:t>
      </w:r>
      <w:r>
        <w:rPr>
          <w:i/>
          <w:sz w:val="22"/>
        </w:rPr>
        <w:t>de Desarrollo del Estado de México, 2005-2011. </w:t>
      </w:r>
      <w:r>
        <w:rPr>
          <w:sz w:val="22"/>
        </w:rPr>
        <w:t>Toluca: GEM.</w:t>
      </w:r>
    </w:p>
    <w:p>
      <w:pPr>
        <w:spacing w:after="0"/>
        <w:jc w:val="both"/>
        <w:rPr>
          <w:sz w:val="22"/>
        </w:rPr>
        <w:sectPr>
          <w:footerReference w:type="default" r:id="rId66"/>
          <w:pgSz w:w="12240" w:h="15840"/>
          <w:pgMar w:footer="659" w:header="0" w:top="1360" w:bottom="840" w:left="1600" w:right="1580"/>
          <w:pgNumType w:start="150"/>
        </w:sectPr>
      </w:pPr>
    </w:p>
    <w:p>
      <w:pPr>
        <w:spacing w:before="53"/>
        <w:ind w:left="142" w:right="136" w:firstLine="0"/>
        <w:jc w:val="both"/>
        <w:rPr>
          <w:sz w:val="22"/>
        </w:rPr>
      </w:pPr>
      <w:r>
        <w:rPr>
          <w:sz w:val="22"/>
        </w:rPr>
        <w:t>GEM- SDU, Gobierno del Estado de México, Secretaría de Desarrollo Urbano, 2005. </w:t>
      </w:r>
      <w:r>
        <w:rPr>
          <w:i/>
          <w:sz w:val="22"/>
        </w:rPr>
        <w:t>Plan </w:t>
      </w:r>
      <w:r>
        <w:rPr>
          <w:i/>
          <w:sz w:val="22"/>
        </w:rPr>
        <w:t>Regional de Desarrollo Urbano del Valle de Toluca 2005. </w:t>
      </w:r>
      <w:r>
        <w:rPr>
          <w:sz w:val="22"/>
        </w:rPr>
        <w:t>Toluca: Gobierno del Estado de México.</w:t>
      </w:r>
    </w:p>
    <w:p>
      <w:pPr>
        <w:pStyle w:val="BodyText"/>
        <w:spacing w:before="3"/>
      </w:pPr>
    </w:p>
    <w:p>
      <w:pPr>
        <w:spacing w:before="1"/>
        <w:ind w:left="142" w:right="137" w:firstLine="0"/>
        <w:jc w:val="both"/>
        <w:rPr>
          <w:sz w:val="22"/>
        </w:rPr>
      </w:pPr>
      <w:r>
        <w:rPr>
          <w:sz w:val="22"/>
        </w:rPr>
        <w:t>GEM-Coespo Gobierno del Estado de México-Consejo Estatal de Población, 2012. </w:t>
      </w:r>
      <w:r>
        <w:rPr>
          <w:i/>
          <w:sz w:val="22"/>
        </w:rPr>
        <w:t>Zona </w:t>
      </w:r>
      <w:r>
        <w:rPr>
          <w:i/>
          <w:sz w:val="22"/>
        </w:rPr>
        <w:t>Metropolitana de Toluca Aspectos sociodemográficos. </w:t>
      </w:r>
      <w:r>
        <w:rPr>
          <w:sz w:val="22"/>
        </w:rPr>
        <w:t>Toluca: GEM.</w:t>
      </w:r>
    </w:p>
    <w:p>
      <w:pPr>
        <w:pStyle w:val="BodyText"/>
        <w:spacing w:before="3"/>
      </w:pPr>
    </w:p>
    <w:p>
      <w:pPr>
        <w:spacing w:before="1"/>
        <w:ind w:left="142" w:right="137" w:firstLine="0"/>
        <w:jc w:val="both"/>
        <w:rPr>
          <w:sz w:val="22"/>
        </w:rPr>
      </w:pPr>
      <w:r>
        <w:rPr>
          <w:sz w:val="22"/>
        </w:rPr>
        <w:t>ONU-HABITAT- SEDESOL., 2011. </w:t>
      </w:r>
      <w:r>
        <w:rPr>
          <w:i/>
          <w:sz w:val="22"/>
        </w:rPr>
        <w:t>Estado de las ciudades de México 2011. </w:t>
      </w:r>
      <w:r>
        <w:rPr>
          <w:sz w:val="22"/>
        </w:rPr>
        <w:t>México, D.F.: ONU-HABITAT- SEDESOL.</w:t>
      </w:r>
    </w:p>
    <w:p>
      <w:pPr>
        <w:pStyle w:val="BodyText"/>
        <w:spacing w:before="1"/>
      </w:pPr>
    </w:p>
    <w:p>
      <w:pPr>
        <w:spacing w:before="0"/>
        <w:ind w:left="850" w:right="487" w:firstLine="0"/>
        <w:jc w:val="left"/>
        <w:rPr>
          <w:b/>
          <w:sz w:val="22"/>
        </w:rPr>
      </w:pPr>
      <w:r>
        <w:rPr>
          <w:b/>
          <w:sz w:val="22"/>
        </w:rPr>
        <w:t>Tesis.</w:t>
      </w:r>
    </w:p>
    <w:p>
      <w:pPr>
        <w:pStyle w:val="BodyText"/>
        <w:spacing w:before="6"/>
        <w:rPr>
          <w:b/>
        </w:rPr>
      </w:pPr>
    </w:p>
    <w:p>
      <w:pPr>
        <w:spacing w:before="0"/>
        <w:ind w:left="142" w:right="136" w:firstLine="0"/>
        <w:jc w:val="both"/>
        <w:rPr>
          <w:sz w:val="22"/>
        </w:rPr>
      </w:pPr>
      <w:r>
        <w:rPr>
          <w:sz w:val="22"/>
        </w:rPr>
        <w:t>Montejano, J., 2010. </w:t>
      </w:r>
      <w:r>
        <w:rPr>
          <w:i/>
          <w:sz w:val="22"/>
        </w:rPr>
        <w:t>Metropolización del territorio y regiones urbanas intermedias. El caso </w:t>
      </w:r>
      <w:r>
        <w:rPr>
          <w:i/>
          <w:sz w:val="22"/>
        </w:rPr>
        <w:t>del ámbito central del Camp de Tarragona 1977/2008. </w:t>
      </w:r>
      <w:r>
        <w:rPr>
          <w:sz w:val="22"/>
        </w:rPr>
        <w:t>Barcelona España: Tesis para obtener el grado de Doctor por la Universitat Politècnica de Catalunya.</w:t>
      </w:r>
    </w:p>
    <w:p>
      <w:pPr>
        <w:pStyle w:val="BodyText"/>
        <w:spacing w:before="1"/>
      </w:pPr>
    </w:p>
    <w:p>
      <w:pPr>
        <w:spacing w:before="0"/>
        <w:ind w:left="850" w:right="487" w:firstLine="0"/>
        <w:jc w:val="left"/>
        <w:rPr>
          <w:b/>
          <w:sz w:val="22"/>
        </w:rPr>
      </w:pPr>
      <w:r>
        <w:rPr>
          <w:b/>
          <w:sz w:val="22"/>
        </w:rPr>
        <w:t>Internet.</w:t>
      </w:r>
    </w:p>
    <w:p>
      <w:pPr>
        <w:pStyle w:val="BodyText"/>
        <w:spacing w:before="6"/>
        <w:rPr>
          <w:b/>
        </w:rPr>
      </w:pPr>
    </w:p>
    <w:p>
      <w:pPr>
        <w:tabs>
          <w:tab w:pos="8737" w:val="left" w:leader="none"/>
        </w:tabs>
        <w:spacing w:before="0"/>
        <w:ind w:left="142" w:right="137" w:firstLine="0"/>
        <w:jc w:val="both"/>
        <w:rPr>
          <w:sz w:val="22"/>
        </w:rPr>
      </w:pPr>
      <w:r>
        <w:rPr>
          <w:sz w:val="22"/>
        </w:rPr>
        <w:t>De Mattos, C., 2010. </w:t>
      </w:r>
      <w:r>
        <w:rPr>
          <w:i/>
          <w:sz w:val="22"/>
        </w:rPr>
        <w:t>“Globalización y metamorfosis urbana en América Latina”. </w:t>
      </w:r>
      <w:r>
        <w:rPr>
          <w:sz w:val="22"/>
        </w:rPr>
        <w:t>[En línea] Available</w:t>
        <w:tab/>
      </w:r>
      <w:r>
        <w:rPr>
          <w:spacing w:val="-1"/>
          <w:sz w:val="22"/>
        </w:rPr>
        <w:t>at:</w:t>
      </w:r>
    </w:p>
    <w:p>
      <w:pPr>
        <w:spacing w:before="0"/>
        <w:ind w:left="142" w:right="168" w:firstLine="0"/>
        <w:jc w:val="both"/>
        <w:rPr>
          <w:sz w:val="22"/>
        </w:rPr>
      </w:pPr>
      <w:hyperlink r:id="rId67">
        <w:r>
          <w:rPr>
            <w:sz w:val="22"/>
          </w:rPr>
          <w:t>http://www.institutodelaciudad.com.ec/index.php/documentacion/publicaciones/publicacion</w:t>
        </w:r>
      </w:hyperlink>
      <w:r>
        <w:rPr>
          <w:sz w:val="22"/>
        </w:rPr>
        <w:t> es/53-revista-questiones-urbanas</w:t>
      </w:r>
    </w:p>
    <w:p>
      <w:pPr>
        <w:spacing w:line="252" w:lineRule="exact" w:before="0"/>
        <w:ind w:left="142" w:right="0" w:firstLine="0"/>
        <w:jc w:val="both"/>
        <w:rPr>
          <w:sz w:val="22"/>
        </w:rPr>
      </w:pPr>
      <w:r>
        <w:rPr>
          <w:sz w:val="22"/>
        </w:rPr>
        <w:t>[Último acceso: 26 octubre 2013].</w:t>
      </w:r>
    </w:p>
    <w:p>
      <w:pPr>
        <w:pStyle w:val="BodyText"/>
        <w:spacing w:before="3"/>
      </w:pPr>
    </w:p>
    <w:p>
      <w:pPr>
        <w:tabs>
          <w:tab w:pos="1979" w:val="left" w:leader="none"/>
          <w:tab w:pos="2970" w:val="left" w:leader="none"/>
          <w:tab w:pos="4820" w:val="left" w:leader="none"/>
          <w:tab w:pos="7364" w:val="left" w:leader="none"/>
          <w:tab w:pos="8444" w:val="left" w:leader="none"/>
          <w:tab w:pos="8737" w:val="left" w:leader="none"/>
        </w:tabs>
        <w:spacing w:before="1"/>
        <w:ind w:left="142" w:right="136" w:firstLine="0"/>
        <w:jc w:val="both"/>
        <w:rPr>
          <w:sz w:val="22"/>
        </w:rPr>
      </w:pPr>
      <w:r>
        <w:rPr>
          <w:sz w:val="22"/>
        </w:rPr>
        <w:t>INEGI, Instituto Nacional de Geografía y Estadística, 1990-2010 Vehículos de motor registrados</w:t>
        <w:tab/>
        <w:t>en</w:t>
        <w:tab/>
        <w:t>circulación.</w:t>
        <w:tab/>
      </w:r>
      <w:hyperlink r:id="rId68">
        <w:r>
          <w:rPr>
            <w:i/>
            <w:sz w:val="22"/>
          </w:rPr>
          <w:t>www.inegi.org.mx.</w:t>
        </w:r>
      </w:hyperlink>
      <w:r>
        <w:rPr>
          <w:i/>
          <w:sz w:val="22"/>
        </w:rPr>
        <w:tab/>
      </w:r>
      <w:r>
        <w:rPr>
          <w:sz w:val="22"/>
        </w:rPr>
        <w:t>[En</w:t>
        <w:tab/>
      </w:r>
      <w:r>
        <w:rPr>
          <w:spacing w:val="-1"/>
          <w:sz w:val="22"/>
        </w:rPr>
        <w:t>línea] </w:t>
      </w:r>
      <w:r>
        <w:rPr>
          <w:sz w:val="22"/>
        </w:rPr>
        <w:t>Available</w:t>
        <w:tab/>
        <w:tab/>
        <w:tab/>
        <w:tab/>
        <w:tab/>
        <w:tab/>
        <w:t>at:</w:t>
      </w:r>
    </w:p>
    <w:p>
      <w:pPr>
        <w:spacing w:before="0"/>
        <w:ind w:left="142" w:right="176" w:firstLine="0"/>
        <w:jc w:val="both"/>
        <w:rPr>
          <w:sz w:val="22"/>
        </w:rPr>
      </w:pPr>
      <w:hyperlink r:id="rId69">
        <w:r>
          <w:rPr>
            <w:sz w:val="22"/>
          </w:rPr>
          <w:t>http://www.inegi.org.mx/lib/olap/consulta/general_ver4/MDXQueryDatos.asp?proy=vmrc_v</w:t>
        </w:r>
      </w:hyperlink>
      <w:r>
        <w:rPr>
          <w:sz w:val="22"/>
        </w:rPr>
        <w:t> ehiculos</w:t>
      </w:r>
    </w:p>
    <w:p>
      <w:pPr>
        <w:spacing w:line="252" w:lineRule="exact" w:before="0"/>
        <w:ind w:left="142" w:right="0" w:firstLine="0"/>
        <w:jc w:val="both"/>
        <w:rPr>
          <w:sz w:val="22"/>
        </w:rPr>
      </w:pPr>
      <w:r>
        <w:rPr>
          <w:sz w:val="22"/>
        </w:rPr>
        <w:t>[Último acceso: 15 feberero 2013].</w:t>
      </w:r>
    </w:p>
    <w:p>
      <w:pPr>
        <w:pStyle w:val="BodyText"/>
        <w:spacing w:before="3"/>
      </w:pPr>
    </w:p>
    <w:p>
      <w:pPr>
        <w:spacing w:before="1"/>
        <w:ind w:left="142" w:right="136" w:firstLine="0"/>
        <w:jc w:val="both"/>
        <w:rPr>
          <w:sz w:val="22"/>
        </w:rPr>
      </w:pPr>
      <w:r>
        <w:rPr>
          <w:sz w:val="22"/>
        </w:rPr>
        <w:t>INEGI, Instituto Nacional de Geografía y Estadística, 2000. 2005 y 2010 Sistema de Integración Territorial, ITER 2000, ITER 2005, ITER 2010,. </w:t>
      </w:r>
      <w:hyperlink r:id="rId70">
        <w:r>
          <w:rPr>
            <w:i/>
            <w:sz w:val="22"/>
          </w:rPr>
          <w:t>www.inwgi.org.mx.</w:t>
        </w:r>
      </w:hyperlink>
      <w:r>
        <w:rPr>
          <w:i/>
          <w:sz w:val="22"/>
        </w:rPr>
        <w:t> </w:t>
      </w:r>
      <w:r>
        <w:rPr>
          <w:sz w:val="22"/>
        </w:rPr>
        <w:t>[En línea] Available   at:   </w:t>
      </w:r>
      <w:hyperlink r:id="rId71">
        <w:r>
          <w:rPr>
            <w:sz w:val="22"/>
          </w:rPr>
          <w:t>http://www3.inegi.org.mx/sistemas/iter/entidad_indicador.aspx?ev=1</w:t>
        </w:r>
      </w:hyperlink>
      <w:r>
        <w:rPr>
          <w:sz w:val="22"/>
        </w:rPr>
        <w:t> [Último acceso: 15 febrero</w:t>
      </w:r>
      <w:r>
        <w:rPr>
          <w:spacing w:val="-11"/>
          <w:sz w:val="22"/>
        </w:rPr>
        <w:t> </w:t>
      </w:r>
      <w:r>
        <w:rPr>
          <w:sz w:val="22"/>
        </w:rPr>
        <w:t>2013].</w:t>
      </w:r>
    </w:p>
    <w:p>
      <w:pPr>
        <w:pStyle w:val="BodyText"/>
        <w:spacing w:before="3"/>
      </w:pPr>
    </w:p>
    <w:p>
      <w:pPr>
        <w:spacing w:before="1" w:after="29"/>
        <w:ind w:left="142" w:right="0" w:firstLine="0"/>
        <w:jc w:val="both"/>
        <w:rPr>
          <w:sz w:val="22"/>
        </w:rPr>
      </w:pPr>
      <w:r>
        <w:rPr>
          <w:sz w:val="22"/>
        </w:rPr>
        <w:t>Méndez, R., 2001. "Transformaciones económicas y reorganización territorial en la  región</w:t>
      </w:r>
    </w:p>
    <w:tbl>
      <w:tblPr>
        <w:tblW w:w="0" w:type="auto"/>
        <w:jc w:val="left"/>
        <w:tblInd w:w="107"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6686"/>
        <w:gridCol w:w="1700"/>
        <w:gridCol w:w="518"/>
      </w:tblGrid>
      <w:tr>
        <w:trPr>
          <w:trHeight w:val="236" w:hRule="exact"/>
        </w:trPr>
        <w:tc>
          <w:tcPr>
            <w:tcW w:w="6686" w:type="dxa"/>
          </w:tcPr>
          <w:p>
            <w:pPr>
              <w:pStyle w:val="TableParagraph"/>
              <w:spacing w:line="226" w:lineRule="exact"/>
              <w:ind w:left="35"/>
              <w:rPr>
                <w:sz w:val="22"/>
              </w:rPr>
            </w:pPr>
            <w:r>
              <w:rPr>
                <w:sz w:val="22"/>
              </w:rPr>
              <w:t>metropolitana de Madrid". </w:t>
            </w:r>
            <w:r>
              <w:rPr>
                <w:i/>
                <w:sz w:val="22"/>
              </w:rPr>
              <w:t>en EURE, </w:t>
            </w:r>
            <w:r>
              <w:rPr>
                <w:sz w:val="22"/>
              </w:rPr>
              <w:t>27</w:t>
            </w:r>
          </w:p>
        </w:tc>
        <w:tc>
          <w:tcPr>
            <w:tcW w:w="1700" w:type="dxa"/>
          </w:tcPr>
          <w:p>
            <w:pPr/>
          </w:p>
        </w:tc>
        <w:tc>
          <w:tcPr>
            <w:tcW w:w="518" w:type="dxa"/>
          </w:tcPr>
          <w:p>
            <w:pPr>
              <w:pStyle w:val="TableParagraph"/>
              <w:spacing w:line="226" w:lineRule="exact"/>
              <w:ind w:left="0" w:right="45"/>
              <w:jc w:val="right"/>
              <w:rPr>
                <w:sz w:val="22"/>
              </w:rPr>
            </w:pPr>
            <w:r>
              <w:rPr>
                <w:sz w:val="22"/>
              </w:rPr>
              <w:t>[En</w:t>
            </w:r>
          </w:p>
        </w:tc>
      </w:tr>
      <w:tr>
        <w:trPr>
          <w:trHeight w:val="253" w:hRule="exact"/>
        </w:trPr>
        <w:tc>
          <w:tcPr>
            <w:tcW w:w="6686" w:type="dxa"/>
          </w:tcPr>
          <w:p>
            <w:pPr>
              <w:pStyle w:val="TableParagraph"/>
              <w:spacing w:line="241" w:lineRule="exact"/>
              <w:ind w:left="35"/>
              <w:rPr>
                <w:sz w:val="22"/>
              </w:rPr>
            </w:pPr>
            <w:r>
              <w:rPr>
                <w:sz w:val="22"/>
              </w:rPr>
              <w:t>línea]</w:t>
            </w:r>
          </w:p>
        </w:tc>
        <w:tc>
          <w:tcPr>
            <w:tcW w:w="1700" w:type="dxa"/>
          </w:tcPr>
          <w:p>
            <w:pPr>
              <w:pStyle w:val="TableParagraph"/>
              <w:spacing w:line="241" w:lineRule="exact"/>
              <w:ind w:left="670"/>
              <w:rPr>
                <w:sz w:val="22"/>
              </w:rPr>
            </w:pPr>
            <w:r>
              <w:rPr>
                <w:sz w:val="22"/>
              </w:rPr>
              <w:t>Available</w:t>
            </w:r>
          </w:p>
        </w:tc>
        <w:tc>
          <w:tcPr>
            <w:tcW w:w="518" w:type="dxa"/>
          </w:tcPr>
          <w:p>
            <w:pPr>
              <w:pStyle w:val="TableParagraph"/>
              <w:spacing w:line="241" w:lineRule="exact"/>
              <w:ind w:left="0" w:right="33"/>
              <w:jc w:val="right"/>
              <w:rPr>
                <w:sz w:val="22"/>
              </w:rPr>
            </w:pPr>
            <w:r>
              <w:rPr>
                <w:sz w:val="22"/>
              </w:rPr>
              <w:t>at:</w:t>
            </w:r>
          </w:p>
        </w:tc>
      </w:tr>
      <w:tr>
        <w:trPr>
          <w:trHeight w:val="253" w:hRule="exact"/>
        </w:trPr>
        <w:tc>
          <w:tcPr>
            <w:tcW w:w="6686" w:type="dxa"/>
          </w:tcPr>
          <w:p>
            <w:pPr>
              <w:pStyle w:val="TableParagraph"/>
              <w:spacing w:line="242" w:lineRule="exact"/>
              <w:ind w:left="35"/>
              <w:rPr>
                <w:sz w:val="22"/>
              </w:rPr>
            </w:pPr>
            <w:hyperlink r:id="rId72">
              <w:r>
                <w:rPr>
                  <w:sz w:val="22"/>
                </w:rPr>
                <w:t>http://www.scielo.cl/scielo.php?script=sci_arttext&amp;pid=S0250-</w:t>
              </w:r>
            </w:hyperlink>
          </w:p>
        </w:tc>
        <w:tc>
          <w:tcPr>
            <w:tcW w:w="2218" w:type="dxa"/>
            <w:gridSpan w:val="2"/>
            <w:vMerge w:val="restart"/>
          </w:tcPr>
          <w:p>
            <w:pPr/>
          </w:p>
        </w:tc>
      </w:tr>
      <w:tr>
        <w:trPr>
          <w:trHeight w:val="252" w:hRule="exact"/>
        </w:trPr>
        <w:tc>
          <w:tcPr>
            <w:tcW w:w="6686" w:type="dxa"/>
          </w:tcPr>
          <w:p>
            <w:pPr>
              <w:pStyle w:val="TableParagraph"/>
              <w:spacing w:line="241" w:lineRule="exact"/>
              <w:ind w:left="35"/>
              <w:rPr>
                <w:sz w:val="22"/>
              </w:rPr>
            </w:pPr>
            <w:r>
              <w:rPr>
                <w:sz w:val="22"/>
              </w:rPr>
              <w:t>71612001008000007&amp;lng=es&amp;nrm=iso.</w:t>
            </w:r>
          </w:p>
        </w:tc>
        <w:tc>
          <w:tcPr>
            <w:tcW w:w="2218" w:type="dxa"/>
            <w:gridSpan w:val="2"/>
            <w:vMerge/>
          </w:tcPr>
          <w:p>
            <w:pPr/>
          </w:p>
        </w:tc>
      </w:tr>
      <w:tr>
        <w:trPr>
          <w:trHeight w:val="337" w:hRule="exact"/>
        </w:trPr>
        <w:tc>
          <w:tcPr>
            <w:tcW w:w="6686" w:type="dxa"/>
          </w:tcPr>
          <w:p>
            <w:pPr>
              <w:pStyle w:val="TableParagraph"/>
              <w:spacing w:line="241" w:lineRule="exact"/>
              <w:ind w:left="35"/>
              <w:rPr>
                <w:sz w:val="22"/>
              </w:rPr>
            </w:pPr>
            <w:r>
              <w:rPr>
                <w:sz w:val="22"/>
              </w:rPr>
              <w:t>[Último acceso: 27 de noviembre 2012]</w:t>
            </w:r>
          </w:p>
        </w:tc>
        <w:tc>
          <w:tcPr>
            <w:tcW w:w="2218" w:type="dxa"/>
            <w:gridSpan w:val="2"/>
            <w:vMerge/>
          </w:tcPr>
          <w:p>
            <w:pPr/>
          </w:p>
        </w:tc>
      </w:tr>
    </w:tbl>
    <w:p>
      <w:pPr>
        <w:pStyle w:val="BodyText"/>
        <w:spacing w:before="10"/>
        <w:rPr>
          <w:sz w:val="9"/>
        </w:rPr>
      </w:pPr>
    </w:p>
    <w:p>
      <w:pPr>
        <w:tabs>
          <w:tab w:pos="3643" w:val="left" w:leader="none"/>
          <w:tab w:pos="6497" w:val="left" w:leader="none"/>
        </w:tabs>
        <w:spacing w:before="73"/>
        <w:ind w:left="142" w:right="137" w:firstLine="0"/>
        <w:jc w:val="both"/>
        <w:rPr>
          <w:sz w:val="22"/>
        </w:rPr>
      </w:pPr>
      <w:r>
        <w:rPr>
          <w:sz w:val="22"/>
        </w:rPr>
        <w:t>Piñero, F. J., 2004. El modo de desarrollo industrial Fordista-Keynesiano:. [En línea] Available</w:t>
        <w:tab/>
        <w:t>at:</w:t>
        <w:tab/>
      </w:r>
      <w:hyperlink r:id="rId73">
        <w:r>
          <w:rPr>
            <w:spacing w:val="-1"/>
            <w:sz w:val="22"/>
          </w:rPr>
          <w:t>http://www.eumed.net/ce/</w:t>
        </w:r>
      </w:hyperlink>
      <w:r>
        <w:rPr>
          <w:spacing w:val="-1"/>
          <w:sz w:val="22"/>
        </w:rPr>
        <w:t> </w:t>
      </w:r>
      <w:r>
        <w:rPr>
          <w:sz w:val="22"/>
        </w:rPr>
        <w:t>[Último acceso: 7 Septiembre</w:t>
      </w:r>
      <w:r>
        <w:rPr>
          <w:spacing w:val="-14"/>
          <w:sz w:val="22"/>
        </w:rPr>
        <w:t> </w:t>
      </w:r>
      <w:r>
        <w:rPr>
          <w:sz w:val="22"/>
        </w:rPr>
        <w:t>2013].</w:t>
      </w:r>
    </w:p>
    <w:p>
      <w:pPr>
        <w:pStyle w:val="BodyText"/>
        <w:spacing w:before="3"/>
      </w:pPr>
    </w:p>
    <w:p>
      <w:pPr>
        <w:tabs>
          <w:tab w:pos="8017" w:val="left" w:leader="none"/>
        </w:tabs>
        <w:spacing w:before="1"/>
        <w:ind w:left="142" w:right="136" w:firstLine="0"/>
        <w:jc w:val="both"/>
        <w:rPr>
          <w:sz w:val="22"/>
        </w:rPr>
      </w:pPr>
      <w:r>
        <w:rPr>
          <w:sz w:val="22"/>
        </w:rPr>
        <w:t>Precedo, L. A., 2005:. </w:t>
      </w:r>
      <w:r>
        <w:rPr>
          <w:i/>
          <w:sz w:val="22"/>
        </w:rPr>
        <w:t>“De Área Metropolitana a Región Urbana”,. </w:t>
      </w:r>
      <w:r>
        <w:rPr>
          <w:sz w:val="22"/>
        </w:rPr>
        <w:t>s.l., Conferencia en la Universidad de Santiago de Compostela, en el marco del II Ciclo de Conferencias y Debates "Vigo: Nosotros y </w:t>
      </w:r>
      <w:r>
        <w:rPr>
          <w:spacing w:val="50"/>
          <w:sz w:val="22"/>
        </w:rPr>
        <w:t> </w:t>
      </w:r>
      <w:r>
        <w:rPr>
          <w:sz w:val="22"/>
        </w:rPr>
        <w:t>la</w:t>
      </w:r>
      <w:r>
        <w:rPr>
          <w:spacing w:val="27"/>
          <w:sz w:val="22"/>
        </w:rPr>
        <w:t> </w:t>
      </w:r>
      <w:r>
        <w:rPr>
          <w:sz w:val="22"/>
        </w:rPr>
        <w:t>ciudad"</w:t>
        <w:tab/>
        <w:t>[En</w:t>
      </w:r>
      <w:r>
        <w:rPr>
          <w:spacing w:val="29"/>
          <w:sz w:val="22"/>
        </w:rPr>
        <w:t> </w:t>
      </w:r>
      <w:r>
        <w:rPr>
          <w:sz w:val="22"/>
        </w:rPr>
        <w:t>línea]</w:t>
      </w:r>
    </w:p>
    <w:p>
      <w:pPr>
        <w:spacing w:after="0"/>
        <w:jc w:val="both"/>
        <w:rPr>
          <w:sz w:val="22"/>
        </w:rPr>
        <w:sectPr>
          <w:pgSz w:w="12240" w:h="15840"/>
          <w:pgMar w:header="0" w:footer="659" w:top="1360" w:bottom="840" w:left="1560" w:right="1560"/>
        </w:sectPr>
      </w:pPr>
    </w:p>
    <w:p>
      <w:pPr>
        <w:tabs>
          <w:tab w:pos="2733" w:val="left" w:leader="none"/>
        </w:tabs>
        <w:spacing w:before="53"/>
        <w:ind w:left="142" w:right="140" w:firstLine="0"/>
        <w:jc w:val="both"/>
        <w:rPr>
          <w:sz w:val="22"/>
        </w:rPr>
      </w:pPr>
      <w:r>
        <w:rPr>
          <w:sz w:val="22"/>
        </w:rPr>
        <w:t>Available      </w:t>
      </w:r>
      <w:r>
        <w:rPr>
          <w:spacing w:val="52"/>
          <w:sz w:val="22"/>
        </w:rPr>
        <w:t> </w:t>
      </w:r>
      <w:r>
        <w:rPr>
          <w:sz w:val="22"/>
        </w:rPr>
        <w:t>at:</w:t>
        <w:tab/>
      </w:r>
      <w:hyperlink r:id="rId74">
        <w:r>
          <w:rPr>
            <w:sz w:val="22"/>
          </w:rPr>
          <w:t>http://vimeo.com/38858182</w:t>
        </w:r>
      </w:hyperlink>
      <w:r>
        <w:rPr>
          <w:sz w:val="22"/>
        </w:rPr>
        <w:t>        [20        octubre      </w:t>
      </w:r>
      <w:r>
        <w:rPr>
          <w:spacing w:val="41"/>
          <w:sz w:val="22"/>
        </w:rPr>
        <w:t> </w:t>
      </w:r>
      <w:r>
        <w:rPr>
          <w:sz w:val="22"/>
        </w:rPr>
        <w:t>2010]      </w:t>
      </w:r>
      <w:r>
        <w:rPr>
          <w:spacing w:val="53"/>
          <w:sz w:val="22"/>
        </w:rPr>
        <w:t> </w:t>
      </w:r>
      <w:r>
        <w:rPr>
          <w:sz w:val="22"/>
        </w:rPr>
        <w:t>.</w:t>
      </w:r>
      <w:r>
        <w:rPr>
          <w:w w:val="100"/>
          <w:sz w:val="22"/>
        </w:rPr>
        <w:t> </w:t>
      </w:r>
      <w:r>
        <w:rPr>
          <w:sz w:val="22"/>
        </w:rPr>
        <w:t>[Último acceso: 22 Noviembre</w:t>
      </w:r>
      <w:r>
        <w:rPr>
          <w:spacing w:val="-10"/>
          <w:sz w:val="22"/>
        </w:rPr>
        <w:t> </w:t>
      </w:r>
      <w:r>
        <w:rPr>
          <w:sz w:val="22"/>
        </w:rPr>
        <w:t>2012</w:t>
      </w:r>
    </w:p>
    <w:p>
      <w:pPr>
        <w:pStyle w:val="BodyText"/>
        <w:spacing w:before="3"/>
      </w:pPr>
    </w:p>
    <w:p>
      <w:pPr>
        <w:tabs>
          <w:tab w:pos="3592" w:val="left" w:leader="none"/>
          <w:tab w:pos="6130" w:val="left" w:leader="none"/>
          <w:tab w:pos="8444" w:val="left" w:leader="none"/>
          <w:tab w:pos="8737" w:val="left" w:leader="none"/>
        </w:tabs>
        <w:spacing w:before="1"/>
        <w:ind w:left="142" w:right="136" w:firstLine="0"/>
        <w:jc w:val="both"/>
        <w:rPr>
          <w:sz w:val="22"/>
        </w:rPr>
      </w:pPr>
      <w:r>
        <w:rPr>
          <w:sz w:val="22"/>
        </w:rPr>
        <w:t>SEDESOL, CONAPO, INEGI, , 2012. </w:t>
      </w:r>
      <w:hyperlink r:id="rId75">
        <w:r>
          <w:rPr>
            <w:i/>
            <w:sz w:val="22"/>
          </w:rPr>
          <w:t>www.conapo.gob.mx</w:t>
        </w:r>
      </w:hyperlink>
      <w:r>
        <w:rPr>
          <w:i/>
          <w:sz w:val="22"/>
        </w:rPr>
        <w:t> Delimitación de Zonas </w:t>
      </w:r>
      <w:r>
        <w:rPr>
          <w:i/>
          <w:sz w:val="22"/>
        </w:rPr>
        <w:t>MEtropolitanas</w:t>
        <w:tab/>
        <w:t>2012.</w:t>
        <w:tab/>
      </w:r>
      <w:r>
        <w:rPr>
          <w:sz w:val="22"/>
        </w:rPr>
        <w:t>[En</w:t>
        <w:tab/>
      </w:r>
      <w:r>
        <w:rPr>
          <w:spacing w:val="-1"/>
          <w:sz w:val="22"/>
        </w:rPr>
        <w:t>línea] </w:t>
      </w:r>
      <w:r>
        <w:rPr>
          <w:sz w:val="22"/>
        </w:rPr>
        <w:t>Available</w:t>
        <w:tab/>
        <w:tab/>
        <w:tab/>
        <w:tab/>
        <w:t>at:</w:t>
      </w:r>
    </w:p>
    <w:p>
      <w:pPr>
        <w:spacing w:before="0"/>
        <w:ind w:left="142" w:right="487" w:firstLine="0"/>
        <w:jc w:val="left"/>
        <w:rPr>
          <w:sz w:val="22"/>
        </w:rPr>
      </w:pPr>
      <w:hyperlink r:id="rId76">
        <w:r>
          <w:rPr>
            <w:sz w:val="22"/>
          </w:rPr>
          <w:t>http://www.conapo.gob.mx/es/CONAPO/Delimitacion_de_Zonas_Metropolitanas</w:t>
        </w:r>
      </w:hyperlink>
      <w:r>
        <w:rPr>
          <w:sz w:val="22"/>
        </w:rPr>
        <w:t> [Último acceso: 22 Noviembre 2012].</w:t>
      </w:r>
    </w:p>
    <w:p>
      <w:pPr>
        <w:pStyle w:val="BodyText"/>
        <w:rPr>
          <w:sz w:val="18"/>
        </w:rPr>
      </w:pPr>
    </w:p>
    <w:tbl>
      <w:tblPr>
        <w:tblW w:w="0" w:type="auto"/>
        <w:jc w:val="left"/>
        <w:tblInd w:w="107"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454"/>
        <w:gridCol w:w="862"/>
        <w:gridCol w:w="781"/>
        <w:gridCol w:w="3616"/>
        <w:gridCol w:w="446"/>
        <w:gridCol w:w="750"/>
      </w:tblGrid>
      <w:tr>
        <w:trPr>
          <w:trHeight w:val="336" w:hRule="exact"/>
        </w:trPr>
        <w:tc>
          <w:tcPr>
            <w:tcW w:w="2454" w:type="dxa"/>
          </w:tcPr>
          <w:p>
            <w:pPr>
              <w:pStyle w:val="TableParagraph"/>
              <w:tabs>
                <w:tab w:pos="1337" w:val="left" w:leader="none"/>
              </w:tabs>
              <w:spacing w:before="72"/>
              <w:ind w:left="35"/>
              <w:rPr>
                <w:sz w:val="22"/>
              </w:rPr>
            </w:pPr>
            <w:r>
              <w:rPr>
                <w:sz w:val="22"/>
              </w:rPr>
              <w:t>SEDESOL,</w:t>
              <w:tab/>
              <w:t>CONAPO,</w:t>
            </w:r>
          </w:p>
        </w:tc>
        <w:tc>
          <w:tcPr>
            <w:tcW w:w="862" w:type="dxa"/>
          </w:tcPr>
          <w:p>
            <w:pPr>
              <w:pStyle w:val="TableParagraph"/>
              <w:spacing w:before="72"/>
              <w:ind w:left="100"/>
              <w:rPr>
                <w:sz w:val="22"/>
              </w:rPr>
            </w:pPr>
            <w:r>
              <w:rPr>
                <w:sz w:val="22"/>
              </w:rPr>
              <w:t>INEGI,</w:t>
            </w:r>
          </w:p>
        </w:tc>
        <w:tc>
          <w:tcPr>
            <w:tcW w:w="781" w:type="dxa"/>
          </w:tcPr>
          <w:p>
            <w:pPr>
              <w:pStyle w:val="TableParagraph"/>
              <w:spacing w:before="72"/>
              <w:ind w:left="101"/>
              <w:rPr>
                <w:sz w:val="22"/>
              </w:rPr>
            </w:pPr>
            <w:r>
              <w:rPr>
                <w:sz w:val="22"/>
              </w:rPr>
              <w:t>2004.</w:t>
            </w:r>
          </w:p>
        </w:tc>
        <w:tc>
          <w:tcPr>
            <w:tcW w:w="3616" w:type="dxa"/>
          </w:tcPr>
          <w:p>
            <w:pPr>
              <w:pStyle w:val="TableParagraph"/>
              <w:tabs>
                <w:tab w:pos="2320" w:val="left" w:leader="none"/>
              </w:tabs>
              <w:spacing w:before="72"/>
              <w:ind w:left="76"/>
              <w:rPr>
                <w:i/>
                <w:sz w:val="22"/>
              </w:rPr>
            </w:pPr>
            <w:hyperlink r:id="rId75">
              <w:r>
                <w:rPr>
                  <w:i/>
                  <w:sz w:val="22"/>
                </w:rPr>
                <w:t>www.conapo.gob.mx</w:t>
              </w:r>
            </w:hyperlink>
            <w:r>
              <w:rPr>
                <w:i/>
                <w:sz w:val="22"/>
              </w:rPr>
              <w:tab/>
              <w:t>Delimitacion</w:t>
            </w:r>
          </w:p>
        </w:tc>
        <w:tc>
          <w:tcPr>
            <w:tcW w:w="446" w:type="dxa"/>
          </w:tcPr>
          <w:p>
            <w:pPr>
              <w:pStyle w:val="TableParagraph"/>
              <w:spacing w:before="72"/>
              <w:ind w:left="100"/>
              <w:rPr>
                <w:i/>
                <w:sz w:val="22"/>
              </w:rPr>
            </w:pPr>
            <w:r>
              <w:rPr>
                <w:i/>
                <w:sz w:val="22"/>
              </w:rPr>
              <w:t>de</w:t>
            </w:r>
          </w:p>
        </w:tc>
        <w:tc>
          <w:tcPr>
            <w:tcW w:w="750" w:type="dxa"/>
          </w:tcPr>
          <w:p>
            <w:pPr>
              <w:pStyle w:val="TableParagraph"/>
              <w:spacing w:before="72"/>
              <w:ind w:left="0" w:right="35"/>
              <w:jc w:val="right"/>
              <w:rPr>
                <w:i/>
                <w:sz w:val="22"/>
              </w:rPr>
            </w:pPr>
            <w:r>
              <w:rPr>
                <w:i/>
                <w:sz w:val="22"/>
              </w:rPr>
              <w:t>Zonas</w:t>
            </w:r>
          </w:p>
        </w:tc>
      </w:tr>
      <w:tr>
        <w:trPr>
          <w:trHeight w:val="252" w:hRule="exact"/>
        </w:trPr>
        <w:tc>
          <w:tcPr>
            <w:tcW w:w="2454" w:type="dxa"/>
          </w:tcPr>
          <w:p>
            <w:pPr>
              <w:pStyle w:val="TableParagraph"/>
              <w:spacing w:line="241" w:lineRule="exact"/>
              <w:ind w:left="35"/>
              <w:rPr>
                <w:i/>
                <w:sz w:val="22"/>
              </w:rPr>
            </w:pPr>
            <w:r>
              <w:rPr>
                <w:i/>
                <w:sz w:val="22"/>
              </w:rPr>
              <w:t>Metropolitanas</w:t>
            </w:r>
          </w:p>
        </w:tc>
        <w:tc>
          <w:tcPr>
            <w:tcW w:w="862" w:type="dxa"/>
          </w:tcPr>
          <w:p>
            <w:pPr/>
          </w:p>
        </w:tc>
        <w:tc>
          <w:tcPr>
            <w:tcW w:w="781" w:type="dxa"/>
          </w:tcPr>
          <w:p>
            <w:pPr>
              <w:pStyle w:val="TableParagraph"/>
              <w:spacing w:line="241" w:lineRule="exact"/>
              <w:ind w:left="153"/>
              <w:rPr>
                <w:i/>
                <w:sz w:val="22"/>
              </w:rPr>
            </w:pPr>
            <w:r>
              <w:rPr>
                <w:i/>
                <w:sz w:val="22"/>
              </w:rPr>
              <w:t>2004.</w:t>
            </w:r>
          </w:p>
        </w:tc>
        <w:tc>
          <w:tcPr>
            <w:tcW w:w="3616" w:type="dxa"/>
          </w:tcPr>
          <w:p>
            <w:pPr>
              <w:pStyle w:val="TableParagraph"/>
              <w:spacing w:line="241" w:lineRule="exact"/>
              <w:ind w:left="1896" w:right="1348"/>
              <w:jc w:val="center"/>
              <w:rPr>
                <w:sz w:val="22"/>
              </w:rPr>
            </w:pPr>
            <w:r>
              <w:rPr>
                <w:sz w:val="22"/>
              </w:rPr>
              <w:t>[En</w:t>
            </w:r>
          </w:p>
        </w:tc>
        <w:tc>
          <w:tcPr>
            <w:tcW w:w="446" w:type="dxa"/>
          </w:tcPr>
          <w:p>
            <w:pPr/>
          </w:p>
        </w:tc>
        <w:tc>
          <w:tcPr>
            <w:tcW w:w="750" w:type="dxa"/>
          </w:tcPr>
          <w:p>
            <w:pPr>
              <w:pStyle w:val="TableParagraph"/>
              <w:spacing w:line="241" w:lineRule="exact"/>
              <w:ind w:left="0" w:right="33"/>
              <w:jc w:val="right"/>
              <w:rPr>
                <w:sz w:val="22"/>
              </w:rPr>
            </w:pPr>
            <w:r>
              <w:rPr>
                <w:sz w:val="22"/>
              </w:rPr>
              <w:t>línea]</w:t>
            </w:r>
          </w:p>
        </w:tc>
      </w:tr>
      <w:tr>
        <w:trPr>
          <w:trHeight w:val="236" w:hRule="exact"/>
        </w:trPr>
        <w:tc>
          <w:tcPr>
            <w:tcW w:w="2454" w:type="dxa"/>
          </w:tcPr>
          <w:p>
            <w:pPr>
              <w:pStyle w:val="TableParagraph"/>
              <w:spacing w:line="241" w:lineRule="exact"/>
              <w:ind w:left="35"/>
              <w:rPr>
                <w:sz w:val="22"/>
              </w:rPr>
            </w:pPr>
            <w:r>
              <w:rPr>
                <w:sz w:val="22"/>
              </w:rPr>
              <w:t>Available</w:t>
            </w:r>
          </w:p>
        </w:tc>
        <w:tc>
          <w:tcPr>
            <w:tcW w:w="862" w:type="dxa"/>
          </w:tcPr>
          <w:p>
            <w:pPr/>
          </w:p>
        </w:tc>
        <w:tc>
          <w:tcPr>
            <w:tcW w:w="781" w:type="dxa"/>
          </w:tcPr>
          <w:p>
            <w:pPr/>
          </w:p>
        </w:tc>
        <w:tc>
          <w:tcPr>
            <w:tcW w:w="3616" w:type="dxa"/>
          </w:tcPr>
          <w:p>
            <w:pPr/>
          </w:p>
        </w:tc>
        <w:tc>
          <w:tcPr>
            <w:tcW w:w="446" w:type="dxa"/>
          </w:tcPr>
          <w:p>
            <w:pPr/>
          </w:p>
        </w:tc>
        <w:tc>
          <w:tcPr>
            <w:tcW w:w="750" w:type="dxa"/>
          </w:tcPr>
          <w:p>
            <w:pPr>
              <w:pStyle w:val="TableParagraph"/>
              <w:spacing w:line="241" w:lineRule="exact"/>
              <w:ind w:left="0" w:right="33"/>
              <w:jc w:val="right"/>
              <w:rPr>
                <w:sz w:val="22"/>
              </w:rPr>
            </w:pPr>
            <w:r>
              <w:rPr>
                <w:sz w:val="22"/>
              </w:rPr>
              <w:t>at:</w:t>
            </w:r>
          </w:p>
        </w:tc>
      </w:tr>
    </w:tbl>
    <w:p>
      <w:pPr>
        <w:spacing w:before="6"/>
        <w:ind w:left="142" w:right="487" w:firstLine="0"/>
        <w:jc w:val="left"/>
        <w:rPr>
          <w:sz w:val="22"/>
        </w:rPr>
      </w:pPr>
      <w:hyperlink r:id="rId76">
        <w:r>
          <w:rPr>
            <w:sz w:val="22"/>
          </w:rPr>
          <w:t>http://www.conapo.gob.mx/es/CONAPO/Delimitacion_de_Zonas_Metropolitanas</w:t>
        </w:r>
      </w:hyperlink>
      <w:r>
        <w:rPr>
          <w:sz w:val="22"/>
        </w:rPr>
        <w:t> [Último acceso: 22 noviembre 2012].</w:t>
      </w:r>
    </w:p>
    <w:p>
      <w:pPr>
        <w:spacing w:after="0"/>
        <w:jc w:val="left"/>
        <w:rPr>
          <w:sz w:val="22"/>
        </w:rPr>
        <w:sectPr>
          <w:pgSz w:w="12240" w:h="15840"/>
          <w:pgMar w:header="0" w:footer="659" w:top="1360" w:bottom="840" w:left="1560" w:right="156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8"/>
      </w:pPr>
    </w:p>
    <w:p>
      <w:pPr>
        <w:pStyle w:val="Heading1"/>
        <w:jc w:val="center"/>
      </w:pPr>
      <w:r>
        <w:rPr/>
        <w:t>Anexos</w:t>
      </w:r>
    </w:p>
    <w:p>
      <w:pPr>
        <w:spacing w:after="0"/>
        <w:jc w:val="center"/>
        <w:sectPr>
          <w:pgSz w:w="12240" w:h="15840"/>
          <w:pgMar w:header="0" w:footer="659" w:top="1500" w:bottom="840" w:left="1660" w:right="1660"/>
        </w:sectPr>
      </w:pPr>
    </w:p>
    <w:p>
      <w:pPr>
        <w:pStyle w:val="Heading4"/>
        <w:spacing w:before="53"/>
        <w:ind w:left="1224" w:right="1204"/>
        <w:jc w:val="center"/>
      </w:pPr>
      <w:r>
        <w:rPr/>
        <w:t>Anexos  de variables de localización del capítulo IV</w:t>
      </w:r>
    </w:p>
    <w:p>
      <w:pPr>
        <w:spacing w:before="230"/>
        <w:ind w:left="1216" w:right="1204" w:firstLine="0"/>
        <w:jc w:val="center"/>
        <w:rPr>
          <w:sz w:val="20"/>
        </w:rPr>
      </w:pPr>
      <w:r>
        <w:rPr>
          <w:sz w:val="20"/>
        </w:rPr>
        <w:t>Cuadro  A 4.1 Delimitaciones de la Zona Metropolitana de Toluca</w:t>
      </w:r>
    </w:p>
    <w:p>
      <w:pPr>
        <w:pStyle w:val="BodyText"/>
        <w:spacing w:before="3"/>
        <w:rPr>
          <w:sz w:val="20"/>
        </w:rPr>
      </w:pPr>
    </w:p>
    <w:tbl>
      <w:tblPr>
        <w:tblW w:w="0" w:type="auto"/>
        <w:jc w:val="left"/>
        <w:tblInd w:w="11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045"/>
        <w:gridCol w:w="2494"/>
        <w:gridCol w:w="2192"/>
        <w:gridCol w:w="2341"/>
      </w:tblGrid>
      <w:tr>
        <w:trPr>
          <w:trHeight w:val="2804" w:hRule="exact"/>
        </w:trPr>
        <w:tc>
          <w:tcPr>
            <w:tcW w:w="2045" w:type="dxa"/>
            <w:tcBorders>
              <w:left w:val="nil"/>
              <w:right w:val="nil"/>
            </w:tcBorders>
          </w:tcPr>
          <w:p>
            <w:pPr>
              <w:pStyle w:val="TableParagraph"/>
              <w:spacing w:line="206" w:lineRule="exact"/>
              <w:ind w:left="122" w:right="321"/>
              <w:rPr>
                <w:sz w:val="18"/>
              </w:rPr>
            </w:pPr>
            <w:r>
              <w:rPr>
                <w:sz w:val="18"/>
              </w:rPr>
              <w:t>MUNICIPIOS</w:t>
            </w:r>
          </w:p>
        </w:tc>
        <w:tc>
          <w:tcPr>
            <w:tcW w:w="2494" w:type="dxa"/>
            <w:tcBorders>
              <w:left w:val="nil"/>
              <w:right w:val="nil"/>
            </w:tcBorders>
          </w:tcPr>
          <w:p>
            <w:pPr>
              <w:pStyle w:val="TableParagraph"/>
              <w:spacing w:line="360" w:lineRule="auto"/>
              <w:ind w:left="341" w:right="352"/>
              <w:rPr>
                <w:sz w:val="18"/>
              </w:rPr>
            </w:pPr>
            <w:r>
              <w:rPr>
                <w:sz w:val="18"/>
              </w:rPr>
              <w:t>PLAN REGIONAL DE DESARROLLO URBANO DEL VALLE DE TOLUCA EL 2005 (PRDUVT 2005),</w:t>
            </w:r>
          </w:p>
          <w:p>
            <w:pPr>
              <w:pStyle w:val="TableParagraph"/>
              <w:spacing w:line="360" w:lineRule="auto" w:before="2"/>
              <w:ind w:left="341" w:right="92"/>
              <w:rPr>
                <w:sz w:val="18"/>
              </w:rPr>
            </w:pPr>
            <w:r>
              <w:rPr>
                <w:sz w:val="18"/>
              </w:rPr>
              <w:t>-DECRETO 13, DE LA H. LVII LEGISLATURA DEL ESTADO DE MÉXICO (2009)</w:t>
            </w:r>
          </w:p>
        </w:tc>
        <w:tc>
          <w:tcPr>
            <w:tcW w:w="2192" w:type="dxa"/>
            <w:tcBorders>
              <w:left w:val="nil"/>
              <w:right w:val="nil"/>
            </w:tcBorders>
          </w:tcPr>
          <w:p>
            <w:pPr>
              <w:pStyle w:val="TableParagraph"/>
              <w:spacing w:line="362" w:lineRule="auto"/>
              <w:ind w:left="110" w:right="161"/>
              <w:rPr>
                <w:sz w:val="18"/>
              </w:rPr>
            </w:pPr>
            <w:r>
              <w:rPr>
                <w:sz w:val="18"/>
              </w:rPr>
              <w:t>SEDESOL, CONAPO E INEGI</w:t>
            </w:r>
          </w:p>
          <w:p>
            <w:pPr>
              <w:pStyle w:val="TableParagraph"/>
              <w:spacing w:line="360" w:lineRule="auto"/>
              <w:ind w:left="110" w:right="190"/>
              <w:rPr>
                <w:sz w:val="18"/>
              </w:rPr>
            </w:pPr>
            <w:r>
              <w:rPr>
                <w:sz w:val="18"/>
              </w:rPr>
              <w:t>(GRUPO INTER INSTITUCIONAL 2010.</w:t>
            </w:r>
          </w:p>
        </w:tc>
        <w:tc>
          <w:tcPr>
            <w:tcW w:w="2341" w:type="dxa"/>
            <w:tcBorders>
              <w:left w:val="nil"/>
              <w:right w:val="nil"/>
            </w:tcBorders>
          </w:tcPr>
          <w:p>
            <w:pPr>
              <w:pStyle w:val="TableParagraph"/>
              <w:spacing w:line="362" w:lineRule="auto"/>
              <w:ind w:left="182" w:right="288"/>
              <w:rPr>
                <w:sz w:val="18"/>
              </w:rPr>
            </w:pPr>
            <w:r>
              <w:rPr>
                <w:sz w:val="18"/>
              </w:rPr>
              <w:t>DELIMITACIÓN DE LA INVESTIGACIÓN</w:t>
            </w:r>
          </w:p>
        </w:tc>
      </w:tr>
      <w:tr>
        <w:trPr>
          <w:trHeight w:val="2917" w:hRule="exact"/>
        </w:trPr>
        <w:tc>
          <w:tcPr>
            <w:tcW w:w="2045" w:type="dxa"/>
            <w:vMerge w:val="restart"/>
            <w:tcBorders>
              <w:left w:val="nil"/>
              <w:right w:val="nil"/>
            </w:tcBorders>
          </w:tcPr>
          <w:p>
            <w:pPr>
              <w:pStyle w:val="TableParagraph"/>
              <w:spacing w:line="360" w:lineRule="auto"/>
              <w:ind w:left="122" w:right="1212"/>
              <w:rPr>
                <w:sz w:val="18"/>
              </w:rPr>
            </w:pPr>
            <w:r>
              <w:rPr>
                <w:i/>
                <w:sz w:val="18"/>
              </w:rPr>
              <w:t>Toluca </w:t>
            </w:r>
            <w:r>
              <w:rPr>
                <w:sz w:val="18"/>
              </w:rPr>
              <w:t>Metepec Lerma</w:t>
            </w:r>
          </w:p>
          <w:p>
            <w:pPr>
              <w:pStyle w:val="TableParagraph"/>
              <w:spacing w:line="360" w:lineRule="auto" w:before="4"/>
              <w:ind w:left="122" w:right="321"/>
              <w:rPr>
                <w:sz w:val="18"/>
              </w:rPr>
            </w:pPr>
            <w:r>
              <w:rPr>
                <w:sz w:val="18"/>
              </w:rPr>
              <w:t>San Mateo Atenco Zinacantepec Almoloya de Juárez Otzolotepec Calimaya Mexicalcingo Ocoyoacac</w:t>
            </w:r>
          </w:p>
          <w:p>
            <w:pPr>
              <w:pStyle w:val="TableParagraph"/>
              <w:spacing w:line="360" w:lineRule="auto" w:before="2"/>
              <w:ind w:left="122" w:right="1001"/>
              <w:rPr>
                <w:sz w:val="18"/>
              </w:rPr>
            </w:pPr>
            <w:r>
              <w:rPr>
                <w:sz w:val="18"/>
              </w:rPr>
              <w:t>Rayón Xonacatlán Temoaya</w:t>
            </w:r>
          </w:p>
          <w:p>
            <w:pPr>
              <w:pStyle w:val="TableParagraph"/>
              <w:spacing w:before="2"/>
              <w:ind w:left="122" w:right="321"/>
              <w:rPr>
                <w:sz w:val="18"/>
              </w:rPr>
            </w:pPr>
            <w:r>
              <w:rPr>
                <w:sz w:val="18"/>
              </w:rPr>
              <w:t>San Antonio la Isla</w:t>
            </w:r>
          </w:p>
          <w:p>
            <w:pPr>
              <w:pStyle w:val="TableParagraph"/>
              <w:tabs>
                <w:tab w:pos="2277" w:val="left" w:leader="none"/>
              </w:tabs>
              <w:spacing w:before="105"/>
              <w:ind w:left="14" w:right="-233"/>
              <w:rPr>
                <w:sz w:val="18"/>
              </w:rPr>
            </w:pPr>
            <w:r>
              <w:rPr>
                <w:w w:val="100"/>
                <w:sz w:val="18"/>
                <w:u w:val="single"/>
              </w:rPr>
              <w:t> </w:t>
            </w:r>
            <w:r>
              <w:rPr>
                <w:spacing w:val="7"/>
                <w:sz w:val="18"/>
                <w:u w:val="single"/>
              </w:rPr>
              <w:t> </w:t>
            </w:r>
            <w:r>
              <w:rPr>
                <w:sz w:val="18"/>
                <w:u w:val="single"/>
              </w:rPr>
              <w:t>Chapultepec</w:t>
              <w:tab/>
            </w:r>
          </w:p>
        </w:tc>
        <w:tc>
          <w:tcPr>
            <w:tcW w:w="2494" w:type="dxa"/>
            <w:tcBorders>
              <w:left w:val="nil"/>
              <w:bottom w:val="nil"/>
              <w:right w:val="nil"/>
            </w:tcBorders>
          </w:tcPr>
          <w:p>
            <w:pPr/>
          </w:p>
        </w:tc>
        <w:tc>
          <w:tcPr>
            <w:tcW w:w="2192" w:type="dxa"/>
            <w:tcBorders>
              <w:left w:val="nil"/>
              <w:bottom w:val="nil"/>
              <w:right w:val="nil"/>
            </w:tcBorders>
          </w:tcPr>
          <w:p>
            <w:pPr>
              <w:pStyle w:val="TableParagraph"/>
              <w:ind w:left="0"/>
              <w:rPr>
                <w:sz w:val="18"/>
              </w:rPr>
            </w:pPr>
          </w:p>
          <w:p>
            <w:pPr>
              <w:pStyle w:val="TableParagraph"/>
              <w:ind w:left="0"/>
              <w:rPr>
                <w:sz w:val="18"/>
              </w:rPr>
            </w:pPr>
          </w:p>
          <w:p>
            <w:pPr>
              <w:pStyle w:val="TableParagraph"/>
              <w:ind w:left="0"/>
              <w:rPr>
                <w:sz w:val="18"/>
              </w:rPr>
            </w:pPr>
          </w:p>
          <w:p>
            <w:pPr>
              <w:pStyle w:val="TableParagraph"/>
              <w:ind w:left="0"/>
              <w:rPr>
                <w:sz w:val="18"/>
              </w:rPr>
            </w:pPr>
          </w:p>
          <w:p>
            <w:pPr>
              <w:pStyle w:val="TableParagraph"/>
              <w:ind w:left="0"/>
              <w:rPr>
                <w:sz w:val="18"/>
              </w:rPr>
            </w:pPr>
          </w:p>
          <w:p>
            <w:pPr>
              <w:pStyle w:val="TableParagraph"/>
              <w:ind w:left="0"/>
              <w:rPr>
                <w:sz w:val="18"/>
              </w:rPr>
            </w:pPr>
          </w:p>
          <w:p>
            <w:pPr>
              <w:pStyle w:val="TableParagraph"/>
              <w:ind w:left="0"/>
              <w:rPr>
                <w:sz w:val="18"/>
              </w:rPr>
            </w:pPr>
          </w:p>
          <w:p>
            <w:pPr>
              <w:pStyle w:val="TableParagraph"/>
              <w:spacing w:before="6"/>
              <w:ind w:left="0"/>
              <w:rPr>
                <w:sz w:val="22"/>
              </w:rPr>
            </w:pPr>
          </w:p>
          <w:p>
            <w:pPr>
              <w:pStyle w:val="TableParagraph"/>
              <w:spacing w:line="360" w:lineRule="auto"/>
              <w:ind w:left="110" w:right="121"/>
              <w:rPr>
                <w:sz w:val="18"/>
              </w:rPr>
            </w:pPr>
            <w:r>
              <w:rPr>
                <w:sz w:val="18"/>
              </w:rPr>
              <w:t>ZONA METROPOLITANA DEL VALLE DE TOLUCA</w:t>
            </w:r>
          </w:p>
          <w:p>
            <w:pPr>
              <w:pStyle w:val="TableParagraph"/>
              <w:spacing w:before="2"/>
              <w:ind w:left="110" w:right="161"/>
              <w:rPr>
                <w:sz w:val="18"/>
              </w:rPr>
            </w:pPr>
            <w:r>
              <w:rPr>
                <w:sz w:val="18"/>
              </w:rPr>
              <w:t>=15</w:t>
            </w:r>
          </w:p>
        </w:tc>
        <w:tc>
          <w:tcPr>
            <w:tcW w:w="2341" w:type="dxa"/>
            <w:tcBorders>
              <w:left w:val="nil"/>
              <w:bottom w:val="nil"/>
              <w:right w:val="nil"/>
            </w:tcBorders>
          </w:tcPr>
          <w:p>
            <w:pPr/>
          </w:p>
        </w:tc>
      </w:tr>
      <w:tr>
        <w:trPr>
          <w:trHeight w:val="1672" w:hRule="exact"/>
        </w:trPr>
        <w:tc>
          <w:tcPr>
            <w:tcW w:w="2045" w:type="dxa"/>
            <w:vMerge/>
            <w:tcBorders>
              <w:left w:val="nil"/>
              <w:bottom w:val="nil"/>
              <w:right w:val="nil"/>
            </w:tcBorders>
          </w:tcPr>
          <w:p>
            <w:pPr/>
          </w:p>
        </w:tc>
        <w:tc>
          <w:tcPr>
            <w:tcW w:w="2494" w:type="dxa"/>
            <w:tcBorders>
              <w:top w:val="nil"/>
              <w:left w:val="nil"/>
              <w:bottom w:val="nil"/>
              <w:right w:val="nil"/>
            </w:tcBorders>
          </w:tcPr>
          <w:p>
            <w:pPr>
              <w:pStyle w:val="TableParagraph"/>
              <w:spacing w:line="360" w:lineRule="auto" w:before="46"/>
              <w:ind w:left="341" w:right="291"/>
              <w:rPr>
                <w:i/>
                <w:sz w:val="18"/>
              </w:rPr>
            </w:pPr>
            <w:r>
              <w:rPr>
                <w:i/>
                <w:sz w:val="18"/>
              </w:rPr>
              <w:t>Zona metropolitana del </w:t>
            </w:r>
            <w:r>
              <w:rPr>
                <w:i/>
                <w:sz w:val="18"/>
              </w:rPr>
              <w:t>valle de Toluca.</w:t>
            </w:r>
          </w:p>
        </w:tc>
        <w:tc>
          <w:tcPr>
            <w:tcW w:w="4532" w:type="dxa"/>
            <w:gridSpan w:val="2"/>
            <w:tcBorders>
              <w:top w:val="nil"/>
              <w:left w:val="nil"/>
              <w:bottom w:val="nil"/>
              <w:right w:val="nil"/>
            </w:tcBorders>
          </w:tcPr>
          <w:p>
            <w:pPr>
              <w:pStyle w:val="TableParagraph"/>
              <w:spacing w:before="58"/>
              <w:ind w:left="2374" w:right="337"/>
              <w:rPr>
                <w:sz w:val="18"/>
              </w:rPr>
            </w:pPr>
            <w:r>
              <w:rPr>
                <w:sz w:val="18"/>
              </w:rPr>
              <w:t>Zona Metropolitana de Toluca</w:t>
            </w:r>
          </w:p>
          <w:p>
            <w:pPr>
              <w:pStyle w:val="TableParagraph"/>
              <w:ind w:left="0"/>
              <w:rPr>
                <w:sz w:val="18"/>
              </w:rPr>
            </w:pPr>
          </w:p>
          <w:p>
            <w:pPr>
              <w:pStyle w:val="TableParagraph"/>
              <w:ind w:left="0"/>
              <w:rPr>
                <w:sz w:val="18"/>
              </w:rPr>
            </w:pPr>
          </w:p>
          <w:p>
            <w:pPr>
              <w:pStyle w:val="TableParagraph"/>
              <w:ind w:left="0"/>
              <w:rPr>
                <w:sz w:val="18"/>
              </w:rPr>
            </w:pPr>
          </w:p>
          <w:p>
            <w:pPr>
              <w:pStyle w:val="TableParagraph"/>
              <w:ind w:left="0"/>
              <w:rPr>
                <w:sz w:val="18"/>
              </w:rPr>
            </w:pPr>
          </w:p>
          <w:p>
            <w:pPr>
              <w:pStyle w:val="TableParagraph"/>
              <w:tabs>
                <w:tab w:pos="2310" w:val="left" w:leader="none"/>
              </w:tabs>
              <w:spacing w:before="136"/>
              <w:ind w:left="2"/>
              <w:rPr>
                <w:sz w:val="18"/>
              </w:rPr>
            </w:pPr>
            <w:r>
              <w:rPr>
                <w:w w:val="100"/>
                <w:sz w:val="18"/>
                <w:u w:val="single"/>
              </w:rPr>
              <w:t> </w:t>
            </w:r>
            <w:r>
              <w:rPr>
                <w:sz w:val="18"/>
                <w:u w:val="single"/>
              </w:rPr>
              <w:tab/>
            </w:r>
          </w:p>
        </w:tc>
      </w:tr>
      <w:tr>
        <w:trPr>
          <w:trHeight w:val="1784" w:hRule="exact"/>
        </w:trPr>
        <w:tc>
          <w:tcPr>
            <w:tcW w:w="2045" w:type="dxa"/>
            <w:tcBorders>
              <w:top w:val="nil"/>
              <w:left w:val="nil"/>
              <w:bottom w:val="nil"/>
              <w:right w:val="nil"/>
            </w:tcBorders>
          </w:tcPr>
          <w:p>
            <w:pPr>
              <w:pStyle w:val="TableParagraph"/>
              <w:spacing w:line="360" w:lineRule="auto" w:before="9"/>
              <w:ind w:left="122" w:right="542"/>
              <w:rPr>
                <w:sz w:val="18"/>
              </w:rPr>
            </w:pPr>
            <w:r>
              <w:rPr>
                <w:sz w:val="18"/>
              </w:rPr>
              <w:t>Tianguistenco Capulhuác Xalatlaco Almoloya del Río Atizapán</w:t>
            </w:r>
          </w:p>
          <w:p>
            <w:pPr>
              <w:pStyle w:val="TableParagraph"/>
              <w:tabs>
                <w:tab w:pos="2277" w:val="left" w:leader="none"/>
              </w:tabs>
              <w:spacing w:before="2"/>
              <w:ind w:left="14" w:right="-233"/>
              <w:rPr>
                <w:sz w:val="18"/>
              </w:rPr>
            </w:pPr>
            <w:r>
              <w:rPr>
                <w:w w:val="100"/>
                <w:sz w:val="18"/>
                <w:u w:val="single"/>
              </w:rPr>
              <w:t> </w:t>
            </w:r>
            <w:r>
              <w:rPr>
                <w:spacing w:val="7"/>
                <w:sz w:val="18"/>
                <w:u w:val="single"/>
              </w:rPr>
              <w:t> </w:t>
            </w:r>
            <w:r>
              <w:rPr>
                <w:sz w:val="18"/>
                <w:u w:val="single"/>
              </w:rPr>
              <w:t>Texcalyacac</w:t>
              <w:tab/>
            </w:r>
          </w:p>
        </w:tc>
        <w:tc>
          <w:tcPr>
            <w:tcW w:w="2494" w:type="dxa"/>
            <w:tcBorders>
              <w:top w:val="nil"/>
              <w:left w:val="nil"/>
              <w:bottom w:val="nil"/>
              <w:right w:val="nil"/>
            </w:tcBorders>
          </w:tcPr>
          <w:p>
            <w:pPr/>
          </w:p>
        </w:tc>
        <w:tc>
          <w:tcPr>
            <w:tcW w:w="4532" w:type="dxa"/>
            <w:gridSpan w:val="2"/>
            <w:tcBorders>
              <w:top w:val="nil"/>
              <w:left w:val="nil"/>
              <w:bottom w:val="nil"/>
              <w:right w:val="nil"/>
            </w:tcBorders>
          </w:tcPr>
          <w:p>
            <w:pPr>
              <w:pStyle w:val="TableParagraph"/>
              <w:ind w:left="0"/>
              <w:rPr>
                <w:sz w:val="18"/>
              </w:rPr>
            </w:pPr>
          </w:p>
          <w:p>
            <w:pPr>
              <w:pStyle w:val="TableParagraph"/>
              <w:spacing w:before="7"/>
              <w:ind w:left="0"/>
              <w:rPr>
                <w:sz w:val="17"/>
              </w:rPr>
            </w:pPr>
          </w:p>
          <w:p>
            <w:pPr>
              <w:pStyle w:val="TableParagraph"/>
              <w:spacing w:line="360" w:lineRule="auto"/>
              <w:ind w:left="110" w:right="2601"/>
              <w:rPr>
                <w:sz w:val="18"/>
              </w:rPr>
            </w:pPr>
            <w:r>
              <w:rPr>
                <w:sz w:val="18"/>
              </w:rPr>
              <w:t>Zona metropolitana de Tianguistenco</w:t>
            </w:r>
          </w:p>
          <w:p>
            <w:pPr>
              <w:pStyle w:val="TableParagraph"/>
              <w:spacing w:before="4"/>
              <w:ind w:left="110" w:right="337"/>
              <w:rPr>
                <w:sz w:val="18"/>
              </w:rPr>
            </w:pPr>
            <w:r>
              <w:rPr>
                <w:sz w:val="18"/>
              </w:rPr>
              <w:t>=6</w:t>
            </w:r>
          </w:p>
          <w:p>
            <w:pPr>
              <w:pStyle w:val="TableParagraph"/>
              <w:ind w:left="0"/>
              <w:rPr>
                <w:sz w:val="18"/>
              </w:rPr>
            </w:pPr>
          </w:p>
          <w:p>
            <w:pPr>
              <w:pStyle w:val="TableParagraph"/>
              <w:tabs>
                <w:tab w:pos="2310" w:val="left" w:leader="none"/>
              </w:tabs>
              <w:spacing w:before="116"/>
              <w:ind w:left="2"/>
              <w:rPr>
                <w:sz w:val="18"/>
              </w:rPr>
            </w:pPr>
            <w:r>
              <w:rPr>
                <w:w w:val="100"/>
                <w:sz w:val="18"/>
                <w:u w:val="single"/>
              </w:rPr>
              <w:t> </w:t>
            </w:r>
            <w:r>
              <w:rPr>
                <w:sz w:val="18"/>
                <w:u w:val="single"/>
              </w:rPr>
              <w:tab/>
            </w:r>
          </w:p>
        </w:tc>
      </w:tr>
      <w:tr>
        <w:trPr>
          <w:trHeight w:val="386" w:hRule="exact"/>
        </w:trPr>
        <w:tc>
          <w:tcPr>
            <w:tcW w:w="2045" w:type="dxa"/>
            <w:tcBorders>
              <w:top w:val="nil"/>
              <w:left w:val="nil"/>
              <w:right w:val="nil"/>
            </w:tcBorders>
          </w:tcPr>
          <w:p>
            <w:pPr>
              <w:pStyle w:val="TableParagraph"/>
              <w:spacing w:line="203" w:lineRule="exact"/>
              <w:ind w:left="122" w:right="321"/>
              <w:rPr>
                <w:sz w:val="18"/>
              </w:rPr>
            </w:pPr>
            <w:r>
              <w:rPr>
                <w:sz w:val="18"/>
              </w:rPr>
              <w:t>Tenango del Valle</w:t>
            </w:r>
          </w:p>
        </w:tc>
        <w:tc>
          <w:tcPr>
            <w:tcW w:w="2494" w:type="dxa"/>
            <w:tcBorders>
              <w:top w:val="nil"/>
              <w:left w:val="nil"/>
              <w:right w:val="nil"/>
            </w:tcBorders>
          </w:tcPr>
          <w:p>
            <w:pPr/>
          </w:p>
        </w:tc>
        <w:tc>
          <w:tcPr>
            <w:tcW w:w="4532" w:type="dxa"/>
            <w:gridSpan w:val="2"/>
            <w:tcBorders>
              <w:top w:val="nil"/>
              <w:left w:val="nil"/>
              <w:right w:val="nil"/>
            </w:tcBorders>
          </w:tcPr>
          <w:p>
            <w:pPr>
              <w:pStyle w:val="TableParagraph"/>
              <w:spacing w:before="32"/>
              <w:ind w:left="110" w:right="337"/>
              <w:rPr>
                <w:sz w:val="18"/>
              </w:rPr>
            </w:pPr>
            <w:r>
              <w:rPr>
                <w:sz w:val="18"/>
              </w:rPr>
              <w:t>No Metropolitano</w:t>
            </w:r>
          </w:p>
        </w:tc>
      </w:tr>
      <w:tr>
        <w:trPr>
          <w:trHeight w:val="322" w:hRule="exact"/>
        </w:trPr>
        <w:tc>
          <w:tcPr>
            <w:tcW w:w="2045" w:type="dxa"/>
            <w:tcBorders>
              <w:left w:val="nil"/>
              <w:right w:val="nil"/>
            </w:tcBorders>
          </w:tcPr>
          <w:p>
            <w:pPr>
              <w:pStyle w:val="TableParagraph"/>
              <w:spacing w:line="207" w:lineRule="exact"/>
              <w:ind w:left="122" w:right="321"/>
              <w:rPr>
                <w:sz w:val="18"/>
              </w:rPr>
            </w:pPr>
            <w:r>
              <w:rPr>
                <w:sz w:val="18"/>
              </w:rPr>
              <w:t>Total</w:t>
            </w:r>
          </w:p>
        </w:tc>
        <w:tc>
          <w:tcPr>
            <w:tcW w:w="2494" w:type="dxa"/>
            <w:tcBorders>
              <w:left w:val="nil"/>
              <w:right w:val="nil"/>
            </w:tcBorders>
          </w:tcPr>
          <w:p>
            <w:pPr>
              <w:pStyle w:val="TableParagraph"/>
              <w:spacing w:before="52"/>
              <w:ind w:left="341" w:right="352"/>
              <w:rPr>
                <w:sz w:val="18"/>
              </w:rPr>
            </w:pPr>
            <w:r>
              <w:rPr>
                <w:sz w:val="18"/>
              </w:rPr>
              <w:t>22</w:t>
            </w:r>
          </w:p>
        </w:tc>
        <w:tc>
          <w:tcPr>
            <w:tcW w:w="2192" w:type="dxa"/>
            <w:tcBorders>
              <w:left w:val="nil"/>
              <w:right w:val="nil"/>
            </w:tcBorders>
          </w:tcPr>
          <w:p>
            <w:pPr>
              <w:pStyle w:val="TableParagraph"/>
              <w:spacing w:line="207" w:lineRule="exact"/>
              <w:ind w:left="110" w:right="161"/>
              <w:rPr>
                <w:sz w:val="18"/>
              </w:rPr>
            </w:pPr>
            <w:r>
              <w:rPr>
                <w:sz w:val="18"/>
              </w:rPr>
              <w:t>21</w:t>
            </w:r>
          </w:p>
        </w:tc>
        <w:tc>
          <w:tcPr>
            <w:tcW w:w="2341" w:type="dxa"/>
            <w:tcBorders>
              <w:left w:val="nil"/>
              <w:right w:val="nil"/>
            </w:tcBorders>
          </w:tcPr>
          <w:p>
            <w:pPr>
              <w:pStyle w:val="TableParagraph"/>
              <w:spacing w:before="52"/>
              <w:ind w:left="182" w:right="288"/>
              <w:rPr>
                <w:sz w:val="18"/>
              </w:rPr>
            </w:pPr>
            <w:r>
              <w:rPr>
                <w:sz w:val="18"/>
              </w:rPr>
              <w:t>22</w:t>
            </w:r>
          </w:p>
        </w:tc>
      </w:tr>
    </w:tbl>
    <w:p>
      <w:pPr>
        <w:spacing w:line="227" w:lineRule="exact" w:before="0"/>
        <w:ind w:left="1219" w:right="1204" w:firstLine="0"/>
        <w:jc w:val="center"/>
        <w:rPr>
          <w:sz w:val="20"/>
        </w:rPr>
      </w:pPr>
      <w:r>
        <w:rPr>
          <w:sz w:val="20"/>
        </w:rPr>
        <w:t>Fuente: Elaboración propia</w:t>
      </w:r>
    </w:p>
    <w:p>
      <w:pPr>
        <w:spacing w:after="0" w:line="227" w:lineRule="exact"/>
        <w:jc w:val="center"/>
        <w:rPr>
          <w:sz w:val="20"/>
        </w:rPr>
        <w:sectPr>
          <w:pgSz w:w="12240" w:h="15840"/>
          <w:pgMar w:header="0" w:footer="659" w:top="1360" w:bottom="840" w:left="1460" w:right="1480"/>
        </w:sectPr>
      </w:pPr>
    </w:p>
    <w:p>
      <w:pPr>
        <w:spacing w:before="53" w:after="4"/>
        <w:ind w:left="1806" w:right="82" w:firstLine="0"/>
        <w:jc w:val="left"/>
        <w:rPr>
          <w:sz w:val="20"/>
        </w:rPr>
      </w:pPr>
      <w:r>
        <w:rPr>
          <w:sz w:val="20"/>
        </w:rPr>
        <w:t>Cuadro A.4.2  Criterios de calificación de los asentamientos.</w:t>
      </w:r>
    </w:p>
    <w:tbl>
      <w:tblPr>
        <w:tblW w:w="0" w:type="auto"/>
        <w:jc w:val="left"/>
        <w:tblInd w:w="83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016"/>
        <w:gridCol w:w="4274"/>
      </w:tblGrid>
      <w:tr>
        <w:trPr>
          <w:trHeight w:val="218" w:hRule="exact"/>
        </w:trPr>
        <w:tc>
          <w:tcPr>
            <w:tcW w:w="3016" w:type="dxa"/>
            <w:tcBorders>
              <w:left w:val="nil"/>
              <w:right w:val="nil"/>
            </w:tcBorders>
          </w:tcPr>
          <w:p>
            <w:pPr>
              <w:pStyle w:val="TableParagraph"/>
              <w:spacing w:line="206" w:lineRule="exact"/>
              <w:rPr>
                <w:sz w:val="18"/>
              </w:rPr>
            </w:pPr>
            <w:r>
              <w:rPr>
                <w:sz w:val="18"/>
              </w:rPr>
              <w:t>Nombre</w:t>
            </w:r>
          </w:p>
        </w:tc>
        <w:tc>
          <w:tcPr>
            <w:tcW w:w="4274" w:type="dxa"/>
            <w:tcBorders>
              <w:left w:val="nil"/>
              <w:right w:val="nil"/>
            </w:tcBorders>
          </w:tcPr>
          <w:p>
            <w:pPr>
              <w:pStyle w:val="TableParagraph"/>
              <w:spacing w:line="206" w:lineRule="exact"/>
              <w:ind w:left="1245"/>
              <w:rPr>
                <w:sz w:val="18"/>
              </w:rPr>
            </w:pPr>
            <w:r>
              <w:rPr>
                <w:sz w:val="18"/>
              </w:rPr>
              <w:t>Rangos de población</w:t>
            </w:r>
          </w:p>
        </w:tc>
      </w:tr>
      <w:tr>
        <w:trPr>
          <w:trHeight w:val="220" w:hRule="exact"/>
        </w:trPr>
        <w:tc>
          <w:tcPr>
            <w:tcW w:w="3016" w:type="dxa"/>
            <w:tcBorders>
              <w:left w:val="nil"/>
              <w:bottom w:val="nil"/>
              <w:right w:val="nil"/>
            </w:tcBorders>
          </w:tcPr>
          <w:p>
            <w:pPr>
              <w:pStyle w:val="TableParagraph"/>
              <w:spacing w:line="206" w:lineRule="exact"/>
              <w:rPr>
                <w:sz w:val="18"/>
              </w:rPr>
            </w:pPr>
            <w:r>
              <w:rPr>
                <w:sz w:val="18"/>
              </w:rPr>
              <w:t>Localidades rurales</w:t>
            </w:r>
          </w:p>
        </w:tc>
        <w:tc>
          <w:tcPr>
            <w:tcW w:w="4274" w:type="dxa"/>
            <w:tcBorders>
              <w:left w:val="nil"/>
              <w:bottom w:val="nil"/>
              <w:right w:val="nil"/>
            </w:tcBorders>
          </w:tcPr>
          <w:p>
            <w:pPr>
              <w:pStyle w:val="TableParagraph"/>
              <w:spacing w:line="206" w:lineRule="exact"/>
              <w:ind w:left="1245"/>
              <w:rPr>
                <w:sz w:val="18"/>
              </w:rPr>
            </w:pPr>
            <w:r>
              <w:rPr>
                <w:sz w:val="18"/>
              </w:rPr>
              <w:t>(1 a 2 499 hab.)</w:t>
            </w:r>
          </w:p>
        </w:tc>
      </w:tr>
      <w:tr>
        <w:trPr>
          <w:trHeight w:val="311" w:hRule="exact"/>
        </w:trPr>
        <w:tc>
          <w:tcPr>
            <w:tcW w:w="3016" w:type="dxa"/>
            <w:tcBorders>
              <w:top w:val="nil"/>
              <w:left w:val="nil"/>
              <w:bottom w:val="nil"/>
              <w:right w:val="nil"/>
            </w:tcBorders>
          </w:tcPr>
          <w:p>
            <w:pPr>
              <w:pStyle w:val="TableParagraph"/>
              <w:spacing w:line="197" w:lineRule="exact"/>
              <w:rPr>
                <w:sz w:val="18"/>
              </w:rPr>
            </w:pPr>
            <w:r>
              <w:rPr>
                <w:sz w:val="18"/>
              </w:rPr>
              <w:t>Centros de población</w:t>
            </w:r>
          </w:p>
        </w:tc>
        <w:tc>
          <w:tcPr>
            <w:tcW w:w="4274" w:type="dxa"/>
            <w:tcBorders>
              <w:top w:val="nil"/>
              <w:left w:val="nil"/>
              <w:bottom w:val="nil"/>
              <w:right w:val="nil"/>
            </w:tcBorders>
          </w:tcPr>
          <w:p>
            <w:pPr>
              <w:pStyle w:val="TableParagraph"/>
              <w:spacing w:before="93"/>
              <w:ind w:left="1245"/>
              <w:rPr>
                <w:sz w:val="18"/>
              </w:rPr>
            </w:pPr>
            <w:r>
              <w:rPr>
                <w:sz w:val="18"/>
              </w:rPr>
              <w:t>(2 500 a  14 999 hab.)</w:t>
            </w:r>
          </w:p>
        </w:tc>
      </w:tr>
      <w:tr>
        <w:trPr>
          <w:trHeight w:val="332" w:hRule="exact"/>
        </w:trPr>
        <w:tc>
          <w:tcPr>
            <w:tcW w:w="3016" w:type="dxa"/>
            <w:tcBorders>
              <w:top w:val="nil"/>
              <w:left w:val="nil"/>
              <w:bottom w:val="nil"/>
              <w:right w:val="nil"/>
            </w:tcBorders>
          </w:tcPr>
          <w:p>
            <w:pPr>
              <w:pStyle w:val="TableParagraph"/>
              <w:spacing w:line="198" w:lineRule="exact"/>
              <w:rPr>
                <w:sz w:val="18"/>
              </w:rPr>
            </w:pPr>
            <w:r>
              <w:rPr>
                <w:sz w:val="18"/>
              </w:rPr>
              <w:t>Ciudades pequeñas</w:t>
            </w:r>
          </w:p>
        </w:tc>
        <w:tc>
          <w:tcPr>
            <w:tcW w:w="4274" w:type="dxa"/>
            <w:tcBorders>
              <w:top w:val="nil"/>
              <w:left w:val="nil"/>
              <w:bottom w:val="nil"/>
              <w:right w:val="nil"/>
            </w:tcBorders>
          </w:tcPr>
          <w:p>
            <w:pPr>
              <w:pStyle w:val="TableParagraph"/>
              <w:spacing w:before="116"/>
              <w:ind w:left="1245"/>
              <w:rPr>
                <w:sz w:val="18"/>
              </w:rPr>
            </w:pPr>
            <w:r>
              <w:rPr>
                <w:sz w:val="18"/>
              </w:rPr>
              <w:t>(15 000 a 99 999 hab.)</w:t>
            </w:r>
          </w:p>
        </w:tc>
      </w:tr>
      <w:tr>
        <w:trPr>
          <w:trHeight w:val="292" w:hRule="exact"/>
        </w:trPr>
        <w:tc>
          <w:tcPr>
            <w:tcW w:w="3016" w:type="dxa"/>
            <w:tcBorders>
              <w:top w:val="nil"/>
              <w:left w:val="nil"/>
              <w:bottom w:val="nil"/>
              <w:right w:val="nil"/>
            </w:tcBorders>
          </w:tcPr>
          <w:p>
            <w:pPr>
              <w:pStyle w:val="TableParagraph"/>
              <w:spacing w:line="197" w:lineRule="exact"/>
              <w:rPr>
                <w:sz w:val="18"/>
              </w:rPr>
            </w:pPr>
            <w:r>
              <w:rPr>
                <w:sz w:val="18"/>
              </w:rPr>
              <w:t>Ciudades medias</w:t>
            </w:r>
          </w:p>
        </w:tc>
        <w:tc>
          <w:tcPr>
            <w:tcW w:w="4274" w:type="dxa"/>
            <w:tcBorders>
              <w:top w:val="nil"/>
              <w:left w:val="nil"/>
              <w:bottom w:val="nil"/>
              <w:right w:val="nil"/>
            </w:tcBorders>
          </w:tcPr>
          <w:p>
            <w:pPr>
              <w:pStyle w:val="TableParagraph"/>
              <w:spacing w:before="74"/>
              <w:ind w:left="1245"/>
              <w:rPr>
                <w:sz w:val="18"/>
              </w:rPr>
            </w:pPr>
            <w:r>
              <w:rPr>
                <w:sz w:val="18"/>
              </w:rPr>
              <w:t>(100 000 a 999 999 hab.)</w:t>
            </w:r>
          </w:p>
        </w:tc>
      </w:tr>
      <w:tr>
        <w:trPr>
          <w:trHeight w:val="223" w:hRule="exact"/>
        </w:trPr>
        <w:tc>
          <w:tcPr>
            <w:tcW w:w="3016" w:type="dxa"/>
            <w:tcBorders>
              <w:top w:val="nil"/>
              <w:left w:val="nil"/>
              <w:right w:val="nil"/>
            </w:tcBorders>
          </w:tcPr>
          <w:p>
            <w:pPr>
              <w:pStyle w:val="TableParagraph"/>
              <w:spacing w:line="198" w:lineRule="exact"/>
              <w:rPr>
                <w:sz w:val="18"/>
              </w:rPr>
            </w:pPr>
            <w:r>
              <w:rPr>
                <w:sz w:val="18"/>
              </w:rPr>
              <w:t>Ciudades grandes</w:t>
            </w:r>
          </w:p>
        </w:tc>
        <w:tc>
          <w:tcPr>
            <w:tcW w:w="4274" w:type="dxa"/>
            <w:tcBorders>
              <w:top w:val="nil"/>
              <w:left w:val="nil"/>
              <w:right w:val="nil"/>
            </w:tcBorders>
          </w:tcPr>
          <w:p>
            <w:pPr>
              <w:pStyle w:val="TableParagraph"/>
              <w:spacing w:before="8"/>
              <w:ind w:left="1245"/>
              <w:rPr>
                <w:sz w:val="18"/>
              </w:rPr>
            </w:pPr>
            <w:r>
              <w:rPr>
                <w:sz w:val="18"/>
              </w:rPr>
              <w:t>(1 000 000 y más hab.)</w:t>
            </w:r>
          </w:p>
        </w:tc>
      </w:tr>
    </w:tbl>
    <w:p>
      <w:pPr>
        <w:spacing w:line="227" w:lineRule="exact" w:before="0"/>
        <w:ind w:left="2" w:right="5" w:firstLine="0"/>
        <w:jc w:val="center"/>
        <w:rPr>
          <w:sz w:val="20"/>
        </w:rPr>
      </w:pPr>
      <w:r>
        <w:rPr>
          <w:sz w:val="20"/>
        </w:rPr>
        <w:t>Fuente: Elaboración propia con información de INEGI</w:t>
      </w:r>
    </w:p>
    <w:p>
      <w:pPr>
        <w:pStyle w:val="BodyText"/>
        <w:spacing w:before="9"/>
        <w:rPr>
          <w:sz w:val="19"/>
        </w:rPr>
      </w:pPr>
    </w:p>
    <w:p>
      <w:pPr>
        <w:tabs>
          <w:tab w:pos="2160" w:val="left" w:leader="none"/>
          <w:tab w:pos="8365" w:val="left" w:leader="none"/>
        </w:tabs>
        <w:spacing w:before="1"/>
        <w:ind w:left="2" w:right="0" w:firstLine="0"/>
        <w:jc w:val="center"/>
        <w:rPr>
          <w:sz w:val="20"/>
        </w:rPr>
      </w:pPr>
      <w:r>
        <w:rPr>
          <w:w w:val="99"/>
          <w:sz w:val="20"/>
          <w:u w:val="single"/>
        </w:rPr>
        <w:t> </w:t>
      </w:r>
      <w:r>
        <w:rPr>
          <w:sz w:val="20"/>
          <w:u w:val="single"/>
        </w:rPr>
        <w:tab/>
        <w:t>Cuadro A 4.3 Población total de 1990 a</w:t>
      </w:r>
      <w:r>
        <w:rPr>
          <w:spacing w:val="-14"/>
          <w:sz w:val="20"/>
          <w:u w:val="single"/>
        </w:rPr>
        <w:t> </w:t>
      </w:r>
      <w:r>
        <w:rPr>
          <w:sz w:val="20"/>
          <w:u w:val="single"/>
        </w:rPr>
        <w:t>2010.</w:t>
        <w:tab/>
      </w:r>
    </w:p>
    <w:p>
      <w:pPr>
        <w:pStyle w:val="BodyText"/>
        <w:spacing w:before="8"/>
        <w:rPr>
          <w:sz w:val="14"/>
        </w:rPr>
      </w:pPr>
    </w:p>
    <w:tbl>
      <w:tblPr>
        <w:tblW w:w="0" w:type="auto"/>
        <w:jc w:val="left"/>
        <w:tblInd w:w="299"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803"/>
        <w:gridCol w:w="979"/>
        <w:gridCol w:w="1114"/>
        <w:gridCol w:w="1089"/>
        <w:gridCol w:w="1167"/>
        <w:gridCol w:w="1212"/>
      </w:tblGrid>
      <w:tr>
        <w:trPr>
          <w:trHeight w:val="323" w:hRule="exact"/>
        </w:trPr>
        <w:tc>
          <w:tcPr>
            <w:tcW w:w="2803" w:type="dxa"/>
            <w:tcBorders>
              <w:bottom w:val="single" w:sz="4" w:space="0" w:color="000000"/>
            </w:tcBorders>
          </w:tcPr>
          <w:p>
            <w:pPr>
              <w:pStyle w:val="TableParagraph"/>
              <w:spacing w:line="184" w:lineRule="exact"/>
              <w:rPr>
                <w:sz w:val="18"/>
              </w:rPr>
            </w:pPr>
            <w:r>
              <w:rPr>
                <w:sz w:val="18"/>
              </w:rPr>
              <w:t>Año /Municipio</w:t>
            </w:r>
          </w:p>
        </w:tc>
        <w:tc>
          <w:tcPr>
            <w:tcW w:w="979" w:type="dxa"/>
            <w:tcBorders>
              <w:bottom w:val="single" w:sz="4" w:space="0" w:color="000000"/>
            </w:tcBorders>
          </w:tcPr>
          <w:p>
            <w:pPr>
              <w:pStyle w:val="TableParagraph"/>
              <w:spacing w:line="184" w:lineRule="exact"/>
              <w:ind w:left="82"/>
              <w:rPr>
                <w:sz w:val="18"/>
              </w:rPr>
            </w:pPr>
            <w:r>
              <w:rPr>
                <w:sz w:val="18"/>
              </w:rPr>
              <w:t>1990</w:t>
            </w:r>
          </w:p>
        </w:tc>
        <w:tc>
          <w:tcPr>
            <w:tcW w:w="1114" w:type="dxa"/>
            <w:tcBorders>
              <w:bottom w:val="single" w:sz="4" w:space="0" w:color="000000"/>
            </w:tcBorders>
          </w:tcPr>
          <w:p>
            <w:pPr>
              <w:pStyle w:val="TableParagraph"/>
              <w:spacing w:line="184" w:lineRule="exact"/>
              <w:ind w:left="295"/>
              <w:rPr>
                <w:sz w:val="18"/>
              </w:rPr>
            </w:pPr>
            <w:r>
              <w:rPr>
                <w:sz w:val="18"/>
              </w:rPr>
              <w:t>1995</w:t>
            </w:r>
          </w:p>
        </w:tc>
        <w:tc>
          <w:tcPr>
            <w:tcW w:w="1089" w:type="dxa"/>
            <w:tcBorders>
              <w:bottom w:val="single" w:sz="4" w:space="0" w:color="000000"/>
            </w:tcBorders>
          </w:tcPr>
          <w:p>
            <w:pPr>
              <w:pStyle w:val="TableParagraph"/>
              <w:spacing w:line="184" w:lineRule="exact"/>
              <w:ind w:left="116"/>
              <w:rPr>
                <w:sz w:val="18"/>
              </w:rPr>
            </w:pPr>
            <w:r>
              <w:rPr>
                <w:sz w:val="18"/>
              </w:rPr>
              <w:t>2000</w:t>
            </w:r>
          </w:p>
        </w:tc>
        <w:tc>
          <w:tcPr>
            <w:tcW w:w="1167" w:type="dxa"/>
            <w:tcBorders>
              <w:bottom w:val="single" w:sz="4" w:space="0" w:color="000000"/>
            </w:tcBorders>
          </w:tcPr>
          <w:p>
            <w:pPr>
              <w:pStyle w:val="TableParagraph"/>
              <w:spacing w:line="184" w:lineRule="exact"/>
              <w:ind w:left="270"/>
              <w:rPr>
                <w:sz w:val="18"/>
              </w:rPr>
            </w:pPr>
            <w:r>
              <w:rPr>
                <w:sz w:val="18"/>
              </w:rPr>
              <w:t>2005</w:t>
            </w:r>
          </w:p>
        </w:tc>
        <w:tc>
          <w:tcPr>
            <w:tcW w:w="1212" w:type="dxa"/>
            <w:tcBorders>
              <w:bottom w:val="single" w:sz="4" w:space="0" w:color="000000"/>
            </w:tcBorders>
          </w:tcPr>
          <w:p>
            <w:pPr>
              <w:pStyle w:val="TableParagraph"/>
              <w:spacing w:line="184" w:lineRule="exact"/>
              <w:ind w:left="194"/>
              <w:rPr>
                <w:sz w:val="18"/>
              </w:rPr>
            </w:pPr>
            <w:r>
              <w:rPr>
                <w:sz w:val="18"/>
              </w:rPr>
              <w:t>2010</w:t>
            </w:r>
          </w:p>
        </w:tc>
      </w:tr>
      <w:tr>
        <w:trPr>
          <w:trHeight w:val="322" w:hRule="exact"/>
        </w:trPr>
        <w:tc>
          <w:tcPr>
            <w:tcW w:w="2803" w:type="dxa"/>
            <w:tcBorders>
              <w:top w:val="single" w:sz="4" w:space="0" w:color="000000"/>
            </w:tcBorders>
          </w:tcPr>
          <w:p>
            <w:pPr>
              <w:pStyle w:val="TableParagraph"/>
              <w:spacing w:before="66"/>
              <w:rPr>
                <w:sz w:val="18"/>
              </w:rPr>
            </w:pPr>
            <w:r>
              <w:rPr>
                <w:sz w:val="18"/>
              </w:rPr>
              <w:t>Lerma</w:t>
            </w:r>
          </w:p>
        </w:tc>
        <w:tc>
          <w:tcPr>
            <w:tcW w:w="979" w:type="dxa"/>
            <w:tcBorders>
              <w:top w:val="single" w:sz="4" w:space="0" w:color="000000"/>
            </w:tcBorders>
          </w:tcPr>
          <w:p>
            <w:pPr>
              <w:pStyle w:val="TableParagraph"/>
              <w:spacing w:before="66"/>
              <w:ind w:left="82"/>
              <w:rPr>
                <w:sz w:val="18"/>
              </w:rPr>
            </w:pPr>
            <w:r>
              <w:rPr>
                <w:sz w:val="18"/>
              </w:rPr>
              <w:t>66912</w:t>
            </w:r>
          </w:p>
        </w:tc>
        <w:tc>
          <w:tcPr>
            <w:tcW w:w="1114" w:type="dxa"/>
            <w:tcBorders>
              <w:top w:val="single" w:sz="4" w:space="0" w:color="000000"/>
            </w:tcBorders>
          </w:tcPr>
          <w:p>
            <w:pPr>
              <w:pStyle w:val="TableParagraph"/>
              <w:spacing w:before="66"/>
              <w:ind w:left="295"/>
              <w:rPr>
                <w:sz w:val="18"/>
              </w:rPr>
            </w:pPr>
            <w:r>
              <w:rPr>
                <w:sz w:val="18"/>
              </w:rPr>
              <w:t>81192</w:t>
            </w:r>
          </w:p>
        </w:tc>
        <w:tc>
          <w:tcPr>
            <w:tcW w:w="1089" w:type="dxa"/>
            <w:tcBorders>
              <w:top w:val="single" w:sz="4" w:space="0" w:color="000000"/>
            </w:tcBorders>
          </w:tcPr>
          <w:p>
            <w:pPr>
              <w:pStyle w:val="TableParagraph"/>
              <w:spacing w:before="66"/>
              <w:ind w:left="116"/>
              <w:rPr>
                <w:sz w:val="18"/>
              </w:rPr>
            </w:pPr>
            <w:r>
              <w:rPr>
                <w:sz w:val="18"/>
              </w:rPr>
              <w:t>99870</w:t>
            </w:r>
          </w:p>
        </w:tc>
        <w:tc>
          <w:tcPr>
            <w:tcW w:w="1167" w:type="dxa"/>
            <w:tcBorders>
              <w:top w:val="single" w:sz="4" w:space="0" w:color="000000"/>
            </w:tcBorders>
          </w:tcPr>
          <w:p>
            <w:pPr>
              <w:pStyle w:val="TableParagraph"/>
              <w:spacing w:before="66"/>
              <w:ind w:left="270"/>
              <w:rPr>
                <w:sz w:val="18"/>
              </w:rPr>
            </w:pPr>
            <w:r>
              <w:rPr>
                <w:sz w:val="18"/>
              </w:rPr>
              <w:t>105578</w:t>
            </w:r>
          </w:p>
        </w:tc>
        <w:tc>
          <w:tcPr>
            <w:tcW w:w="1212" w:type="dxa"/>
            <w:tcBorders>
              <w:top w:val="single" w:sz="4" w:space="0" w:color="000000"/>
            </w:tcBorders>
          </w:tcPr>
          <w:p>
            <w:pPr>
              <w:pStyle w:val="TableParagraph"/>
              <w:spacing w:before="66"/>
              <w:ind w:left="194"/>
              <w:rPr>
                <w:sz w:val="18"/>
              </w:rPr>
            </w:pPr>
            <w:r>
              <w:rPr>
                <w:sz w:val="18"/>
              </w:rPr>
              <w:t>134,799</w:t>
            </w:r>
          </w:p>
        </w:tc>
      </w:tr>
      <w:tr>
        <w:trPr>
          <w:trHeight w:val="275" w:hRule="exact"/>
        </w:trPr>
        <w:tc>
          <w:tcPr>
            <w:tcW w:w="2803" w:type="dxa"/>
          </w:tcPr>
          <w:p>
            <w:pPr>
              <w:pStyle w:val="TableParagraph"/>
              <w:spacing w:before="25"/>
              <w:rPr>
                <w:sz w:val="18"/>
              </w:rPr>
            </w:pPr>
            <w:r>
              <w:rPr>
                <w:sz w:val="18"/>
              </w:rPr>
              <w:t>Metepec</w:t>
            </w:r>
          </w:p>
        </w:tc>
        <w:tc>
          <w:tcPr>
            <w:tcW w:w="979" w:type="dxa"/>
          </w:tcPr>
          <w:p>
            <w:pPr>
              <w:pStyle w:val="TableParagraph"/>
              <w:spacing w:before="25"/>
              <w:ind w:left="82"/>
              <w:rPr>
                <w:sz w:val="18"/>
              </w:rPr>
            </w:pPr>
            <w:r>
              <w:rPr>
                <w:sz w:val="18"/>
              </w:rPr>
              <w:t>140268</w:t>
            </w:r>
          </w:p>
        </w:tc>
        <w:tc>
          <w:tcPr>
            <w:tcW w:w="1114" w:type="dxa"/>
          </w:tcPr>
          <w:p>
            <w:pPr>
              <w:pStyle w:val="TableParagraph"/>
              <w:spacing w:before="25"/>
              <w:ind w:left="295"/>
              <w:rPr>
                <w:sz w:val="18"/>
              </w:rPr>
            </w:pPr>
            <w:r>
              <w:rPr>
                <w:sz w:val="18"/>
              </w:rPr>
              <w:t>178096</w:t>
            </w:r>
          </w:p>
        </w:tc>
        <w:tc>
          <w:tcPr>
            <w:tcW w:w="1089" w:type="dxa"/>
          </w:tcPr>
          <w:p>
            <w:pPr>
              <w:pStyle w:val="TableParagraph"/>
              <w:spacing w:before="25"/>
              <w:ind w:left="116"/>
              <w:rPr>
                <w:sz w:val="18"/>
              </w:rPr>
            </w:pPr>
            <w:r>
              <w:rPr>
                <w:sz w:val="18"/>
              </w:rPr>
              <w:t>194463</w:t>
            </w:r>
          </w:p>
        </w:tc>
        <w:tc>
          <w:tcPr>
            <w:tcW w:w="1167" w:type="dxa"/>
          </w:tcPr>
          <w:p>
            <w:pPr>
              <w:pStyle w:val="TableParagraph"/>
              <w:spacing w:before="25"/>
              <w:ind w:left="270"/>
              <w:rPr>
                <w:sz w:val="18"/>
              </w:rPr>
            </w:pPr>
            <w:r>
              <w:rPr>
                <w:sz w:val="18"/>
              </w:rPr>
              <w:t>206005</w:t>
            </w:r>
          </w:p>
        </w:tc>
        <w:tc>
          <w:tcPr>
            <w:tcW w:w="1212" w:type="dxa"/>
          </w:tcPr>
          <w:p>
            <w:pPr>
              <w:pStyle w:val="TableParagraph"/>
              <w:spacing w:before="25"/>
              <w:ind w:left="194"/>
              <w:rPr>
                <w:sz w:val="18"/>
              </w:rPr>
            </w:pPr>
            <w:r>
              <w:rPr>
                <w:sz w:val="18"/>
              </w:rPr>
              <w:t>214,162</w:t>
            </w:r>
          </w:p>
        </w:tc>
      </w:tr>
      <w:tr>
        <w:trPr>
          <w:trHeight w:val="275" w:hRule="exact"/>
        </w:trPr>
        <w:tc>
          <w:tcPr>
            <w:tcW w:w="2803" w:type="dxa"/>
          </w:tcPr>
          <w:p>
            <w:pPr>
              <w:pStyle w:val="TableParagraph"/>
              <w:spacing w:before="24"/>
              <w:rPr>
                <w:sz w:val="18"/>
              </w:rPr>
            </w:pPr>
            <w:r>
              <w:rPr>
                <w:sz w:val="18"/>
              </w:rPr>
              <w:t>Toluca</w:t>
            </w:r>
          </w:p>
        </w:tc>
        <w:tc>
          <w:tcPr>
            <w:tcW w:w="979" w:type="dxa"/>
          </w:tcPr>
          <w:p>
            <w:pPr>
              <w:pStyle w:val="TableParagraph"/>
              <w:spacing w:before="24"/>
              <w:ind w:left="82"/>
              <w:rPr>
                <w:sz w:val="18"/>
              </w:rPr>
            </w:pPr>
            <w:r>
              <w:rPr>
                <w:sz w:val="18"/>
              </w:rPr>
              <w:t>487612</w:t>
            </w:r>
          </w:p>
        </w:tc>
        <w:tc>
          <w:tcPr>
            <w:tcW w:w="1114" w:type="dxa"/>
          </w:tcPr>
          <w:p>
            <w:pPr>
              <w:pStyle w:val="TableParagraph"/>
              <w:spacing w:before="24"/>
              <w:ind w:left="295"/>
              <w:rPr>
                <w:sz w:val="18"/>
              </w:rPr>
            </w:pPr>
            <w:r>
              <w:rPr>
                <w:sz w:val="18"/>
              </w:rPr>
              <w:t>564476</w:t>
            </w:r>
          </w:p>
        </w:tc>
        <w:tc>
          <w:tcPr>
            <w:tcW w:w="1089" w:type="dxa"/>
          </w:tcPr>
          <w:p>
            <w:pPr>
              <w:pStyle w:val="TableParagraph"/>
              <w:spacing w:before="24"/>
              <w:ind w:left="116"/>
              <w:rPr>
                <w:sz w:val="18"/>
              </w:rPr>
            </w:pPr>
            <w:r>
              <w:rPr>
                <w:sz w:val="18"/>
              </w:rPr>
              <w:t>666596</w:t>
            </w:r>
          </w:p>
        </w:tc>
        <w:tc>
          <w:tcPr>
            <w:tcW w:w="1167" w:type="dxa"/>
          </w:tcPr>
          <w:p>
            <w:pPr>
              <w:pStyle w:val="TableParagraph"/>
              <w:spacing w:before="24"/>
              <w:ind w:left="270"/>
              <w:rPr>
                <w:sz w:val="18"/>
              </w:rPr>
            </w:pPr>
            <w:r>
              <w:rPr>
                <w:sz w:val="18"/>
              </w:rPr>
              <w:t>747512</w:t>
            </w:r>
          </w:p>
        </w:tc>
        <w:tc>
          <w:tcPr>
            <w:tcW w:w="1212" w:type="dxa"/>
          </w:tcPr>
          <w:p>
            <w:pPr>
              <w:pStyle w:val="TableParagraph"/>
              <w:spacing w:before="24"/>
              <w:ind w:left="194"/>
              <w:rPr>
                <w:sz w:val="18"/>
              </w:rPr>
            </w:pPr>
            <w:r>
              <w:rPr>
                <w:sz w:val="18"/>
              </w:rPr>
              <w:t>819,561</w:t>
            </w:r>
          </w:p>
        </w:tc>
      </w:tr>
      <w:tr>
        <w:trPr>
          <w:trHeight w:val="276" w:hRule="exact"/>
        </w:trPr>
        <w:tc>
          <w:tcPr>
            <w:tcW w:w="2803" w:type="dxa"/>
          </w:tcPr>
          <w:p>
            <w:pPr>
              <w:pStyle w:val="TableParagraph"/>
              <w:spacing w:before="25"/>
              <w:rPr>
                <w:sz w:val="18"/>
              </w:rPr>
            </w:pPr>
            <w:r>
              <w:rPr>
                <w:sz w:val="18"/>
              </w:rPr>
              <w:t>San Mateo Atenco</w:t>
            </w:r>
          </w:p>
        </w:tc>
        <w:tc>
          <w:tcPr>
            <w:tcW w:w="979" w:type="dxa"/>
          </w:tcPr>
          <w:p>
            <w:pPr>
              <w:pStyle w:val="TableParagraph"/>
              <w:spacing w:before="25"/>
              <w:ind w:left="82"/>
              <w:rPr>
                <w:sz w:val="18"/>
              </w:rPr>
            </w:pPr>
            <w:r>
              <w:rPr>
                <w:sz w:val="18"/>
              </w:rPr>
              <w:t>41926</w:t>
            </w:r>
          </w:p>
        </w:tc>
        <w:tc>
          <w:tcPr>
            <w:tcW w:w="1114" w:type="dxa"/>
          </w:tcPr>
          <w:p>
            <w:pPr>
              <w:pStyle w:val="TableParagraph"/>
              <w:spacing w:before="25"/>
              <w:ind w:left="295"/>
              <w:rPr>
                <w:sz w:val="18"/>
              </w:rPr>
            </w:pPr>
            <w:r>
              <w:rPr>
                <w:sz w:val="18"/>
              </w:rPr>
              <w:t>54089</w:t>
            </w:r>
          </w:p>
        </w:tc>
        <w:tc>
          <w:tcPr>
            <w:tcW w:w="1089" w:type="dxa"/>
          </w:tcPr>
          <w:p>
            <w:pPr>
              <w:pStyle w:val="TableParagraph"/>
              <w:spacing w:before="25"/>
              <w:ind w:left="116"/>
              <w:rPr>
                <w:sz w:val="18"/>
              </w:rPr>
            </w:pPr>
            <w:r>
              <w:rPr>
                <w:sz w:val="18"/>
              </w:rPr>
              <w:t>59647</w:t>
            </w:r>
          </w:p>
        </w:tc>
        <w:tc>
          <w:tcPr>
            <w:tcW w:w="1167" w:type="dxa"/>
          </w:tcPr>
          <w:p>
            <w:pPr>
              <w:pStyle w:val="TableParagraph"/>
              <w:spacing w:before="25"/>
              <w:ind w:left="270"/>
              <w:rPr>
                <w:sz w:val="18"/>
              </w:rPr>
            </w:pPr>
            <w:r>
              <w:rPr>
                <w:sz w:val="18"/>
              </w:rPr>
              <w:t>66740</w:t>
            </w:r>
          </w:p>
        </w:tc>
        <w:tc>
          <w:tcPr>
            <w:tcW w:w="1212" w:type="dxa"/>
          </w:tcPr>
          <w:p>
            <w:pPr>
              <w:pStyle w:val="TableParagraph"/>
              <w:spacing w:before="25"/>
              <w:ind w:left="194"/>
              <w:rPr>
                <w:sz w:val="18"/>
              </w:rPr>
            </w:pPr>
            <w:r>
              <w:rPr>
                <w:sz w:val="18"/>
              </w:rPr>
              <w:t>72,579</w:t>
            </w:r>
          </w:p>
        </w:tc>
      </w:tr>
      <w:tr>
        <w:trPr>
          <w:trHeight w:val="275" w:hRule="exact"/>
        </w:trPr>
        <w:tc>
          <w:tcPr>
            <w:tcW w:w="2803" w:type="dxa"/>
          </w:tcPr>
          <w:p>
            <w:pPr>
              <w:pStyle w:val="TableParagraph"/>
              <w:spacing w:before="25"/>
              <w:rPr>
                <w:sz w:val="18"/>
              </w:rPr>
            </w:pPr>
            <w:r>
              <w:rPr>
                <w:sz w:val="18"/>
              </w:rPr>
              <w:t>Zinacantepec</w:t>
            </w:r>
          </w:p>
        </w:tc>
        <w:tc>
          <w:tcPr>
            <w:tcW w:w="979" w:type="dxa"/>
          </w:tcPr>
          <w:p>
            <w:pPr>
              <w:pStyle w:val="TableParagraph"/>
              <w:spacing w:before="25"/>
              <w:ind w:left="82"/>
              <w:rPr>
                <w:sz w:val="18"/>
              </w:rPr>
            </w:pPr>
            <w:r>
              <w:rPr>
                <w:sz w:val="18"/>
              </w:rPr>
              <w:t>83197</w:t>
            </w:r>
          </w:p>
        </w:tc>
        <w:tc>
          <w:tcPr>
            <w:tcW w:w="1114" w:type="dxa"/>
          </w:tcPr>
          <w:p>
            <w:pPr>
              <w:pStyle w:val="TableParagraph"/>
              <w:spacing w:before="25"/>
              <w:ind w:left="295"/>
              <w:rPr>
                <w:sz w:val="18"/>
              </w:rPr>
            </w:pPr>
            <w:r>
              <w:rPr>
                <w:sz w:val="18"/>
              </w:rPr>
              <w:t>105,566</w:t>
            </w:r>
          </w:p>
        </w:tc>
        <w:tc>
          <w:tcPr>
            <w:tcW w:w="1089" w:type="dxa"/>
          </w:tcPr>
          <w:p>
            <w:pPr>
              <w:pStyle w:val="TableParagraph"/>
              <w:spacing w:before="25"/>
              <w:ind w:left="116"/>
              <w:rPr>
                <w:sz w:val="18"/>
              </w:rPr>
            </w:pPr>
            <w:r>
              <w:rPr>
                <w:sz w:val="18"/>
              </w:rPr>
              <w:t>121,850</w:t>
            </w:r>
          </w:p>
        </w:tc>
        <w:tc>
          <w:tcPr>
            <w:tcW w:w="1167" w:type="dxa"/>
          </w:tcPr>
          <w:p>
            <w:pPr>
              <w:pStyle w:val="TableParagraph"/>
              <w:spacing w:before="25"/>
              <w:ind w:left="270"/>
              <w:rPr>
                <w:sz w:val="18"/>
              </w:rPr>
            </w:pPr>
            <w:r>
              <w:rPr>
                <w:sz w:val="18"/>
              </w:rPr>
              <w:t>136,167</w:t>
            </w:r>
          </w:p>
        </w:tc>
        <w:tc>
          <w:tcPr>
            <w:tcW w:w="1212" w:type="dxa"/>
          </w:tcPr>
          <w:p>
            <w:pPr>
              <w:pStyle w:val="TableParagraph"/>
              <w:spacing w:before="25"/>
              <w:ind w:left="194"/>
              <w:rPr>
                <w:sz w:val="18"/>
              </w:rPr>
            </w:pPr>
            <w:r>
              <w:rPr>
                <w:sz w:val="18"/>
              </w:rPr>
              <w:t>167,59</w:t>
            </w:r>
          </w:p>
        </w:tc>
      </w:tr>
      <w:tr>
        <w:trPr>
          <w:trHeight w:val="275" w:hRule="exact"/>
        </w:trPr>
        <w:tc>
          <w:tcPr>
            <w:tcW w:w="2803" w:type="dxa"/>
          </w:tcPr>
          <w:p>
            <w:pPr>
              <w:pStyle w:val="TableParagraph"/>
              <w:spacing w:before="24"/>
              <w:rPr>
                <w:sz w:val="18"/>
              </w:rPr>
            </w:pPr>
            <w:r>
              <w:rPr>
                <w:sz w:val="18"/>
              </w:rPr>
              <w:t>Almoloya de Juárez</w:t>
            </w:r>
          </w:p>
        </w:tc>
        <w:tc>
          <w:tcPr>
            <w:tcW w:w="979" w:type="dxa"/>
          </w:tcPr>
          <w:p>
            <w:pPr>
              <w:pStyle w:val="TableParagraph"/>
              <w:spacing w:before="24"/>
              <w:ind w:left="82"/>
              <w:rPr>
                <w:sz w:val="18"/>
              </w:rPr>
            </w:pPr>
            <w:r>
              <w:rPr>
                <w:sz w:val="18"/>
              </w:rPr>
              <w:t>84,147</w:t>
            </w:r>
          </w:p>
        </w:tc>
        <w:tc>
          <w:tcPr>
            <w:tcW w:w="1114" w:type="dxa"/>
          </w:tcPr>
          <w:p>
            <w:pPr>
              <w:pStyle w:val="TableParagraph"/>
              <w:spacing w:before="24"/>
              <w:ind w:left="295"/>
              <w:rPr>
                <w:sz w:val="18"/>
              </w:rPr>
            </w:pPr>
            <w:r>
              <w:rPr>
                <w:sz w:val="18"/>
              </w:rPr>
              <w:t>96,662</w:t>
            </w:r>
          </w:p>
        </w:tc>
        <w:tc>
          <w:tcPr>
            <w:tcW w:w="1089" w:type="dxa"/>
          </w:tcPr>
          <w:p>
            <w:pPr>
              <w:pStyle w:val="TableParagraph"/>
              <w:spacing w:before="24"/>
              <w:ind w:left="116"/>
              <w:rPr>
                <w:sz w:val="18"/>
              </w:rPr>
            </w:pPr>
            <w:r>
              <w:rPr>
                <w:sz w:val="18"/>
              </w:rPr>
              <w:t>110,591</w:t>
            </w:r>
          </w:p>
        </w:tc>
        <w:tc>
          <w:tcPr>
            <w:tcW w:w="1167" w:type="dxa"/>
          </w:tcPr>
          <w:p>
            <w:pPr>
              <w:pStyle w:val="TableParagraph"/>
              <w:spacing w:before="24"/>
              <w:ind w:left="270"/>
              <w:rPr>
                <w:sz w:val="18"/>
              </w:rPr>
            </w:pPr>
            <w:r>
              <w:rPr>
                <w:sz w:val="18"/>
              </w:rPr>
              <w:t>126,163</w:t>
            </w:r>
          </w:p>
        </w:tc>
        <w:tc>
          <w:tcPr>
            <w:tcW w:w="1212" w:type="dxa"/>
          </w:tcPr>
          <w:p>
            <w:pPr>
              <w:pStyle w:val="TableParagraph"/>
              <w:spacing w:before="24"/>
              <w:ind w:left="194"/>
              <w:rPr>
                <w:sz w:val="18"/>
              </w:rPr>
            </w:pPr>
            <w:r>
              <w:rPr>
                <w:sz w:val="18"/>
              </w:rPr>
              <w:t>147,653</w:t>
            </w:r>
          </w:p>
        </w:tc>
      </w:tr>
      <w:tr>
        <w:trPr>
          <w:trHeight w:val="275" w:hRule="exact"/>
        </w:trPr>
        <w:tc>
          <w:tcPr>
            <w:tcW w:w="2803" w:type="dxa"/>
          </w:tcPr>
          <w:p>
            <w:pPr>
              <w:pStyle w:val="TableParagraph"/>
              <w:spacing w:before="25"/>
              <w:rPr>
                <w:sz w:val="18"/>
              </w:rPr>
            </w:pPr>
            <w:r>
              <w:rPr>
                <w:sz w:val="18"/>
              </w:rPr>
              <w:t>Calimaya</w:t>
            </w:r>
          </w:p>
        </w:tc>
        <w:tc>
          <w:tcPr>
            <w:tcW w:w="979" w:type="dxa"/>
          </w:tcPr>
          <w:p>
            <w:pPr>
              <w:pStyle w:val="TableParagraph"/>
              <w:spacing w:before="25"/>
              <w:ind w:left="82"/>
              <w:rPr>
                <w:sz w:val="18"/>
              </w:rPr>
            </w:pPr>
            <w:r>
              <w:rPr>
                <w:sz w:val="18"/>
              </w:rPr>
              <w:t>24,906</w:t>
            </w:r>
          </w:p>
        </w:tc>
        <w:tc>
          <w:tcPr>
            <w:tcW w:w="1114" w:type="dxa"/>
          </w:tcPr>
          <w:p>
            <w:pPr>
              <w:pStyle w:val="TableParagraph"/>
              <w:spacing w:before="25"/>
              <w:ind w:left="295"/>
              <w:rPr>
                <w:sz w:val="18"/>
              </w:rPr>
            </w:pPr>
            <w:r>
              <w:rPr>
                <w:sz w:val="18"/>
              </w:rPr>
              <w:t>31902</w:t>
            </w:r>
          </w:p>
        </w:tc>
        <w:tc>
          <w:tcPr>
            <w:tcW w:w="1089" w:type="dxa"/>
          </w:tcPr>
          <w:p>
            <w:pPr>
              <w:pStyle w:val="TableParagraph"/>
              <w:spacing w:before="25"/>
              <w:ind w:left="116"/>
              <w:rPr>
                <w:sz w:val="18"/>
              </w:rPr>
            </w:pPr>
            <w:r>
              <w:rPr>
                <w:sz w:val="18"/>
              </w:rPr>
              <w:t>35196</w:t>
            </w:r>
          </w:p>
        </w:tc>
        <w:tc>
          <w:tcPr>
            <w:tcW w:w="1167" w:type="dxa"/>
          </w:tcPr>
          <w:p>
            <w:pPr>
              <w:pStyle w:val="TableParagraph"/>
              <w:spacing w:before="25"/>
              <w:ind w:left="270"/>
              <w:rPr>
                <w:sz w:val="18"/>
              </w:rPr>
            </w:pPr>
            <w:r>
              <w:rPr>
                <w:sz w:val="18"/>
              </w:rPr>
              <w:t>38770</w:t>
            </w:r>
          </w:p>
        </w:tc>
        <w:tc>
          <w:tcPr>
            <w:tcW w:w="1212" w:type="dxa"/>
          </w:tcPr>
          <w:p>
            <w:pPr>
              <w:pStyle w:val="TableParagraph"/>
              <w:spacing w:before="25"/>
              <w:ind w:left="194"/>
              <w:rPr>
                <w:sz w:val="18"/>
              </w:rPr>
            </w:pPr>
            <w:r>
              <w:rPr>
                <w:sz w:val="18"/>
              </w:rPr>
              <w:t>47,033</w:t>
            </w:r>
          </w:p>
        </w:tc>
      </w:tr>
      <w:tr>
        <w:trPr>
          <w:trHeight w:val="282" w:hRule="exact"/>
        </w:trPr>
        <w:tc>
          <w:tcPr>
            <w:tcW w:w="2803" w:type="dxa"/>
          </w:tcPr>
          <w:p>
            <w:pPr>
              <w:pStyle w:val="TableParagraph"/>
              <w:spacing w:before="24"/>
              <w:rPr>
                <w:sz w:val="18"/>
              </w:rPr>
            </w:pPr>
            <w:r>
              <w:rPr>
                <w:sz w:val="18"/>
              </w:rPr>
              <w:t>Mexicaltzingo</w:t>
            </w:r>
          </w:p>
        </w:tc>
        <w:tc>
          <w:tcPr>
            <w:tcW w:w="979" w:type="dxa"/>
          </w:tcPr>
          <w:p>
            <w:pPr>
              <w:pStyle w:val="TableParagraph"/>
              <w:spacing w:before="24"/>
              <w:ind w:left="82"/>
              <w:rPr>
                <w:sz w:val="18"/>
              </w:rPr>
            </w:pPr>
            <w:r>
              <w:rPr>
                <w:sz w:val="18"/>
              </w:rPr>
              <w:t>7248</w:t>
            </w:r>
          </w:p>
        </w:tc>
        <w:tc>
          <w:tcPr>
            <w:tcW w:w="1114" w:type="dxa"/>
          </w:tcPr>
          <w:p>
            <w:pPr>
              <w:pStyle w:val="TableParagraph"/>
              <w:spacing w:before="24"/>
              <w:ind w:left="295"/>
              <w:rPr>
                <w:sz w:val="18"/>
              </w:rPr>
            </w:pPr>
            <w:r>
              <w:rPr>
                <w:sz w:val="18"/>
              </w:rPr>
              <w:t>8662</w:t>
            </w:r>
          </w:p>
        </w:tc>
        <w:tc>
          <w:tcPr>
            <w:tcW w:w="1089" w:type="dxa"/>
          </w:tcPr>
          <w:p>
            <w:pPr>
              <w:pStyle w:val="TableParagraph"/>
              <w:spacing w:before="24"/>
              <w:ind w:left="116"/>
              <w:rPr>
                <w:sz w:val="18"/>
              </w:rPr>
            </w:pPr>
            <w:r>
              <w:rPr>
                <w:sz w:val="18"/>
              </w:rPr>
              <w:t>9225</w:t>
            </w:r>
          </w:p>
        </w:tc>
        <w:tc>
          <w:tcPr>
            <w:tcW w:w="1167" w:type="dxa"/>
          </w:tcPr>
          <w:p>
            <w:pPr>
              <w:pStyle w:val="TableParagraph"/>
              <w:spacing w:before="24"/>
              <w:ind w:left="270"/>
              <w:rPr>
                <w:sz w:val="18"/>
              </w:rPr>
            </w:pPr>
            <w:r>
              <w:rPr>
                <w:sz w:val="18"/>
              </w:rPr>
              <w:t>10161</w:t>
            </w:r>
          </w:p>
        </w:tc>
        <w:tc>
          <w:tcPr>
            <w:tcW w:w="1212" w:type="dxa"/>
          </w:tcPr>
          <w:p>
            <w:pPr>
              <w:pStyle w:val="TableParagraph"/>
              <w:spacing w:before="24"/>
              <w:ind w:left="194"/>
              <w:rPr>
                <w:sz w:val="18"/>
              </w:rPr>
            </w:pPr>
            <w:r>
              <w:rPr>
                <w:sz w:val="18"/>
              </w:rPr>
              <w:t>11,712</w:t>
            </w:r>
          </w:p>
        </w:tc>
      </w:tr>
      <w:tr>
        <w:trPr>
          <w:trHeight w:val="244" w:hRule="exact"/>
        </w:trPr>
        <w:tc>
          <w:tcPr>
            <w:tcW w:w="2803" w:type="dxa"/>
            <w:tcBorders>
              <w:bottom w:val="single" w:sz="4" w:space="0" w:color="000000"/>
            </w:tcBorders>
          </w:tcPr>
          <w:p>
            <w:pPr>
              <w:pStyle w:val="TableParagraph"/>
              <w:spacing w:before="32"/>
              <w:rPr>
                <w:sz w:val="18"/>
              </w:rPr>
            </w:pPr>
            <w:r>
              <w:rPr>
                <w:sz w:val="18"/>
              </w:rPr>
              <w:t>Otzolotepec</w:t>
            </w:r>
          </w:p>
        </w:tc>
        <w:tc>
          <w:tcPr>
            <w:tcW w:w="979" w:type="dxa"/>
            <w:tcBorders>
              <w:bottom w:val="single" w:sz="4" w:space="0" w:color="000000"/>
            </w:tcBorders>
          </w:tcPr>
          <w:p>
            <w:pPr>
              <w:pStyle w:val="TableParagraph"/>
              <w:spacing w:before="32"/>
              <w:ind w:left="82"/>
              <w:rPr>
                <w:sz w:val="18"/>
              </w:rPr>
            </w:pPr>
            <w:r>
              <w:rPr>
                <w:sz w:val="18"/>
              </w:rPr>
              <w:t>40407</w:t>
            </w:r>
          </w:p>
        </w:tc>
        <w:tc>
          <w:tcPr>
            <w:tcW w:w="1114" w:type="dxa"/>
            <w:tcBorders>
              <w:bottom w:val="single" w:sz="4" w:space="0" w:color="000000"/>
            </w:tcBorders>
          </w:tcPr>
          <w:p>
            <w:pPr>
              <w:pStyle w:val="TableParagraph"/>
              <w:spacing w:before="32"/>
              <w:ind w:left="295"/>
              <w:rPr>
                <w:sz w:val="18"/>
              </w:rPr>
            </w:pPr>
            <w:r>
              <w:rPr>
                <w:sz w:val="18"/>
              </w:rPr>
              <w:t>49264</w:t>
            </w:r>
          </w:p>
        </w:tc>
        <w:tc>
          <w:tcPr>
            <w:tcW w:w="1089" w:type="dxa"/>
            <w:tcBorders>
              <w:bottom w:val="single" w:sz="4" w:space="0" w:color="000000"/>
            </w:tcBorders>
          </w:tcPr>
          <w:p>
            <w:pPr>
              <w:pStyle w:val="TableParagraph"/>
              <w:spacing w:before="32"/>
              <w:ind w:left="116"/>
              <w:rPr>
                <w:sz w:val="18"/>
              </w:rPr>
            </w:pPr>
            <w:r>
              <w:rPr>
                <w:sz w:val="18"/>
              </w:rPr>
              <w:t>57583</w:t>
            </w:r>
          </w:p>
        </w:tc>
        <w:tc>
          <w:tcPr>
            <w:tcW w:w="1167" w:type="dxa"/>
            <w:tcBorders>
              <w:bottom w:val="single" w:sz="4" w:space="0" w:color="000000"/>
            </w:tcBorders>
          </w:tcPr>
          <w:p>
            <w:pPr>
              <w:pStyle w:val="TableParagraph"/>
              <w:spacing w:before="32"/>
              <w:ind w:left="270"/>
              <w:rPr>
                <w:sz w:val="18"/>
              </w:rPr>
            </w:pPr>
            <w:r>
              <w:rPr>
                <w:sz w:val="18"/>
              </w:rPr>
              <w:t>67611</w:t>
            </w:r>
          </w:p>
        </w:tc>
        <w:tc>
          <w:tcPr>
            <w:tcW w:w="1212" w:type="dxa"/>
            <w:tcBorders>
              <w:bottom w:val="single" w:sz="4" w:space="0" w:color="000000"/>
            </w:tcBorders>
          </w:tcPr>
          <w:p>
            <w:pPr>
              <w:pStyle w:val="TableParagraph"/>
              <w:spacing w:before="32"/>
              <w:ind w:left="194"/>
              <w:rPr>
                <w:sz w:val="18"/>
              </w:rPr>
            </w:pPr>
            <w:r>
              <w:rPr>
                <w:sz w:val="18"/>
              </w:rPr>
              <w:t>78,146</w:t>
            </w:r>
          </w:p>
        </w:tc>
      </w:tr>
      <w:tr>
        <w:trPr>
          <w:trHeight w:val="300" w:hRule="exact"/>
        </w:trPr>
        <w:tc>
          <w:tcPr>
            <w:tcW w:w="2803" w:type="dxa"/>
            <w:tcBorders>
              <w:top w:val="single" w:sz="4" w:space="0" w:color="000000"/>
              <w:bottom w:val="single" w:sz="4" w:space="0" w:color="000000"/>
            </w:tcBorders>
          </w:tcPr>
          <w:p>
            <w:pPr>
              <w:pStyle w:val="TableParagraph"/>
              <w:spacing w:before="83"/>
              <w:rPr>
                <w:sz w:val="18"/>
              </w:rPr>
            </w:pPr>
            <w:r>
              <w:rPr>
                <w:sz w:val="18"/>
              </w:rPr>
              <w:t>Área urbana continua</w:t>
            </w:r>
          </w:p>
        </w:tc>
        <w:tc>
          <w:tcPr>
            <w:tcW w:w="979" w:type="dxa"/>
            <w:tcBorders>
              <w:top w:val="single" w:sz="4" w:space="0" w:color="000000"/>
              <w:bottom w:val="single" w:sz="4" w:space="0" w:color="000000"/>
            </w:tcBorders>
          </w:tcPr>
          <w:p>
            <w:pPr>
              <w:pStyle w:val="TableParagraph"/>
              <w:spacing w:before="83"/>
              <w:ind w:left="82"/>
              <w:rPr>
                <w:sz w:val="18"/>
              </w:rPr>
            </w:pPr>
            <w:r>
              <w:rPr>
                <w:sz w:val="18"/>
              </w:rPr>
              <w:t>976623</w:t>
            </w:r>
          </w:p>
        </w:tc>
        <w:tc>
          <w:tcPr>
            <w:tcW w:w="1114" w:type="dxa"/>
            <w:tcBorders>
              <w:top w:val="single" w:sz="4" w:space="0" w:color="000000"/>
              <w:bottom w:val="single" w:sz="4" w:space="0" w:color="000000"/>
            </w:tcBorders>
          </w:tcPr>
          <w:p>
            <w:pPr>
              <w:pStyle w:val="TableParagraph"/>
              <w:spacing w:before="83"/>
              <w:ind w:left="295"/>
              <w:rPr>
                <w:sz w:val="18"/>
              </w:rPr>
            </w:pPr>
            <w:r>
              <w:rPr>
                <w:sz w:val="18"/>
              </w:rPr>
              <w:t>1169909</w:t>
            </w:r>
          </w:p>
        </w:tc>
        <w:tc>
          <w:tcPr>
            <w:tcW w:w="1089" w:type="dxa"/>
            <w:tcBorders>
              <w:top w:val="single" w:sz="4" w:space="0" w:color="000000"/>
              <w:bottom w:val="single" w:sz="4" w:space="0" w:color="000000"/>
            </w:tcBorders>
          </w:tcPr>
          <w:p>
            <w:pPr>
              <w:pStyle w:val="TableParagraph"/>
              <w:spacing w:before="83"/>
              <w:ind w:left="116"/>
              <w:rPr>
                <w:sz w:val="18"/>
              </w:rPr>
            </w:pPr>
            <w:r>
              <w:rPr>
                <w:sz w:val="18"/>
              </w:rPr>
              <w:t>1355021</w:t>
            </w:r>
          </w:p>
        </w:tc>
        <w:tc>
          <w:tcPr>
            <w:tcW w:w="1167" w:type="dxa"/>
            <w:tcBorders>
              <w:top w:val="single" w:sz="4" w:space="0" w:color="000000"/>
              <w:bottom w:val="single" w:sz="4" w:space="0" w:color="000000"/>
            </w:tcBorders>
          </w:tcPr>
          <w:p>
            <w:pPr>
              <w:pStyle w:val="TableParagraph"/>
              <w:spacing w:before="83"/>
              <w:ind w:left="270"/>
              <w:rPr>
                <w:sz w:val="18"/>
              </w:rPr>
            </w:pPr>
            <w:r>
              <w:rPr>
                <w:sz w:val="18"/>
              </w:rPr>
              <w:t>1504707</w:t>
            </w:r>
          </w:p>
        </w:tc>
        <w:tc>
          <w:tcPr>
            <w:tcW w:w="1212" w:type="dxa"/>
            <w:tcBorders>
              <w:top w:val="single" w:sz="4" w:space="0" w:color="000000"/>
              <w:bottom w:val="single" w:sz="4" w:space="0" w:color="000000"/>
            </w:tcBorders>
          </w:tcPr>
          <w:p>
            <w:pPr>
              <w:pStyle w:val="TableParagraph"/>
              <w:spacing w:before="83"/>
              <w:ind w:left="194"/>
              <w:rPr>
                <w:sz w:val="18"/>
              </w:rPr>
            </w:pPr>
            <w:r>
              <w:rPr>
                <w:sz w:val="18"/>
              </w:rPr>
              <w:t>1693404</w:t>
            </w:r>
          </w:p>
        </w:tc>
      </w:tr>
      <w:tr>
        <w:trPr>
          <w:trHeight w:val="323" w:hRule="exact"/>
        </w:trPr>
        <w:tc>
          <w:tcPr>
            <w:tcW w:w="2803" w:type="dxa"/>
            <w:tcBorders>
              <w:top w:val="single" w:sz="4" w:space="0" w:color="000000"/>
            </w:tcBorders>
          </w:tcPr>
          <w:p>
            <w:pPr>
              <w:pStyle w:val="TableParagraph"/>
              <w:spacing w:before="68"/>
              <w:rPr>
                <w:sz w:val="18"/>
              </w:rPr>
            </w:pPr>
            <w:r>
              <w:rPr>
                <w:sz w:val="18"/>
              </w:rPr>
              <w:t>Chapultepec</w:t>
            </w:r>
          </w:p>
        </w:tc>
        <w:tc>
          <w:tcPr>
            <w:tcW w:w="979" w:type="dxa"/>
            <w:tcBorders>
              <w:top w:val="single" w:sz="4" w:space="0" w:color="000000"/>
            </w:tcBorders>
          </w:tcPr>
          <w:p>
            <w:pPr>
              <w:pStyle w:val="TableParagraph"/>
              <w:spacing w:before="68"/>
              <w:ind w:left="82"/>
              <w:rPr>
                <w:sz w:val="18"/>
              </w:rPr>
            </w:pPr>
            <w:r>
              <w:rPr>
                <w:sz w:val="18"/>
              </w:rPr>
              <w:t>3863</w:t>
            </w:r>
          </w:p>
        </w:tc>
        <w:tc>
          <w:tcPr>
            <w:tcW w:w="1114" w:type="dxa"/>
            <w:tcBorders>
              <w:top w:val="single" w:sz="4" w:space="0" w:color="000000"/>
            </w:tcBorders>
          </w:tcPr>
          <w:p>
            <w:pPr>
              <w:pStyle w:val="TableParagraph"/>
              <w:spacing w:before="68"/>
              <w:ind w:left="295"/>
              <w:rPr>
                <w:sz w:val="18"/>
              </w:rPr>
            </w:pPr>
            <w:r>
              <w:rPr>
                <w:sz w:val="18"/>
              </w:rPr>
              <w:t>5163</w:t>
            </w:r>
          </w:p>
        </w:tc>
        <w:tc>
          <w:tcPr>
            <w:tcW w:w="1089" w:type="dxa"/>
            <w:tcBorders>
              <w:top w:val="single" w:sz="4" w:space="0" w:color="000000"/>
            </w:tcBorders>
          </w:tcPr>
          <w:p>
            <w:pPr>
              <w:pStyle w:val="TableParagraph"/>
              <w:spacing w:before="68"/>
              <w:ind w:left="116"/>
              <w:rPr>
                <w:sz w:val="18"/>
              </w:rPr>
            </w:pPr>
            <w:r>
              <w:rPr>
                <w:sz w:val="18"/>
              </w:rPr>
              <w:t>5735</w:t>
            </w:r>
          </w:p>
        </w:tc>
        <w:tc>
          <w:tcPr>
            <w:tcW w:w="1167" w:type="dxa"/>
            <w:tcBorders>
              <w:top w:val="single" w:sz="4" w:space="0" w:color="000000"/>
            </w:tcBorders>
          </w:tcPr>
          <w:p>
            <w:pPr>
              <w:pStyle w:val="TableParagraph"/>
              <w:spacing w:before="68"/>
              <w:ind w:left="270"/>
              <w:rPr>
                <w:sz w:val="18"/>
              </w:rPr>
            </w:pPr>
            <w:r>
              <w:rPr>
                <w:sz w:val="18"/>
              </w:rPr>
              <w:t>6581</w:t>
            </w:r>
          </w:p>
        </w:tc>
        <w:tc>
          <w:tcPr>
            <w:tcW w:w="1212" w:type="dxa"/>
            <w:tcBorders>
              <w:top w:val="single" w:sz="4" w:space="0" w:color="000000"/>
            </w:tcBorders>
          </w:tcPr>
          <w:p>
            <w:pPr>
              <w:pStyle w:val="TableParagraph"/>
              <w:spacing w:before="68"/>
              <w:ind w:left="194"/>
              <w:rPr>
                <w:sz w:val="18"/>
              </w:rPr>
            </w:pPr>
            <w:r>
              <w:rPr>
                <w:sz w:val="18"/>
              </w:rPr>
              <w:t>9676</w:t>
            </w:r>
          </w:p>
        </w:tc>
      </w:tr>
      <w:tr>
        <w:trPr>
          <w:trHeight w:val="275" w:hRule="exact"/>
        </w:trPr>
        <w:tc>
          <w:tcPr>
            <w:tcW w:w="2803" w:type="dxa"/>
          </w:tcPr>
          <w:p>
            <w:pPr>
              <w:pStyle w:val="TableParagraph"/>
              <w:spacing w:before="24"/>
              <w:rPr>
                <w:sz w:val="18"/>
              </w:rPr>
            </w:pPr>
            <w:r>
              <w:rPr>
                <w:sz w:val="18"/>
              </w:rPr>
              <w:t>Ocoyoacac</w:t>
            </w:r>
          </w:p>
        </w:tc>
        <w:tc>
          <w:tcPr>
            <w:tcW w:w="979" w:type="dxa"/>
          </w:tcPr>
          <w:p>
            <w:pPr>
              <w:pStyle w:val="TableParagraph"/>
              <w:spacing w:before="24"/>
              <w:ind w:left="82"/>
              <w:rPr>
                <w:sz w:val="18"/>
              </w:rPr>
            </w:pPr>
            <w:r>
              <w:rPr>
                <w:sz w:val="18"/>
              </w:rPr>
              <w:t>37395</w:t>
            </w:r>
          </w:p>
        </w:tc>
        <w:tc>
          <w:tcPr>
            <w:tcW w:w="1114" w:type="dxa"/>
          </w:tcPr>
          <w:p>
            <w:pPr>
              <w:pStyle w:val="TableParagraph"/>
              <w:spacing w:before="24"/>
              <w:ind w:left="295"/>
              <w:rPr>
                <w:sz w:val="18"/>
              </w:rPr>
            </w:pPr>
            <w:r>
              <w:rPr>
                <w:sz w:val="18"/>
              </w:rPr>
              <w:t>43670</w:t>
            </w:r>
          </w:p>
        </w:tc>
        <w:tc>
          <w:tcPr>
            <w:tcW w:w="1089" w:type="dxa"/>
          </w:tcPr>
          <w:p>
            <w:pPr>
              <w:pStyle w:val="TableParagraph"/>
              <w:spacing w:before="24"/>
              <w:ind w:left="116"/>
              <w:rPr>
                <w:sz w:val="18"/>
              </w:rPr>
            </w:pPr>
            <w:r>
              <w:rPr>
                <w:sz w:val="18"/>
              </w:rPr>
              <w:t>49643</w:t>
            </w:r>
          </w:p>
        </w:tc>
        <w:tc>
          <w:tcPr>
            <w:tcW w:w="1167" w:type="dxa"/>
          </w:tcPr>
          <w:p>
            <w:pPr>
              <w:pStyle w:val="TableParagraph"/>
              <w:spacing w:before="24"/>
              <w:ind w:left="270"/>
              <w:rPr>
                <w:sz w:val="18"/>
              </w:rPr>
            </w:pPr>
            <w:r>
              <w:rPr>
                <w:sz w:val="18"/>
              </w:rPr>
              <w:t>54224</w:t>
            </w:r>
          </w:p>
        </w:tc>
        <w:tc>
          <w:tcPr>
            <w:tcW w:w="1212" w:type="dxa"/>
          </w:tcPr>
          <w:p>
            <w:pPr>
              <w:pStyle w:val="TableParagraph"/>
              <w:spacing w:before="24"/>
              <w:ind w:left="194"/>
              <w:rPr>
                <w:sz w:val="18"/>
              </w:rPr>
            </w:pPr>
            <w:r>
              <w:rPr>
                <w:sz w:val="18"/>
              </w:rPr>
              <w:t>61805</w:t>
            </w:r>
          </w:p>
        </w:tc>
      </w:tr>
      <w:tr>
        <w:trPr>
          <w:trHeight w:val="276" w:hRule="exact"/>
        </w:trPr>
        <w:tc>
          <w:tcPr>
            <w:tcW w:w="2803" w:type="dxa"/>
          </w:tcPr>
          <w:p>
            <w:pPr>
              <w:pStyle w:val="TableParagraph"/>
              <w:spacing w:before="25"/>
              <w:rPr>
                <w:sz w:val="18"/>
              </w:rPr>
            </w:pPr>
            <w:r>
              <w:rPr>
                <w:sz w:val="18"/>
              </w:rPr>
              <w:t>Rayón</w:t>
            </w:r>
          </w:p>
        </w:tc>
        <w:tc>
          <w:tcPr>
            <w:tcW w:w="979" w:type="dxa"/>
          </w:tcPr>
          <w:p>
            <w:pPr>
              <w:pStyle w:val="TableParagraph"/>
              <w:spacing w:before="25"/>
              <w:ind w:left="82"/>
              <w:rPr>
                <w:sz w:val="18"/>
              </w:rPr>
            </w:pPr>
            <w:r>
              <w:rPr>
                <w:sz w:val="18"/>
              </w:rPr>
              <w:t>7026</w:t>
            </w:r>
          </w:p>
        </w:tc>
        <w:tc>
          <w:tcPr>
            <w:tcW w:w="1114" w:type="dxa"/>
          </w:tcPr>
          <w:p>
            <w:pPr>
              <w:pStyle w:val="TableParagraph"/>
              <w:spacing w:before="25"/>
              <w:ind w:left="295"/>
              <w:rPr>
                <w:sz w:val="18"/>
              </w:rPr>
            </w:pPr>
            <w:r>
              <w:rPr>
                <w:sz w:val="18"/>
              </w:rPr>
              <w:t>8300</w:t>
            </w:r>
          </w:p>
        </w:tc>
        <w:tc>
          <w:tcPr>
            <w:tcW w:w="1089" w:type="dxa"/>
          </w:tcPr>
          <w:p>
            <w:pPr>
              <w:pStyle w:val="TableParagraph"/>
              <w:spacing w:before="25"/>
              <w:ind w:left="116"/>
              <w:rPr>
                <w:sz w:val="18"/>
              </w:rPr>
            </w:pPr>
            <w:r>
              <w:rPr>
                <w:sz w:val="18"/>
              </w:rPr>
              <w:t>9024</w:t>
            </w:r>
          </w:p>
        </w:tc>
        <w:tc>
          <w:tcPr>
            <w:tcW w:w="1167" w:type="dxa"/>
          </w:tcPr>
          <w:p>
            <w:pPr>
              <w:pStyle w:val="TableParagraph"/>
              <w:spacing w:before="25"/>
              <w:ind w:left="270"/>
              <w:rPr>
                <w:sz w:val="18"/>
              </w:rPr>
            </w:pPr>
            <w:r>
              <w:rPr>
                <w:sz w:val="18"/>
              </w:rPr>
              <w:t>10953</w:t>
            </w:r>
          </w:p>
        </w:tc>
        <w:tc>
          <w:tcPr>
            <w:tcW w:w="1212" w:type="dxa"/>
          </w:tcPr>
          <w:p>
            <w:pPr>
              <w:pStyle w:val="TableParagraph"/>
              <w:spacing w:before="25"/>
              <w:ind w:left="194"/>
              <w:rPr>
                <w:sz w:val="18"/>
              </w:rPr>
            </w:pPr>
            <w:r>
              <w:rPr>
                <w:sz w:val="18"/>
              </w:rPr>
              <w:t>12748</w:t>
            </w:r>
          </w:p>
        </w:tc>
      </w:tr>
      <w:tr>
        <w:trPr>
          <w:trHeight w:val="275" w:hRule="exact"/>
        </w:trPr>
        <w:tc>
          <w:tcPr>
            <w:tcW w:w="2803" w:type="dxa"/>
          </w:tcPr>
          <w:p>
            <w:pPr>
              <w:pStyle w:val="TableParagraph"/>
              <w:spacing w:before="25"/>
              <w:rPr>
                <w:sz w:val="18"/>
              </w:rPr>
            </w:pPr>
            <w:r>
              <w:rPr>
                <w:sz w:val="18"/>
              </w:rPr>
              <w:t>San Antonio la Isla</w:t>
            </w:r>
          </w:p>
        </w:tc>
        <w:tc>
          <w:tcPr>
            <w:tcW w:w="979" w:type="dxa"/>
          </w:tcPr>
          <w:p>
            <w:pPr>
              <w:pStyle w:val="TableParagraph"/>
              <w:spacing w:before="25"/>
              <w:ind w:left="82"/>
              <w:rPr>
                <w:sz w:val="18"/>
              </w:rPr>
            </w:pPr>
            <w:r>
              <w:rPr>
                <w:sz w:val="18"/>
              </w:rPr>
              <w:t>7321</w:t>
            </w:r>
          </w:p>
        </w:tc>
        <w:tc>
          <w:tcPr>
            <w:tcW w:w="1114" w:type="dxa"/>
          </w:tcPr>
          <w:p>
            <w:pPr>
              <w:pStyle w:val="TableParagraph"/>
              <w:spacing w:before="25"/>
              <w:ind w:left="295"/>
              <w:rPr>
                <w:sz w:val="18"/>
              </w:rPr>
            </w:pPr>
            <w:r>
              <w:rPr>
                <w:sz w:val="18"/>
              </w:rPr>
              <w:t>9118</w:t>
            </w:r>
          </w:p>
        </w:tc>
        <w:tc>
          <w:tcPr>
            <w:tcW w:w="1089" w:type="dxa"/>
          </w:tcPr>
          <w:p>
            <w:pPr>
              <w:pStyle w:val="TableParagraph"/>
              <w:spacing w:before="25"/>
              <w:ind w:left="116"/>
              <w:rPr>
                <w:sz w:val="18"/>
              </w:rPr>
            </w:pPr>
            <w:r>
              <w:rPr>
                <w:sz w:val="18"/>
              </w:rPr>
              <w:t>10321</w:t>
            </w:r>
          </w:p>
        </w:tc>
        <w:tc>
          <w:tcPr>
            <w:tcW w:w="1167" w:type="dxa"/>
          </w:tcPr>
          <w:p>
            <w:pPr>
              <w:pStyle w:val="TableParagraph"/>
              <w:spacing w:before="25"/>
              <w:ind w:left="270"/>
              <w:rPr>
                <w:sz w:val="18"/>
              </w:rPr>
            </w:pPr>
            <w:r>
              <w:rPr>
                <w:sz w:val="18"/>
              </w:rPr>
              <w:t>11313</w:t>
            </w:r>
          </w:p>
        </w:tc>
        <w:tc>
          <w:tcPr>
            <w:tcW w:w="1212" w:type="dxa"/>
          </w:tcPr>
          <w:p>
            <w:pPr>
              <w:pStyle w:val="TableParagraph"/>
              <w:spacing w:before="25"/>
              <w:ind w:left="194"/>
              <w:rPr>
                <w:sz w:val="18"/>
              </w:rPr>
            </w:pPr>
            <w:r>
              <w:rPr>
                <w:sz w:val="18"/>
              </w:rPr>
              <w:t>22152</w:t>
            </w:r>
          </w:p>
        </w:tc>
      </w:tr>
      <w:tr>
        <w:trPr>
          <w:trHeight w:val="275" w:hRule="exact"/>
        </w:trPr>
        <w:tc>
          <w:tcPr>
            <w:tcW w:w="2803" w:type="dxa"/>
          </w:tcPr>
          <w:p>
            <w:pPr>
              <w:pStyle w:val="TableParagraph"/>
              <w:spacing w:before="24"/>
              <w:rPr>
                <w:sz w:val="18"/>
              </w:rPr>
            </w:pPr>
            <w:r>
              <w:rPr>
                <w:sz w:val="18"/>
              </w:rPr>
              <w:t>Temoaya</w:t>
            </w:r>
          </w:p>
        </w:tc>
        <w:tc>
          <w:tcPr>
            <w:tcW w:w="979" w:type="dxa"/>
          </w:tcPr>
          <w:p>
            <w:pPr>
              <w:pStyle w:val="TableParagraph"/>
              <w:spacing w:before="24"/>
              <w:ind w:left="82"/>
              <w:rPr>
                <w:sz w:val="18"/>
              </w:rPr>
            </w:pPr>
            <w:r>
              <w:rPr>
                <w:sz w:val="18"/>
              </w:rPr>
              <w:t>49427</w:t>
            </w:r>
          </w:p>
        </w:tc>
        <w:tc>
          <w:tcPr>
            <w:tcW w:w="1114" w:type="dxa"/>
          </w:tcPr>
          <w:p>
            <w:pPr>
              <w:pStyle w:val="TableParagraph"/>
              <w:spacing w:before="24"/>
              <w:ind w:left="295"/>
              <w:rPr>
                <w:sz w:val="18"/>
              </w:rPr>
            </w:pPr>
            <w:r>
              <w:rPr>
                <w:sz w:val="18"/>
              </w:rPr>
              <w:t>60851</w:t>
            </w:r>
          </w:p>
        </w:tc>
        <w:tc>
          <w:tcPr>
            <w:tcW w:w="1089" w:type="dxa"/>
          </w:tcPr>
          <w:p>
            <w:pPr>
              <w:pStyle w:val="TableParagraph"/>
              <w:spacing w:before="24"/>
              <w:ind w:left="116"/>
              <w:rPr>
                <w:sz w:val="18"/>
              </w:rPr>
            </w:pPr>
            <w:r>
              <w:rPr>
                <w:sz w:val="18"/>
              </w:rPr>
              <w:t>69306</w:t>
            </w:r>
          </w:p>
        </w:tc>
        <w:tc>
          <w:tcPr>
            <w:tcW w:w="1167" w:type="dxa"/>
          </w:tcPr>
          <w:p>
            <w:pPr>
              <w:pStyle w:val="TableParagraph"/>
              <w:spacing w:before="24"/>
              <w:ind w:left="270"/>
              <w:rPr>
                <w:sz w:val="18"/>
              </w:rPr>
            </w:pPr>
            <w:r>
              <w:rPr>
                <w:sz w:val="18"/>
              </w:rPr>
              <w:t>77714</w:t>
            </w:r>
          </w:p>
        </w:tc>
        <w:tc>
          <w:tcPr>
            <w:tcW w:w="1212" w:type="dxa"/>
          </w:tcPr>
          <w:p>
            <w:pPr>
              <w:pStyle w:val="TableParagraph"/>
              <w:spacing w:before="24"/>
              <w:ind w:left="194"/>
              <w:rPr>
                <w:sz w:val="18"/>
              </w:rPr>
            </w:pPr>
            <w:r>
              <w:rPr>
                <w:sz w:val="18"/>
              </w:rPr>
              <w:t>90010</w:t>
            </w:r>
          </w:p>
        </w:tc>
      </w:tr>
      <w:tr>
        <w:trPr>
          <w:trHeight w:val="237" w:hRule="exact"/>
        </w:trPr>
        <w:tc>
          <w:tcPr>
            <w:tcW w:w="2803" w:type="dxa"/>
            <w:tcBorders>
              <w:bottom w:val="single" w:sz="4" w:space="0" w:color="000000"/>
            </w:tcBorders>
          </w:tcPr>
          <w:p>
            <w:pPr>
              <w:pStyle w:val="TableParagraph"/>
              <w:spacing w:before="25"/>
              <w:rPr>
                <w:sz w:val="18"/>
              </w:rPr>
            </w:pPr>
            <w:r>
              <w:rPr>
                <w:sz w:val="18"/>
              </w:rPr>
              <w:t>Xonacatlán</w:t>
            </w:r>
          </w:p>
        </w:tc>
        <w:tc>
          <w:tcPr>
            <w:tcW w:w="979" w:type="dxa"/>
            <w:tcBorders>
              <w:bottom w:val="single" w:sz="4" w:space="0" w:color="000000"/>
            </w:tcBorders>
          </w:tcPr>
          <w:p>
            <w:pPr>
              <w:pStyle w:val="TableParagraph"/>
              <w:spacing w:before="25"/>
              <w:ind w:left="82"/>
              <w:rPr>
                <w:sz w:val="18"/>
              </w:rPr>
            </w:pPr>
            <w:r>
              <w:rPr>
                <w:sz w:val="18"/>
              </w:rPr>
              <w:t>28837</w:t>
            </w:r>
          </w:p>
        </w:tc>
        <w:tc>
          <w:tcPr>
            <w:tcW w:w="1114" w:type="dxa"/>
            <w:tcBorders>
              <w:bottom w:val="single" w:sz="4" w:space="0" w:color="000000"/>
            </w:tcBorders>
          </w:tcPr>
          <w:p>
            <w:pPr>
              <w:pStyle w:val="TableParagraph"/>
              <w:spacing w:before="25"/>
              <w:ind w:left="295"/>
              <w:rPr>
                <w:sz w:val="18"/>
              </w:rPr>
            </w:pPr>
            <w:r>
              <w:rPr>
                <w:sz w:val="18"/>
              </w:rPr>
              <w:t>36141</w:t>
            </w:r>
          </w:p>
        </w:tc>
        <w:tc>
          <w:tcPr>
            <w:tcW w:w="1089" w:type="dxa"/>
            <w:tcBorders>
              <w:bottom w:val="single" w:sz="4" w:space="0" w:color="000000"/>
            </w:tcBorders>
          </w:tcPr>
          <w:p>
            <w:pPr>
              <w:pStyle w:val="TableParagraph"/>
              <w:spacing w:before="25"/>
              <w:ind w:left="116"/>
              <w:rPr>
                <w:sz w:val="18"/>
              </w:rPr>
            </w:pPr>
            <w:r>
              <w:rPr>
                <w:sz w:val="18"/>
              </w:rPr>
              <w:t>41402</w:t>
            </w:r>
          </w:p>
        </w:tc>
        <w:tc>
          <w:tcPr>
            <w:tcW w:w="1167" w:type="dxa"/>
            <w:tcBorders>
              <w:bottom w:val="single" w:sz="4" w:space="0" w:color="000000"/>
            </w:tcBorders>
          </w:tcPr>
          <w:p>
            <w:pPr>
              <w:pStyle w:val="TableParagraph"/>
              <w:spacing w:before="25"/>
              <w:ind w:left="270"/>
              <w:rPr>
                <w:sz w:val="18"/>
              </w:rPr>
            </w:pPr>
            <w:r>
              <w:rPr>
                <w:sz w:val="18"/>
              </w:rPr>
              <w:t>45274</w:t>
            </w:r>
          </w:p>
        </w:tc>
        <w:tc>
          <w:tcPr>
            <w:tcW w:w="1212" w:type="dxa"/>
            <w:tcBorders>
              <w:bottom w:val="single" w:sz="4" w:space="0" w:color="000000"/>
            </w:tcBorders>
          </w:tcPr>
          <w:p>
            <w:pPr>
              <w:pStyle w:val="TableParagraph"/>
              <w:spacing w:before="25"/>
              <w:ind w:left="194"/>
              <w:rPr>
                <w:sz w:val="18"/>
              </w:rPr>
            </w:pPr>
            <w:r>
              <w:rPr>
                <w:sz w:val="18"/>
              </w:rPr>
              <w:t>46331</w:t>
            </w:r>
          </w:p>
        </w:tc>
      </w:tr>
      <w:tr>
        <w:trPr>
          <w:trHeight w:val="626" w:hRule="exact"/>
        </w:trPr>
        <w:tc>
          <w:tcPr>
            <w:tcW w:w="2803" w:type="dxa"/>
            <w:tcBorders>
              <w:top w:val="single" w:sz="4" w:space="0" w:color="000000"/>
              <w:bottom w:val="single" w:sz="4" w:space="0" w:color="000000"/>
            </w:tcBorders>
          </w:tcPr>
          <w:p>
            <w:pPr>
              <w:pStyle w:val="TableParagraph"/>
              <w:ind w:left="0"/>
              <w:rPr>
                <w:sz w:val="18"/>
              </w:rPr>
            </w:pPr>
          </w:p>
          <w:p>
            <w:pPr>
              <w:pStyle w:val="TableParagraph"/>
              <w:spacing w:before="7"/>
              <w:ind w:left="0"/>
              <w:rPr>
                <w:sz w:val="17"/>
              </w:rPr>
            </w:pPr>
          </w:p>
          <w:p>
            <w:pPr>
              <w:pStyle w:val="TableParagraph"/>
              <w:rPr>
                <w:sz w:val="18"/>
              </w:rPr>
            </w:pPr>
            <w:r>
              <w:rPr>
                <w:sz w:val="18"/>
              </w:rPr>
              <w:t>Interrelación funcional intermedia</w:t>
            </w:r>
          </w:p>
        </w:tc>
        <w:tc>
          <w:tcPr>
            <w:tcW w:w="979" w:type="dxa"/>
            <w:tcBorders>
              <w:top w:val="single" w:sz="4" w:space="0" w:color="000000"/>
              <w:bottom w:val="single" w:sz="4" w:space="0" w:color="000000"/>
            </w:tcBorders>
          </w:tcPr>
          <w:p>
            <w:pPr>
              <w:pStyle w:val="TableParagraph"/>
              <w:ind w:left="0"/>
              <w:rPr>
                <w:sz w:val="18"/>
              </w:rPr>
            </w:pPr>
          </w:p>
          <w:p>
            <w:pPr>
              <w:pStyle w:val="TableParagraph"/>
              <w:spacing w:before="7"/>
              <w:ind w:left="0"/>
              <w:rPr>
                <w:sz w:val="17"/>
              </w:rPr>
            </w:pPr>
          </w:p>
          <w:p>
            <w:pPr>
              <w:pStyle w:val="TableParagraph"/>
              <w:ind w:left="82"/>
              <w:rPr>
                <w:sz w:val="18"/>
              </w:rPr>
            </w:pPr>
            <w:r>
              <w:rPr>
                <w:sz w:val="18"/>
              </w:rPr>
              <w:t>133869</w:t>
            </w:r>
          </w:p>
        </w:tc>
        <w:tc>
          <w:tcPr>
            <w:tcW w:w="1114" w:type="dxa"/>
            <w:tcBorders>
              <w:top w:val="single" w:sz="4" w:space="0" w:color="000000"/>
              <w:bottom w:val="single" w:sz="4" w:space="0" w:color="000000"/>
            </w:tcBorders>
          </w:tcPr>
          <w:p>
            <w:pPr>
              <w:pStyle w:val="TableParagraph"/>
              <w:ind w:left="0"/>
              <w:rPr>
                <w:sz w:val="18"/>
              </w:rPr>
            </w:pPr>
          </w:p>
          <w:p>
            <w:pPr>
              <w:pStyle w:val="TableParagraph"/>
              <w:spacing w:before="7"/>
              <w:ind w:left="0"/>
              <w:rPr>
                <w:sz w:val="17"/>
              </w:rPr>
            </w:pPr>
          </w:p>
          <w:p>
            <w:pPr>
              <w:pStyle w:val="TableParagraph"/>
              <w:ind w:left="295"/>
              <w:rPr>
                <w:sz w:val="18"/>
              </w:rPr>
            </w:pPr>
            <w:r>
              <w:rPr>
                <w:sz w:val="18"/>
              </w:rPr>
              <w:t>163243</w:t>
            </w:r>
          </w:p>
        </w:tc>
        <w:tc>
          <w:tcPr>
            <w:tcW w:w="1089" w:type="dxa"/>
            <w:tcBorders>
              <w:top w:val="single" w:sz="4" w:space="0" w:color="000000"/>
              <w:bottom w:val="single" w:sz="4" w:space="0" w:color="000000"/>
            </w:tcBorders>
          </w:tcPr>
          <w:p>
            <w:pPr>
              <w:pStyle w:val="TableParagraph"/>
              <w:ind w:left="0"/>
              <w:rPr>
                <w:sz w:val="18"/>
              </w:rPr>
            </w:pPr>
          </w:p>
          <w:p>
            <w:pPr>
              <w:pStyle w:val="TableParagraph"/>
              <w:spacing w:before="7"/>
              <w:ind w:left="0"/>
              <w:rPr>
                <w:sz w:val="17"/>
              </w:rPr>
            </w:pPr>
          </w:p>
          <w:p>
            <w:pPr>
              <w:pStyle w:val="TableParagraph"/>
              <w:ind w:left="116"/>
              <w:rPr>
                <w:sz w:val="18"/>
              </w:rPr>
            </w:pPr>
            <w:r>
              <w:rPr>
                <w:sz w:val="18"/>
              </w:rPr>
              <w:t>185431</w:t>
            </w:r>
          </w:p>
        </w:tc>
        <w:tc>
          <w:tcPr>
            <w:tcW w:w="1167" w:type="dxa"/>
            <w:tcBorders>
              <w:top w:val="single" w:sz="4" w:space="0" w:color="000000"/>
              <w:bottom w:val="single" w:sz="4" w:space="0" w:color="000000"/>
            </w:tcBorders>
          </w:tcPr>
          <w:p>
            <w:pPr>
              <w:pStyle w:val="TableParagraph"/>
              <w:ind w:left="0"/>
              <w:rPr>
                <w:sz w:val="18"/>
              </w:rPr>
            </w:pPr>
          </w:p>
          <w:p>
            <w:pPr>
              <w:pStyle w:val="TableParagraph"/>
              <w:spacing w:before="7"/>
              <w:ind w:left="0"/>
              <w:rPr>
                <w:sz w:val="17"/>
              </w:rPr>
            </w:pPr>
          </w:p>
          <w:p>
            <w:pPr>
              <w:pStyle w:val="TableParagraph"/>
              <w:ind w:left="270"/>
              <w:rPr>
                <w:sz w:val="18"/>
              </w:rPr>
            </w:pPr>
            <w:r>
              <w:rPr>
                <w:sz w:val="18"/>
              </w:rPr>
              <w:t>206059</w:t>
            </w:r>
          </w:p>
        </w:tc>
        <w:tc>
          <w:tcPr>
            <w:tcW w:w="1212" w:type="dxa"/>
            <w:tcBorders>
              <w:top w:val="single" w:sz="4" w:space="0" w:color="000000"/>
              <w:bottom w:val="single" w:sz="4" w:space="0" w:color="000000"/>
            </w:tcBorders>
          </w:tcPr>
          <w:p>
            <w:pPr>
              <w:pStyle w:val="TableParagraph"/>
              <w:ind w:left="0"/>
              <w:rPr>
                <w:sz w:val="18"/>
              </w:rPr>
            </w:pPr>
          </w:p>
          <w:p>
            <w:pPr>
              <w:pStyle w:val="TableParagraph"/>
              <w:spacing w:before="7"/>
              <w:ind w:left="0"/>
              <w:rPr>
                <w:sz w:val="17"/>
              </w:rPr>
            </w:pPr>
          </w:p>
          <w:p>
            <w:pPr>
              <w:pStyle w:val="TableParagraph"/>
              <w:ind w:left="194"/>
              <w:rPr>
                <w:sz w:val="18"/>
              </w:rPr>
            </w:pPr>
            <w:r>
              <w:rPr>
                <w:sz w:val="18"/>
              </w:rPr>
              <w:t>242722</w:t>
            </w:r>
          </w:p>
        </w:tc>
      </w:tr>
      <w:tr>
        <w:trPr>
          <w:trHeight w:val="323" w:hRule="exact"/>
        </w:trPr>
        <w:tc>
          <w:tcPr>
            <w:tcW w:w="2803" w:type="dxa"/>
            <w:tcBorders>
              <w:top w:val="single" w:sz="4" w:space="0" w:color="000000"/>
            </w:tcBorders>
          </w:tcPr>
          <w:p>
            <w:pPr>
              <w:pStyle w:val="TableParagraph"/>
              <w:spacing w:before="68"/>
              <w:rPr>
                <w:sz w:val="18"/>
              </w:rPr>
            </w:pPr>
            <w:r>
              <w:rPr>
                <w:sz w:val="18"/>
              </w:rPr>
              <w:t>Xalatlaco</w:t>
            </w:r>
          </w:p>
        </w:tc>
        <w:tc>
          <w:tcPr>
            <w:tcW w:w="979" w:type="dxa"/>
            <w:tcBorders>
              <w:top w:val="single" w:sz="4" w:space="0" w:color="000000"/>
            </w:tcBorders>
          </w:tcPr>
          <w:p>
            <w:pPr>
              <w:pStyle w:val="TableParagraph"/>
              <w:spacing w:before="68"/>
              <w:ind w:left="82"/>
              <w:rPr>
                <w:sz w:val="18"/>
              </w:rPr>
            </w:pPr>
            <w:r>
              <w:rPr>
                <w:sz w:val="18"/>
              </w:rPr>
              <w:t>14047</w:t>
            </w:r>
          </w:p>
        </w:tc>
        <w:tc>
          <w:tcPr>
            <w:tcW w:w="1114" w:type="dxa"/>
            <w:tcBorders>
              <w:top w:val="single" w:sz="4" w:space="0" w:color="000000"/>
            </w:tcBorders>
          </w:tcPr>
          <w:p>
            <w:pPr>
              <w:pStyle w:val="TableParagraph"/>
              <w:spacing w:before="68"/>
              <w:ind w:left="295"/>
              <w:rPr>
                <w:sz w:val="18"/>
              </w:rPr>
            </w:pPr>
            <w:r>
              <w:rPr>
                <w:sz w:val="18"/>
              </w:rPr>
              <w:t>17601</w:t>
            </w:r>
          </w:p>
        </w:tc>
        <w:tc>
          <w:tcPr>
            <w:tcW w:w="1089" w:type="dxa"/>
            <w:tcBorders>
              <w:top w:val="single" w:sz="4" w:space="0" w:color="000000"/>
            </w:tcBorders>
          </w:tcPr>
          <w:p>
            <w:pPr>
              <w:pStyle w:val="TableParagraph"/>
              <w:spacing w:before="68"/>
              <w:ind w:left="116"/>
              <w:rPr>
                <w:sz w:val="18"/>
              </w:rPr>
            </w:pPr>
            <w:r>
              <w:rPr>
                <w:sz w:val="18"/>
              </w:rPr>
              <w:t>19182</w:t>
            </w:r>
          </w:p>
        </w:tc>
        <w:tc>
          <w:tcPr>
            <w:tcW w:w="1167" w:type="dxa"/>
            <w:tcBorders>
              <w:top w:val="single" w:sz="4" w:space="0" w:color="000000"/>
            </w:tcBorders>
          </w:tcPr>
          <w:p>
            <w:pPr>
              <w:pStyle w:val="TableParagraph"/>
              <w:spacing w:before="68"/>
              <w:ind w:left="270"/>
              <w:rPr>
                <w:sz w:val="18"/>
              </w:rPr>
            </w:pPr>
            <w:r>
              <w:rPr>
                <w:sz w:val="18"/>
              </w:rPr>
              <w:t>20002</w:t>
            </w:r>
          </w:p>
        </w:tc>
        <w:tc>
          <w:tcPr>
            <w:tcW w:w="1212" w:type="dxa"/>
            <w:tcBorders>
              <w:top w:val="single" w:sz="4" w:space="0" w:color="000000"/>
            </w:tcBorders>
          </w:tcPr>
          <w:p>
            <w:pPr>
              <w:pStyle w:val="TableParagraph"/>
              <w:spacing w:before="68"/>
              <w:ind w:left="194"/>
              <w:rPr>
                <w:sz w:val="18"/>
              </w:rPr>
            </w:pPr>
            <w:r>
              <w:rPr>
                <w:sz w:val="18"/>
              </w:rPr>
              <w:t>26865</w:t>
            </w:r>
          </w:p>
        </w:tc>
      </w:tr>
      <w:tr>
        <w:trPr>
          <w:trHeight w:val="275" w:hRule="exact"/>
        </w:trPr>
        <w:tc>
          <w:tcPr>
            <w:tcW w:w="2803" w:type="dxa"/>
          </w:tcPr>
          <w:p>
            <w:pPr>
              <w:pStyle w:val="TableParagraph"/>
              <w:spacing w:before="24"/>
              <w:rPr>
                <w:sz w:val="18"/>
              </w:rPr>
            </w:pPr>
            <w:r>
              <w:rPr>
                <w:sz w:val="18"/>
              </w:rPr>
              <w:t>Almoloya del Río</w:t>
            </w:r>
          </w:p>
        </w:tc>
        <w:tc>
          <w:tcPr>
            <w:tcW w:w="979" w:type="dxa"/>
          </w:tcPr>
          <w:p>
            <w:pPr>
              <w:pStyle w:val="TableParagraph"/>
              <w:spacing w:before="24"/>
              <w:ind w:left="82"/>
              <w:rPr>
                <w:sz w:val="18"/>
              </w:rPr>
            </w:pPr>
            <w:r>
              <w:rPr>
                <w:sz w:val="18"/>
              </w:rPr>
              <w:t>6777</w:t>
            </w:r>
          </w:p>
        </w:tc>
        <w:tc>
          <w:tcPr>
            <w:tcW w:w="1114" w:type="dxa"/>
          </w:tcPr>
          <w:p>
            <w:pPr>
              <w:pStyle w:val="TableParagraph"/>
              <w:spacing w:before="24"/>
              <w:ind w:left="295"/>
              <w:rPr>
                <w:sz w:val="18"/>
              </w:rPr>
            </w:pPr>
            <w:r>
              <w:rPr>
                <w:sz w:val="18"/>
              </w:rPr>
              <w:t>7729</w:t>
            </w:r>
          </w:p>
        </w:tc>
        <w:tc>
          <w:tcPr>
            <w:tcW w:w="1089" w:type="dxa"/>
          </w:tcPr>
          <w:p>
            <w:pPr>
              <w:pStyle w:val="TableParagraph"/>
              <w:spacing w:before="24"/>
              <w:ind w:left="116"/>
              <w:rPr>
                <w:sz w:val="18"/>
              </w:rPr>
            </w:pPr>
            <w:r>
              <w:rPr>
                <w:sz w:val="18"/>
              </w:rPr>
              <w:t>8873</w:t>
            </w:r>
          </w:p>
        </w:tc>
        <w:tc>
          <w:tcPr>
            <w:tcW w:w="1167" w:type="dxa"/>
          </w:tcPr>
          <w:p>
            <w:pPr>
              <w:pStyle w:val="TableParagraph"/>
              <w:spacing w:before="24"/>
              <w:ind w:left="270"/>
              <w:rPr>
                <w:sz w:val="18"/>
              </w:rPr>
            </w:pPr>
            <w:r>
              <w:rPr>
                <w:sz w:val="18"/>
              </w:rPr>
              <w:t>8939</w:t>
            </w:r>
          </w:p>
        </w:tc>
        <w:tc>
          <w:tcPr>
            <w:tcW w:w="1212" w:type="dxa"/>
          </w:tcPr>
          <w:p>
            <w:pPr>
              <w:pStyle w:val="TableParagraph"/>
              <w:spacing w:before="24"/>
              <w:ind w:left="194"/>
              <w:rPr>
                <w:sz w:val="18"/>
              </w:rPr>
            </w:pPr>
            <w:r>
              <w:rPr>
                <w:sz w:val="18"/>
              </w:rPr>
              <w:t>10886</w:t>
            </w:r>
          </w:p>
        </w:tc>
      </w:tr>
      <w:tr>
        <w:trPr>
          <w:trHeight w:val="276" w:hRule="exact"/>
        </w:trPr>
        <w:tc>
          <w:tcPr>
            <w:tcW w:w="2803" w:type="dxa"/>
          </w:tcPr>
          <w:p>
            <w:pPr>
              <w:pStyle w:val="TableParagraph"/>
              <w:spacing w:before="25"/>
              <w:rPr>
                <w:sz w:val="18"/>
              </w:rPr>
            </w:pPr>
            <w:r>
              <w:rPr>
                <w:sz w:val="18"/>
              </w:rPr>
              <w:t>Atizapán</w:t>
            </w:r>
          </w:p>
        </w:tc>
        <w:tc>
          <w:tcPr>
            <w:tcW w:w="979" w:type="dxa"/>
          </w:tcPr>
          <w:p>
            <w:pPr>
              <w:pStyle w:val="TableParagraph"/>
              <w:spacing w:before="25"/>
              <w:ind w:left="82"/>
              <w:rPr>
                <w:sz w:val="18"/>
              </w:rPr>
            </w:pPr>
            <w:r>
              <w:rPr>
                <w:sz w:val="18"/>
              </w:rPr>
              <w:t>5339</w:t>
            </w:r>
          </w:p>
        </w:tc>
        <w:tc>
          <w:tcPr>
            <w:tcW w:w="1114" w:type="dxa"/>
          </w:tcPr>
          <w:p>
            <w:pPr>
              <w:pStyle w:val="TableParagraph"/>
              <w:spacing w:before="25"/>
              <w:ind w:left="295"/>
              <w:rPr>
                <w:sz w:val="18"/>
              </w:rPr>
            </w:pPr>
            <w:r>
              <w:rPr>
                <w:sz w:val="18"/>
              </w:rPr>
              <w:t>7147</w:t>
            </w:r>
          </w:p>
        </w:tc>
        <w:tc>
          <w:tcPr>
            <w:tcW w:w="1089" w:type="dxa"/>
          </w:tcPr>
          <w:p>
            <w:pPr>
              <w:pStyle w:val="TableParagraph"/>
              <w:spacing w:before="25"/>
              <w:ind w:left="116"/>
              <w:rPr>
                <w:sz w:val="18"/>
              </w:rPr>
            </w:pPr>
            <w:r>
              <w:rPr>
                <w:sz w:val="18"/>
              </w:rPr>
              <w:t>8172</w:t>
            </w:r>
          </w:p>
        </w:tc>
        <w:tc>
          <w:tcPr>
            <w:tcW w:w="1167" w:type="dxa"/>
          </w:tcPr>
          <w:p>
            <w:pPr>
              <w:pStyle w:val="TableParagraph"/>
              <w:spacing w:before="25"/>
              <w:ind w:left="270"/>
              <w:rPr>
                <w:sz w:val="18"/>
              </w:rPr>
            </w:pPr>
            <w:r>
              <w:rPr>
                <w:sz w:val="18"/>
              </w:rPr>
              <w:t>8909</w:t>
            </w:r>
          </w:p>
        </w:tc>
        <w:tc>
          <w:tcPr>
            <w:tcW w:w="1212" w:type="dxa"/>
          </w:tcPr>
          <w:p>
            <w:pPr>
              <w:pStyle w:val="TableParagraph"/>
              <w:spacing w:before="25"/>
              <w:ind w:left="194"/>
              <w:rPr>
                <w:sz w:val="18"/>
              </w:rPr>
            </w:pPr>
            <w:r>
              <w:rPr>
                <w:sz w:val="18"/>
              </w:rPr>
              <w:t>10299</w:t>
            </w:r>
          </w:p>
        </w:tc>
      </w:tr>
      <w:tr>
        <w:trPr>
          <w:trHeight w:val="275" w:hRule="exact"/>
        </w:trPr>
        <w:tc>
          <w:tcPr>
            <w:tcW w:w="2803" w:type="dxa"/>
          </w:tcPr>
          <w:p>
            <w:pPr>
              <w:pStyle w:val="TableParagraph"/>
              <w:spacing w:before="25"/>
              <w:rPr>
                <w:sz w:val="18"/>
              </w:rPr>
            </w:pPr>
            <w:r>
              <w:rPr>
                <w:sz w:val="18"/>
              </w:rPr>
              <w:t>Capulhuac</w:t>
            </w:r>
          </w:p>
        </w:tc>
        <w:tc>
          <w:tcPr>
            <w:tcW w:w="979" w:type="dxa"/>
          </w:tcPr>
          <w:p>
            <w:pPr>
              <w:pStyle w:val="TableParagraph"/>
              <w:spacing w:before="25"/>
              <w:ind w:left="82"/>
              <w:rPr>
                <w:sz w:val="18"/>
              </w:rPr>
            </w:pPr>
            <w:r>
              <w:rPr>
                <w:sz w:val="18"/>
              </w:rPr>
              <w:t>21258</w:t>
            </w:r>
          </w:p>
        </w:tc>
        <w:tc>
          <w:tcPr>
            <w:tcW w:w="1114" w:type="dxa"/>
          </w:tcPr>
          <w:p>
            <w:pPr>
              <w:pStyle w:val="TableParagraph"/>
              <w:spacing w:before="25"/>
              <w:ind w:left="295"/>
              <w:rPr>
                <w:sz w:val="18"/>
              </w:rPr>
            </w:pPr>
            <w:r>
              <w:rPr>
                <w:sz w:val="18"/>
              </w:rPr>
              <w:t>25900</w:t>
            </w:r>
          </w:p>
        </w:tc>
        <w:tc>
          <w:tcPr>
            <w:tcW w:w="1089" w:type="dxa"/>
          </w:tcPr>
          <w:p>
            <w:pPr>
              <w:pStyle w:val="TableParagraph"/>
              <w:spacing w:before="25"/>
              <w:ind w:left="116"/>
              <w:rPr>
                <w:sz w:val="18"/>
              </w:rPr>
            </w:pPr>
            <w:r>
              <w:rPr>
                <w:sz w:val="18"/>
              </w:rPr>
              <w:t>28808</w:t>
            </w:r>
          </w:p>
        </w:tc>
        <w:tc>
          <w:tcPr>
            <w:tcW w:w="1167" w:type="dxa"/>
          </w:tcPr>
          <w:p>
            <w:pPr>
              <w:pStyle w:val="TableParagraph"/>
              <w:spacing w:before="25"/>
              <w:ind w:left="270"/>
              <w:rPr>
                <w:sz w:val="18"/>
              </w:rPr>
            </w:pPr>
            <w:r>
              <w:rPr>
                <w:sz w:val="18"/>
              </w:rPr>
              <w:t>30838</w:t>
            </w:r>
          </w:p>
        </w:tc>
        <w:tc>
          <w:tcPr>
            <w:tcW w:w="1212" w:type="dxa"/>
          </w:tcPr>
          <w:p>
            <w:pPr>
              <w:pStyle w:val="TableParagraph"/>
              <w:spacing w:before="25"/>
              <w:ind w:left="194"/>
              <w:rPr>
                <w:sz w:val="18"/>
              </w:rPr>
            </w:pPr>
            <w:r>
              <w:rPr>
                <w:sz w:val="18"/>
              </w:rPr>
              <w:t>34101</w:t>
            </w:r>
          </w:p>
        </w:tc>
      </w:tr>
      <w:tr>
        <w:trPr>
          <w:trHeight w:val="275" w:hRule="exact"/>
        </w:trPr>
        <w:tc>
          <w:tcPr>
            <w:tcW w:w="2803" w:type="dxa"/>
          </w:tcPr>
          <w:p>
            <w:pPr>
              <w:pStyle w:val="TableParagraph"/>
              <w:spacing w:before="24"/>
              <w:rPr>
                <w:sz w:val="18"/>
              </w:rPr>
            </w:pPr>
            <w:r>
              <w:rPr>
                <w:sz w:val="18"/>
              </w:rPr>
              <w:t>Tenango del Valle</w:t>
            </w:r>
          </w:p>
        </w:tc>
        <w:tc>
          <w:tcPr>
            <w:tcW w:w="979" w:type="dxa"/>
          </w:tcPr>
          <w:p>
            <w:pPr>
              <w:pStyle w:val="TableParagraph"/>
              <w:spacing w:before="24"/>
              <w:ind w:left="82"/>
              <w:rPr>
                <w:sz w:val="18"/>
              </w:rPr>
            </w:pPr>
            <w:r>
              <w:rPr>
                <w:sz w:val="18"/>
              </w:rPr>
              <w:t>45952</w:t>
            </w:r>
          </w:p>
        </w:tc>
        <w:tc>
          <w:tcPr>
            <w:tcW w:w="1114" w:type="dxa"/>
          </w:tcPr>
          <w:p>
            <w:pPr>
              <w:pStyle w:val="TableParagraph"/>
              <w:spacing w:before="24"/>
              <w:ind w:left="295"/>
              <w:rPr>
                <w:sz w:val="18"/>
              </w:rPr>
            </w:pPr>
            <w:r>
              <w:rPr>
                <w:sz w:val="18"/>
              </w:rPr>
              <w:t>54789</w:t>
            </w:r>
          </w:p>
        </w:tc>
        <w:tc>
          <w:tcPr>
            <w:tcW w:w="1089" w:type="dxa"/>
          </w:tcPr>
          <w:p>
            <w:pPr>
              <w:pStyle w:val="TableParagraph"/>
              <w:spacing w:before="24"/>
              <w:ind w:left="116"/>
              <w:rPr>
                <w:sz w:val="18"/>
              </w:rPr>
            </w:pPr>
            <w:r>
              <w:rPr>
                <w:sz w:val="18"/>
              </w:rPr>
              <w:t>65119</w:t>
            </w:r>
          </w:p>
        </w:tc>
        <w:tc>
          <w:tcPr>
            <w:tcW w:w="1167" w:type="dxa"/>
          </w:tcPr>
          <w:p>
            <w:pPr>
              <w:pStyle w:val="TableParagraph"/>
              <w:spacing w:before="24"/>
              <w:ind w:left="270"/>
              <w:rPr>
                <w:sz w:val="18"/>
              </w:rPr>
            </w:pPr>
            <w:r>
              <w:rPr>
                <w:sz w:val="18"/>
              </w:rPr>
              <w:t>68669</w:t>
            </w:r>
          </w:p>
        </w:tc>
        <w:tc>
          <w:tcPr>
            <w:tcW w:w="1212" w:type="dxa"/>
          </w:tcPr>
          <w:p>
            <w:pPr>
              <w:pStyle w:val="TableParagraph"/>
              <w:spacing w:before="24"/>
              <w:ind w:left="194"/>
              <w:rPr>
                <w:sz w:val="18"/>
              </w:rPr>
            </w:pPr>
            <w:r>
              <w:rPr>
                <w:sz w:val="18"/>
              </w:rPr>
              <w:t>77965</w:t>
            </w:r>
          </w:p>
        </w:tc>
      </w:tr>
      <w:tr>
        <w:trPr>
          <w:trHeight w:val="275" w:hRule="exact"/>
        </w:trPr>
        <w:tc>
          <w:tcPr>
            <w:tcW w:w="2803" w:type="dxa"/>
          </w:tcPr>
          <w:p>
            <w:pPr>
              <w:pStyle w:val="TableParagraph"/>
              <w:spacing w:before="25"/>
              <w:rPr>
                <w:sz w:val="18"/>
              </w:rPr>
            </w:pPr>
            <w:r>
              <w:rPr>
                <w:sz w:val="18"/>
              </w:rPr>
              <w:t>Texcalyacac</w:t>
            </w:r>
          </w:p>
        </w:tc>
        <w:tc>
          <w:tcPr>
            <w:tcW w:w="979" w:type="dxa"/>
          </w:tcPr>
          <w:p>
            <w:pPr>
              <w:pStyle w:val="TableParagraph"/>
              <w:spacing w:before="25"/>
              <w:ind w:left="82"/>
              <w:rPr>
                <w:sz w:val="18"/>
              </w:rPr>
            </w:pPr>
            <w:r>
              <w:rPr>
                <w:sz w:val="18"/>
              </w:rPr>
              <w:t>2961</w:t>
            </w:r>
          </w:p>
        </w:tc>
        <w:tc>
          <w:tcPr>
            <w:tcW w:w="1114" w:type="dxa"/>
          </w:tcPr>
          <w:p>
            <w:pPr>
              <w:pStyle w:val="TableParagraph"/>
              <w:spacing w:before="25"/>
              <w:ind w:left="295"/>
              <w:rPr>
                <w:sz w:val="18"/>
              </w:rPr>
            </w:pPr>
            <w:r>
              <w:rPr>
                <w:sz w:val="18"/>
              </w:rPr>
              <w:t>3744</w:t>
            </w:r>
          </w:p>
        </w:tc>
        <w:tc>
          <w:tcPr>
            <w:tcW w:w="1089" w:type="dxa"/>
          </w:tcPr>
          <w:p>
            <w:pPr>
              <w:pStyle w:val="TableParagraph"/>
              <w:spacing w:before="25"/>
              <w:ind w:left="116"/>
              <w:rPr>
                <w:sz w:val="18"/>
              </w:rPr>
            </w:pPr>
            <w:r>
              <w:rPr>
                <w:sz w:val="18"/>
              </w:rPr>
              <w:t>3997</w:t>
            </w:r>
          </w:p>
        </w:tc>
        <w:tc>
          <w:tcPr>
            <w:tcW w:w="1167" w:type="dxa"/>
          </w:tcPr>
          <w:p>
            <w:pPr>
              <w:pStyle w:val="TableParagraph"/>
              <w:spacing w:before="25"/>
              <w:ind w:left="270"/>
              <w:rPr>
                <w:sz w:val="18"/>
              </w:rPr>
            </w:pPr>
            <w:r>
              <w:rPr>
                <w:sz w:val="18"/>
              </w:rPr>
              <w:t>4514</w:t>
            </w:r>
          </w:p>
        </w:tc>
        <w:tc>
          <w:tcPr>
            <w:tcW w:w="1212" w:type="dxa"/>
          </w:tcPr>
          <w:p>
            <w:pPr>
              <w:pStyle w:val="TableParagraph"/>
              <w:spacing w:before="25"/>
              <w:ind w:left="194"/>
              <w:rPr>
                <w:sz w:val="18"/>
              </w:rPr>
            </w:pPr>
            <w:r>
              <w:rPr>
                <w:sz w:val="18"/>
              </w:rPr>
              <w:t>5111</w:t>
            </w:r>
          </w:p>
        </w:tc>
      </w:tr>
      <w:tr>
        <w:trPr>
          <w:trHeight w:val="238" w:hRule="exact"/>
        </w:trPr>
        <w:tc>
          <w:tcPr>
            <w:tcW w:w="2803" w:type="dxa"/>
            <w:tcBorders>
              <w:bottom w:val="single" w:sz="4" w:space="0" w:color="000000"/>
            </w:tcBorders>
          </w:tcPr>
          <w:p>
            <w:pPr>
              <w:pStyle w:val="TableParagraph"/>
              <w:spacing w:before="24"/>
              <w:rPr>
                <w:sz w:val="18"/>
              </w:rPr>
            </w:pPr>
            <w:r>
              <w:rPr>
                <w:sz w:val="18"/>
              </w:rPr>
              <w:t>Tianguistenco</w:t>
            </w:r>
          </w:p>
        </w:tc>
        <w:tc>
          <w:tcPr>
            <w:tcW w:w="979" w:type="dxa"/>
            <w:tcBorders>
              <w:bottom w:val="single" w:sz="4" w:space="0" w:color="000000"/>
            </w:tcBorders>
          </w:tcPr>
          <w:p>
            <w:pPr>
              <w:pStyle w:val="TableParagraph"/>
              <w:spacing w:before="24"/>
              <w:ind w:left="82"/>
              <w:rPr>
                <w:sz w:val="18"/>
              </w:rPr>
            </w:pPr>
            <w:r>
              <w:rPr>
                <w:sz w:val="18"/>
              </w:rPr>
              <w:t>42448</w:t>
            </w:r>
          </w:p>
        </w:tc>
        <w:tc>
          <w:tcPr>
            <w:tcW w:w="1114" w:type="dxa"/>
            <w:tcBorders>
              <w:bottom w:val="single" w:sz="4" w:space="0" w:color="000000"/>
            </w:tcBorders>
          </w:tcPr>
          <w:p>
            <w:pPr>
              <w:pStyle w:val="TableParagraph"/>
              <w:spacing w:before="24"/>
              <w:ind w:left="295"/>
              <w:rPr>
                <w:sz w:val="18"/>
              </w:rPr>
            </w:pPr>
            <w:r>
              <w:rPr>
                <w:sz w:val="18"/>
              </w:rPr>
              <w:t>51149</w:t>
            </w:r>
          </w:p>
        </w:tc>
        <w:tc>
          <w:tcPr>
            <w:tcW w:w="1089" w:type="dxa"/>
            <w:tcBorders>
              <w:bottom w:val="single" w:sz="4" w:space="0" w:color="000000"/>
            </w:tcBorders>
          </w:tcPr>
          <w:p>
            <w:pPr>
              <w:pStyle w:val="TableParagraph"/>
              <w:spacing w:before="24"/>
              <w:ind w:left="116"/>
              <w:rPr>
                <w:sz w:val="18"/>
              </w:rPr>
            </w:pPr>
            <w:r>
              <w:rPr>
                <w:sz w:val="18"/>
              </w:rPr>
              <w:t>58381</w:t>
            </w:r>
          </w:p>
        </w:tc>
        <w:tc>
          <w:tcPr>
            <w:tcW w:w="1167" w:type="dxa"/>
            <w:tcBorders>
              <w:bottom w:val="single" w:sz="4" w:space="0" w:color="000000"/>
            </w:tcBorders>
          </w:tcPr>
          <w:p>
            <w:pPr>
              <w:pStyle w:val="TableParagraph"/>
              <w:spacing w:before="24"/>
              <w:ind w:left="270"/>
              <w:rPr>
                <w:sz w:val="18"/>
              </w:rPr>
            </w:pPr>
            <w:r>
              <w:rPr>
                <w:sz w:val="18"/>
              </w:rPr>
              <w:t>64365</w:t>
            </w:r>
          </w:p>
        </w:tc>
        <w:tc>
          <w:tcPr>
            <w:tcW w:w="1212" w:type="dxa"/>
            <w:tcBorders>
              <w:bottom w:val="single" w:sz="4" w:space="0" w:color="000000"/>
            </w:tcBorders>
          </w:tcPr>
          <w:p>
            <w:pPr>
              <w:pStyle w:val="TableParagraph"/>
              <w:spacing w:before="24"/>
              <w:ind w:left="194"/>
              <w:rPr>
                <w:sz w:val="18"/>
              </w:rPr>
            </w:pPr>
            <w:r>
              <w:rPr>
                <w:sz w:val="18"/>
              </w:rPr>
              <w:t>70682</w:t>
            </w:r>
          </w:p>
        </w:tc>
      </w:tr>
      <w:tr>
        <w:trPr>
          <w:trHeight w:val="478" w:hRule="exact"/>
        </w:trPr>
        <w:tc>
          <w:tcPr>
            <w:tcW w:w="2803" w:type="dxa"/>
            <w:tcBorders>
              <w:top w:val="single" w:sz="4" w:space="0" w:color="000000"/>
              <w:bottom w:val="single" w:sz="4" w:space="0" w:color="000000"/>
            </w:tcBorders>
          </w:tcPr>
          <w:p>
            <w:pPr>
              <w:pStyle w:val="TableParagraph"/>
              <w:spacing w:before="52"/>
              <w:ind w:right="612"/>
              <w:rPr>
                <w:sz w:val="18"/>
              </w:rPr>
            </w:pPr>
            <w:r>
              <w:rPr>
                <w:sz w:val="18"/>
              </w:rPr>
              <w:t>Relación externa, resto de municipios</w:t>
            </w:r>
          </w:p>
        </w:tc>
        <w:tc>
          <w:tcPr>
            <w:tcW w:w="979" w:type="dxa"/>
            <w:tcBorders>
              <w:top w:val="single" w:sz="4" w:space="0" w:color="000000"/>
              <w:bottom w:val="single" w:sz="4" w:space="0" w:color="000000"/>
            </w:tcBorders>
          </w:tcPr>
          <w:p>
            <w:pPr>
              <w:pStyle w:val="TableParagraph"/>
              <w:spacing w:before="5"/>
              <w:ind w:left="0"/>
              <w:rPr>
                <w:sz w:val="22"/>
              </w:rPr>
            </w:pPr>
          </w:p>
          <w:p>
            <w:pPr>
              <w:pStyle w:val="TableParagraph"/>
              <w:ind w:left="82"/>
              <w:rPr>
                <w:sz w:val="18"/>
              </w:rPr>
            </w:pPr>
            <w:r>
              <w:rPr>
                <w:sz w:val="18"/>
              </w:rPr>
              <w:t>138782</w:t>
            </w:r>
          </w:p>
        </w:tc>
        <w:tc>
          <w:tcPr>
            <w:tcW w:w="1114" w:type="dxa"/>
            <w:tcBorders>
              <w:top w:val="single" w:sz="4" w:space="0" w:color="000000"/>
              <w:bottom w:val="single" w:sz="4" w:space="0" w:color="000000"/>
            </w:tcBorders>
          </w:tcPr>
          <w:p>
            <w:pPr>
              <w:pStyle w:val="TableParagraph"/>
              <w:spacing w:before="5"/>
              <w:ind w:left="0"/>
              <w:rPr>
                <w:sz w:val="22"/>
              </w:rPr>
            </w:pPr>
          </w:p>
          <w:p>
            <w:pPr>
              <w:pStyle w:val="TableParagraph"/>
              <w:ind w:left="295"/>
              <w:rPr>
                <w:sz w:val="18"/>
              </w:rPr>
            </w:pPr>
            <w:r>
              <w:rPr>
                <w:sz w:val="18"/>
              </w:rPr>
              <w:t>168059</w:t>
            </w:r>
          </w:p>
        </w:tc>
        <w:tc>
          <w:tcPr>
            <w:tcW w:w="1089" w:type="dxa"/>
            <w:tcBorders>
              <w:top w:val="single" w:sz="4" w:space="0" w:color="000000"/>
              <w:bottom w:val="single" w:sz="4" w:space="0" w:color="000000"/>
            </w:tcBorders>
          </w:tcPr>
          <w:p>
            <w:pPr>
              <w:pStyle w:val="TableParagraph"/>
              <w:spacing w:before="5"/>
              <w:ind w:left="0"/>
              <w:rPr>
                <w:sz w:val="22"/>
              </w:rPr>
            </w:pPr>
          </w:p>
          <w:p>
            <w:pPr>
              <w:pStyle w:val="TableParagraph"/>
              <w:ind w:left="116"/>
              <w:rPr>
                <w:sz w:val="18"/>
              </w:rPr>
            </w:pPr>
            <w:r>
              <w:rPr>
                <w:sz w:val="18"/>
              </w:rPr>
              <w:t>192532</w:t>
            </w:r>
          </w:p>
        </w:tc>
        <w:tc>
          <w:tcPr>
            <w:tcW w:w="1167" w:type="dxa"/>
            <w:tcBorders>
              <w:top w:val="single" w:sz="4" w:space="0" w:color="000000"/>
              <w:bottom w:val="single" w:sz="4" w:space="0" w:color="000000"/>
            </w:tcBorders>
          </w:tcPr>
          <w:p>
            <w:pPr>
              <w:pStyle w:val="TableParagraph"/>
              <w:spacing w:before="5"/>
              <w:ind w:left="0"/>
              <w:rPr>
                <w:sz w:val="22"/>
              </w:rPr>
            </w:pPr>
          </w:p>
          <w:p>
            <w:pPr>
              <w:pStyle w:val="TableParagraph"/>
              <w:ind w:left="270"/>
              <w:rPr>
                <w:sz w:val="18"/>
              </w:rPr>
            </w:pPr>
            <w:r>
              <w:rPr>
                <w:sz w:val="18"/>
              </w:rPr>
              <w:t>206236</w:t>
            </w:r>
          </w:p>
        </w:tc>
        <w:tc>
          <w:tcPr>
            <w:tcW w:w="1212" w:type="dxa"/>
            <w:tcBorders>
              <w:top w:val="single" w:sz="4" w:space="0" w:color="000000"/>
              <w:bottom w:val="single" w:sz="4" w:space="0" w:color="000000"/>
            </w:tcBorders>
          </w:tcPr>
          <w:p>
            <w:pPr>
              <w:pStyle w:val="TableParagraph"/>
              <w:spacing w:before="5"/>
              <w:ind w:left="0"/>
              <w:rPr>
                <w:sz w:val="22"/>
              </w:rPr>
            </w:pPr>
          </w:p>
          <w:p>
            <w:pPr>
              <w:pStyle w:val="TableParagraph"/>
              <w:ind w:left="194"/>
              <w:rPr>
                <w:sz w:val="18"/>
              </w:rPr>
            </w:pPr>
            <w:r>
              <w:rPr>
                <w:sz w:val="18"/>
              </w:rPr>
              <w:t>235909</w:t>
            </w:r>
          </w:p>
        </w:tc>
      </w:tr>
    </w:tbl>
    <w:p>
      <w:pPr>
        <w:spacing w:line="240" w:lineRule="auto" w:before="0"/>
        <w:ind w:left="105" w:right="109" w:hanging="3"/>
        <w:jc w:val="center"/>
        <w:rPr>
          <w:sz w:val="20"/>
        </w:rPr>
      </w:pPr>
      <w:r>
        <w:rPr>
          <w:sz w:val="20"/>
        </w:rPr>
        <w:t>Fuente: Elaboración propia con información del XI Censo General de Población y Vivienda 1990, Conteo de Población y Vivienda 1995, XII Censo General de Población y Vivienda 2000, II Conteo de Población y Vivienda 2005 y Censo de Población y Vivienda 2010 (ITER 1990,1995,2000,</w:t>
      </w:r>
      <w:r>
        <w:rPr>
          <w:spacing w:val="-31"/>
          <w:sz w:val="20"/>
        </w:rPr>
        <w:t> </w:t>
      </w:r>
      <w:r>
        <w:rPr>
          <w:sz w:val="20"/>
        </w:rPr>
        <w:t>2005 y</w:t>
      </w:r>
      <w:r>
        <w:rPr>
          <w:spacing w:val="-5"/>
          <w:sz w:val="20"/>
        </w:rPr>
        <w:t> </w:t>
      </w:r>
      <w:r>
        <w:rPr>
          <w:sz w:val="20"/>
        </w:rPr>
        <w:t>2010)</w:t>
      </w:r>
    </w:p>
    <w:p>
      <w:pPr>
        <w:spacing w:after="0" w:line="240" w:lineRule="auto"/>
        <w:jc w:val="center"/>
        <w:rPr>
          <w:sz w:val="20"/>
        </w:rPr>
        <w:sectPr>
          <w:pgSz w:w="12240" w:h="15840"/>
          <w:pgMar w:header="0" w:footer="659" w:top="1360" w:bottom="840" w:left="1640" w:right="1640"/>
        </w:sectPr>
      </w:pPr>
    </w:p>
    <w:p>
      <w:pPr>
        <w:spacing w:before="53"/>
        <w:ind w:left="100" w:right="0" w:firstLine="0"/>
        <w:jc w:val="left"/>
        <w:rPr>
          <w:sz w:val="20"/>
        </w:rPr>
      </w:pPr>
      <w:r>
        <w:rPr>
          <w:sz w:val="20"/>
        </w:rPr>
        <w:t>Cuadro A .4.4  Tasas de crecimiento poblacional  por municipio y ámbito (1990-200) y (2000-2010)</w:t>
      </w:r>
    </w:p>
    <w:p>
      <w:pPr>
        <w:pStyle w:val="BodyText"/>
        <w:spacing w:before="3" w:after="1"/>
        <w:rPr>
          <w:sz w:val="10"/>
        </w:rPr>
      </w:pPr>
    </w:p>
    <w:tbl>
      <w:tblPr>
        <w:tblW w:w="0" w:type="auto"/>
        <w:jc w:val="left"/>
        <w:tblInd w:w="46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731"/>
        <w:gridCol w:w="1998"/>
        <w:gridCol w:w="2303"/>
      </w:tblGrid>
      <w:tr>
        <w:trPr>
          <w:trHeight w:val="322" w:hRule="exact"/>
        </w:trPr>
        <w:tc>
          <w:tcPr>
            <w:tcW w:w="3731" w:type="dxa"/>
            <w:tcBorders>
              <w:left w:val="nil"/>
              <w:right w:val="nil"/>
            </w:tcBorders>
          </w:tcPr>
          <w:p>
            <w:pPr>
              <w:pStyle w:val="TableParagraph"/>
              <w:spacing w:before="104"/>
              <w:rPr>
                <w:sz w:val="18"/>
              </w:rPr>
            </w:pPr>
            <w:r>
              <w:rPr>
                <w:sz w:val="18"/>
              </w:rPr>
              <w:t>Ámbito  y municipio</w:t>
            </w:r>
          </w:p>
        </w:tc>
        <w:tc>
          <w:tcPr>
            <w:tcW w:w="1998" w:type="dxa"/>
            <w:tcBorders>
              <w:left w:val="nil"/>
              <w:right w:val="nil"/>
            </w:tcBorders>
          </w:tcPr>
          <w:p>
            <w:pPr>
              <w:pStyle w:val="TableParagraph"/>
              <w:spacing w:before="104"/>
              <w:ind w:left="661"/>
              <w:rPr>
                <w:sz w:val="18"/>
              </w:rPr>
            </w:pPr>
            <w:r>
              <w:rPr>
                <w:sz w:val="18"/>
              </w:rPr>
              <w:t>1990-2000</w:t>
            </w:r>
          </w:p>
        </w:tc>
        <w:tc>
          <w:tcPr>
            <w:tcW w:w="2303" w:type="dxa"/>
            <w:tcBorders>
              <w:left w:val="nil"/>
              <w:right w:val="nil"/>
            </w:tcBorders>
          </w:tcPr>
          <w:p>
            <w:pPr>
              <w:pStyle w:val="TableParagraph"/>
              <w:spacing w:before="104"/>
              <w:ind w:left="473"/>
              <w:rPr>
                <w:sz w:val="18"/>
              </w:rPr>
            </w:pPr>
            <w:r>
              <w:rPr>
                <w:sz w:val="18"/>
              </w:rPr>
              <w:t>2000-2010</w:t>
            </w:r>
          </w:p>
        </w:tc>
      </w:tr>
      <w:tr>
        <w:trPr>
          <w:trHeight w:val="379" w:hRule="exact"/>
        </w:trPr>
        <w:tc>
          <w:tcPr>
            <w:tcW w:w="3731" w:type="dxa"/>
            <w:tcBorders>
              <w:left w:val="nil"/>
              <w:bottom w:val="nil"/>
              <w:right w:val="nil"/>
            </w:tcBorders>
          </w:tcPr>
          <w:p>
            <w:pPr>
              <w:pStyle w:val="TableParagraph"/>
              <w:spacing w:before="104"/>
              <w:rPr>
                <w:sz w:val="18"/>
              </w:rPr>
            </w:pPr>
            <w:r>
              <w:rPr>
                <w:sz w:val="18"/>
              </w:rPr>
              <w:t>Zinacantepec</w:t>
            </w:r>
          </w:p>
        </w:tc>
        <w:tc>
          <w:tcPr>
            <w:tcW w:w="1998" w:type="dxa"/>
            <w:tcBorders>
              <w:left w:val="nil"/>
              <w:bottom w:val="nil"/>
              <w:right w:val="nil"/>
            </w:tcBorders>
          </w:tcPr>
          <w:p>
            <w:pPr>
              <w:pStyle w:val="TableParagraph"/>
              <w:spacing w:before="104"/>
              <w:ind w:left="661"/>
              <w:rPr>
                <w:sz w:val="18"/>
              </w:rPr>
            </w:pPr>
            <w:r>
              <w:rPr>
                <w:sz w:val="18"/>
              </w:rPr>
              <w:t>3.89</w:t>
            </w:r>
          </w:p>
        </w:tc>
        <w:tc>
          <w:tcPr>
            <w:tcW w:w="2303" w:type="dxa"/>
            <w:tcBorders>
              <w:left w:val="nil"/>
              <w:bottom w:val="nil"/>
              <w:right w:val="nil"/>
            </w:tcBorders>
          </w:tcPr>
          <w:p>
            <w:pPr>
              <w:pStyle w:val="TableParagraph"/>
              <w:spacing w:before="104"/>
              <w:ind w:left="473"/>
              <w:rPr>
                <w:sz w:val="18"/>
              </w:rPr>
            </w:pPr>
            <w:r>
              <w:rPr>
                <w:sz w:val="18"/>
              </w:rPr>
              <w:t>3.25</w:t>
            </w:r>
          </w:p>
        </w:tc>
      </w:tr>
      <w:tr>
        <w:trPr>
          <w:trHeight w:val="312" w:hRule="exact"/>
        </w:trPr>
        <w:tc>
          <w:tcPr>
            <w:tcW w:w="3731" w:type="dxa"/>
            <w:tcBorders>
              <w:top w:val="nil"/>
              <w:left w:val="nil"/>
              <w:bottom w:val="nil"/>
              <w:right w:val="nil"/>
            </w:tcBorders>
          </w:tcPr>
          <w:p>
            <w:pPr>
              <w:pStyle w:val="TableParagraph"/>
              <w:spacing w:before="43"/>
              <w:rPr>
                <w:sz w:val="18"/>
              </w:rPr>
            </w:pPr>
            <w:r>
              <w:rPr>
                <w:sz w:val="18"/>
              </w:rPr>
              <w:t>Otzolotepec</w:t>
            </w:r>
          </w:p>
        </w:tc>
        <w:tc>
          <w:tcPr>
            <w:tcW w:w="1998" w:type="dxa"/>
            <w:tcBorders>
              <w:top w:val="nil"/>
              <w:left w:val="nil"/>
              <w:bottom w:val="nil"/>
              <w:right w:val="nil"/>
            </w:tcBorders>
          </w:tcPr>
          <w:p>
            <w:pPr>
              <w:pStyle w:val="TableParagraph"/>
              <w:spacing w:before="43"/>
              <w:ind w:left="661"/>
              <w:rPr>
                <w:sz w:val="18"/>
              </w:rPr>
            </w:pPr>
            <w:r>
              <w:rPr>
                <w:sz w:val="18"/>
              </w:rPr>
              <w:t>3.61</w:t>
            </w:r>
          </w:p>
        </w:tc>
        <w:tc>
          <w:tcPr>
            <w:tcW w:w="2303" w:type="dxa"/>
            <w:tcBorders>
              <w:top w:val="nil"/>
              <w:left w:val="nil"/>
              <w:bottom w:val="nil"/>
              <w:right w:val="nil"/>
            </w:tcBorders>
          </w:tcPr>
          <w:p>
            <w:pPr>
              <w:pStyle w:val="TableParagraph"/>
              <w:spacing w:before="43"/>
              <w:ind w:left="473"/>
              <w:rPr>
                <w:sz w:val="18"/>
              </w:rPr>
            </w:pPr>
            <w:r>
              <w:rPr>
                <w:sz w:val="18"/>
              </w:rPr>
              <w:t>3.10</w:t>
            </w:r>
          </w:p>
        </w:tc>
      </w:tr>
      <w:tr>
        <w:trPr>
          <w:trHeight w:val="312" w:hRule="exact"/>
        </w:trPr>
        <w:tc>
          <w:tcPr>
            <w:tcW w:w="3731" w:type="dxa"/>
            <w:tcBorders>
              <w:top w:val="nil"/>
              <w:left w:val="nil"/>
              <w:bottom w:val="nil"/>
              <w:right w:val="nil"/>
            </w:tcBorders>
          </w:tcPr>
          <w:p>
            <w:pPr>
              <w:pStyle w:val="TableParagraph"/>
              <w:spacing w:before="43"/>
              <w:rPr>
                <w:sz w:val="18"/>
              </w:rPr>
            </w:pPr>
            <w:r>
              <w:rPr>
                <w:sz w:val="18"/>
              </w:rPr>
              <w:t>Lerma</w:t>
            </w:r>
          </w:p>
        </w:tc>
        <w:tc>
          <w:tcPr>
            <w:tcW w:w="1998" w:type="dxa"/>
            <w:tcBorders>
              <w:top w:val="nil"/>
              <w:left w:val="nil"/>
              <w:bottom w:val="nil"/>
              <w:right w:val="nil"/>
            </w:tcBorders>
          </w:tcPr>
          <w:p>
            <w:pPr>
              <w:pStyle w:val="TableParagraph"/>
              <w:spacing w:before="43"/>
              <w:ind w:left="661"/>
              <w:rPr>
                <w:sz w:val="18"/>
              </w:rPr>
            </w:pPr>
            <w:r>
              <w:rPr>
                <w:sz w:val="18"/>
              </w:rPr>
              <w:t>4.09</w:t>
            </w:r>
          </w:p>
        </w:tc>
        <w:tc>
          <w:tcPr>
            <w:tcW w:w="2303" w:type="dxa"/>
            <w:tcBorders>
              <w:top w:val="nil"/>
              <w:left w:val="nil"/>
              <w:bottom w:val="nil"/>
              <w:right w:val="nil"/>
            </w:tcBorders>
          </w:tcPr>
          <w:p>
            <w:pPr>
              <w:pStyle w:val="TableParagraph"/>
              <w:spacing w:before="43"/>
              <w:ind w:left="473"/>
              <w:rPr>
                <w:sz w:val="18"/>
              </w:rPr>
            </w:pPr>
            <w:r>
              <w:rPr>
                <w:sz w:val="18"/>
              </w:rPr>
              <w:t>3.04</w:t>
            </w:r>
          </w:p>
        </w:tc>
      </w:tr>
      <w:tr>
        <w:trPr>
          <w:trHeight w:val="312" w:hRule="exact"/>
        </w:trPr>
        <w:tc>
          <w:tcPr>
            <w:tcW w:w="3731" w:type="dxa"/>
            <w:tcBorders>
              <w:top w:val="nil"/>
              <w:left w:val="nil"/>
              <w:bottom w:val="nil"/>
              <w:right w:val="nil"/>
            </w:tcBorders>
          </w:tcPr>
          <w:p>
            <w:pPr>
              <w:pStyle w:val="TableParagraph"/>
              <w:spacing w:before="43"/>
              <w:rPr>
                <w:sz w:val="18"/>
              </w:rPr>
            </w:pPr>
            <w:r>
              <w:rPr>
                <w:sz w:val="18"/>
              </w:rPr>
              <w:t>Calimaya</w:t>
            </w:r>
          </w:p>
        </w:tc>
        <w:tc>
          <w:tcPr>
            <w:tcW w:w="1998" w:type="dxa"/>
            <w:tcBorders>
              <w:top w:val="nil"/>
              <w:left w:val="nil"/>
              <w:bottom w:val="nil"/>
              <w:right w:val="nil"/>
            </w:tcBorders>
          </w:tcPr>
          <w:p>
            <w:pPr>
              <w:pStyle w:val="TableParagraph"/>
              <w:spacing w:before="43"/>
              <w:ind w:left="661"/>
              <w:rPr>
                <w:sz w:val="18"/>
              </w:rPr>
            </w:pPr>
            <w:r>
              <w:rPr>
                <w:sz w:val="18"/>
              </w:rPr>
              <w:t>3.52</w:t>
            </w:r>
          </w:p>
        </w:tc>
        <w:tc>
          <w:tcPr>
            <w:tcW w:w="2303" w:type="dxa"/>
            <w:tcBorders>
              <w:top w:val="nil"/>
              <w:left w:val="nil"/>
              <w:bottom w:val="nil"/>
              <w:right w:val="nil"/>
            </w:tcBorders>
          </w:tcPr>
          <w:p>
            <w:pPr>
              <w:pStyle w:val="TableParagraph"/>
              <w:spacing w:before="43"/>
              <w:ind w:left="473"/>
              <w:rPr>
                <w:sz w:val="18"/>
              </w:rPr>
            </w:pPr>
            <w:r>
              <w:rPr>
                <w:sz w:val="18"/>
              </w:rPr>
              <w:t>2.94</w:t>
            </w:r>
          </w:p>
        </w:tc>
      </w:tr>
      <w:tr>
        <w:trPr>
          <w:trHeight w:val="312" w:hRule="exact"/>
        </w:trPr>
        <w:tc>
          <w:tcPr>
            <w:tcW w:w="3731" w:type="dxa"/>
            <w:tcBorders>
              <w:top w:val="nil"/>
              <w:left w:val="nil"/>
              <w:bottom w:val="nil"/>
              <w:right w:val="nil"/>
            </w:tcBorders>
          </w:tcPr>
          <w:p>
            <w:pPr>
              <w:pStyle w:val="TableParagraph"/>
              <w:spacing w:before="43"/>
              <w:rPr>
                <w:sz w:val="18"/>
              </w:rPr>
            </w:pPr>
            <w:r>
              <w:rPr>
                <w:sz w:val="18"/>
              </w:rPr>
              <w:t>Almoloya de Juárez</w:t>
            </w:r>
          </w:p>
        </w:tc>
        <w:tc>
          <w:tcPr>
            <w:tcW w:w="1998" w:type="dxa"/>
            <w:tcBorders>
              <w:top w:val="nil"/>
              <w:left w:val="nil"/>
              <w:bottom w:val="nil"/>
              <w:right w:val="nil"/>
            </w:tcBorders>
          </w:tcPr>
          <w:p>
            <w:pPr>
              <w:pStyle w:val="TableParagraph"/>
              <w:spacing w:before="43"/>
              <w:ind w:left="661"/>
              <w:rPr>
                <w:sz w:val="18"/>
              </w:rPr>
            </w:pPr>
            <w:r>
              <w:rPr>
                <w:sz w:val="18"/>
              </w:rPr>
              <w:t>2.77</w:t>
            </w:r>
          </w:p>
        </w:tc>
        <w:tc>
          <w:tcPr>
            <w:tcW w:w="2303" w:type="dxa"/>
            <w:tcBorders>
              <w:top w:val="nil"/>
              <w:left w:val="nil"/>
              <w:bottom w:val="nil"/>
              <w:right w:val="nil"/>
            </w:tcBorders>
          </w:tcPr>
          <w:p>
            <w:pPr>
              <w:pStyle w:val="TableParagraph"/>
              <w:spacing w:before="43"/>
              <w:ind w:left="473"/>
              <w:rPr>
                <w:sz w:val="18"/>
              </w:rPr>
            </w:pPr>
            <w:r>
              <w:rPr>
                <w:sz w:val="18"/>
              </w:rPr>
              <w:t>2.93</w:t>
            </w:r>
          </w:p>
        </w:tc>
      </w:tr>
      <w:tr>
        <w:trPr>
          <w:trHeight w:val="312" w:hRule="exact"/>
        </w:trPr>
        <w:tc>
          <w:tcPr>
            <w:tcW w:w="3731" w:type="dxa"/>
            <w:tcBorders>
              <w:top w:val="nil"/>
              <w:left w:val="nil"/>
              <w:bottom w:val="nil"/>
              <w:right w:val="nil"/>
            </w:tcBorders>
          </w:tcPr>
          <w:p>
            <w:pPr>
              <w:pStyle w:val="TableParagraph"/>
              <w:spacing w:before="43"/>
              <w:rPr>
                <w:sz w:val="18"/>
              </w:rPr>
            </w:pPr>
            <w:r>
              <w:rPr>
                <w:sz w:val="18"/>
              </w:rPr>
              <w:t>Mexicaltzingo</w:t>
            </w:r>
          </w:p>
        </w:tc>
        <w:tc>
          <w:tcPr>
            <w:tcW w:w="1998" w:type="dxa"/>
            <w:tcBorders>
              <w:top w:val="nil"/>
              <w:left w:val="nil"/>
              <w:bottom w:val="nil"/>
              <w:right w:val="nil"/>
            </w:tcBorders>
          </w:tcPr>
          <w:p>
            <w:pPr>
              <w:pStyle w:val="TableParagraph"/>
              <w:spacing w:before="43"/>
              <w:ind w:left="661"/>
              <w:rPr>
                <w:sz w:val="18"/>
              </w:rPr>
            </w:pPr>
            <w:r>
              <w:rPr>
                <w:sz w:val="18"/>
              </w:rPr>
              <w:t>2.44</w:t>
            </w:r>
          </w:p>
        </w:tc>
        <w:tc>
          <w:tcPr>
            <w:tcW w:w="2303" w:type="dxa"/>
            <w:tcBorders>
              <w:top w:val="nil"/>
              <w:left w:val="nil"/>
              <w:bottom w:val="nil"/>
              <w:right w:val="nil"/>
            </w:tcBorders>
          </w:tcPr>
          <w:p>
            <w:pPr>
              <w:pStyle w:val="TableParagraph"/>
              <w:spacing w:before="43"/>
              <w:ind w:left="473"/>
              <w:rPr>
                <w:sz w:val="18"/>
              </w:rPr>
            </w:pPr>
            <w:r>
              <w:rPr>
                <w:sz w:val="18"/>
              </w:rPr>
              <w:t>2.42</w:t>
            </w:r>
          </w:p>
        </w:tc>
      </w:tr>
      <w:tr>
        <w:trPr>
          <w:trHeight w:val="312" w:hRule="exact"/>
        </w:trPr>
        <w:tc>
          <w:tcPr>
            <w:tcW w:w="3731" w:type="dxa"/>
            <w:tcBorders>
              <w:top w:val="nil"/>
              <w:left w:val="nil"/>
              <w:bottom w:val="nil"/>
              <w:right w:val="nil"/>
            </w:tcBorders>
          </w:tcPr>
          <w:p>
            <w:pPr>
              <w:pStyle w:val="TableParagraph"/>
              <w:spacing w:before="43"/>
              <w:rPr>
                <w:sz w:val="18"/>
              </w:rPr>
            </w:pPr>
            <w:r>
              <w:rPr>
                <w:sz w:val="18"/>
              </w:rPr>
              <w:t>Toluca</w:t>
            </w:r>
          </w:p>
        </w:tc>
        <w:tc>
          <w:tcPr>
            <w:tcW w:w="1998" w:type="dxa"/>
            <w:tcBorders>
              <w:top w:val="nil"/>
              <w:left w:val="nil"/>
              <w:bottom w:val="nil"/>
              <w:right w:val="nil"/>
            </w:tcBorders>
          </w:tcPr>
          <w:p>
            <w:pPr>
              <w:pStyle w:val="TableParagraph"/>
              <w:spacing w:before="43"/>
              <w:ind w:left="661"/>
              <w:rPr>
                <w:sz w:val="18"/>
              </w:rPr>
            </w:pPr>
            <w:r>
              <w:rPr>
                <w:sz w:val="18"/>
              </w:rPr>
              <w:t>3.18</w:t>
            </w:r>
          </w:p>
        </w:tc>
        <w:tc>
          <w:tcPr>
            <w:tcW w:w="2303" w:type="dxa"/>
            <w:tcBorders>
              <w:top w:val="nil"/>
              <w:left w:val="nil"/>
              <w:bottom w:val="nil"/>
              <w:right w:val="nil"/>
            </w:tcBorders>
          </w:tcPr>
          <w:p>
            <w:pPr>
              <w:pStyle w:val="TableParagraph"/>
              <w:spacing w:before="43"/>
              <w:ind w:left="473"/>
              <w:rPr>
                <w:sz w:val="18"/>
              </w:rPr>
            </w:pPr>
            <w:r>
              <w:rPr>
                <w:sz w:val="18"/>
              </w:rPr>
              <w:t>2.09</w:t>
            </w:r>
          </w:p>
        </w:tc>
      </w:tr>
      <w:tr>
        <w:trPr>
          <w:trHeight w:val="312" w:hRule="exact"/>
        </w:trPr>
        <w:tc>
          <w:tcPr>
            <w:tcW w:w="3731" w:type="dxa"/>
            <w:tcBorders>
              <w:top w:val="nil"/>
              <w:left w:val="nil"/>
              <w:bottom w:val="nil"/>
              <w:right w:val="nil"/>
            </w:tcBorders>
          </w:tcPr>
          <w:p>
            <w:pPr>
              <w:pStyle w:val="TableParagraph"/>
              <w:spacing w:before="43"/>
              <w:rPr>
                <w:sz w:val="18"/>
              </w:rPr>
            </w:pPr>
            <w:r>
              <w:rPr>
                <w:sz w:val="18"/>
              </w:rPr>
              <w:t>San Mateo Atenco</w:t>
            </w:r>
          </w:p>
        </w:tc>
        <w:tc>
          <w:tcPr>
            <w:tcW w:w="1998" w:type="dxa"/>
            <w:tcBorders>
              <w:top w:val="nil"/>
              <w:left w:val="nil"/>
              <w:bottom w:val="nil"/>
              <w:right w:val="nil"/>
            </w:tcBorders>
          </w:tcPr>
          <w:p>
            <w:pPr>
              <w:pStyle w:val="TableParagraph"/>
              <w:spacing w:before="43"/>
              <w:ind w:left="661"/>
              <w:rPr>
                <w:sz w:val="18"/>
              </w:rPr>
            </w:pPr>
            <w:r>
              <w:rPr>
                <w:sz w:val="18"/>
              </w:rPr>
              <w:t>3.59</w:t>
            </w:r>
          </w:p>
        </w:tc>
        <w:tc>
          <w:tcPr>
            <w:tcW w:w="2303" w:type="dxa"/>
            <w:tcBorders>
              <w:top w:val="nil"/>
              <w:left w:val="nil"/>
              <w:bottom w:val="nil"/>
              <w:right w:val="nil"/>
            </w:tcBorders>
          </w:tcPr>
          <w:p>
            <w:pPr>
              <w:pStyle w:val="TableParagraph"/>
              <w:spacing w:before="43"/>
              <w:ind w:left="473"/>
              <w:rPr>
                <w:sz w:val="18"/>
              </w:rPr>
            </w:pPr>
            <w:r>
              <w:rPr>
                <w:sz w:val="18"/>
              </w:rPr>
              <w:t>1.98</w:t>
            </w:r>
          </w:p>
        </w:tc>
      </w:tr>
      <w:tr>
        <w:trPr>
          <w:trHeight w:val="255" w:hRule="exact"/>
        </w:trPr>
        <w:tc>
          <w:tcPr>
            <w:tcW w:w="3731" w:type="dxa"/>
            <w:tcBorders>
              <w:top w:val="nil"/>
              <w:left w:val="nil"/>
              <w:right w:val="nil"/>
            </w:tcBorders>
          </w:tcPr>
          <w:p>
            <w:pPr>
              <w:pStyle w:val="TableParagraph"/>
              <w:spacing w:before="43"/>
              <w:rPr>
                <w:sz w:val="18"/>
              </w:rPr>
            </w:pPr>
            <w:r>
              <w:rPr>
                <w:sz w:val="18"/>
              </w:rPr>
              <w:t>Metepec</w:t>
            </w:r>
          </w:p>
        </w:tc>
        <w:tc>
          <w:tcPr>
            <w:tcW w:w="1998" w:type="dxa"/>
            <w:tcBorders>
              <w:top w:val="nil"/>
              <w:left w:val="nil"/>
              <w:right w:val="nil"/>
            </w:tcBorders>
          </w:tcPr>
          <w:p>
            <w:pPr>
              <w:pStyle w:val="TableParagraph"/>
              <w:spacing w:before="43"/>
              <w:ind w:left="661"/>
              <w:rPr>
                <w:sz w:val="18"/>
              </w:rPr>
            </w:pPr>
            <w:r>
              <w:rPr>
                <w:sz w:val="18"/>
              </w:rPr>
              <w:t>3.32</w:t>
            </w:r>
          </w:p>
        </w:tc>
        <w:tc>
          <w:tcPr>
            <w:tcW w:w="2303" w:type="dxa"/>
            <w:tcBorders>
              <w:top w:val="nil"/>
              <w:left w:val="nil"/>
              <w:right w:val="nil"/>
            </w:tcBorders>
          </w:tcPr>
          <w:p>
            <w:pPr>
              <w:pStyle w:val="TableParagraph"/>
              <w:spacing w:before="43"/>
              <w:ind w:left="473"/>
              <w:rPr>
                <w:sz w:val="18"/>
              </w:rPr>
            </w:pPr>
            <w:r>
              <w:rPr>
                <w:sz w:val="18"/>
              </w:rPr>
              <w:t>0.97</w:t>
            </w:r>
          </w:p>
        </w:tc>
      </w:tr>
      <w:tr>
        <w:trPr>
          <w:trHeight w:val="325" w:hRule="exact"/>
        </w:trPr>
        <w:tc>
          <w:tcPr>
            <w:tcW w:w="3731" w:type="dxa"/>
            <w:tcBorders>
              <w:left w:val="nil"/>
              <w:right w:val="nil"/>
            </w:tcBorders>
          </w:tcPr>
          <w:p>
            <w:pPr>
              <w:pStyle w:val="TableParagraph"/>
              <w:spacing w:before="105"/>
              <w:rPr>
                <w:sz w:val="18"/>
              </w:rPr>
            </w:pPr>
            <w:r>
              <w:rPr>
                <w:sz w:val="18"/>
              </w:rPr>
              <w:t>Área urbana continua</w:t>
            </w:r>
          </w:p>
        </w:tc>
        <w:tc>
          <w:tcPr>
            <w:tcW w:w="1998" w:type="dxa"/>
            <w:tcBorders>
              <w:left w:val="nil"/>
              <w:right w:val="nil"/>
            </w:tcBorders>
          </w:tcPr>
          <w:p>
            <w:pPr>
              <w:pStyle w:val="TableParagraph"/>
              <w:spacing w:before="105"/>
              <w:ind w:left="661"/>
              <w:rPr>
                <w:sz w:val="18"/>
              </w:rPr>
            </w:pPr>
            <w:r>
              <w:rPr>
                <w:sz w:val="18"/>
              </w:rPr>
              <w:t>3.33</w:t>
            </w:r>
          </w:p>
        </w:tc>
        <w:tc>
          <w:tcPr>
            <w:tcW w:w="2303" w:type="dxa"/>
            <w:tcBorders>
              <w:left w:val="nil"/>
              <w:right w:val="nil"/>
            </w:tcBorders>
          </w:tcPr>
          <w:p>
            <w:pPr>
              <w:pStyle w:val="TableParagraph"/>
              <w:spacing w:before="105"/>
              <w:ind w:left="473"/>
              <w:rPr>
                <w:sz w:val="18"/>
              </w:rPr>
            </w:pPr>
            <w:r>
              <w:rPr>
                <w:sz w:val="18"/>
              </w:rPr>
              <w:t>2.25</w:t>
            </w:r>
          </w:p>
        </w:tc>
      </w:tr>
      <w:tr>
        <w:trPr>
          <w:trHeight w:val="379" w:hRule="exact"/>
        </w:trPr>
        <w:tc>
          <w:tcPr>
            <w:tcW w:w="3731" w:type="dxa"/>
            <w:tcBorders>
              <w:left w:val="nil"/>
              <w:bottom w:val="nil"/>
              <w:right w:val="nil"/>
            </w:tcBorders>
          </w:tcPr>
          <w:p>
            <w:pPr>
              <w:pStyle w:val="TableParagraph"/>
              <w:spacing w:before="104"/>
              <w:rPr>
                <w:sz w:val="18"/>
              </w:rPr>
            </w:pPr>
            <w:r>
              <w:rPr>
                <w:sz w:val="18"/>
              </w:rPr>
              <w:t>San Antonio la Isla</w:t>
            </w:r>
          </w:p>
        </w:tc>
        <w:tc>
          <w:tcPr>
            <w:tcW w:w="1998" w:type="dxa"/>
            <w:tcBorders>
              <w:left w:val="nil"/>
              <w:bottom w:val="nil"/>
              <w:right w:val="nil"/>
            </w:tcBorders>
          </w:tcPr>
          <w:p>
            <w:pPr>
              <w:pStyle w:val="TableParagraph"/>
              <w:spacing w:before="104"/>
              <w:ind w:left="661"/>
              <w:rPr>
                <w:sz w:val="18"/>
              </w:rPr>
            </w:pPr>
            <w:r>
              <w:rPr>
                <w:sz w:val="18"/>
              </w:rPr>
              <w:t>3.49</w:t>
            </w:r>
          </w:p>
        </w:tc>
        <w:tc>
          <w:tcPr>
            <w:tcW w:w="2303" w:type="dxa"/>
            <w:tcBorders>
              <w:left w:val="nil"/>
              <w:bottom w:val="nil"/>
              <w:right w:val="nil"/>
            </w:tcBorders>
          </w:tcPr>
          <w:p>
            <w:pPr>
              <w:pStyle w:val="TableParagraph"/>
              <w:spacing w:before="104"/>
              <w:ind w:left="473"/>
              <w:rPr>
                <w:sz w:val="18"/>
              </w:rPr>
            </w:pPr>
            <w:r>
              <w:rPr>
                <w:sz w:val="18"/>
              </w:rPr>
              <w:t>7.94</w:t>
            </w:r>
          </w:p>
        </w:tc>
      </w:tr>
      <w:tr>
        <w:trPr>
          <w:trHeight w:val="312" w:hRule="exact"/>
        </w:trPr>
        <w:tc>
          <w:tcPr>
            <w:tcW w:w="3731" w:type="dxa"/>
            <w:tcBorders>
              <w:top w:val="nil"/>
              <w:left w:val="nil"/>
              <w:bottom w:val="nil"/>
              <w:right w:val="nil"/>
            </w:tcBorders>
          </w:tcPr>
          <w:p>
            <w:pPr>
              <w:pStyle w:val="TableParagraph"/>
              <w:spacing w:before="43"/>
              <w:rPr>
                <w:sz w:val="18"/>
              </w:rPr>
            </w:pPr>
            <w:r>
              <w:rPr>
                <w:sz w:val="18"/>
              </w:rPr>
              <w:t>Chapultepec</w:t>
            </w:r>
          </w:p>
        </w:tc>
        <w:tc>
          <w:tcPr>
            <w:tcW w:w="1998" w:type="dxa"/>
            <w:tcBorders>
              <w:top w:val="nil"/>
              <w:left w:val="nil"/>
              <w:bottom w:val="nil"/>
              <w:right w:val="nil"/>
            </w:tcBorders>
          </w:tcPr>
          <w:p>
            <w:pPr>
              <w:pStyle w:val="TableParagraph"/>
              <w:spacing w:before="43"/>
              <w:ind w:left="661"/>
              <w:rPr>
                <w:sz w:val="18"/>
              </w:rPr>
            </w:pPr>
            <w:r>
              <w:rPr>
                <w:sz w:val="18"/>
              </w:rPr>
              <w:t>4.03</w:t>
            </w:r>
          </w:p>
        </w:tc>
        <w:tc>
          <w:tcPr>
            <w:tcW w:w="2303" w:type="dxa"/>
            <w:tcBorders>
              <w:top w:val="nil"/>
              <w:left w:val="nil"/>
              <w:bottom w:val="nil"/>
              <w:right w:val="nil"/>
            </w:tcBorders>
          </w:tcPr>
          <w:p>
            <w:pPr>
              <w:pStyle w:val="TableParagraph"/>
              <w:spacing w:before="43"/>
              <w:ind w:left="473"/>
              <w:rPr>
                <w:sz w:val="18"/>
              </w:rPr>
            </w:pPr>
            <w:r>
              <w:rPr>
                <w:sz w:val="18"/>
              </w:rPr>
              <w:t>5.37</w:t>
            </w:r>
          </w:p>
        </w:tc>
      </w:tr>
      <w:tr>
        <w:trPr>
          <w:trHeight w:val="312" w:hRule="exact"/>
        </w:trPr>
        <w:tc>
          <w:tcPr>
            <w:tcW w:w="3731" w:type="dxa"/>
            <w:tcBorders>
              <w:top w:val="nil"/>
              <w:left w:val="nil"/>
              <w:bottom w:val="nil"/>
              <w:right w:val="nil"/>
            </w:tcBorders>
          </w:tcPr>
          <w:p>
            <w:pPr>
              <w:pStyle w:val="TableParagraph"/>
              <w:spacing w:before="43"/>
              <w:rPr>
                <w:sz w:val="18"/>
              </w:rPr>
            </w:pPr>
            <w:r>
              <w:rPr>
                <w:sz w:val="18"/>
              </w:rPr>
              <w:t>Rayón</w:t>
            </w:r>
          </w:p>
        </w:tc>
        <w:tc>
          <w:tcPr>
            <w:tcW w:w="1998" w:type="dxa"/>
            <w:tcBorders>
              <w:top w:val="nil"/>
              <w:left w:val="nil"/>
              <w:bottom w:val="nil"/>
              <w:right w:val="nil"/>
            </w:tcBorders>
          </w:tcPr>
          <w:p>
            <w:pPr>
              <w:pStyle w:val="TableParagraph"/>
              <w:spacing w:before="43"/>
              <w:ind w:left="661"/>
              <w:rPr>
                <w:sz w:val="18"/>
              </w:rPr>
            </w:pPr>
            <w:r>
              <w:rPr>
                <w:sz w:val="18"/>
              </w:rPr>
              <w:t>2.53</w:t>
            </w:r>
          </w:p>
        </w:tc>
        <w:tc>
          <w:tcPr>
            <w:tcW w:w="2303" w:type="dxa"/>
            <w:tcBorders>
              <w:top w:val="nil"/>
              <w:left w:val="nil"/>
              <w:bottom w:val="nil"/>
              <w:right w:val="nil"/>
            </w:tcBorders>
          </w:tcPr>
          <w:p>
            <w:pPr>
              <w:pStyle w:val="TableParagraph"/>
              <w:spacing w:before="43"/>
              <w:ind w:left="473"/>
              <w:rPr>
                <w:sz w:val="18"/>
              </w:rPr>
            </w:pPr>
            <w:r>
              <w:rPr>
                <w:sz w:val="18"/>
              </w:rPr>
              <w:t>3.52</w:t>
            </w:r>
          </w:p>
        </w:tc>
      </w:tr>
      <w:tr>
        <w:trPr>
          <w:trHeight w:val="312" w:hRule="exact"/>
        </w:trPr>
        <w:tc>
          <w:tcPr>
            <w:tcW w:w="3731" w:type="dxa"/>
            <w:tcBorders>
              <w:top w:val="nil"/>
              <w:left w:val="nil"/>
              <w:bottom w:val="nil"/>
              <w:right w:val="nil"/>
            </w:tcBorders>
          </w:tcPr>
          <w:p>
            <w:pPr>
              <w:pStyle w:val="TableParagraph"/>
              <w:spacing w:before="43"/>
              <w:rPr>
                <w:sz w:val="18"/>
              </w:rPr>
            </w:pPr>
            <w:r>
              <w:rPr>
                <w:sz w:val="18"/>
              </w:rPr>
              <w:t>Temoaya</w:t>
            </w:r>
          </w:p>
        </w:tc>
        <w:tc>
          <w:tcPr>
            <w:tcW w:w="1998" w:type="dxa"/>
            <w:tcBorders>
              <w:top w:val="nil"/>
              <w:left w:val="nil"/>
              <w:bottom w:val="nil"/>
              <w:right w:val="nil"/>
            </w:tcBorders>
          </w:tcPr>
          <w:p>
            <w:pPr>
              <w:pStyle w:val="TableParagraph"/>
              <w:spacing w:before="43"/>
              <w:ind w:left="661"/>
              <w:rPr>
                <w:sz w:val="18"/>
              </w:rPr>
            </w:pPr>
            <w:r>
              <w:rPr>
                <w:sz w:val="18"/>
              </w:rPr>
              <w:t>3.44</w:t>
            </w:r>
          </w:p>
        </w:tc>
        <w:tc>
          <w:tcPr>
            <w:tcW w:w="2303" w:type="dxa"/>
            <w:tcBorders>
              <w:top w:val="nil"/>
              <w:left w:val="nil"/>
              <w:bottom w:val="nil"/>
              <w:right w:val="nil"/>
            </w:tcBorders>
          </w:tcPr>
          <w:p>
            <w:pPr>
              <w:pStyle w:val="TableParagraph"/>
              <w:spacing w:before="43"/>
              <w:ind w:left="473"/>
              <w:rPr>
                <w:sz w:val="18"/>
              </w:rPr>
            </w:pPr>
            <w:r>
              <w:rPr>
                <w:sz w:val="18"/>
              </w:rPr>
              <w:t>2.65</w:t>
            </w:r>
          </w:p>
        </w:tc>
      </w:tr>
      <w:tr>
        <w:trPr>
          <w:trHeight w:val="312" w:hRule="exact"/>
        </w:trPr>
        <w:tc>
          <w:tcPr>
            <w:tcW w:w="3731" w:type="dxa"/>
            <w:tcBorders>
              <w:top w:val="nil"/>
              <w:left w:val="nil"/>
              <w:bottom w:val="nil"/>
              <w:right w:val="nil"/>
            </w:tcBorders>
          </w:tcPr>
          <w:p>
            <w:pPr>
              <w:pStyle w:val="TableParagraph"/>
              <w:spacing w:before="43"/>
              <w:rPr>
                <w:sz w:val="18"/>
              </w:rPr>
            </w:pPr>
            <w:r>
              <w:rPr>
                <w:sz w:val="18"/>
              </w:rPr>
              <w:t>Ocoyoacac</w:t>
            </w:r>
          </w:p>
        </w:tc>
        <w:tc>
          <w:tcPr>
            <w:tcW w:w="1998" w:type="dxa"/>
            <w:tcBorders>
              <w:top w:val="nil"/>
              <w:left w:val="nil"/>
              <w:bottom w:val="nil"/>
              <w:right w:val="nil"/>
            </w:tcBorders>
          </w:tcPr>
          <w:p>
            <w:pPr>
              <w:pStyle w:val="TableParagraph"/>
              <w:spacing w:before="43"/>
              <w:ind w:left="661"/>
              <w:rPr>
                <w:sz w:val="18"/>
              </w:rPr>
            </w:pPr>
            <w:r>
              <w:rPr>
                <w:sz w:val="18"/>
              </w:rPr>
              <w:t>2.87</w:t>
            </w:r>
          </w:p>
        </w:tc>
        <w:tc>
          <w:tcPr>
            <w:tcW w:w="2303" w:type="dxa"/>
            <w:tcBorders>
              <w:top w:val="nil"/>
              <w:left w:val="nil"/>
              <w:bottom w:val="nil"/>
              <w:right w:val="nil"/>
            </w:tcBorders>
          </w:tcPr>
          <w:p>
            <w:pPr>
              <w:pStyle w:val="TableParagraph"/>
              <w:spacing w:before="43"/>
              <w:ind w:left="473"/>
              <w:rPr>
                <w:sz w:val="18"/>
              </w:rPr>
            </w:pPr>
            <w:r>
              <w:rPr>
                <w:sz w:val="18"/>
              </w:rPr>
              <w:t>2.22</w:t>
            </w:r>
          </w:p>
        </w:tc>
      </w:tr>
      <w:tr>
        <w:trPr>
          <w:trHeight w:val="255" w:hRule="exact"/>
        </w:trPr>
        <w:tc>
          <w:tcPr>
            <w:tcW w:w="3731" w:type="dxa"/>
            <w:tcBorders>
              <w:top w:val="nil"/>
              <w:left w:val="nil"/>
              <w:right w:val="nil"/>
            </w:tcBorders>
          </w:tcPr>
          <w:p>
            <w:pPr>
              <w:pStyle w:val="TableParagraph"/>
              <w:spacing w:before="43"/>
              <w:rPr>
                <w:sz w:val="18"/>
              </w:rPr>
            </w:pPr>
            <w:r>
              <w:rPr>
                <w:sz w:val="18"/>
              </w:rPr>
              <w:t>Xonacatlán</w:t>
            </w:r>
          </w:p>
        </w:tc>
        <w:tc>
          <w:tcPr>
            <w:tcW w:w="1998" w:type="dxa"/>
            <w:tcBorders>
              <w:top w:val="nil"/>
              <w:left w:val="nil"/>
              <w:right w:val="nil"/>
            </w:tcBorders>
          </w:tcPr>
          <w:p>
            <w:pPr>
              <w:pStyle w:val="TableParagraph"/>
              <w:spacing w:before="43"/>
              <w:ind w:left="661"/>
              <w:rPr>
                <w:sz w:val="18"/>
              </w:rPr>
            </w:pPr>
            <w:r>
              <w:rPr>
                <w:sz w:val="18"/>
              </w:rPr>
              <w:t>3.68</w:t>
            </w:r>
          </w:p>
        </w:tc>
        <w:tc>
          <w:tcPr>
            <w:tcW w:w="2303" w:type="dxa"/>
            <w:tcBorders>
              <w:top w:val="nil"/>
              <w:left w:val="nil"/>
              <w:right w:val="nil"/>
            </w:tcBorders>
          </w:tcPr>
          <w:p>
            <w:pPr>
              <w:pStyle w:val="TableParagraph"/>
              <w:spacing w:before="43"/>
              <w:ind w:left="473"/>
              <w:rPr>
                <w:sz w:val="18"/>
              </w:rPr>
            </w:pPr>
            <w:r>
              <w:rPr>
                <w:sz w:val="18"/>
              </w:rPr>
              <w:t>1.13</w:t>
            </w:r>
          </w:p>
        </w:tc>
      </w:tr>
      <w:tr>
        <w:trPr>
          <w:trHeight w:val="322" w:hRule="exact"/>
        </w:trPr>
        <w:tc>
          <w:tcPr>
            <w:tcW w:w="3731" w:type="dxa"/>
            <w:tcBorders>
              <w:left w:val="nil"/>
              <w:right w:val="nil"/>
            </w:tcBorders>
          </w:tcPr>
          <w:p>
            <w:pPr>
              <w:pStyle w:val="TableParagraph"/>
              <w:spacing w:before="104"/>
              <w:rPr>
                <w:sz w:val="18"/>
              </w:rPr>
            </w:pPr>
            <w:r>
              <w:rPr>
                <w:sz w:val="18"/>
              </w:rPr>
              <w:t>Interrelación funcional intermedia</w:t>
            </w:r>
          </w:p>
        </w:tc>
        <w:tc>
          <w:tcPr>
            <w:tcW w:w="1998" w:type="dxa"/>
            <w:tcBorders>
              <w:left w:val="nil"/>
              <w:right w:val="nil"/>
            </w:tcBorders>
          </w:tcPr>
          <w:p>
            <w:pPr>
              <w:pStyle w:val="TableParagraph"/>
              <w:spacing w:before="104"/>
              <w:ind w:left="661"/>
              <w:rPr>
                <w:sz w:val="18"/>
              </w:rPr>
            </w:pPr>
            <w:r>
              <w:rPr>
                <w:sz w:val="18"/>
              </w:rPr>
              <w:t>3.31</w:t>
            </w:r>
          </w:p>
        </w:tc>
        <w:tc>
          <w:tcPr>
            <w:tcW w:w="2303" w:type="dxa"/>
            <w:tcBorders>
              <w:left w:val="nil"/>
              <w:right w:val="nil"/>
            </w:tcBorders>
          </w:tcPr>
          <w:p>
            <w:pPr>
              <w:pStyle w:val="TableParagraph"/>
              <w:spacing w:before="104"/>
              <w:ind w:left="473"/>
              <w:rPr>
                <w:sz w:val="18"/>
              </w:rPr>
            </w:pPr>
            <w:r>
              <w:rPr>
                <w:sz w:val="18"/>
              </w:rPr>
              <w:t>2.73</w:t>
            </w:r>
          </w:p>
        </w:tc>
      </w:tr>
      <w:tr>
        <w:trPr>
          <w:trHeight w:val="379" w:hRule="exact"/>
        </w:trPr>
        <w:tc>
          <w:tcPr>
            <w:tcW w:w="3731" w:type="dxa"/>
            <w:tcBorders>
              <w:left w:val="nil"/>
              <w:bottom w:val="nil"/>
              <w:right w:val="nil"/>
            </w:tcBorders>
          </w:tcPr>
          <w:p>
            <w:pPr>
              <w:pStyle w:val="TableParagraph"/>
              <w:spacing w:before="104"/>
              <w:rPr>
                <w:sz w:val="18"/>
              </w:rPr>
            </w:pPr>
            <w:r>
              <w:rPr>
                <w:sz w:val="18"/>
              </w:rPr>
              <w:t>Xalatlaco</w:t>
            </w:r>
          </w:p>
        </w:tc>
        <w:tc>
          <w:tcPr>
            <w:tcW w:w="1998" w:type="dxa"/>
            <w:tcBorders>
              <w:left w:val="nil"/>
              <w:bottom w:val="nil"/>
              <w:right w:val="nil"/>
            </w:tcBorders>
          </w:tcPr>
          <w:p>
            <w:pPr>
              <w:pStyle w:val="TableParagraph"/>
              <w:spacing w:before="104"/>
              <w:ind w:left="661"/>
              <w:rPr>
                <w:sz w:val="18"/>
              </w:rPr>
            </w:pPr>
            <w:r>
              <w:rPr>
                <w:sz w:val="18"/>
              </w:rPr>
              <w:t>3.16</w:t>
            </w:r>
          </w:p>
        </w:tc>
        <w:tc>
          <w:tcPr>
            <w:tcW w:w="2303" w:type="dxa"/>
            <w:tcBorders>
              <w:left w:val="nil"/>
              <w:bottom w:val="nil"/>
              <w:right w:val="nil"/>
            </w:tcBorders>
          </w:tcPr>
          <w:p>
            <w:pPr>
              <w:pStyle w:val="TableParagraph"/>
              <w:spacing w:before="104"/>
              <w:ind w:left="473"/>
              <w:rPr>
                <w:sz w:val="18"/>
              </w:rPr>
            </w:pPr>
            <w:r>
              <w:rPr>
                <w:sz w:val="18"/>
              </w:rPr>
              <w:t>3.43</w:t>
            </w:r>
          </w:p>
        </w:tc>
      </w:tr>
      <w:tr>
        <w:trPr>
          <w:trHeight w:val="312" w:hRule="exact"/>
        </w:trPr>
        <w:tc>
          <w:tcPr>
            <w:tcW w:w="3731" w:type="dxa"/>
            <w:tcBorders>
              <w:top w:val="nil"/>
              <w:left w:val="nil"/>
              <w:bottom w:val="nil"/>
              <w:right w:val="nil"/>
            </w:tcBorders>
          </w:tcPr>
          <w:p>
            <w:pPr>
              <w:pStyle w:val="TableParagraph"/>
              <w:spacing w:before="43"/>
              <w:rPr>
                <w:sz w:val="18"/>
              </w:rPr>
            </w:pPr>
            <w:r>
              <w:rPr>
                <w:sz w:val="18"/>
              </w:rPr>
              <w:t>Texcalyacac</w:t>
            </w:r>
          </w:p>
        </w:tc>
        <w:tc>
          <w:tcPr>
            <w:tcW w:w="1998" w:type="dxa"/>
            <w:tcBorders>
              <w:top w:val="nil"/>
              <w:left w:val="nil"/>
              <w:bottom w:val="nil"/>
              <w:right w:val="nil"/>
            </w:tcBorders>
          </w:tcPr>
          <w:p>
            <w:pPr>
              <w:pStyle w:val="TableParagraph"/>
              <w:spacing w:before="43"/>
              <w:ind w:left="661"/>
              <w:rPr>
                <w:sz w:val="18"/>
              </w:rPr>
            </w:pPr>
            <w:r>
              <w:rPr>
                <w:sz w:val="18"/>
              </w:rPr>
              <w:t>3.05</w:t>
            </w:r>
          </w:p>
        </w:tc>
        <w:tc>
          <w:tcPr>
            <w:tcW w:w="2303" w:type="dxa"/>
            <w:tcBorders>
              <w:top w:val="nil"/>
              <w:left w:val="nil"/>
              <w:bottom w:val="nil"/>
              <w:right w:val="nil"/>
            </w:tcBorders>
          </w:tcPr>
          <w:p>
            <w:pPr>
              <w:pStyle w:val="TableParagraph"/>
              <w:spacing w:before="43"/>
              <w:ind w:left="473"/>
              <w:rPr>
                <w:sz w:val="18"/>
              </w:rPr>
            </w:pPr>
            <w:r>
              <w:rPr>
                <w:sz w:val="18"/>
              </w:rPr>
              <w:t>2.49</w:t>
            </w:r>
          </w:p>
        </w:tc>
      </w:tr>
      <w:tr>
        <w:trPr>
          <w:trHeight w:val="312" w:hRule="exact"/>
        </w:trPr>
        <w:tc>
          <w:tcPr>
            <w:tcW w:w="3731" w:type="dxa"/>
            <w:tcBorders>
              <w:top w:val="nil"/>
              <w:left w:val="nil"/>
              <w:bottom w:val="nil"/>
              <w:right w:val="nil"/>
            </w:tcBorders>
          </w:tcPr>
          <w:p>
            <w:pPr>
              <w:pStyle w:val="TableParagraph"/>
              <w:spacing w:before="43"/>
              <w:rPr>
                <w:sz w:val="18"/>
              </w:rPr>
            </w:pPr>
            <w:r>
              <w:rPr>
                <w:sz w:val="18"/>
              </w:rPr>
              <w:t>Atizapán</w:t>
            </w:r>
          </w:p>
        </w:tc>
        <w:tc>
          <w:tcPr>
            <w:tcW w:w="1998" w:type="dxa"/>
            <w:tcBorders>
              <w:top w:val="nil"/>
              <w:left w:val="nil"/>
              <w:bottom w:val="nil"/>
              <w:right w:val="nil"/>
            </w:tcBorders>
          </w:tcPr>
          <w:p>
            <w:pPr>
              <w:pStyle w:val="TableParagraph"/>
              <w:spacing w:before="43"/>
              <w:ind w:left="661"/>
              <w:rPr>
                <w:sz w:val="18"/>
              </w:rPr>
            </w:pPr>
            <w:r>
              <w:rPr>
                <w:sz w:val="18"/>
              </w:rPr>
              <w:t>4.35</w:t>
            </w:r>
          </w:p>
        </w:tc>
        <w:tc>
          <w:tcPr>
            <w:tcW w:w="2303" w:type="dxa"/>
            <w:tcBorders>
              <w:top w:val="nil"/>
              <w:left w:val="nil"/>
              <w:bottom w:val="nil"/>
              <w:right w:val="nil"/>
            </w:tcBorders>
          </w:tcPr>
          <w:p>
            <w:pPr>
              <w:pStyle w:val="TableParagraph"/>
              <w:spacing w:before="43"/>
              <w:ind w:left="473"/>
              <w:rPr>
                <w:sz w:val="18"/>
              </w:rPr>
            </w:pPr>
            <w:r>
              <w:rPr>
                <w:sz w:val="18"/>
              </w:rPr>
              <w:t>2.34</w:t>
            </w:r>
          </w:p>
        </w:tc>
      </w:tr>
      <w:tr>
        <w:trPr>
          <w:trHeight w:val="312" w:hRule="exact"/>
        </w:trPr>
        <w:tc>
          <w:tcPr>
            <w:tcW w:w="3731" w:type="dxa"/>
            <w:tcBorders>
              <w:top w:val="nil"/>
              <w:left w:val="nil"/>
              <w:bottom w:val="nil"/>
              <w:right w:val="nil"/>
            </w:tcBorders>
          </w:tcPr>
          <w:p>
            <w:pPr>
              <w:pStyle w:val="TableParagraph"/>
              <w:spacing w:before="43"/>
              <w:rPr>
                <w:sz w:val="18"/>
              </w:rPr>
            </w:pPr>
            <w:r>
              <w:rPr>
                <w:sz w:val="18"/>
              </w:rPr>
              <w:t>Almoloya del Río</w:t>
            </w:r>
          </w:p>
        </w:tc>
        <w:tc>
          <w:tcPr>
            <w:tcW w:w="1998" w:type="dxa"/>
            <w:tcBorders>
              <w:top w:val="nil"/>
              <w:left w:val="nil"/>
              <w:bottom w:val="nil"/>
              <w:right w:val="nil"/>
            </w:tcBorders>
          </w:tcPr>
          <w:p>
            <w:pPr>
              <w:pStyle w:val="TableParagraph"/>
              <w:spacing w:before="43"/>
              <w:ind w:left="661"/>
              <w:rPr>
                <w:sz w:val="18"/>
              </w:rPr>
            </w:pPr>
            <w:r>
              <w:rPr>
                <w:sz w:val="18"/>
              </w:rPr>
              <w:t>2.73</w:t>
            </w:r>
          </w:p>
        </w:tc>
        <w:tc>
          <w:tcPr>
            <w:tcW w:w="2303" w:type="dxa"/>
            <w:tcBorders>
              <w:top w:val="nil"/>
              <w:left w:val="nil"/>
              <w:bottom w:val="nil"/>
              <w:right w:val="nil"/>
            </w:tcBorders>
          </w:tcPr>
          <w:p>
            <w:pPr>
              <w:pStyle w:val="TableParagraph"/>
              <w:spacing w:before="43"/>
              <w:ind w:left="473"/>
              <w:rPr>
                <w:sz w:val="18"/>
              </w:rPr>
            </w:pPr>
            <w:r>
              <w:rPr>
                <w:sz w:val="18"/>
              </w:rPr>
              <w:t>2.07</w:t>
            </w:r>
          </w:p>
        </w:tc>
      </w:tr>
      <w:tr>
        <w:trPr>
          <w:trHeight w:val="312" w:hRule="exact"/>
        </w:trPr>
        <w:tc>
          <w:tcPr>
            <w:tcW w:w="3731" w:type="dxa"/>
            <w:tcBorders>
              <w:top w:val="nil"/>
              <w:left w:val="nil"/>
              <w:bottom w:val="nil"/>
              <w:right w:val="nil"/>
            </w:tcBorders>
          </w:tcPr>
          <w:p>
            <w:pPr>
              <w:pStyle w:val="TableParagraph"/>
              <w:spacing w:before="43"/>
              <w:rPr>
                <w:sz w:val="18"/>
              </w:rPr>
            </w:pPr>
            <w:r>
              <w:rPr>
                <w:sz w:val="18"/>
              </w:rPr>
              <w:t>Tianguistenco</w:t>
            </w:r>
          </w:p>
        </w:tc>
        <w:tc>
          <w:tcPr>
            <w:tcW w:w="1998" w:type="dxa"/>
            <w:tcBorders>
              <w:top w:val="nil"/>
              <w:left w:val="nil"/>
              <w:bottom w:val="nil"/>
              <w:right w:val="nil"/>
            </w:tcBorders>
          </w:tcPr>
          <w:p>
            <w:pPr>
              <w:pStyle w:val="TableParagraph"/>
              <w:spacing w:before="43"/>
              <w:ind w:left="661"/>
              <w:rPr>
                <w:sz w:val="18"/>
              </w:rPr>
            </w:pPr>
            <w:r>
              <w:rPr>
                <w:sz w:val="18"/>
              </w:rPr>
              <w:t>3.24</w:t>
            </w:r>
          </w:p>
        </w:tc>
        <w:tc>
          <w:tcPr>
            <w:tcW w:w="2303" w:type="dxa"/>
            <w:tcBorders>
              <w:top w:val="nil"/>
              <w:left w:val="nil"/>
              <w:bottom w:val="nil"/>
              <w:right w:val="nil"/>
            </w:tcBorders>
          </w:tcPr>
          <w:p>
            <w:pPr>
              <w:pStyle w:val="TableParagraph"/>
              <w:spacing w:before="43"/>
              <w:ind w:left="473"/>
              <w:rPr>
                <w:sz w:val="18"/>
              </w:rPr>
            </w:pPr>
            <w:r>
              <w:rPr>
                <w:sz w:val="18"/>
              </w:rPr>
              <w:t>1.93</w:t>
            </w:r>
          </w:p>
        </w:tc>
      </w:tr>
      <w:tr>
        <w:trPr>
          <w:trHeight w:val="312" w:hRule="exact"/>
        </w:trPr>
        <w:tc>
          <w:tcPr>
            <w:tcW w:w="3731" w:type="dxa"/>
            <w:tcBorders>
              <w:top w:val="nil"/>
              <w:left w:val="nil"/>
              <w:bottom w:val="nil"/>
              <w:right w:val="nil"/>
            </w:tcBorders>
          </w:tcPr>
          <w:p>
            <w:pPr>
              <w:pStyle w:val="TableParagraph"/>
              <w:spacing w:before="43"/>
              <w:rPr>
                <w:sz w:val="18"/>
              </w:rPr>
            </w:pPr>
            <w:r>
              <w:rPr>
                <w:sz w:val="18"/>
              </w:rPr>
              <w:t>Tenango del Valle</w:t>
            </w:r>
          </w:p>
        </w:tc>
        <w:tc>
          <w:tcPr>
            <w:tcW w:w="1998" w:type="dxa"/>
            <w:tcBorders>
              <w:top w:val="nil"/>
              <w:left w:val="nil"/>
              <w:bottom w:val="nil"/>
              <w:right w:val="nil"/>
            </w:tcBorders>
          </w:tcPr>
          <w:p>
            <w:pPr>
              <w:pStyle w:val="TableParagraph"/>
              <w:spacing w:before="43"/>
              <w:ind w:left="661"/>
              <w:rPr>
                <w:sz w:val="18"/>
              </w:rPr>
            </w:pPr>
            <w:r>
              <w:rPr>
                <w:sz w:val="18"/>
              </w:rPr>
              <w:t>3.55</w:t>
            </w:r>
          </w:p>
        </w:tc>
        <w:tc>
          <w:tcPr>
            <w:tcW w:w="2303" w:type="dxa"/>
            <w:tcBorders>
              <w:top w:val="nil"/>
              <w:left w:val="nil"/>
              <w:bottom w:val="nil"/>
              <w:right w:val="nil"/>
            </w:tcBorders>
          </w:tcPr>
          <w:p>
            <w:pPr>
              <w:pStyle w:val="TableParagraph"/>
              <w:spacing w:before="43"/>
              <w:ind w:left="473"/>
              <w:rPr>
                <w:sz w:val="18"/>
              </w:rPr>
            </w:pPr>
            <w:r>
              <w:rPr>
                <w:sz w:val="18"/>
              </w:rPr>
              <w:t>1.82</w:t>
            </w:r>
          </w:p>
        </w:tc>
      </w:tr>
      <w:tr>
        <w:trPr>
          <w:trHeight w:val="255" w:hRule="exact"/>
        </w:trPr>
        <w:tc>
          <w:tcPr>
            <w:tcW w:w="3731" w:type="dxa"/>
            <w:tcBorders>
              <w:top w:val="nil"/>
              <w:left w:val="nil"/>
              <w:right w:val="nil"/>
            </w:tcBorders>
          </w:tcPr>
          <w:p>
            <w:pPr>
              <w:pStyle w:val="TableParagraph"/>
              <w:spacing w:before="43"/>
              <w:rPr>
                <w:sz w:val="18"/>
              </w:rPr>
            </w:pPr>
            <w:r>
              <w:rPr>
                <w:sz w:val="18"/>
              </w:rPr>
              <w:t>Capulhuac</w:t>
            </w:r>
          </w:p>
        </w:tc>
        <w:tc>
          <w:tcPr>
            <w:tcW w:w="1998" w:type="dxa"/>
            <w:tcBorders>
              <w:top w:val="nil"/>
              <w:left w:val="nil"/>
              <w:right w:val="nil"/>
            </w:tcBorders>
          </w:tcPr>
          <w:p>
            <w:pPr>
              <w:pStyle w:val="TableParagraph"/>
              <w:spacing w:before="43"/>
              <w:ind w:left="661"/>
              <w:rPr>
                <w:sz w:val="18"/>
              </w:rPr>
            </w:pPr>
            <w:r>
              <w:rPr>
                <w:sz w:val="18"/>
              </w:rPr>
              <w:t>3.09</w:t>
            </w:r>
          </w:p>
        </w:tc>
        <w:tc>
          <w:tcPr>
            <w:tcW w:w="2303" w:type="dxa"/>
            <w:tcBorders>
              <w:top w:val="nil"/>
              <w:left w:val="nil"/>
              <w:right w:val="nil"/>
            </w:tcBorders>
          </w:tcPr>
          <w:p>
            <w:pPr>
              <w:pStyle w:val="TableParagraph"/>
              <w:spacing w:before="43"/>
              <w:ind w:left="473"/>
              <w:rPr>
                <w:sz w:val="18"/>
              </w:rPr>
            </w:pPr>
            <w:r>
              <w:rPr>
                <w:sz w:val="18"/>
              </w:rPr>
              <w:t>1.70</w:t>
            </w:r>
          </w:p>
        </w:tc>
      </w:tr>
      <w:tr>
        <w:trPr>
          <w:trHeight w:val="338" w:hRule="exact"/>
        </w:trPr>
        <w:tc>
          <w:tcPr>
            <w:tcW w:w="3731" w:type="dxa"/>
            <w:tcBorders>
              <w:left w:val="nil"/>
              <w:right w:val="nil"/>
            </w:tcBorders>
          </w:tcPr>
          <w:p>
            <w:pPr>
              <w:pStyle w:val="TableParagraph"/>
              <w:spacing w:before="121"/>
              <w:rPr>
                <w:sz w:val="18"/>
              </w:rPr>
            </w:pPr>
            <w:r>
              <w:rPr>
                <w:sz w:val="18"/>
              </w:rPr>
              <w:t>Relación externa, resto de municipios</w:t>
            </w:r>
          </w:p>
        </w:tc>
        <w:tc>
          <w:tcPr>
            <w:tcW w:w="1998" w:type="dxa"/>
            <w:tcBorders>
              <w:left w:val="nil"/>
              <w:right w:val="nil"/>
            </w:tcBorders>
          </w:tcPr>
          <w:p>
            <w:pPr>
              <w:pStyle w:val="TableParagraph"/>
              <w:spacing w:before="121"/>
              <w:ind w:left="661"/>
              <w:rPr>
                <w:sz w:val="18"/>
              </w:rPr>
            </w:pPr>
            <w:r>
              <w:rPr>
                <w:sz w:val="18"/>
              </w:rPr>
              <w:t>3.33</w:t>
            </w:r>
          </w:p>
        </w:tc>
        <w:tc>
          <w:tcPr>
            <w:tcW w:w="2303" w:type="dxa"/>
            <w:tcBorders>
              <w:left w:val="nil"/>
              <w:right w:val="nil"/>
            </w:tcBorders>
          </w:tcPr>
          <w:p>
            <w:pPr>
              <w:pStyle w:val="TableParagraph"/>
              <w:spacing w:before="121"/>
              <w:ind w:left="473"/>
              <w:rPr>
                <w:sz w:val="18"/>
              </w:rPr>
            </w:pPr>
            <w:r>
              <w:rPr>
                <w:sz w:val="18"/>
              </w:rPr>
              <w:t>2.05</w:t>
            </w:r>
          </w:p>
        </w:tc>
      </w:tr>
    </w:tbl>
    <w:p>
      <w:pPr>
        <w:spacing w:line="240" w:lineRule="auto" w:before="0"/>
        <w:ind w:left="105" w:right="129" w:firstLine="4"/>
        <w:jc w:val="center"/>
        <w:rPr>
          <w:sz w:val="20"/>
        </w:rPr>
      </w:pPr>
      <w:r>
        <w:rPr>
          <w:sz w:val="20"/>
        </w:rPr>
        <w:t>Fuente: Elaboración propia con información del XI Censo General de Población y Vivienda 1990, Conteo de Población y Vivienda 1995, XII Censo General de Población y Vivienda 2000, II Conteo de Población y Vivienda 2005 y Censo de Población y Vivienda 2010 (ITER 1990,1995,2000,</w:t>
      </w:r>
      <w:r>
        <w:rPr>
          <w:spacing w:val="-31"/>
          <w:sz w:val="20"/>
        </w:rPr>
        <w:t> </w:t>
      </w:r>
      <w:r>
        <w:rPr>
          <w:sz w:val="20"/>
        </w:rPr>
        <w:t>2005 y</w:t>
      </w:r>
      <w:r>
        <w:rPr>
          <w:spacing w:val="-5"/>
          <w:sz w:val="20"/>
        </w:rPr>
        <w:t> </w:t>
      </w:r>
      <w:r>
        <w:rPr>
          <w:sz w:val="20"/>
        </w:rPr>
        <w:t>2010)</w:t>
      </w:r>
    </w:p>
    <w:p>
      <w:pPr>
        <w:spacing w:after="0" w:line="240" w:lineRule="auto"/>
        <w:jc w:val="center"/>
        <w:rPr>
          <w:sz w:val="20"/>
        </w:rPr>
        <w:sectPr>
          <w:pgSz w:w="12240" w:h="15840"/>
          <w:pgMar w:header="0" w:footer="659" w:top="1360" w:bottom="840" w:left="1640" w:right="1620"/>
        </w:sectPr>
      </w:pPr>
    </w:p>
    <w:p>
      <w:pPr>
        <w:spacing w:before="53" w:after="4"/>
        <w:ind w:left="1466" w:right="0" w:firstLine="0"/>
        <w:jc w:val="left"/>
        <w:rPr>
          <w:sz w:val="20"/>
        </w:rPr>
      </w:pPr>
      <w:r>
        <w:rPr>
          <w:sz w:val="20"/>
        </w:rPr>
        <w:t>Cuadro A .4.5 Participación relativa por tamaño de los asentamientos</w:t>
      </w:r>
    </w:p>
    <w:tbl>
      <w:tblPr>
        <w:tblW w:w="0" w:type="auto"/>
        <w:jc w:val="left"/>
        <w:tblInd w:w="10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553"/>
        <w:gridCol w:w="1570"/>
        <w:gridCol w:w="1933"/>
        <w:gridCol w:w="1837"/>
        <w:gridCol w:w="1973"/>
      </w:tblGrid>
      <w:tr>
        <w:trPr>
          <w:trHeight w:val="305" w:hRule="exact"/>
        </w:trPr>
        <w:tc>
          <w:tcPr>
            <w:tcW w:w="1553" w:type="dxa"/>
            <w:tcBorders>
              <w:left w:val="nil"/>
              <w:bottom w:val="nil"/>
              <w:right w:val="nil"/>
            </w:tcBorders>
            <w:shd w:val="clear" w:color="auto" w:fill="EDEBE0"/>
          </w:tcPr>
          <w:p>
            <w:pPr/>
          </w:p>
        </w:tc>
        <w:tc>
          <w:tcPr>
            <w:tcW w:w="1570" w:type="dxa"/>
            <w:tcBorders>
              <w:left w:val="nil"/>
              <w:bottom w:val="nil"/>
              <w:right w:val="nil"/>
            </w:tcBorders>
            <w:shd w:val="clear" w:color="auto" w:fill="EDEBE0"/>
          </w:tcPr>
          <w:p>
            <w:pPr/>
          </w:p>
        </w:tc>
        <w:tc>
          <w:tcPr>
            <w:tcW w:w="1933" w:type="dxa"/>
            <w:tcBorders>
              <w:left w:val="nil"/>
              <w:bottom w:val="nil"/>
              <w:right w:val="nil"/>
            </w:tcBorders>
            <w:shd w:val="clear" w:color="auto" w:fill="EDEBE0"/>
          </w:tcPr>
          <w:p>
            <w:pPr>
              <w:pStyle w:val="TableParagraph"/>
              <w:spacing w:before="92"/>
              <w:ind w:left="758" w:right="734"/>
              <w:jc w:val="center"/>
              <w:rPr>
                <w:sz w:val="18"/>
              </w:rPr>
            </w:pPr>
            <w:r>
              <w:rPr>
                <w:sz w:val="18"/>
              </w:rPr>
              <w:t>1990</w:t>
            </w:r>
          </w:p>
        </w:tc>
        <w:tc>
          <w:tcPr>
            <w:tcW w:w="1837" w:type="dxa"/>
            <w:tcBorders>
              <w:left w:val="nil"/>
              <w:bottom w:val="nil"/>
              <w:right w:val="nil"/>
            </w:tcBorders>
            <w:shd w:val="clear" w:color="auto" w:fill="EDEBE0"/>
          </w:tcPr>
          <w:p>
            <w:pPr/>
          </w:p>
        </w:tc>
        <w:tc>
          <w:tcPr>
            <w:tcW w:w="1973" w:type="dxa"/>
            <w:tcBorders>
              <w:left w:val="nil"/>
              <w:bottom w:val="nil"/>
              <w:right w:val="nil"/>
            </w:tcBorders>
            <w:shd w:val="clear" w:color="auto" w:fill="EDEBE0"/>
          </w:tcPr>
          <w:p>
            <w:pPr/>
          </w:p>
        </w:tc>
      </w:tr>
      <w:tr>
        <w:trPr>
          <w:trHeight w:val="626" w:hRule="exact"/>
        </w:trPr>
        <w:tc>
          <w:tcPr>
            <w:tcW w:w="1553" w:type="dxa"/>
            <w:tcBorders>
              <w:top w:val="nil"/>
              <w:left w:val="nil"/>
              <w:right w:val="nil"/>
            </w:tcBorders>
          </w:tcPr>
          <w:p>
            <w:pPr/>
          </w:p>
        </w:tc>
        <w:tc>
          <w:tcPr>
            <w:tcW w:w="1570" w:type="dxa"/>
            <w:tcBorders>
              <w:top w:val="nil"/>
              <w:left w:val="nil"/>
              <w:right w:val="nil"/>
            </w:tcBorders>
          </w:tcPr>
          <w:p>
            <w:pPr>
              <w:pStyle w:val="TableParagraph"/>
              <w:ind w:left="83" w:right="56"/>
              <w:rPr>
                <w:sz w:val="18"/>
              </w:rPr>
            </w:pPr>
            <w:r>
              <w:rPr>
                <w:sz w:val="18"/>
              </w:rPr>
              <w:t>Localidades rurales (1 a 2 499 hab.)</w:t>
            </w:r>
          </w:p>
        </w:tc>
        <w:tc>
          <w:tcPr>
            <w:tcW w:w="1933" w:type="dxa"/>
            <w:tcBorders>
              <w:top w:val="nil"/>
              <w:left w:val="nil"/>
              <w:right w:val="nil"/>
            </w:tcBorders>
          </w:tcPr>
          <w:p>
            <w:pPr>
              <w:pStyle w:val="TableParagraph"/>
              <w:ind w:left="0"/>
              <w:rPr>
                <w:sz w:val="18"/>
              </w:rPr>
            </w:pPr>
          </w:p>
          <w:p>
            <w:pPr>
              <w:pStyle w:val="TableParagraph"/>
              <w:spacing w:before="1"/>
              <w:ind w:left="73" w:right="68"/>
              <w:rPr>
                <w:sz w:val="18"/>
              </w:rPr>
            </w:pPr>
            <w:r>
              <w:rPr>
                <w:sz w:val="18"/>
              </w:rPr>
              <w:t>Centros de población (2 500 a  14 999 hab.)</w:t>
            </w:r>
          </w:p>
        </w:tc>
        <w:tc>
          <w:tcPr>
            <w:tcW w:w="1837" w:type="dxa"/>
            <w:tcBorders>
              <w:top w:val="nil"/>
              <w:left w:val="nil"/>
              <w:right w:val="nil"/>
            </w:tcBorders>
          </w:tcPr>
          <w:p>
            <w:pPr>
              <w:pStyle w:val="TableParagraph"/>
              <w:ind w:left="87" w:right="128"/>
              <w:rPr>
                <w:sz w:val="18"/>
              </w:rPr>
            </w:pPr>
            <w:r>
              <w:rPr>
                <w:sz w:val="18"/>
              </w:rPr>
              <w:t>Ciudades pequeñas (15 000 a 99 999</w:t>
            </w:r>
          </w:p>
          <w:p>
            <w:pPr>
              <w:pStyle w:val="TableParagraph"/>
              <w:spacing w:line="206" w:lineRule="exact"/>
              <w:ind w:left="87" w:right="128"/>
              <w:rPr>
                <w:sz w:val="18"/>
              </w:rPr>
            </w:pPr>
            <w:r>
              <w:rPr>
                <w:sz w:val="18"/>
              </w:rPr>
              <w:t>hab.)</w:t>
            </w:r>
          </w:p>
        </w:tc>
        <w:tc>
          <w:tcPr>
            <w:tcW w:w="1973" w:type="dxa"/>
            <w:tcBorders>
              <w:top w:val="nil"/>
              <w:left w:val="nil"/>
              <w:right w:val="nil"/>
            </w:tcBorders>
          </w:tcPr>
          <w:p>
            <w:pPr>
              <w:pStyle w:val="TableParagraph"/>
              <w:ind w:left="148" w:right="244"/>
              <w:rPr>
                <w:sz w:val="18"/>
              </w:rPr>
            </w:pPr>
            <w:r>
              <w:rPr>
                <w:sz w:val="18"/>
              </w:rPr>
              <w:t>Ciudades medias (100 000 a 999 999</w:t>
            </w:r>
          </w:p>
          <w:p>
            <w:pPr>
              <w:pStyle w:val="TableParagraph"/>
              <w:spacing w:line="206" w:lineRule="exact"/>
              <w:ind w:left="148" w:right="244"/>
              <w:rPr>
                <w:sz w:val="18"/>
              </w:rPr>
            </w:pPr>
            <w:r>
              <w:rPr>
                <w:sz w:val="18"/>
              </w:rPr>
              <w:t>hab.)</w:t>
            </w:r>
          </w:p>
        </w:tc>
      </w:tr>
      <w:tr>
        <w:trPr>
          <w:trHeight w:val="635" w:hRule="exact"/>
        </w:trPr>
        <w:tc>
          <w:tcPr>
            <w:tcW w:w="1553" w:type="dxa"/>
            <w:tcBorders>
              <w:left w:val="nil"/>
              <w:bottom w:val="nil"/>
              <w:right w:val="nil"/>
            </w:tcBorders>
          </w:tcPr>
          <w:p>
            <w:pPr>
              <w:pStyle w:val="TableParagraph"/>
              <w:ind w:right="473"/>
              <w:rPr>
                <w:sz w:val="18"/>
              </w:rPr>
            </w:pPr>
            <w:r>
              <w:rPr>
                <w:sz w:val="18"/>
              </w:rPr>
              <w:t>Área urbana continua de Toluca</w:t>
            </w:r>
          </w:p>
        </w:tc>
        <w:tc>
          <w:tcPr>
            <w:tcW w:w="1570" w:type="dxa"/>
            <w:tcBorders>
              <w:left w:val="nil"/>
              <w:bottom w:val="nil"/>
              <w:right w:val="nil"/>
            </w:tcBorders>
          </w:tcPr>
          <w:p>
            <w:pPr>
              <w:pStyle w:val="TableParagraph"/>
              <w:ind w:left="0"/>
              <w:rPr>
                <w:sz w:val="18"/>
              </w:rPr>
            </w:pPr>
          </w:p>
          <w:p>
            <w:pPr>
              <w:pStyle w:val="TableParagraph"/>
              <w:spacing w:before="1"/>
              <w:ind w:left="83" w:right="56"/>
              <w:rPr>
                <w:sz w:val="18"/>
              </w:rPr>
            </w:pPr>
            <w:r>
              <w:rPr>
                <w:sz w:val="18"/>
              </w:rPr>
              <w:t>21.248322</w:t>
            </w:r>
          </w:p>
        </w:tc>
        <w:tc>
          <w:tcPr>
            <w:tcW w:w="1933" w:type="dxa"/>
            <w:tcBorders>
              <w:left w:val="nil"/>
              <w:bottom w:val="nil"/>
              <w:right w:val="nil"/>
            </w:tcBorders>
          </w:tcPr>
          <w:p>
            <w:pPr>
              <w:pStyle w:val="TableParagraph"/>
              <w:ind w:left="0"/>
              <w:rPr>
                <w:sz w:val="18"/>
              </w:rPr>
            </w:pPr>
          </w:p>
          <w:p>
            <w:pPr>
              <w:pStyle w:val="TableParagraph"/>
              <w:spacing w:before="1"/>
              <w:ind w:left="73" w:right="68"/>
              <w:rPr>
                <w:sz w:val="18"/>
              </w:rPr>
            </w:pPr>
            <w:r>
              <w:rPr>
                <w:sz w:val="18"/>
              </w:rPr>
              <w:t>25.1052863</w:t>
            </w:r>
          </w:p>
        </w:tc>
        <w:tc>
          <w:tcPr>
            <w:tcW w:w="1837" w:type="dxa"/>
            <w:tcBorders>
              <w:left w:val="nil"/>
              <w:bottom w:val="nil"/>
              <w:right w:val="nil"/>
            </w:tcBorders>
          </w:tcPr>
          <w:p>
            <w:pPr>
              <w:pStyle w:val="TableParagraph"/>
              <w:ind w:left="0"/>
              <w:rPr>
                <w:sz w:val="18"/>
              </w:rPr>
            </w:pPr>
          </w:p>
          <w:p>
            <w:pPr>
              <w:pStyle w:val="TableParagraph"/>
              <w:spacing w:before="1"/>
              <w:ind w:left="87" w:right="128"/>
              <w:rPr>
                <w:sz w:val="18"/>
              </w:rPr>
            </w:pPr>
            <w:r>
              <w:rPr>
                <w:sz w:val="18"/>
              </w:rPr>
              <w:t>8.17664544</w:t>
            </w:r>
          </w:p>
        </w:tc>
        <w:tc>
          <w:tcPr>
            <w:tcW w:w="1973" w:type="dxa"/>
            <w:tcBorders>
              <w:left w:val="nil"/>
              <w:bottom w:val="nil"/>
              <w:right w:val="nil"/>
            </w:tcBorders>
          </w:tcPr>
          <w:p>
            <w:pPr>
              <w:pStyle w:val="TableParagraph"/>
              <w:ind w:left="0"/>
              <w:rPr>
                <w:sz w:val="18"/>
              </w:rPr>
            </w:pPr>
          </w:p>
          <w:p>
            <w:pPr>
              <w:pStyle w:val="TableParagraph"/>
              <w:spacing w:before="1"/>
              <w:ind w:left="148" w:right="244"/>
              <w:rPr>
                <w:sz w:val="18"/>
              </w:rPr>
            </w:pPr>
            <w:r>
              <w:rPr>
                <w:sz w:val="18"/>
              </w:rPr>
              <w:t>45.4697463</w:t>
            </w:r>
          </w:p>
        </w:tc>
      </w:tr>
      <w:tr>
        <w:trPr>
          <w:trHeight w:val="622" w:hRule="exact"/>
        </w:trPr>
        <w:tc>
          <w:tcPr>
            <w:tcW w:w="1553" w:type="dxa"/>
            <w:tcBorders>
              <w:top w:val="nil"/>
              <w:left w:val="nil"/>
              <w:bottom w:val="nil"/>
              <w:right w:val="nil"/>
            </w:tcBorders>
          </w:tcPr>
          <w:p>
            <w:pPr>
              <w:pStyle w:val="TableParagraph"/>
              <w:ind w:right="473"/>
              <w:rPr>
                <w:sz w:val="18"/>
              </w:rPr>
            </w:pPr>
            <w:r>
              <w:rPr>
                <w:sz w:val="18"/>
              </w:rPr>
              <w:t>Interrelación funcional intermedia</w:t>
            </w:r>
          </w:p>
        </w:tc>
        <w:tc>
          <w:tcPr>
            <w:tcW w:w="1570" w:type="dxa"/>
            <w:tcBorders>
              <w:top w:val="nil"/>
              <w:left w:val="nil"/>
              <w:bottom w:val="nil"/>
              <w:right w:val="nil"/>
            </w:tcBorders>
          </w:tcPr>
          <w:p>
            <w:pPr>
              <w:pStyle w:val="TableParagraph"/>
              <w:spacing w:before="1"/>
              <w:ind w:left="0"/>
              <w:rPr>
                <w:sz w:val="17"/>
              </w:rPr>
            </w:pPr>
          </w:p>
          <w:p>
            <w:pPr>
              <w:pStyle w:val="TableParagraph"/>
              <w:ind w:left="83" w:right="56"/>
              <w:rPr>
                <w:sz w:val="18"/>
              </w:rPr>
            </w:pPr>
            <w:r>
              <w:rPr>
                <w:sz w:val="18"/>
              </w:rPr>
              <w:t>36.6918405</w:t>
            </w:r>
          </w:p>
        </w:tc>
        <w:tc>
          <w:tcPr>
            <w:tcW w:w="1933" w:type="dxa"/>
            <w:tcBorders>
              <w:top w:val="nil"/>
              <w:left w:val="nil"/>
              <w:bottom w:val="nil"/>
              <w:right w:val="nil"/>
            </w:tcBorders>
          </w:tcPr>
          <w:p>
            <w:pPr>
              <w:pStyle w:val="TableParagraph"/>
              <w:spacing w:before="1"/>
              <w:ind w:left="0"/>
              <w:rPr>
                <w:sz w:val="17"/>
              </w:rPr>
            </w:pPr>
          </w:p>
          <w:p>
            <w:pPr>
              <w:pStyle w:val="TableParagraph"/>
              <w:ind w:left="73" w:right="68"/>
              <w:rPr>
                <w:sz w:val="18"/>
              </w:rPr>
            </w:pPr>
            <w:r>
              <w:rPr>
                <w:sz w:val="18"/>
              </w:rPr>
              <w:t>50.1378213</w:t>
            </w:r>
          </w:p>
        </w:tc>
        <w:tc>
          <w:tcPr>
            <w:tcW w:w="1837" w:type="dxa"/>
            <w:tcBorders>
              <w:top w:val="nil"/>
              <w:left w:val="nil"/>
              <w:bottom w:val="nil"/>
              <w:right w:val="nil"/>
            </w:tcBorders>
          </w:tcPr>
          <w:p>
            <w:pPr>
              <w:pStyle w:val="TableParagraph"/>
              <w:spacing w:before="1"/>
              <w:ind w:left="0"/>
              <w:rPr>
                <w:sz w:val="17"/>
              </w:rPr>
            </w:pPr>
          </w:p>
          <w:p>
            <w:pPr>
              <w:pStyle w:val="TableParagraph"/>
              <w:ind w:left="87" w:right="128"/>
              <w:rPr>
                <w:sz w:val="18"/>
              </w:rPr>
            </w:pPr>
            <w:r>
              <w:rPr>
                <w:sz w:val="18"/>
              </w:rPr>
              <w:t>13.1703382</w:t>
            </w:r>
          </w:p>
        </w:tc>
        <w:tc>
          <w:tcPr>
            <w:tcW w:w="1973" w:type="dxa"/>
            <w:tcBorders>
              <w:top w:val="nil"/>
              <w:left w:val="nil"/>
              <w:bottom w:val="nil"/>
              <w:right w:val="nil"/>
            </w:tcBorders>
          </w:tcPr>
          <w:p>
            <w:pPr>
              <w:pStyle w:val="TableParagraph"/>
              <w:spacing w:before="1"/>
              <w:ind w:left="0"/>
              <w:rPr>
                <w:sz w:val="17"/>
              </w:rPr>
            </w:pPr>
          </w:p>
          <w:p>
            <w:pPr>
              <w:pStyle w:val="TableParagraph"/>
              <w:ind w:left="148"/>
              <w:rPr>
                <w:sz w:val="18"/>
              </w:rPr>
            </w:pPr>
            <w:r>
              <w:rPr>
                <w:w w:val="99"/>
                <w:sz w:val="18"/>
              </w:rPr>
              <w:t>0</w:t>
            </w:r>
          </w:p>
        </w:tc>
      </w:tr>
      <w:tr>
        <w:trPr>
          <w:trHeight w:val="409" w:hRule="exact"/>
        </w:trPr>
        <w:tc>
          <w:tcPr>
            <w:tcW w:w="1553" w:type="dxa"/>
            <w:tcBorders>
              <w:top w:val="nil"/>
              <w:left w:val="nil"/>
              <w:right w:val="nil"/>
            </w:tcBorders>
          </w:tcPr>
          <w:p>
            <w:pPr>
              <w:pStyle w:val="TableParagraph"/>
              <w:ind w:right="63"/>
              <w:rPr>
                <w:sz w:val="18"/>
              </w:rPr>
            </w:pPr>
            <w:r>
              <w:rPr>
                <w:sz w:val="18"/>
              </w:rPr>
              <w:t>Relación externa, resto municipios</w:t>
            </w:r>
          </w:p>
        </w:tc>
        <w:tc>
          <w:tcPr>
            <w:tcW w:w="1570" w:type="dxa"/>
            <w:tcBorders>
              <w:top w:val="nil"/>
              <w:left w:val="nil"/>
              <w:right w:val="nil"/>
            </w:tcBorders>
          </w:tcPr>
          <w:p>
            <w:pPr>
              <w:pStyle w:val="TableParagraph"/>
              <w:spacing w:before="93"/>
              <w:ind w:left="83" w:right="56"/>
              <w:rPr>
                <w:sz w:val="18"/>
              </w:rPr>
            </w:pPr>
            <w:r>
              <w:rPr>
                <w:sz w:val="18"/>
              </w:rPr>
              <w:t>22.5684887</w:t>
            </w:r>
          </w:p>
        </w:tc>
        <w:tc>
          <w:tcPr>
            <w:tcW w:w="1933" w:type="dxa"/>
            <w:tcBorders>
              <w:top w:val="nil"/>
              <w:left w:val="nil"/>
              <w:right w:val="nil"/>
            </w:tcBorders>
          </w:tcPr>
          <w:p>
            <w:pPr>
              <w:pStyle w:val="TableParagraph"/>
              <w:spacing w:before="93"/>
              <w:ind w:left="73" w:right="68"/>
              <w:rPr>
                <w:sz w:val="18"/>
              </w:rPr>
            </w:pPr>
            <w:r>
              <w:rPr>
                <w:sz w:val="18"/>
              </w:rPr>
              <w:t>77.4315113</w:t>
            </w:r>
          </w:p>
        </w:tc>
        <w:tc>
          <w:tcPr>
            <w:tcW w:w="1837" w:type="dxa"/>
            <w:tcBorders>
              <w:top w:val="nil"/>
              <w:left w:val="nil"/>
              <w:right w:val="nil"/>
            </w:tcBorders>
          </w:tcPr>
          <w:p>
            <w:pPr>
              <w:pStyle w:val="TableParagraph"/>
              <w:spacing w:before="93"/>
              <w:ind w:left="87"/>
              <w:rPr>
                <w:sz w:val="18"/>
              </w:rPr>
            </w:pPr>
            <w:r>
              <w:rPr>
                <w:w w:val="99"/>
                <w:sz w:val="18"/>
              </w:rPr>
              <w:t>0</w:t>
            </w:r>
          </w:p>
        </w:tc>
        <w:tc>
          <w:tcPr>
            <w:tcW w:w="1973" w:type="dxa"/>
            <w:tcBorders>
              <w:top w:val="nil"/>
              <w:left w:val="nil"/>
              <w:right w:val="nil"/>
            </w:tcBorders>
          </w:tcPr>
          <w:p>
            <w:pPr>
              <w:pStyle w:val="TableParagraph"/>
              <w:spacing w:before="93"/>
              <w:ind w:left="148"/>
              <w:rPr>
                <w:sz w:val="18"/>
              </w:rPr>
            </w:pPr>
            <w:r>
              <w:rPr>
                <w:w w:val="99"/>
                <w:sz w:val="18"/>
              </w:rPr>
              <w:t>0</w:t>
            </w:r>
          </w:p>
        </w:tc>
      </w:tr>
      <w:tr>
        <w:trPr>
          <w:trHeight w:val="305" w:hRule="exact"/>
        </w:trPr>
        <w:tc>
          <w:tcPr>
            <w:tcW w:w="1553" w:type="dxa"/>
            <w:tcBorders>
              <w:left w:val="nil"/>
              <w:bottom w:val="nil"/>
              <w:right w:val="nil"/>
            </w:tcBorders>
            <w:shd w:val="clear" w:color="auto" w:fill="EDEBE0"/>
          </w:tcPr>
          <w:p>
            <w:pPr/>
          </w:p>
        </w:tc>
        <w:tc>
          <w:tcPr>
            <w:tcW w:w="1570" w:type="dxa"/>
            <w:tcBorders>
              <w:left w:val="nil"/>
              <w:bottom w:val="nil"/>
              <w:right w:val="nil"/>
            </w:tcBorders>
            <w:shd w:val="clear" w:color="auto" w:fill="EDEBE0"/>
          </w:tcPr>
          <w:p>
            <w:pPr/>
          </w:p>
        </w:tc>
        <w:tc>
          <w:tcPr>
            <w:tcW w:w="1933" w:type="dxa"/>
            <w:tcBorders>
              <w:left w:val="nil"/>
              <w:bottom w:val="nil"/>
              <w:right w:val="nil"/>
            </w:tcBorders>
            <w:shd w:val="clear" w:color="auto" w:fill="EDEBE0"/>
          </w:tcPr>
          <w:p>
            <w:pPr>
              <w:pStyle w:val="TableParagraph"/>
              <w:spacing w:before="92"/>
              <w:ind w:left="73" w:right="68"/>
              <w:rPr>
                <w:sz w:val="18"/>
              </w:rPr>
            </w:pPr>
            <w:r>
              <w:rPr>
                <w:sz w:val="18"/>
              </w:rPr>
              <w:t>2000</w:t>
            </w:r>
          </w:p>
        </w:tc>
        <w:tc>
          <w:tcPr>
            <w:tcW w:w="1837" w:type="dxa"/>
            <w:tcBorders>
              <w:left w:val="nil"/>
              <w:bottom w:val="nil"/>
              <w:right w:val="nil"/>
            </w:tcBorders>
            <w:shd w:val="clear" w:color="auto" w:fill="EDEBE0"/>
          </w:tcPr>
          <w:p>
            <w:pPr/>
          </w:p>
        </w:tc>
        <w:tc>
          <w:tcPr>
            <w:tcW w:w="1973" w:type="dxa"/>
            <w:tcBorders>
              <w:left w:val="nil"/>
              <w:bottom w:val="nil"/>
              <w:right w:val="nil"/>
            </w:tcBorders>
            <w:shd w:val="clear" w:color="auto" w:fill="EDEBE0"/>
          </w:tcPr>
          <w:p>
            <w:pPr/>
          </w:p>
        </w:tc>
      </w:tr>
      <w:tr>
        <w:trPr>
          <w:trHeight w:val="627" w:hRule="exact"/>
        </w:trPr>
        <w:tc>
          <w:tcPr>
            <w:tcW w:w="1553" w:type="dxa"/>
            <w:tcBorders>
              <w:top w:val="nil"/>
              <w:left w:val="nil"/>
              <w:right w:val="nil"/>
            </w:tcBorders>
          </w:tcPr>
          <w:p>
            <w:pPr/>
          </w:p>
        </w:tc>
        <w:tc>
          <w:tcPr>
            <w:tcW w:w="1570" w:type="dxa"/>
            <w:tcBorders>
              <w:top w:val="nil"/>
              <w:left w:val="nil"/>
              <w:right w:val="nil"/>
            </w:tcBorders>
          </w:tcPr>
          <w:p>
            <w:pPr>
              <w:pStyle w:val="TableParagraph"/>
              <w:ind w:left="83" w:right="56"/>
              <w:rPr>
                <w:sz w:val="18"/>
              </w:rPr>
            </w:pPr>
            <w:r>
              <w:rPr>
                <w:sz w:val="18"/>
              </w:rPr>
              <w:t>Localidades rurales (1 a 2 499 hab.)</w:t>
            </w:r>
          </w:p>
        </w:tc>
        <w:tc>
          <w:tcPr>
            <w:tcW w:w="1933" w:type="dxa"/>
            <w:tcBorders>
              <w:top w:val="nil"/>
              <w:left w:val="nil"/>
              <w:right w:val="nil"/>
            </w:tcBorders>
          </w:tcPr>
          <w:p>
            <w:pPr>
              <w:pStyle w:val="TableParagraph"/>
              <w:ind w:left="0"/>
              <w:rPr>
                <w:sz w:val="18"/>
              </w:rPr>
            </w:pPr>
          </w:p>
          <w:p>
            <w:pPr>
              <w:pStyle w:val="TableParagraph"/>
              <w:spacing w:before="1"/>
              <w:ind w:left="73" w:right="68"/>
              <w:rPr>
                <w:sz w:val="18"/>
              </w:rPr>
            </w:pPr>
            <w:r>
              <w:rPr>
                <w:sz w:val="18"/>
              </w:rPr>
              <w:t>Centros de población (2 500 a  14 999 hab.)</w:t>
            </w:r>
          </w:p>
        </w:tc>
        <w:tc>
          <w:tcPr>
            <w:tcW w:w="1837" w:type="dxa"/>
            <w:tcBorders>
              <w:top w:val="nil"/>
              <w:left w:val="nil"/>
              <w:right w:val="nil"/>
            </w:tcBorders>
          </w:tcPr>
          <w:p>
            <w:pPr>
              <w:pStyle w:val="TableParagraph"/>
              <w:ind w:left="87" w:right="128"/>
              <w:rPr>
                <w:sz w:val="18"/>
              </w:rPr>
            </w:pPr>
            <w:r>
              <w:rPr>
                <w:sz w:val="18"/>
              </w:rPr>
              <w:t>Ciudades pequeñas (15 000 a 99 999</w:t>
            </w:r>
          </w:p>
          <w:p>
            <w:pPr>
              <w:pStyle w:val="TableParagraph"/>
              <w:ind w:left="87" w:right="128"/>
              <w:rPr>
                <w:sz w:val="18"/>
              </w:rPr>
            </w:pPr>
            <w:r>
              <w:rPr>
                <w:sz w:val="18"/>
              </w:rPr>
              <w:t>hab.)</w:t>
            </w:r>
          </w:p>
        </w:tc>
        <w:tc>
          <w:tcPr>
            <w:tcW w:w="1973" w:type="dxa"/>
            <w:tcBorders>
              <w:top w:val="nil"/>
              <w:left w:val="nil"/>
              <w:right w:val="nil"/>
            </w:tcBorders>
          </w:tcPr>
          <w:p>
            <w:pPr>
              <w:pStyle w:val="TableParagraph"/>
              <w:ind w:left="148" w:right="244"/>
              <w:rPr>
                <w:sz w:val="18"/>
              </w:rPr>
            </w:pPr>
            <w:r>
              <w:rPr>
                <w:sz w:val="18"/>
              </w:rPr>
              <w:t>Ciudades medias (100 000 a 999 999</w:t>
            </w:r>
          </w:p>
          <w:p>
            <w:pPr>
              <w:pStyle w:val="TableParagraph"/>
              <w:ind w:left="148" w:right="244"/>
              <w:rPr>
                <w:sz w:val="18"/>
              </w:rPr>
            </w:pPr>
            <w:r>
              <w:rPr>
                <w:sz w:val="18"/>
              </w:rPr>
              <w:t>hab.)</w:t>
            </w:r>
          </w:p>
        </w:tc>
      </w:tr>
      <w:tr>
        <w:trPr>
          <w:trHeight w:val="635" w:hRule="exact"/>
        </w:trPr>
        <w:tc>
          <w:tcPr>
            <w:tcW w:w="1553" w:type="dxa"/>
            <w:tcBorders>
              <w:left w:val="nil"/>
              <w:bottom w:val="nil"/>
              <w:right w:val="nil"/>
            </w:tcBorders>
          </w:tcPr>
          <w:p>
            <w:pPr>
              <w:pStyle w:val="TableParagraph"/>
              <w:ind w:right="473"/>
              <w:rPr>
                <w:sz w:val="18"/>
              </w:rPr>
            </w:pPr>
            <w:r>
              <w:rPr>
                <w:sz w:val="18"/>
              </w:rPr>
              <w:t>Área urbana continua de Toluca</w:t>
            </w:r>
          </w:p>
        </w:tc>
        <w:tc>
          <w:tcPr>
            <w:tcW w:w="1570" w:type="dxa"/>
            <w:tcBorders>
              <w:left w:val="nil"/>
              <w:bottom w:val="nil"/>
              <w:right w:val="nil"/>
            </w:tcBorders>
          </w:tcPr>
          <w:p>
            <w:pPr>
              <w:pStyle w:val="TableParagraph"/>
              <w:spacing w:before="1"/>
              <w:ind w:left="0"/>
              <w:rPr>
                <w:sz w:val="18"/>
              </w:rPr>
            </w:pPr>
          </w:p>
          <w:p>
            <w:pPr>
              <w:pStyle w:val="TableParagraph"/>
              <w:ind w:left="83" w:right="56"/>
              <w:rPr>
                <w:sz w:val="18"/>
              </w:rPr>
            </w:pPr>
            <w:r>
              <w:rPr>
                <w:sz w:val="18"/>
              </w:rPr>
              <w:t>16.2890464</w:t>
            </w:r>
          </w:p>
        </w:tc>
        <w:tc>
          <w:tcPr>
            <w:tcW w:w="1933" w:type="dxa"/>
            <w:tcBorders>
              <w:left w:val="nil"/>
              <w:bottom w:val="nil"/>
              <w:right w:val="nil"/>
            </w:tcBorders>
          </w:tcPr>
          <w:p>
            <w:pPr>
              <w:pStyle w:val="TableParagraph"/>
              <w:spacing w:before="1"/>
              <w:ind w:left="0"/>
              <w:rPr>
                <w:sz w:val="18"/>
              </w:rPr>
            </w:pPr>
          </w:p>
          <w:p>
            <w:pPr>
              <w:pStyle w:val="TableParagraph"/>
              <w:ind w:left="73" w:right="68"/>
              <w:rPr>
                <w:sz w:val="18"/>
              </w:rPr>
            </w:pPr>
            <w:r>
              <w:rPr>
                <w:sz w:val="18"/>
              </w:rPr>
              <w:t>25.577242</w:t>
            </w:r>
          </w:p>
        </w:tc>
        <w:tc>
          <w:tcPr>
            <w:tcW w:w="1837" w:type="dxa"/>
            <w:tcBorders>
              <w:left w:val="nil"/>
              <w:bottom w:val="nil"/>
              <w:right w:val="nil"/>
            </w:tcBorders>
          </w:tcPr>
          <w:p>
            <w:pPr>
              <w:pStyle w:val="TableParagraph"/>
              <w:spacing w:before="1"/>
              <w:ind w:left="0"/>
              <w:rPr>
                <w:sz w:val="18"/>
              </w:rPr>
            </w:pPr>
          </w:p>
          <w:p>
            <w:pPr>
              <w:pStyle w:val="TableParagraph"/>
              <w:ind w:left="87" w:right="128"/>
              <w:rPr>
                <w:sz w:val="18"/>
              </w:rPr>
            </w:pPr>
            <w:r>
              <w:rPr>
                <w:sz w:val="18"/>
              </w:rPr>
              <w:t>14.3100365</w:t>
            </w:r>
          </w:p>
        </w:tc>
        <w:tc>
          <w:tcPr>
            <w:tcW w:w="1973" w:type="dxa"/>
            <w:tcBorders>
              <w:left w:val="nil"/>
              <w:bottom w:val="nil"/>
              <w:right w:val="nil"/>
            </w:tcBorders>
          </w:tcPr>
          <w:p>
            <w:pPr>
              <w:pStyle w:val="TableParagraph"/>
              <w:spacing w:before="1"/>
              <w:ind w:left="0"/>
              <w:rPr>
                <w:sz w:val="18"/>
              </w:rPr>
            </w:pPr>
          </w:p>
          <w:p>
            <w:pPr>
              <w:pStyle w:val="TableParagraph"/>
              <w:ind w:left="148" w:right="244"/>
              <w:rPr>
                <w:sz w:val="18"/>
              </w:rPr>
            </w:pPr>
            <w:r>
              <w:rPr>
                <w:sz w:val="18"/>
              </w:rPr>
              <w:t>43.8236751</w:t>
            </w:r>
          </w:p>
        </w:tc>
      </w:tr>
      <w:tr>
        <w:trPr>
          <w:trHeight w:val="622" w:hRule="exact"/>
        </w:trPr>
        <w:tc>
          <w:tcPr>
            <w:tcW w:w="1553" w:type="dxa"/>
            <w:tcBorders>
              <w:top w:val="nil"/>
              <w:left w:val="nil"/>
              <w:bottom w:val="nil"/>
              <w:right w:val="nil"/>
            </w:tcBorders>
          </w:tcPr>
          <w:p>
            <w:pPr>
              <w:pStyle w:val="TableParagraph"/>
              <w:ind w:right="473"/>
              <w:rPr>
                <w:sz w:val="18"/>
              </w:rPr>
            </w:pPr>
            <w:r>
              <w:rPr>
                <w:sz w:val="18"/>
              </w:rPr>
              <w:t>Interrelación funcional intermedia</w:t>
            </w:r>
          </w:p>
        </w:tc>
        <w:tc>
          <w:tcPr>
            <w:tcW w:w="1570" w:type="dxa"/>
            <w:tcBorders>
              <w:top w:val="nil"/>
              <w:left w:val="nil"/>
              <w:bottom w:val="nil"/>
              <w:right w:val="nil"/>
            </w:tcBorders>
          </w:tcPr>
          <w:p>
            <w:pPr>
              <w:pStyle w:val="TableParagraph"/>
              <w:spacing w:before="1"/>
              <w:ind w:left="0"/>
              <w:rPr>
                <w:sz w:val="17"/>
              </w:rPr>
            </w:pPr>
          </w:p>
          <w:p>
            <w:pPr>
              <w:pStyle w:val="TableParagraph"/>
              <w:ind w:left="83" w:right="56"/>
              <w:rPr>
                <w:sz w:val="18"/>
              </w:rPr>
            </w:pPr>
            <w:r>
              <w:rPr>
                <w:sz w:val="18"/>
              </w:rPr>
              <w:t>32.7296946</w:t>
            </w:r>
          </w:p>
        </w:tc>
        <w:tc>
          <w:tcPr>
            <w:tcW w:w="1933" w:type="dxa"/>
            <w:tcBorders>
              <w:top w:val="nil"/>
              <w:left w:val="nil"/>
              <w:bottom w:val="nil"/>
              <w:right w:val="nil"/>
            </w:tcBorders>
          </w:tcPr>
          <w:p>
            <w:pPr>
              <w:pStyle w:val="TableParagraph"/>
              <w:spacing w:before="1"/>
              <w:ind w:left="0"/>
              <w:rPr>
                <w:sz w:val="17"/>
              </w:rPr>
            </w:pPr>
          </w:p>
          <w:p>
            <w:pPr>
              <w:pStyle w:val="TableParagraph"/>
              <w:ind w:left="73" w:right="68"/>
              <w:rPr>
                <w:sz w:val="18"/>
              </w:rPr>
            </w:pPr>
            <w:r>
              <w:rPr>
                <w:sz w:val="18"/>
              </w:rPr>
              <w:t>45.7997854</w:t>
            </w:r>
          </w:p>
        </w:tc>
        <w:tc>
          <w:tcPr>
            <w:tcW w:w="1837" w:type="dxa"/>
            <w:tcBorders>
              <w:top w:val="nil"/>
              <w:left w:val="nil"/>
              <w:bottom w:val="nil"/>
              <w:right w:val="nil"/>
            </w:tcBorders>
          </w:tcPr>
          <w:p>
            <w:pPr>
              <w:pStyle w:val="TableParagraph"/>
              <w:spacing w:before="1"/>
              <w:ind w:left="0"/>
              <w:rPr>
                <w:sz w:val="17"/>
              </w:rPr>
            </w:pPr>
          </w:p>
          <w:p>
            <w:pPr>
              <w:pStyle w:val="TableParagraph"/>
              <w:ind w:left="87" w:right="128"/>
              <w:rPr>
                <w:sz w:val="18"/>
              </w:rPr>
            </w:pPr>
            <w:r>
              <w:rPr>
                <w:sz w:val="18"/>
              </w:rPr>
              <w:t>21.47052</w:t>
            </w:r>
          </w:p>
        </w:tc>
        <w:tc>
          <w:tcPr>
            <w:tcW w:w="1973" w:type="dxa"/>
            <w:tcBorders>
              <w:top w:val="nil"/>
              <w:left w:val="nil"/>
              <w:bottom w:val="nil"/>
              <w:right w:val="nil"/>
            </w:tcBorders>
          </w:tcPr>
          <w:p>
            <w:pPr>
              <w:pStyle w:val="TableParagraph"/>
              <w:spacing w:before="1"/>
              <w:ind w:left="0"/>
              <w:rPr>
                <w:sz w:val="17"/>
              </w:rPr>
            </w:pPr>
          </w:p>
          <w:p>
            <w:pPr>
              <w:pStyle w:val="TableParagraph"/>
              <w:ind w:left="148"/>
              <w:rPr>
                <w:sz w:val="18"/>
              </w:rPr>
            </w:pPr>
            <w:r>
              <w:rPr>
                <w:w w:val="99"/>
                <w:sz w:val="18"/>
              </w:rPr>
              <w:t>0</w:t>
            </w:r>
          </w:p>
        </w:tc>
      </w:tr>
      <w:tr>
        <w:trPr>
          <w:trHeight w:val="409" w:hRule="exact"/>
        </w:trPr>
        <w:tc>
          <w:tcPr>
            <w:tcW w:w="1553" w:type="dxa"/>
            <w:tcBorders>
              <w:top w:val="nil"/>
              <w:left w:val="nil"/>
              <w:right w:val="nil"/>
            </w:tcBorders>
          </w:tcPr>
          <w:p>
            <w:pPr>
              <w:pStyle w:val="TableParagraph"/>
              <w:ind w:right="63"/>
              <w:rPr>
                <w:sz w:val="18"/>
              </w:rPr>
            </w:pPr>
            <w:r>
              <w:rPr>
                <w:sz w:val="18"/>
              </w:rPr>
              <w:t>Relación externa, resto municipios</w:t>
            </w:r>
          </w:p>
        </w:tc>
        <w:tc>
          <w:tcPr>
            <w:tcW w:w="1570" w:type="dxa"/>
            <w:tcBorders>
              <w:top w:val="nil"/>
              <w:left w:val="nil"/>
              <w:right w:val="nil"/>
            </w:tcBorders>
          </w:tcPr>
          <w:p>
            <w:pPr>
              <w:pStyle w:val="TableParagraph"/>
              <w:spacing w:before="93"/>
              <w:ind w:left="83" w:right="56"/>
              <w:rPr>
                <w:sz w:val="18"/>
              </w:rPr>
            </w:pPr>
            <w:r>
              <w:rPr>
                <w:sz w:val="18"/>
              </w:rPr>
              <w:t>22.2752581</w:t>
            </w:r>
          </w:p>
        </w:tc>
        <w:tc>
          <w:tcPr>
            <w:tcW w:w="1933" w:type="dxa"/>
            <w:tcBorders>
              <w:top w:val="nil"/>
              <w:left w:val="nil"/>
              <w:right w:val="nil"/>
            </w:tcBorders>
          </w:tcPr>
          <w:p>
            <w:pPr>
              <w:pStyle w:val="TableParagraph"/>
              <w:spacing w:before="93"/>
              <w:ind w:left="73" w:right="68"/>
              <w:rPr>
                <w:sz w:val="18"/>
              </w:rPr>
            </w:pPr>
            <w:r>
              <w:rPr>
                <w:sz w:val="18"/>
              </w:rPr>
              <w:t>48.9830262</w:t>
            </w:r>
          </w:p>
        </w:tc>
        <w:tc>
          <w:tcPr>
            <w:tcW w:w="1837" w:type="dxa"/>
            <w:tcBorders>
              <w:top w:val="nil"/>
              <w:left w:val="nil"/>
              <w:right w:val="nil"/>
            </w:tcBorders>
          </w:tcPr>
          <w:p>
            <w:pPr>
              <w:pStyle w:val="TableParagraph"/>
              <w:spacing w:before="93"/>
              <w:ind w:left="87" w:right="128"/>
              <w:rPr>
                <w:sz w:val="18"/>
              </w:rPr>
            </w:pPr>
            <w:r>
              <w:rPr>
                <w:sz w:val="18"/>
              </w:rPr>
              <w:t>28.7417157</w:t>
            </w:r>
          </w:p>
        </w:tc>
        <w:tc>
          <w:tcPr>
            <w:tcW w:w="1973" w:type="dxa"/>
            <w:tcBorders>
              <w:top w:val="nil"/>
              <w:left w:val="nil"/>
              <w:right w:val="nil"/>
            </w:tcBorders>
          </w:tcPr>
          <w:p>
            <w:pPr>
              <w:pStyle w:val="TableParagraph"/>
              <w:spacing w:before="93"/>
              <w:ind w:left="148"/>
              <w:rPr>
                <w:sz w:val="18"/>
              </w:rPr>
            </w:pPr>
            <w:r>
              <w:rPr>
                <w:w w:val="99"/>
                <w:sz w:val="18"/>
              </w:rPr>
              <w:t>0</w:t>
            </w:r>
          </w:p>
        </w:tc>
      </w:tr>
      <w:tr>
        <w:trPr>
          <w:trHeight w:val="305" w:hRule="exact"/>
        </w:trPr>
        <w:tc>
          <w:tcPr>
            <w:tcW w:w="1553" w:type="dxa"/>
            <w:tcBorders>
              <w:left w:val="nil"/>
              <w:bottom w:val="nil"/>
              <w:right w:val="nil"/>
            </w:tcBorders>
            <w:shd w:val="clear" w:color="auto" w:fill="EDEBE0"/>
          </w:tcPr>
          <w:p>
            <w:pPr/>
          </w:p>
        </w:tc>
        <w:tc>
          <w:tcPr>
            <w:tcW w:w="1570" w:type="dxa"/>
            <w:tcBorders>
              <w:left w:val="nil"/>
              <w:bottom w:val="nil"/>
              <w:right w:val="nil"/>
            </w:tcBorders>
            <w:shd w:val="clear" w:color="auto" w:fill="EDEBE0"/>
          </w:tcPr>
          <w:p>
            <w:pPr/>
          </w:p>
        </w:tc>
        <w:tc>
          <w:tcPr>
            <w:tcW w:w="1933" w:type="dxa"/>
            <w:tcBorders>
              <w:left w:val="nil"/>
              <w:bottom w:val="nil"/>
              <w:right w:val="nil"/>
            </w:tcBorders>
            <w:shd w:val="clear" w:color="auto" w:fill="EDEBE0"/>
          </w:tcPr>
          <w:p>
            <w:pPr>
              <w:pStyle w:val="TableParagraph"/>
              <w:spacing w:before="92"/>
              <w:ind w:left="73" w:right="68"/>
              <w:rPr>
                <w:sz w:val="18"/>
              </w:rPr>
            </w:pPr>
            <w:r>
              <w:rPr>
                <w:sz w:val="18"/>
              </w:rPr>
              <w:t>2010</w:t>
            </w:r>
          </w:p>
        </w:tc>
        <w:tc>
          <w:tcPr>
            <w:tcW w:w="1837" w:type="dxa"/>
            <w:tcBorders>
              <w:left w:val="nil"/>
              <w:bottom w:val="nil"/>
              <w:right w:val="nil"/>
            </w:tcBorders>
            <w:shd w:val="clear" w:color="auto" w:fill="EDEBE0"/>
          </w:tcPr>
          <w:p>
            <w:pPr/>
          </w:p>
        </w:tc>
        <w:tc>
          <w:tcPr>
            <w:tcW w:w="1973" w:type="dxa"/>
            <w:tcBorders>
              <w:left w:val="nil"/>
              <w:bottom w:val="nil"/>
              <w:right w:val="nil"/>
            </w:tcBorders>
            <w:shd w:val="clear" w:color="auto" w:fill="EDEBE0"/>
          </w:tcPr>
          <w:p>
            <w:pPr/>
          </w:p>
        </w:tc>
      </w:tr>
      <w:tr>
        <w:trPr>
          <w:trHeight w:val="626" w:hRule="exact"/>
        </w:trPr>
        <w:tc>
          <w:tcPr>
            <w:tcW w:w="1553" w:type="dxa"/>
            <w:tcBorders>
              <w:top w:val="nil"/>
              <w:left w:val="nil"/>
              <w:right w:val="nil"/>
            </w:tcBorders>
          </w:tcPr>
          <w:p>
            <w:pPr/>
          </w:p>
        </w:tc>
        <w:tc>
          <w:tcPr>
            <w:tcW w:w="1570" w:type="dxa"/>
            <w:tcBorders>
              <w:top w:val="nil"/>
              <w:left w:val="nil"/>
              <w:right w:val="nil"/>
            </w:tcBorders>
          </w:tcPr>
          <w:p>
            <w:pPr>
              <w:pStyle w:val="TableParagraph"/>
              <w:ind w:left="83" w:right="56"/>
              <w:rPr>
                <w:sz w:val="18"/>
              </w:rPr>
            </w:pPr>
            <w:r>
              <w:rPr>
                <w:sz w:val="18"/>
              </w:rPr>
              <w:t>Localidades rurales (1 a 2 499 hab.)</w:t>
            </w:r>
          </w:p>
        </w:tc>
        <w:tc>
          <w:tcPr>
            <w:tcW w:w="1933" w:type="dxa"/>
            <w:tcBorders>
              <w:top w:val="nil"/>
              <w:left w:val="nil"/>
              <w:right w:val="nil"/>
            </w:tcBorders>
          </w:tcPr>
          <w:p>
            <w:pPr>
              <w:pStyle w:val="TableParagraph"/>
              <w:ind w:left="0"/>
              <w:rPr>
                <w:sz w:val="18"/>
              </w:rPr>
            </w:pPr>
          </w:p>
          <w:p>
            <w:pPr>
              <w:pStyle w:val="TableParagraph"/>
              <w:spacing w:before="1"/>
              <w:ind w:left="73" w:right="68"/>
              <w:rPr>
                <w:sz w:val="18"/>
              </w:rPr>
            </w:pPr>
            <w:r>
              <w:rPr>
                <w:sz w:val="18"/>
              </w:rPr>
              <w:t>Centros de población (2 500 a  14 999 hab.)</w:t>
            </w:r>
          </w:p>
        </w:tc>
        <w:tc>
          <w:tcPr>
            <w:tcW w:w="1837" w:type="dxa"/>
            <w:tcBorders>
              <w:top w:val="nil"/>
              <w:left w:val="nil"/>
              <w:right w:val="nil"/>
            </w:tcBorders>
          </w:tcPr>
          <w:p>
            <w:pPr>
              <w:pStyle w:val="TableParagraph"/>
              <w:ind w:left="87" w:right="128"/>
              <w:rPr>
                <w:sz w:val="18"/>
              </w:rPr>
            </w:pPr>
            <w:r>
              <w:rPr>
                <w:sz w:val="18"/>
              </w:rPr>
              <w:t>Ciudades pequeñas (15 000 a 99 999</w:t>
            </w:r>
          </w:p>
          <w:p>
            <w:pPr>
              <w:pStyle w:val="TableParagraph"/>
              <w:spacing w:line="206" w:lineRule="exact"/>
              <w:ind w:left="87" w:right="128"/>
              <w:rPr>
                <w:sz w:val="18"/>
              </w:rPr>
            </w:pPr>
            <w:r>
              <w:rPr>
                <w:sz w:val="18"/>
              </w:rPr>
              <w:t>hab.)</w:t>
            </w:r>
          </w:p>
        </w:tc>
        <w:tc>
          <w:tcPr>
            <w:tcW w:w="1973" w:type="dxa"/>
            <w:tcBorders>
              <w:top w:val="nil"/>
              <w:left w:val="nil"/>
              <w:right w:val="nil"/>
            </w:tcBorders>
          </w:tcPr>
          <w:p>
            <w:pPr>
              <w:pStyle w:val="TableParagraph"/>
              <w:ind w:left="148" w:right="244"/>
              <w:rPr>
                <w:sz w:val="18"/>
              </w:rPr>
            </w:pPr>
            <w:r>
              <w:rPr>
                <w:sz w:val="18"/>
              </w:rPr>
              <w:t>Ciudades medias (100 000 a 999 999</w:t>
            </w:r>
          </w:p>
          <w:p>
            <w:pPr>
              <w:pStyle w:val="TableParagraph"/>
              <w:spacing w:line="206" w:lineRule="exact"/>
              <w:ind w:left="148" w:right="244"/>
              <w:rPr>
                <w:sz w:val="18"/>
              </w:rPr>
            </w:pPr>
            <w:r>
              <w:rPr>
                <w:sz w:val="18"/>
              </w:rPr>
              <w:t>hab.)</w:t>
            </w:r>
          </w:p>
        </w:tc>
      </w:tr>
      <w:tr>
        <w:trPr>
          <w:trHeight w:val="636" w:hRule="exact"/>
        </w:trPr>
        <w:tc>
          <w:tcPr>
            <w:tcW w:w="1553" w:type="dxa"/>
            <w:tcBorders>
              <w:left w:val="nil"/>
              <w:bottom w:val="nil"/>
              <w:right w:val="nil"/>
            </w:tcBorders>
          </w:tcPr>
          <w:p>
            <w:pPr>
              <w:pStyle w:val="TableParagraph"/>
              <w:ind w:right="473"/>
              <w:rPr>
                <w:sz w:val="18"/>
              </w:rPr>
            </w:pPr>
            <w:r>
              <w:rPr>
                <w:sz w:val="18"/>
              </w:rPr>
              <w:t>Área urbana continua de Toluca</w:t>
            </w:r>
          </w:p>
        </w:tc>
        <w:tc>
          <w:tcPr>
            <w:tcW w:w="1570" w:type="dxa"/>
            <w:tcBorders>
              <w:left w:val="nil"/>
              <w:bottom w:val="nil"/>
              <w:right w:val="nil"/>
            </w:tcBorders>
          </w:tcPr>
          <w:p>
            <w:pPr>
              <w:pStyle w:val="TableParagraph"/>
              <w:ind w:left="0"/>
              <w:rPr>
                <w:sz w:val="18"/>
              </w:rPr>
            </w:pPr>
          </w:p>
          <w:p>
            <w:pPr>
              <w:pStyle w:val="TableParagraph"/>
              <w:spacing w:before="1"/>
              <w:ind w:left="83" w:right="56"/>
              <w:rPr>
                <w:sz w:val="18"/>
              </w:rPr>
            </w:pPr>
            <w:r>
              <w:rPr>
                <w:sz w:val="18"/>
              </w:rPr>
              <w:t>14.9254401</w:t>
            </w:r>
          </w:p>
        </w:tc>
        <w:tc>
          <w:tcPr>
            <w:tcW w:w="1933" w:type="dxa"/>
            <w:tcBorders>
              <w:left w:val="nil"/>
              <w:bottom w:val="nil"/>
              <w:right w:val="nil"/>
            </w:tcBorders>
          </w:tcPr>
          <w:p>
            <w:pPr>
              <w:pStyle w:val="TableParagraph"/>
              <w:ind w:left="0"/>
              <w:rPr>
                <w:sz w:val="18"/>
              </w:rPr>
            </w:pPr>
          </w:p>
          <w:p>
            <w:pPr>
              <w:pStyle w:val="TableParagraph"/>
              <w:spacing w:before="1"/>
              <w:ind w:left="73" w:right="68"/>
              <w:rPr>
                <w:sz w:val="18"/>
              </w:rPr>
            </w:pPr>
            <w:r>
              <w:rPr>
                <w:sz w:val="18"/>
              </w:rPr>
              <w:t>27.4983997</w:t>
            </w:r>
          </w:p>
        </w:tc>
        <w:tc>
          <w:tcPr>
            <w:tcW w:w="1837" w:type="dxa"/>
            <w:tcBorders>
              <w:left w:val="nil"/>
              <w:bottom w:val="nil"/>
              <w:right w:val="nil"/>
            </w:tcBorders>
          </w:tcPr>
          <w:p>
            <w:pPr>
              <w:pStyle w:val="TableParagraph"/>
              <w:ind w:left="0"/>
              <w:rPr>
                <w:sz w:val="18"/>
              </w:rPr>
            </w:pPr>
          </w:p>
          <w:p>
            <w:pPr>
              <w:pStyle w:val="TableParagraph"/>
              <w:spacing w:before="1"/>
              <w:ind w:left="87" w:right="128"/>
              <w:rPr>
                <w:sz w:val="18"/>
              </w:rPr>
            </w:pPr>
            <w:r>
              <w:rPr>
                <w:sz w:val="18"/>
              </w:rPr>
              <w:t>28.679748</w:t>
            </w:r>
          </w:p>
        </w:tc>
        <w:tc>
          <w:tcPr>
            <w:tcW w:w="1973" w:type="dxa"/>
            <w:tcBorders>
              <w:left w:val="nil"/>
              <w:bottom w:val="nil"/>
              <w:right w:val="nil"/>
            </w:tcBorders>
          </w:tcPr>
          <w:p>
            <w:pPr>
              <w:pStyle w:val="TableParagraph"/>
              <w:ind w:left="0"/>
              <w:rPr>
                <w:sz w:val="18"/>
              </w:rPr>
            </w:pPr>
          </w:p>
          <w:p>
            <w:pPr>
              <w:pStyle w:val="TableParagraph"/>
              <w:spacing w:before="1"/>
              <w:ind w:left="148" w:right="244"/>
              <w:rPr>
                <w:sz w:val="18"/>
              </w:rPr>
            </w:pPr>
            <w:r>
              <w:rPr>
                <w:sz w:val="18"/>
              </w:rPr>
              <w:t>28.8964122</w:t>
            </w:r>
          </w:p>
        </w:tc>
      </w:tr>
      <w:tr>
        <w:trPr>
          <w:trHeight w:val="622" w:hRule="exact"/>
        </w:trPr>
        <w:tc>
          <w:tcPr>
            <w:tcW w:w="1553" w:type="dxa"/>
            <w:tcBorders>
              <w:top w:val="nil"/>
              <w:left w:val="nil"/>
              <w:bottom w:val="nil"/>
              <w:right w:val="nil"/>
            </w:tcBorders>
          </w:tcPr>
          <w:p>
            <w:pPr>
              <w:pStyle w:val="TableParagraph"/>
              <w:ind w:right="473"/>
              <w:rPr>
                <w:sz w:val="18"/>
              </w:rPr>
            </w:pPr>
            <w:r>
              <w:rPr>
                <w:sz w:val="18"/>
              </w:rPr>
              <w:t>Interrelación funcional intermedia</w:t>
            </w:r>
          </w:p>
        </w:tc>
        <w:tc>
          <w:tcPr>
            <w:tcW w:w="1570" w:type="dxa"/>
            <w:tcBorders>
              <w:top w:val="nil"/>
              <w:left w:val="nil"/>
              <w:bottom w:val="nil"/>
              <w:right w:val="nil"/>
            </w:tcBorders>
          </w:tcPr>
          <w:p>
            <w:pPr>
              <w:pStyle w:val="TableParagraph"/>
              <w:spacing w:before="1"/>
              <w:ind w:left="0"/>
              <w:rPr>
                <w:sz w:val="17"/>
              </w:rPr>
            </w:pPr>
          </w:p>
          <w:p>
            <w:pPr>
              <w:pStyle w:val="TableParagraph"/>
              <w:ind w:left="83" w:right="56"/>
              <w:rPr>
                <w:sz w:val="18"/>
              </w:rPr>
            </w:pPr>
            <w:r>
              <w:rPr>
                <w:sz w:val="18"/>
              </w:rPr>
              <w:t>30.3923831</w:t>
            </w:r>
          </w:p>
        </w:tc>
        <w:tc>
          <w:tcPr>
            <w:tcW w:w="1933" w:type="dxa"/>
            <w:tcBorders>
              <w:top w:val="nil"/>
              <w:left w:val="nil"/>
              <w:bottom w:val="nil"/>
              <w:right w:val="nil"/>
            </w:tcBorders>
          </w:tcPr>
          <w:p>
            <w:pPr>
              <w:pStyle w:val="TableParagraph"/>
              <w:spacing w:before="1"/>
              <w:ind w:left="0"/>
              <w:rPr>
                <w:sz w:val="17"/>
              </w:rPr>
            </w:pPr>
          </w:p>
          <w:p>
            <w:pPr>
              <w:pStyle w:val="TableParagraph"/>
              <w:ind w:left="73" w:right="68"/>
              <w:rPr>
                <w:sz w:val="18"/>
              </w:rPr>
            </w:pPr>
            <w:r>
              <w:rPr>
                <w:sz w:val="18"/>
              </w:rPr>
              <w:t>50.3695586</w:t>
            </w:r>
          </w:p>
        </w:tc>
        <w:tc>
          <w:tcPr>
            <w:tcW w:w="1837" w:type="dxa"/>
            <w:tcBorders>
              <w:top w:val="nil"/>
              <w:left w:val="nil"/>
              <w:bottom w:val="nil"/>
              <w:right w:val="nil"/>
            </w:tcBorders>
          </w:tcPr>
          <w:p>
            <w:pPr>
              <w:pStyle w:val="TableParagraph"/>
              <w:spacing w:before="1"/>
              <w:ind w:left="0"/>
              <w:rPr>
                <w:sz w:val="17"/>
              </w:rPr>
            </w:pPr>
          </w:p>
          <w:p>
            <w:pPr>
              <w:pStyle w:val="TableParagraph"/>
              <w:ind w:left="87" w:right="128"/>
              <w:rPr>
                <w:sz w:val="18"/>
              </w:rPr>
            </w:pPr>
            <w:r>
              <w:rPr>
                <w:sz w:val="18"/>
              </w:rPr>
              <w:t>19.2380584</w:t>
            </w:r>
          </w:p>
        </w:tc>
        <w:tc>
          <w:tcPr>
            <w:tcW w:w="1973" w:type="dxa"/>
            <w:tcBorders>
              <w:top w:val="nil"/>
              <w:left w:val="nil"/>
              <w:bottom w:val="nil"/>
              <w:right w:val="nil"/>
            </w:tcBorders>
          </w:tcPr>
          <w:p>
            <w:pPr>
              <w:pStyle w:val="TableParagraph"/>
              <w:spacing w:before="1"/>
              <w:ind w:left="0"/>
              <w:rPr>
                <w:sz w:val="17"/>
              </w:rPr>
            </w:pPr>
          </w:p>
          <w:p>
            <w:pPr>
              <w:pStyle w:val="TableParagraph"/>
              <w:ind w:left="148"/>
              <w:rPr>
                <w:sz w:val="18"/>
              </w:rPr>
            </w:pPr>
            <w:r>
              <w:rPr>
                <w:w w:val="99"/>
                <w:sz w:val="18"/>
              </w:rPr>
              <w:t>0</w:t>
            </w:r>
          </w:p>
        </w:tc>
      </w:tr>
      <w:tr>
        <w:trPr>
          <w:trHeight w:val="409" w:hRule="exact"/>
        </w:trPr>
        <w:tc>
          <w:tcPr>
            <w:tcW w:w="1553" w:type="dxa"/>
            <w:tcBorders>
              <w:top w:val="nil"/>
              <w:left w:val="nil"/>
              <w:right w:val="nil"/>
            </w:tcBorders>
          </w:tcPr>
          <w:p>
            <w:pPr>
              <w:pStyle w:val="TableParagraph"/>
              <w:ind w:right="63"/>
              <w:rPr>
                <w:sz w:val="18"/>
              </w:rPr>
            </w:pPr>
            <w:r>
              <w:rPr>
                <w:sz w:val="18"/>
              </w:rPr>
              <w:t>Relación externa, resto municipios</w:t>
            </w:r>
          </w:p>
        </w:tc>
        <w:tc>
          <w:tcPr>
            <w:tcW w:w="1570" w:type="dxa"/>
            <w:tcBorders>
              <w:top w:val="nil"/>
              <w:left w:val="nil"/>
              <w:right w:val="nil"/>
            </w:tcBorders>
          </w:tcPr>
          <w:p>
            <w:pPr>
              <w:pStyle w:val="TableParagraph"/>
              <w:spacing w:before="93"/>
              <w:ind w:left="83" w:right="56"/>
              <w:rPr>
                <w:sz w:val="18"/>
              </w:rPr>
            </w:pPr>
            <w:r>
              <w:rPr>
                <w:sz w:val="18"/>
              </w:rPr>
              <w:t>25.2881408</w:t>
            </w:r>
          </w:p>
        </w:tc>
        <w:tc>
          <w:tcPr>
            <w:tcW w:w="1933" w:type="dxa"/>
            <w:tcBorders>
              <w:top w:val="nil"/>
              <w:left w:val="nil"/>
              <w:right w:val="nil"/>
            </w:tcBorders>
          </w:tcPr>
          <w:p>
            <w:pPr>
              <w:pStyle w:val="TableParagraph"/>
              <w:spacing w:before="93"/>
              <w:ind w:left="73" w:right="68"/>
              <w:rPr>
                <w:sz w:val="18"/>
              </w:rPr>
            </w:pPr>
            <w:r>
              <w:rPr>
                <w:sz w:val="18"/>
              </w:rPr>
              <w:t>50.3105011</w:t>
            </w:r>
          </w:p>
        </w:tc>
        <w:tc>
          <w:tcPr>
            <w:tcW w:w="1837" w:type="dxa"/>
            <w:tcBorders>
              <w:top w:val="nil"/>
              <w:left w:val="nil"/>
              <w:right w:val="nil"/>
            </w:tcBorders>
          </w:tcPr>
          <w:p>
            <w:pPr>
              <w:pStyle w:val="TableParagraph"/>
              <w:spacing w:before="93"/>
              <w:ind w:left="87" w:right="128"/>
              <w:rPr>
                <w:sz w:val="18"/>
              </w:rPr>
            </w:pPr>
            <w:r>
              <w:rPr>
                <w:sz w:val="18"/>
              </w:rPr>
              <w:t>24.4013582</w:t>
            </w:r>
          </w:p>
        </w:tc>
        <w:tc>
          <w:tcPr>
            <w:tcW w:w="1973" w:type="dxa"/>
            <w:tcBorders>
              <w:top w:val="nil"/>
              <w:left w:val="nil"/>
              <w:right w:val="nil"/>
            </w:tcBorders>
          </w:tcPr>
          <w:p>
            <w:pPr>
              <w:pStyle w:val="TableParagraph"/>
              <w:spacing w:before="93"/>
              <w:ind w:left="148"/>
              <w:rPr>
                <w:sz w:val="18"/>
              </w:rPr>
            </w:pPr>
            <w:r>
              <w:rPr>
                <w:w w:val="99"/>
                <w:sz w:val="18"/>
              </w:rPr>
              <w:t>0</w:t>
            </w:r>
          </w:p>
        </w:tc>
      </w:tr>
    </w:tbl>
    <w:p>
      <w:pPr>
        <w:pStyle w:val="BodyText"/>
        <w:spacing w:before="4"/>
        <w:rPr>
          <w:sz w:val="13"/>
        </w:rPr>
      </w:pPr>
    </w:p>
    <w:p>
      <w:pPr>
        <w:spacing w:before="74"/>
        <w:ind w:left="165" w:right="189" w:firstLine="3"/>
        <w:jc w:val="center"/>
        <w:rPr>
          <w:sz w:val="20"/>
        </w:rPr>
      </w:pPr>
      <w:r>
        <w:rPr>
          <w:sz w:val="20"/>
        </w:rPr>
        <w:t>Fuente: Elaboración propia con información del XI Censo General de Población y Vivienda 1990, Conteo de Población y Vivienda 1995, XII Censo General de Población y Vivienda 2000, II Conteo de Población y Vivienda 2005 y Censo de Población y Vivienda 2010 (ITER 1990,1995,2000,</w:t>
      </w:r>
      <w:r>
        <w:rPr>
          <w:spacing w:val="-31"/>
          <w:sz w:val="20"/>
        </w:rPr>
        <w:t> </w:t>
      </w:r>
      <w:r>
        <w:rPr>
          <w:sz w:val="20"/>
        </w:rPr>
        <w:t>2005 y</w:t>
      </w:r>
      <w:r>
        <w:rPr>
          <w:spacing w:val="-5"/>
          <w:sz w:val="20"/>
        </w:rPr>
        <w:t> </w:t>
      </w:r>
      <w:r>
        <w:rPr>
          <w:sz w:val="20"/>
        </w:rPr>
        <w:t>2010)</w:t>
      </w:r>
    </w:p>
    <w:p>
      <w:pPr>
        <w:spacing w:after="0"/>
        <w:jc w:val="center"/>
        <w:rPr>
          <w:sz w:val="20"/>
        </w:rPr>
        <w:sectPr>
          <w:pgSz w:w="12240" w:h="15840"/>
          <w:pgMar w:header="0" w:footer="659" w:top="1360" w:bottom="840" w:left="1580" w:right="1560"/>
        </w:sectPr>
      </w:pPr>
    </w:p>
    <w:p>
      <w:pPr>
        <w:tabs>
          <w:tab w:pos="2695" w:val="left" w:leader="none"/>
          <w:tab w:pos="8725" w:val="left" w:leader="none"/>
        </w:tabs>
        <w:spacing w:before="53"/>
        <w:ind w:left="239" w:right="82" w:firstLine="0"/>
        <w:jc w:val="left"/>
        <w:rPr>
          <w:sz w:val="20"/>
        </w:rPr>
      </w:pPr>
      <w:r>
        <w:rPr>
          <w:w w:val="99"/>
          <w:sz w:val="20"/>
          <w:u w:val="single"/>
        </w:rPr>
        <w:t> </w:t>
      </w:r>
      <w:r>
        <w:rPr>
          <w:sz w:val="20"/>
          <w:u w:val="single"/>
        </w:rPr>
        <w:tab/>
        <w:t>Cuadro A. 4.6 Vivienda Total</w:t>
      </w:r>
      <w:r>
        <w:rPr>
          <w:spacing w:val="-8"/>
          <w:sz w:val="20"/>
          <w:u w:val="single"/>
        </w:rPr>
        <w:t> </w:t>
      </w:r>
      <w:r>
        <w:rPr>
          <w:sz w:val="20"/>
          <w:u w:val="single"/>
        </w:rPr>
        <w:t>1990-2010</w:t>
        <w:tab/>
      </w:r>
    </w:p>
    <w:p>
      <w:pPr>
        <w:pStyle w:val="BodyText"/>
        <w:spacing w:before="1" w:after="1"/>
        <w:rPr>
          <w:sz w:val="10"/>
        </w:rPr>
      </w:pPr>
    </w:p>
    <w:tbl>
      <w:tblPr>
        <w:tblW w:w="0" w:type="auto"/>
        <w:jc w:val="left"/>
        <w:tblInd w:w="239"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381"/>
        <w:gridCol w:w="1106"/>
        <w:gridCol w:w="1216"/>
        <w:gridCol w:w="1287"/>
        <w:gridCol w:w="1261"/>
        <w:gridCol w:w="1235"/>
      </w:tblGrid>
      <w:tr>
        <w:trPr>
          <w:trHeight w:val="371" w:hRule="exact"/>
        </w:trPr>
        <w:tc>
          <w:tcPr>
            <w:tcW w:w="2381" w:type="dxa"/>
            <w:tcBorders>
              <w:bottom w:val="single" w:sz="4" w:space="0" w:color="000000"/>
            </w:tcBorders>
          </w:tcPr>
          <w:p>
            <w:pPr>
              <w:pStyle w:val="TableParagraph"/>
              <w:spacing w:line="184" w:lineRule="exact"/>
              <w:ind w:right="530"/>
              <w:rPr>
                <w:sz w:val="18"/>
              </w:rPr>
            </w:pPr>
            <w:r>
              <w:rPr>
                <w:sz w:val="18"/>
              </w:rPr>
              <w:t>MUNICIPIO/ AÑOS</w:t>
            </w:r>
          </w:p>
        </w:tc>
        <w:tc>
          <w:tcPr>
            <w:tcW w:w="1106" w:type="dxa"/>
            <w:tcBorders>
              <w:bottom w:val="single" w:sz="4" w:space="0" w:color="000000"/>
            </w:tcBorders>
          </w:tcPr>
          <w:p>
            <w:pPr>
              <w:pStyle w:val="TableParagraph"/>
              <w:spacing w:before="27"/>
              <w:ind w:left="209"/>
              <w:rPr>
                <w:sz w:val="18"/>
              </w:rPr>
            </w:pPr>
            <w:r>
              <w:rPr>
                <w:sz w:val="18"/>
              </w:rPr>
              <w:t>1990</w:t>
            </w:r>
          </w:p>
        </w:tc>
        <w:tc>
          <w:tcPr>
            <w:tcW w:w="1216" w:type="dxa"/>
            <w:tcBorders>
              <w:bottom w:val="single" w:sz="4" w:space="0" w:color="000000"/>
            </w:tcBorders>
          </w:tcPr>
          <w:p>
            <w:pPr>
              <w:pStyle w:val="TableParagraph"/>
              <w:spacing w:before="27"/>
              <w:ind w:left="295"/>
              <w:rPr>
                <w:sz w:val="18"/>
              </w:rPr>
            </w:pPr>
            <w:r>
              <w:rPr>
                <w:sz w:val="18"/>
              </w:rPr>
              <w:t>1995</w:t>
            </w:r>
          </w:p>
        </w:tc>
        <w:tc>
          <w:tcPr>
            <w:tcW w:w="1287" w:type="dxa"/>
            <w:tcBorders>
              <w:bottom w:val="single" w:sz="4" w:space="0" w:color="000000"/>
            </w:tcBorders>
          </w:tcPr>
          <w:p>
            <w:pPr>
              <w:pStyle w:val="TableParagraph"/>
              <w:spacing w:before="27"/>
              <w:ind w:left="318"/>
              <w:rPr>
                <w:sz w:val="18"/>
              </w:rPr>
            </w:pPr>
            <w:r>
              <w:rPr>
                <w:sz w:val="18"/>
              </w:rPr>
              <w:t>2000</w:t>
            </w:r>
          </w:p>
        </w:tc>
        <w:tc>
          <w:tcPr>
            <w:tcW w:w="1261" w:type="dxa"/>
            <w:tcBorders>
              <w:bottom w:val="single" w:sz="4" w:space="0" w:color="000000"/>
            </w:tcBorders>
          </w:tcPr>
          <w:p>
            <w:pPr>
              <w:pStyle w:val="TableParagraph"/>
              <w:spacing w:before="27"/>
              <w:ind w:left="366"/>
              <w:rPr>
                <w:sz w:val="18"/>
              </w:rPr>
            </w:pPr>
            <w:r>
              <w:rPr>
                <w:sz w:val="18"/>
              </w:rPr>
              <w:t>2005</w:t>
            </w:r>
          </w:p>
        </w:tc>
        <w:tc>
          <w:tcPr>
            <w:tcW w:w="1235" w:type="dxa"/>
            <w:tcBorders>
              <w:bottom w:val="single" w:sz="4" w:space="0" w:color="000000"/>
            </w:tcBorders>
          </w:tcPr>
          <w:p>
            <w:pPr>
              <w:pStyle w:val="TableParagraph"/>
              <w:spacing w:before="27"/>
              <w:ind w:left="293"/>
              <w:rPr>
                <w:sz w:val="18"/>
              </w:rPr>
            </w:pPr>
            <w:r>
              <w:rPr>
                <w:sz w:val="18"/>
              </w:rPr>
              <w:t>2010</w:t>
            </w:r>
          </w:p>
        </w:tc>
      </w:tr>
      <w:tr>
        <w:trPr>
          <w:trHeight w:val="359" w:hRule="exact"/>
        </w:trPr>
        <w:tc>
          <w:tcPr>
            <w:tcW w:w="2381" w:type="dxa"/>
            <w:tcBorders>
              <w:top w:val="single" w:sz="4" w:space="0" w:color="000000"/>
            </w:tcBorders>
          </w:tcPr>
          <w:p>
            <w:pPr>
              <w:pStyle w:val="TableParagraph"/>
              <w:spacing w:before="92"/>
              <w:ind w:right="530"/>
              <w:rPr>
                <w:sz w:val="18"/>
              </w:rPr>
            </w:pPr>
            <w:r>
              <w:rPr>
                <w:sz w:val="18"/>
              </w:rPr>
              <w:t>Lerma</w:t>
            </w:r>
          </w:p>
        </w:tc>
        <w:tc>
          <w:tcPr>
            <w:tcW w:w="1106" w:type="dxa"/>
            <w:tcBorders>
              <w:top w:val="single" w:sz="4" w:space="0" w:color="000000"/>
            </w:tcBorders>
          </w:tcPr>
          <w:p>
            <w:pPr>
              <w:pStyle w:val="TableParagraph"/>
              <w:spacing w:before="92"/>
              <w:ind w:left="209"/>
              <w:rPr>
                <w:sz w:val="18"/>
              </w:rPr>
            </w:pPr>
            <w:r>
              <w:rPr>
                <w:sz w:val="18"/>
              </w:rPr>
              <w:t>12013</w:t>
            </w:r>
          </w:p>
        </w:tc>
        <w:tc>
          <w:tcPr>
            <w:tcW w:w="1216" w:type="dxa"/>
            <w:tcBorders>
              <w:top w:val="single" w:sz="4" w:space="0" w:color="000000"/>
            </w:tcBorders>
          </w:tcPr>
          <w:p>
            <w:pPr>
              <w:pStyle w:val="TableParagraph"/>
              <w:spacing w:before="92"/>
              <w:ind w:left="295"/>
              <w:rPr>
                <w:sz w:val="18"/>
              </w:rPr>
            </w:pPr>
            <w:r>
              <w:rPr>
                <w:sz w:val="18"/>
              </w:rPr>
              <w:t>15646</w:t>
            </w:r>
          </w:p>
        </w:tc>
        <w:tc>
          <w:tcPr>
            <w:tcW w:w="1287" w:type="dxa"/>
            <w:tcBorders>
              <w:top w:val="single" w:sz="4" w:space="0" w:color="000000"/>
            </w:tcBorders>
          </w:tcPr>
          <w:p>
            <w:pPr>
              <w:pStyle w:val="TableParagraph"/>
              <w:spacing w:before="92"/>
              <w:ind w:left="318"/>
              <w:rPr>
                <w:sz w:val="18"/>
              </w:rPr>
            </w:pPr>
            <w:r>
              <w:rPr>
                <w:sz w:val="18"/>
              </w:rPr>
              <w:t>20659</w:t>
            </w:r>
          </w:p>
        </w:tc>
        <w:tc>
          <w:tcPr>
            <w:tcW w:w="1261" w:type="dxa"/>
            <w:tcBorders>
              <w:top w:val="single" w:sz="4" w:space="0" w:color="000000"/>
            </w:tcBorders>
          </w:tcPr>
          <w:p>
            <w:pPr>
              <w:pStyle w:val="TableParagraph"/>
              <w:spacing w:before="92"/>
              <w:ind w:left="366"/>
              <w:rPr>
                <w:sz w:val="18"/>
              </w:rPr>
            </w:pPr>
            <w:r>
              <w:rPr>
                <w:sz w:val="18"/>
              </w:rPr>
              <w:t>22545</w:t>
            </w:r>
          </w:p>
        </w:tc>
        <w:tc>
          <w:tcPr>
            <w:tcW w:w="1235" w:type="dxa"/>
            <w:tcBorders>
              <w:top w:val="single" w:sz="4" w:space="0" w:color="000000"/>
            </w:tcBorders>
          </w:tcPr>
          <w:p>
            <w:pPr>
              <w:pStyle w:val="TableParagraph"/>
              <w:spacing w:before="92"/>
              <w:ind w:left="293"/>
              <w:rPr>
                <w:sz w:val="18"/>
              </w:rPr>
            </w:pPr>
            <w:r>
              <w:rPr>
                <w:sz w:val="18"/>
              </w:rPr>
              <w:t>31150</w:t>
            </w:r>
          </w:p>
        </w:tc>
      </w:tr>
      <w:tr>
        <w:trPr>
          <w:trHeight w:val="299" w:hRule="exact"/>
        </w:trPr>
        <w:tc>
          <w:tcPr>
            <w:tcW w:w="2381" w:type="dxa"/>
          </w:tcPr>
          <w:p>
            <w:pPr>
              <w:pStyle w:val="TableParagraph"/>
              <w:spacing w:before="36"/>
              <w:ind w:right="530"/>
              <w:rPr>
                <w:sz w:val="18"/>
              </w:rPr>
            </w:pPr>
            <w:r>
              <w:rPr>
                <w:sz w:val="18"/>
              </w:rPr>
              <w:t>Metepec</w:t>
            </w:r>
          </w:p>
        </w:tc>
        <w:tc>
          <w:tcPr>
            <w:tcW w:w="1106" w:type="dxa"/>
          </w:tcPr>
          <w:p>
            <w:pPr>
              <w:pStyle w:val="TableParagraph"/>
              <w:spacing w:before="36"/>
              <w:ind w:left="209"/>
              <w:rPr>
                <w:sz w:val="18"/>
              </w:rPr>
            </w:pPr>
            <w:r>
              <w:rPr>
                <w:sz w:val="18"/>
              </w:rPr>
              <w:t>92743</w:t>
            </w:r>
          </w:p>
        </w:tc>
        <w:tc>
          <w:tcPr>
            <w:tcW w:w="1216" w:type="dxa"/>
          </w:tcPr>
          <w:p>
            <w:pPr>
              <w:pStyle w:val="TableParagraph"/>
              <w:spacing w:before="36"/>
              <w:ind w:left="295"/>
              <w:rPr>
                <w:sz w:val="18"/>
              </w:rPr>
            </w:pPr>
            <w:r>
              <w:rPr>
                <w:sz w:val="18"/>
              </w:rPr>
              <w:t>115382</w:t>
            </w:r>
          </w:p>
        </w:tc>
        <w:tc>
          <w:tcPr>
            <w:tcW w:w="1287" w:type="dxa"/>
          </w:tcPr>
          <w:p>
            <w:pPr>
              <w:pStyle w:val="TableParagraph"/>
              <w:spacing w:before="36"/>
              <w:ind w:left="318"/>
              <w:rPr>
                <w:sz w:val="18"/>
              </w:rPr>
            </w:pPr>
            <w:r>
              <w:rPr>
                <w:sz w:val="18"/>
              </w:rPr>
              <w:t>145649</w:t>
            </w:r>
          </w:p>
        </w:tc>
        <w:tc>
          <w:tcPr>
            <w:tcW w:w="1261" w:type="dxa"/>
          </w:tcPr>
          <w:p>
            <w:pPr>
              <w:pStyle w:val="TableParagraph"/>
              <w:spacing w:before="36"/>
              <w:ind w:left="366"/>
              <w:rPr>
                <w:sz w:val="18"/>
              </w:rPr>
            </w:pPr>
            <w:r>
              <w:rPr>
                <w:sz w:val="18"/>
              </w:rPr>
              <w:t>175024</w:t>
            </w:r>
          </w:p>
        </w:tc>
        <w:tc>
          <w:tcPr>
            <w:tcW w:w="1235" w:type="dxa"/>
          </w:tcPr>
          <w:p>
            <w:pPr>
              <w:pStyle w:val="TableParagraph"/>
              <w:spacing w:before="36"/>
              <w:ind w:left="293"/>
              <w:rPr>
                <w:sz w:val="18"/>
              </w:rPr>
            </w:pPr>
            <w:r>
              <w:rPr>
                <w:sz w:val="18"/>
              </w:rPr>
              <w:t>199815</w:t>
            </w:r>
          </w:p>
        </w:tc>
      </w:tr>
      <w:tr>
        <w:trPr>
          <w:trHeight w:val="299" w:hRule="exact"/>
        </w:trPr>
        <w:tc>
          <w:tcPr>
            <w:tcW w:w="2381" w:type="dxa"/>
          </w:tcPr>
          <w:p>
            <w:pPr>
              <w:pStyle w:val="TableParagraph"/>
              <w:spacing w:before="37"/>
              <w:ind w:right="530"/>
              <w:rPr>
                <w:sz w:val="18"/>
              </w:rPr>
            </w:pPr>
            <w:r>
              <w:rPr>
                <w:sz w:val="18"/>
              </w:rPr>
              <w:t>Toluca</w:t>
            </w:r>
          </w:p>
        </w:tc>
        <w:tc>
          <w:tcPr>
            <w:tcW w:w="1106" w:type="dxa"/>
          </w:tcPr>
          <w:p>
            <w:pPr>
              <w:pStyle w:val="TableParagraph"/>
              <w:spacing w:before="37"/>
              <w:ind w:left="209"/>
              <w:rPr>
                <w:sz w:val="18"/>
              </w:rPr>
            </w:pPr>
            <w:r>
              <w:rPr>
                <w:sz w:val="18"/>
              </w:rPr>
              <w:t>28546</w:t>
            </w:r>
          </w:p>
        </w:tc>
        <w:tc>
          <w:tcPr>
            <w:tcW w:w="1216" w:type="dxa"/>
          </w:tcPr>
          <w:p>
            <w:pPr>
              <w:pStyle w:val="TableParagraph"/>
              <w:spacing w:before="37"/>
              <w:ind w:left="295"/>
              <w:rPr>
                <w:sz w:val="18"/>
              </w:rPr>
            </w:pPr>
            <w:r>
              <w:rPr>
                <w:sz w:val="18"/>
              </w:rPr>
              <w:t>38898</w:t>
            </w:r>
          </w:p>
        </w:tc>
        <w:tc>
          <w:tcPr>
            <w:tcW w:w="1287" w:type="dxa"/>
          </w:tcPr>
          <w:p>
            <w:pPr>
              <w:pStyle w:val="TableParagraph"/>
              <w:spacing w:before="37"/>
              <w:ind w:left="318"/>
              <w:rPr>
                <w:sz w:val="18"/>
              </w:rPr>
            </w:pPr>
            <w:r>
              <w:rPr>
                <w:sz w:val="18"/>
              </w:rPr>
              <w:t>43852</w:t>
            </w:r>
          </w:p>
        </w:tc>
        <w:tc>
          <w:tcPr>
            <w:tcW w:w="1261" w:type="dxa"/>
          </w:tcPr>
          <w:p>
            <w:pPr>
              <w:pStyle w:val="TableParagraph"/>
              <w:spacing w:before="37"/>
              <w:ind w:left="366"/>
              <w:rPr>
                <w:sz w:val="18"/>
              </w:rPr>
            </w:pPr>
            <w:r>
              <w:rPr>
                <w:sz w:val="18"/>
              </w:rPr>
              <w:t>50041</w:t>
            </w:r>
          </w:p>
        </w:tc>
        <w:tc>
          <w:tcPr>
            <w:tcW w:w="1235" w:type="dxa"/>
          </w:tcPr>
          <w:p>
            <w:pPr>
              <w:pStyle w:val="TableParagraph"/>
              <w:spacing w:before="37"/>
              <w:ind w:left="293"/>
              <w:rPr>
                <w:sz w:val="18"/>
              </w:rPr>
            </w:pPr>
            <w:r>
              <w:rPr>
                <w:sz w:val="18"/>
              </w:rPr>
              <w:t>54915</w:t>
            </w:r>
          </w:p>
        </w:tc>
      </w:tr>
      <w:tr>
        <w:trPr>
          <w:trHeight w:val="306" w:hRule="exact"/>
        </w:trPr>
        <w:tc>
          <w:tcPr>
            <w:tcW w:w="2381" w:type="dxa"/>
          </w:tcPr>
          <w:p>
            <w:pPr>
              <w:pStyle w:val="TableParagraph"/>
              <w:spacing w:before="36"/>
              <w:ind w:right="530"/>
              <w:rPr>
                <w:sz w:val="18"/>
              </w:rPr>
            </w:pPr>
            <w:r>
              <w:rPr>
                <w:sz w:val="18"/>
              </w:rPr>
              <w:t>San Mateo Atenco</w:t>
            </w:r>
          </w:p>
        </w:tc>
        <w:tc>
          <w:tcPr>
            <w:tcW w:w="1106" w:type="dxa"/>
          </w:tcPr>
          <w:p>
            <w:pPr>
              <w:pStyle w:val="TableParagraph"/>
              <w:spacing w:before="36"/>
              <w:ind w:left="209"/>
              <w:rPr>
                <w:sz w:val="18"/>
              </w:rPr>
            </w:pPr>
            <w:r>
              <w:rPr>
                <w:sz w:val="18"/>
              </w:rPr>
              <w:t>7139</w:t>
            </w:r>
          </w:p>
        </w:tc>
        <w:tc>
          <w:tcPr>
            <w:tcW w:w="1216" w:type="dxa"/>
          </w:tcPr>
          <w:p>
            <w:pPr>
              <w:pStyle w:val="TableParagraph"/>
              <w:spacing w:before="36"/>
              <w:ind w:left="295"/>
              <w:rPr>
                <w:sz w:val="18"/>
              </w:rPr>
            </w:pPr>
            <w:r>
              <w:rPr>
                <w:sz w:val="18"/>
              </w:rPr>
              <w:t>10464</w:t>
            </w:r>
          </w:p>
        </w:tc>
        <w:tc>
          <w:tcPr>
            <w:tcW w:w="1287" w:type="dxa"/>
          </w:tcPr>
          <w:p>
            <w:pPr>
              <w:pStyle w:val="TableParagraph"/>
              <w:spacing w:before="36"/>
              <w:ind w:left="318"/>
              <w:rPr>
                <w:sz w:val="18"/>
              </w:rPr>
            </w:pPr>
            <w:r>
              <w:rPr>
                <w:sz w:val="18"/>
              </w:rPr>
              <w:t>11983</w:t>
            </w:r>
          </w:p>
        </w:tc>
        <w:tc>
          <w:tcPr>
            <w:tcW w:w="1261" w:type="dxa"/>
          </w:tcPr>
          <w:p>
            <w:pPr>
              <w:pStyle w:val="TableParagraph"/>
              <w:spacing w:before="36"/>
              <w:ind w:left="366"/>
              <w:rPr>
                <w:sz w:val="18"/>
              </w:rPr>
            </w:pPr>
            <w:r>
              <w:rPr>
                <w:sz w:val="18"/>
              </w:rPr>
              <w:t>13895</w:t>
            </w:r>
          </w:p>
        </w:tc>
        <w:tc>
          <w:tcPr>
            <w:tcW w:w="1235" w:type="dxa"/>
          </w:tcPr>
          <w:p>
            <w:pPr>
              <w:pStyle w:val="TableParagraph"/>
              <w:spacing w:before="36"/>
              <w:ind w:left="293"/>
              <w:rPr>
                <w:sz w:val="18"/>
              </w:rPr>
            </w:pPr>
            <w:r>
              <w:rPr>
                <w:sz w:val="18"/>
              </w:rPr>
              <w:t>16119</w:t>
            </w:r>
          </w:p>
        </w:tc>
      </w:tr>
      <w:tr>
        <w:trPr>
          <w:trHeight w:val="307" w:hRule="exact"/>
        </w:trPr>
        <w:tc>
          <w:tcPr>
            <w:tcW w:w="2381" w:type="dxa"/>
          </w:tcPr>
          <w:p>
            <w:pPr>
              <w:pStyle w:val="TableParagraph"/>
              <w:spacing w:before="44"/>
              <w:ind w:right="530"/>
              <w:rPr>
                <w:sz w:val="18"/>
              </w:rPr>
            </w:pPr>
            <w:r>
              <w:rPr>
                <w:sz w:val="18"/>
              </w:rPr>
              <w:t>Zinacantepec</w:t>
            </w:r>
          </w:p>
        </w:tc>
        <w:tc>
          <w:tcPr>
            <w:tcW w:w="1106" w:type="dxa"/>
          </w:tcPr>
          <w:p>
            <w:pPr>
              <w:pStyle w:val="TableParagraph"/>
              <w:spacing w:before="44"/>
              <w:ind w:left="209"/>
              <w:rPr>
                <w:sz w:val="18"/>
              </w:rPr>
            </w:pPr>
            <w:r>
              <w:rPr>
                <w:sz w:val="18"/>
              </w:rPr>
              <w:t>14296</w:t>
            </w:r>
          </w:p>
        </w:tc>
        <w:tc>
          <w:tcPr>
            <w:tcW w:w="1216" w:type="dxa"/>
          </w:tcPr>
          <w:p>
            <w:pPr>
              <w:pStyle w:val="TableParagraph"/>
              <w:spacing w:before="44"/>
              <w:ind w:left="295"/>
              <w:rPr>
                <w:sz w:val="18"/>
              </w:rPr>
            </w:pPr>
            <w:r>
              <w:rPr>
                <w:sz w:val="18"/>
              </w:rPr>
              <w:t>19214</w:t>
            </w:r>
          </w:p>
        </w:tc>
        <w:tc>
          <w:tcPr>
            <w:tcW w:w="1287" w:type="dxa"/>
          </w:tcPr>
          <w:p>
            <w:pPr>
              <w:pStyle w:val="TableParagraph"/>
              <w:spacing w:before="44"/>
              <w:ind w:left="318"/>
              <w:rPr>
                <w:sz w:val="18"/>
              </w:rPr>
            </w:pPr>
            <w:r>
              <w:rPr>
                <w:sz w:val="18"/>
              </w:rPr>
              <w:t>23639</w:t>
            </w:r>
          </w:p>
        </w:tc>
        <w:tc>
          <w:tcPr>
            <w:tcW w:w="1261" w:type="dxa"/>
          </w:tcPr>
          <w:p>
            <w:pPr>
              <w:pStyle w:val="TableParagraph"/>
              <w:spacing w:before="44"/>
              <w:ind w:left="366"/>
              <w:rPr>
                <w:sz w:val="18"/>
              </w:rPr>
            </w:pPr>
            <w:r>
              <w:rPr>
                <w:sz w:val="18"/>
              </w:rPr>
              <w:t>28456</w:t>
            </w:r>
          </w:p>
        </w:tc>
        <w:tc>
          <w:tcPr>
            <w:tcW w:w="1235" w:type="dxa"/>
          </w:tcPr>
          <w:p>
            <w:pPr>
              <w:pStyle w:val="TableParagraph"/>
              <w:spacing w:before="44"/>
              <w:ind w:left="293"/>
              <w:rPr>
                <w:sz w:val="18"/>
              </w:rPr>
            </w:pPr>
            <w:r>
              <w:rPr>
                <w:sz w:val="18"/>
              </w:rPr>
              <w:t>37665</w:t>
            </w:r>
          </w:p>
        </w:tc>
      </w:tr>
      <w:tr>
        <w:trPr>
          <w:trHeight w:val="299" w:hRule="exact"/>
        </w:trPr>
        <w:tc>
          <w:tcPr>
            <w:tcW w:w="2381" w:type="dxa"/>
          </w:tcPr>
          <w:p>
            <w:pPr>
              <w:pStyle w:val="TableParagraph"/>
              <w:spacing w:before="37"/>
              <w:ind w:right="530"/>
              <w:rPr>
                <w:sz w:val="18"/>
              </w:rPr>
            </w:pPr>
            <w:r>
              <w:rPr>
                <w:sz w:val="18"/>
              </w:rPr>
              <w:t>Almoloya de Juárez</w:t>
            </w:r>
          </w:p>
        </w:tc>
        <w:tc>
          <w:tcPr>
            <w:tcW w:w="1106" w:type="dxa"/>
          </w:tcPr>
          <w:p>
            <w:pPr>
              <w:pStyle w:val="TableParagraph"/>
              <w:spacing w:before="37"/>
              <w:ind w:left="209"/>
              <w:rPr>
                <w:sz w:val="18"/>
              </w:rPr>
            </w:pPr>
            <w:r>
              <w:rPr>
                <w:sz w:val="18"/>
              </w:rPr>
              <w:t>14723</w:t>
            </w:r>
          </w:p>
        </w:tc>
        <w:tc>
          <w:tcPr>
            <w:tcW w:w="1216" w:type="dxa"/>
          </w:tcPr>
          <w:p>
            <w:pPr>
              <w:pStyle w:val="TableParagraph"/>
              <w:spacing w:before="37"/>
              <w:ind w:left="295"/>
              <w:rPr>
                <w:sz w:val="18"/>
              </w:rPr>
            </w:pPr>
            <w:r>
              <w:rPr>
                <w:sz w:val="18"/>
              </w:rPr>
              <w:t>17258</w:t>
            </w:r>
          </w:p>
        </w:tc>
        <w:tc>
          <w:tcPr>
            <w:tcW w:w="1287" w:type="dxa"/>
          </w:tcPr>
          <w:p>
            <w:pPr>
              <w:pStyle w:val="TableParagraph"/>
              <w:spacing w:before="37"/>
              <w:ind w:left="318"/>
              <w:rPr>
                <w:sz w:val="18"/>
              </w:rPr>
            </w:pPr>
            <w:r>
              <w:rPr>
                <w:sz w:val="18"/>
              </w:rPr>
              <w:t>21999</w:t>
            </w:r>
          </w:p>
        </w:tc>
        <w:tc>
          <w:tcPr>
            <w:tcW w:w="1261" w:type="dxa"/>
          </w:tcPr>
          <w:p>
            <w:pPr>
              <w:pStyle w:val="TableParagraph"/>
              <w:spacing w:before="37"/>
              <w:ind w:left="366"/>
              <w:rPr>
                <w:sz w:val="18"/>
              </w:rPr>
            </w:pPr>
            <w:r>
              <w:rPr>
                <w:sz w:val="18"/>
              </w:rPr>
              <w:t>26229</w:t>
            </w:r>
          </w:p>
        </w:tc>
        <w:tc>
          <w:tcPr>
            <w:tcW w:w="1235" w:type="dxa"/>
          </w:tcPr>
          <w:p>
            <w:pPr>
              <w:pStyle w:val="TableParagraph"/>
              <w:spacing w:before="37"/>
              <w:ind w:left="293"/>
              <w:rPr>
                <w:sz w:val="18"/>
              </w:rPr>
            </w:pPr>
            <w:r>
              <w:rPr>
                <w:sz w:val="18"/>
              </w:rPr>
              <w:t>32842</w:t>
            </w:r>
          </w:p>
        </w:tc>
      </w:tr>
      <w:tr>
        <w:trPr>
          <w:trHeight w:val="299" w:hRule="exact"/>
        </w:trPr>
        <w:tc>
          <w:tcPr>
            <w:tcW w:w="2381" w:type="dxa"/>
          </w:tcPr>
          <w:p>
            <w:pPr>
              <w:pStyle w:val="TableParagraph"/>
              <w:spacing w:before="36"/>
              <w:ind w:right="530"/>
              <w:rPr>
                <w:sz w:val="18"/>
              </w:rPr>
            </w:pPr>
            <w:r>
              <w:rPr>
                <w:sz w:val="18"/>
              </w:rPr>
              <w:t>Calimaya</w:t>
            </w:r>
          </w:p>
        </w:tc>
        <w:tc>
          <w:tcPr>
            <w:tcW w:w="1106" w:type="dxa"/>
          </w:tcPr>
          <w:p>
            <w:pPr>
              <w:pStyle w:val="TableParagraph"/>
              <w:spacing w:before="36"/>
              <w:ind w:left="209"/>
              <w:rPr>
                <w:sz w:val="18"/>
              </w:rPr>
            </w:pPr>
            <w:r>
              <w:rPr>
                <w:sz w:val="18"/>
              </w:rPr>
              <w:t>4473</w:t>
            </w:r>
          </w:p>
        </w:tc>
        <w:tc>
          <w:tcPr>
            <w:tcW w:w="1216" w:type="dxa"/>
          </w:tcPr>
          <w:p>
            <w:pPr>
              <w:pStyle w:val="TableParagraph"/>
              <w:spacing w:before="36"/>
              <w:ind w:left="295"/>
              <w:rPr>
                <w:sz w:val="18"/>
              </w:rPr>
            </w:pPr>
            <w:r>
              <w:rPr>
                <w:sz w:val="18"/>
              </w:rPr>
              <w:t>6040</w:t>
            </w:r>
          </w:p>
        </w:tc>
        <w:tc>
          <w:tcPr>
            <w:tcW w:w="1287" w:type="dxa"/>
          </w:tcPr>
          <w:p>
            <w:pPr>
              <w:pStyle w:val="TableParagraph"/>
              <w:spacing w:before="36"/>
              <w:ind w:left="318"/>
              <w:rPr>
                <w:sz w:val="18"/>
              </w:rPr>
            </w:pPr>
            <w:r>
              <w:rPr>
                <w:sz w:val="18"/>
              </w:rPr>
              <w:t>7153</w:t>
            </w:r>
          </w:p>
        </w:tc>
        <w:tc>
          <w:tcPr>
            <w:tcW w:w="1261" w:type="dxa"/>
          </w:tcPr>
          <w:p>
            <w:pPr>
              <w:pStyle w:val="TableParagraph"/>
              <w:spacing w:before="36"/>
              <w:ind w:left="366"/>
              <w:rPr>
                <w:sz w:val="18"/>
              </w:rPr>
            </w:pPr>
            <w:r>
              <w:rPr>
                <w:sz w:val="18"/>
              </w:rPr>
              <w:t>7472</w:t>
            </w:r>
          </w:p>
        </w:tc>
        <w:tc>
          <w:tcPr>
            <w:tcW w:w="1235" w:type="dxa"/>
          </w:tcPr>
          <w:p>
            <w:pPr>
              <w:pStyle w:val="TableParagraph"/>
              <w:spacing w:before="36"/>
              <w:ind w:left="293"/>
              <w:rPr>
                <w:sz w:val="18"/>
              </w:rPr>
            </w:pPr>
            <w:r>
              <w:rPr>
                <w:sz w:val="18"/>
              </w:rPr>
              <w:t>10694</w:t>
            </w:r>
          </w:p>
        </w:tc>
      </w:tr>
      <w:tr>
        <w:trPr>
          <w:trHeight w:val="300" w:hRule="exact"/>
        </w:trPr>
        <w:tc>
          <w:tcPr>
            <w:tcW w:w="2381" w:type="dxa"/>
          </w:tcPr>
          <w:p>
            <w:pPr>
              <w:pStyle w:val="TableParagraph"/>
              <w:spacing w:before="37"/>
              <w:ind w:right="530"/>
              <w:rPr>
                <w:sz w:val="18"/>
              </w:rPr>
            </w:pPr>
            <w:r>
              <w:rPr>
                <w:sz w:val="18"/>
              </w:rPr>
              <w:t>Mexicaltzingo</w:t>
            </w:r>
          </w:p>
        </w:tc>
        <w:tc>
          <w:tcPr>
            <w:tcW w:w="1106" w:type="dxa"/>
          </w:tcPr>
          <w:p>
            <w:pPr>
              <w:pStyle w:val="TableParagraph"/>
              <w:spacing w:before="37"/>
              <w:ind w:left="209"/>
              <w:rPr>
                <w:sz w:val="18"/>
              </w:rPr>
            </w:pPr>
            <w:r>
              <w:rPr>
                <w:sz w:val="18"/>
              </w:rPr>
              <w:t>1276</w:t>
            </w:r>
          </w:p>
        </w:tc>
        <w:tc>
          <w:tcPr>
            <w:tcW w:w="1216" w:type="dxa"/>
          </w:tcPr>
          <w:p>
            <w:pPr>
              <w:pStyle w:val="TableParagraph"/>
              <w:spacing w:before="37"/>
              <w:ind w:left="295"/>
              <w:rPr>
                <w:sz w:val="18"/>
              </w:rPr>
            </w:pPr>
            <w:r>
              <w:rPr>
                <w:sz w:val="18"/>
              </w:rPr>
              <w:t>1656</w:t>
            </w:r>
          </w:p>
        </w:tc>
        <w:tc>
          <w:tcPr>
            <w:tcW w:w="1287" w:type="dxa"/>
          </w:tcPr>
          <w:p>
            <w:pPr>
              <w:pStyle w:val="TableParagraph"/>
              <w:spacing w:before="37"/>
              <w:ind w:left="318"/>
              <w:rPr>
                <w:sz w:val="18"/>
              </w:rPr>
            </w:pPr>
            <w:r>
              <w:rPr>
                <w:sz w:val="18"/>
              </w:rPr>
              <w:t>1727</w:t>
            </w:r>
          </w:p>
        </w:tc>
        <w:tc>
          <w:tcPr>
            <w:tcW w:w="1261" w:type="dxa"/>
          </w:tcPr>
          <w:p>
            <w:pPr>
              <w:pStyle w:val="TableParagraph"/>
              <w:spacing w:before="37"/>
              <w:ind w:left="366"/>
              <w:rPr>
                <w:sz w:val="18"/>
              </w:rPr>
            </w:pPr>
            <w:r>
              <w:rPr>
                <w:sz w:val="18"/>
              </w:rPr>
              <w:t>2002</w:t>
            </w:r>
          </w:p>
        </w:tc>
        <w:tc>
          <w:tcPr>
            <w:tcW w:w="1235" w:type="dxa"/>
          </w:tcPr>
          <w:p>
            <w:pPr>
              <w:pStyle w:val="TableParagraph"/>
              <w:spacing w:before="37"/>
              <w:ind w:left="293"/>
              <w:rPr>
                <w:sz w:val="18"/>
              </w:rPr>
            </w:pPr>
            <w:r>
              <w:rPr>
                <w:sz w:val="18"/>
              </w:rPr>
              <w:t>2623</w:t>
            </w:r>
          </w:p>
        </w:tc>
      </w:tr>
      <w:tr>
        <w:trPr>
          <w:trHeight w:val="249" w:hRule="exact"/>
        </w:trPr>
        <w:tc>
          <w:tcPr>
            <w:tcW w:w="2381" w:type="dxa"/>
            <w:tcBorders>
              <w:bottom w:val="single" w:sz="4" w:space="0" w:color="000000"/>
            </w:tcBorders>
          </w:tcPr>
          <w:p>
            <w:pPr>
              <w:pStyle w:val="TableParagraph"/>
              <w:spacing w:before="37"/>
              <w:ind w:right="530"/>
              <w:rPr>
                <w:sz w:val="18"/>
              </w:rPr>
            </w:pPr>
            <w:r>
              <w:rPr>
                <w:sz w:val="18"/>
              </w:rPr>
              <w:t>Otzolotepec</w:t>
            </w:r>
          </w:p>
        </w:tc>
        <w:tc>
          <w:tcPr>
            <w:tcW w:w="1106" w:type="dxa"/>
            <w:tcBorders>
              <w:bottom w:val="single" w:sz="4" w:space="0" w:color="000000"/>
            </w:tcBorders>
          </w:tcPr>
          <w:p>
            <w:pPr>
              <w:pStyle w:val="TableParagraph"/>
              <w:spacing w:before="37"/>
              <w:ind w:left="209"/>
              <w:rPr>
                <w:sz w:val="18"/>
              </w:rPr>
            </w:pPr>
            <w:r>
              <w:rPr>
                <w:sz w:val="18"/>
              </w:rPr>
              <w:t>6675</w:t>
            </w:r>
          </w:p>
        </w:tc>
        <w:tc>
          <w:tcPr>
            <w:tcW w:w="1216" w:type="dxa"/>
            <w:tcBorders>
              <w:bottom w:val="single" w:sz="4" w:space="0" w:color="000000"/>
            </w:tcBorders>
          </w:tcPr>
          <w:p>
            <w:pPr>
              <w:pStyle w:val="TableParagraph"/>
              <w:spacing w:before="37"/>
              <w:ind w:left="295"/>
              <w:rPr>
                <w:sz w:val="18"/>
              </w:rPr>
            </w:pPr>
            <w:r>
              <w:rPr>
                <w:sz w:val="18"/>
              </w:rPr>
              <w:t>8525</w:t>
            </w:r>
          </w:p>
        </w:tc>
        <w:tc>
          <w:tcPr>
            <w:tcW w:w="1287" w:type="dxa"/>
            <w:tcBorders>
              <w:bottom w:val="single" w:sz="4" w:space="0" w:color="000000"/>
            </w:tcBorders>
          </w:tcPr>
          <w:p>
            <w:pPr>
              <w:pStyle w:val="TableParagraph"/>
              <w:spacing w:before="37"/>
              <w:ind w:left="318"/>
              <w:rPr>
                <w:sz w:val="18"/>
              </w:rPr>
            </w:pPr>
            <w:r>
              <w:rPr>
                <w:sz w:val="18"/>
              </w:rPr>
              <w:t>10713</w:t>
            </w:r>
          </w:p>
        </w:tc>
        <w:tc>
          <w:tcPr>
            <w:tcW w:w="1261" w:type="dxa"/>
            <w:tcBorders>
              <w:bottom w:val="single" w:sz="4" w:space="0" w:color="000000"/>
            </w:tcBorders>
          </w:tcPr>
          <w:p>
            <w:pPr>
              <w:pStyle w:val="TableParagraph"/>
              <w:spacing w:before="37"/>
              <w:ind w:left="366"/>
              <w:rPr>
                <w:sz w:val="18"/>
              </w:rPr>
            </w:pPr>
            <w:r>
              <w:rPr>
                <w:sz w:val="18"/>
              </w:rPr>
              <w:t>13352</w:t>
            </w:r>
          </w:p>
        </w:tc>
        <w:tc>
          <w:tcPr>
            <w:tcW w:w="1235" w:type="dxa"/>
            <w:tcBorders>
              <w:bottom w:val="single" w:sz="4" w:space="0" w:color="000000"/>
            </w:tcBorders>
          </w:tcPr>
          <w:p>
            <w:pPr>
              <w:pStyle w:val="TableParagraph"/>
              <w:spacing w:before="37"/>
              <w:ind w:left="293"/>
              <w:rPr>
                <w:sz w:val="18"/>
              </w:rPr>
            </w:pPr>
            <w:r>
              <w:rPr>
                <w:sz w:val="18"/>
              </w:rPr>
              <w:t>16076</w:t>
            </w:r>
          </w:p>
        </w:tc>
      </w:tr>
      <w:tr>
        <w:trPr>
          <w:trHeight w:val="310" w:hRule="exact"/>
        </w:trPr>
        <w:tc>
          <w:tcPr>
            <w:tcW w:w="2381" w:type="dxa"/>
            <w:tcBorders>
              <w:top w:val="single" w:sz="4" w:space="0" w:color="000000"/>
              <w:bottom w:val="single" w:sz="4" w:space="0" w:color="000000"/>
            </w:tcBorders>
          </w:tcPr>
          <w:p>
            <w:pPr>
              <w:pStyle w:val="TableParagraph"/>
              <w:spacing w:before="91"/>
              <w:ind w:right="530"/>
              <w:rPr>
                <w:sz w:val="18"/>
              </w:rPr>
            </w:pPr>
            <w:r>
              <w:rPr>
                <w:sz w:val="18"/>
              </w:rPr>
              <w:t>Área urbana continua</w:t>
            </w:r>
          </w:p>
        </w:tc>
        <w:tc>
          <w:tcPr>
            <w:tcW w:w="1106" w:type="dxa"/>
            <w:tcBorders>
              <w:top w:val="single" w:sz="4" w:space="0" w:color="000000"/>
              <w:bottom w:val="single" w:sz="4" w:space="0" w:color="000000"/>
            </w:tcBorders>
          </w:tcPr>
          <w:p>
            <w:pPr>
              <w:pStyle w:val="TableParagraph"/>
              <w:spacing w:before="91"/>
              <w:ind w:left="209"/>
              <w:rPr>
                <w:sz w:val="18"/>
              </w:rPr>
            </w:pPr>
            <w:r>
              <w:rPr>
                <w:sz w:val="18"/>
              </w:rPr>
              <w:t>181884</w:t>
            </w:r>
          </w:p>
        </w:tc>
        <w:tc>
          <w:tcPr>
            <w:tcW w:w="1216" w:type="dxa"/>
            <w:tcBorders>
              <w:top w:val="single" w:sz="4" w:space="0" w:color="000000"/>
              <w:bottom w:val="single" w:sz="4" w:space="0" w:color="000000"/>
            </w:tcBorders>
          </w:tcPr>
          <w:p>
            <w:pPr>
              <w:pStyle w:val="TableParagraph"/>
              <w:spacing w:before="91"/>
              <w:ind w:left="295"/>
              <w:rPr>
                <w:sz w:val="18"/>
              </w:rPr>
            </w:pPr>
            <w:r>
              <w:rPr>
                <w:sz w:val="18"/>
              </w:rPr>
              <w:t>233083</w:t>
            </w:r>
          </w:p>
        </w:tc>
        <w:tc>
          <w:tcPr>
            <w:tcW w:w="1287" w:type="dxa"/>
            <w:tcBorders>
              <w:top w:val="single" w:sz="4" w:space="0" w:color="000000"/>
              <w:bottom w:val="single" w:sz="4" w:space="0" w:color="000000"/>
            </w:tcBorders>
          </w:tcPr>
          <w:p>
            <w:pPr>
              <w:pStyle w:val="TableParagraph"/>
              <w:spacing w:before="91"/>
              <w:ind w:left="318"/>
              <w:rPr>
                <w:sz w:val="18"/>
              </w:rPr>
            </w:pPr>
            <w:r>
              <w:rPr>
                <w:sz w:val="18"/>
              </w:rPr>
              <w:t>287374</w:t>
            </w:r>
          </w:p>
        </w:tc>
        <w:tc>
          <w:tcPr>
            <w:tcW w:w="1261" w:type="dxa"/>
            <w:tcBorders>
              <w:top w:val="single" w:sz="4" w:space="0" w:color="000000"/>
              <w:bottom w:val="single" w:sz="4" w:space="0" w:color="000000"/>
            </w:tcBorders>
          </w:tcPr>
          <w:p>
            <w:pPr>
              <w:pStyle w:val="TableParagraph"/>
              <w:spacing w:before="91"/>
              <w:ind w:left="366"/>
              <w:rPr>
                <w:sz w:val="18"/>
              </w:rPr>
            </w:pPr>
            <w:r>
              <w:rPr>
                <w:sz w:val="18"/>
              </w:rPr>
              <w:t>339016</w:t>
            </w:r>
          </w:p>
        </w:tc>
        <w:tc>
          <w:tcPr>
            <w:tcW w:w="1235" w:type="dxa"/>
            <w:tcBorders>
              <w:top w:val="single" w:sz="4" w:space="0" w:color="000000"/>
              <w:bottom w:val="single" w:sz="4" w:space="0" w:color="000000"/>
            </w:tcBorders>
          </w:tcPr>
          <w:p>
            <w:pPr>
              <w:pStyle w:val="TableParagraph"/>
              <w:spacing w:before="91"/>
              <w:ind w:left="293"/>
              <w:rPr>
                <w:sz w:val="18"/>
              </w:rPr>
            </w:pPr>
            <w:r>
              <w:rPr>
                <w:sz w:val="18"/>
              </w:rPr>
              <w:t>401899</w:t>
            </w:r>
          </w:p>
        </w:tc>
      </w:tr>
      <w:tr>
        <w:trPr>
          <w:trHeight w:val="358" w:hRule="exact"/>
        </w:trPr>
        <w:tc>
          <w:tcPr>
            <w:tcW w:w="2381" w:type="dxa"/>
            <w:tcBorders>
              <w:top w:val="single" w:sz="4" w:space="0" w:color="000000"/>
            </w:tcBorders>
          </w:tcPr>
          <w:p>
            <w:pPr>
              <w:pStyle w:val="TableParagraph"/>
              <w:spacing w:before="90"/>
              <w:ind w:right="530"/>
              <w:rPr>
                <w:sz w:val="18"/>
              </w:rPr>
            </w:pPr>
            <w:r>
              <w:rPr>
                <w:sz w:val="18"/>
              </w:rPr>
              <w:t>Chapultepec</w:t>
            </w:r>
          </w:p>
        </w:tc>
        <w:tc>
          <w:tcPr>
            <w:tcW w:w="1106" w:type="dxa"/>
            <w:tcBorders>
              <w:top w:val="single" w:sz="4" w:space="0" w:color="000000"/>
            </w:tcBorders>
          </w:tcPr>
          <w:p>
            <w:pPr>
              <w:pStyle w:val="TableParagraph"/>
              <w:spacing w:before="90"/>
              <w:ind w:left="209"/>
              <w:rPr>
                <w:sz w:val="18"/>
              </w:rPr>
            </w:pPr>
            <w:r>
              <w:rPr>
                <w:sz w:val="18"/>
              </w:rPr>
              <w:t>612</w:t>
            </w:r>
          </w:p>
        </w:tc>
        <w:tc>
          <w:tcPr>
            <w:tcW w:w="1216" w:type="dxa"/>
            <w:tcBorders>
              <w:top w:val="single" w:sz="4" w:space="0" w:color="000000"/>
            </w:tcBorders>
          </w:tcPr>
          <w:p>
            <w:pPr>
              <w:pStyle w:val="TableParagraph"/>
              <w:spacing w:before="90"/>
              <w:ind w:left="295"/>
              <w:rPr>
                <w:sz w:val="18"/>
              </w:rPr>
            </w:pPr>
            <w:r>
              <w:rPr>
                <w:sz w:val="18"/>
              </w:rPr>
              <w:t>1003</w:t>
            </w:r>
          </w:p>
        </w:tc>
        <w:tc>
          <w:tcPr>
            <w:tcW w:w="1287" w:type="dxa"/>
            <w:tcBorders>
              <w:top w:val="single" w:sz="4" w:space="0" w:color="000000"/>
            </w:tcBorders>
          </w:tcPr>
          <w:p>
            <w:pPr>
              <w:pStyle w:val="TableParagraph"/>
              <w:spacing w:before="90"/>
              <w:ind w:left="318"/>
              <w:rPr>
                <w:sz w:val="18"/>
              </w:rPr>
            </w:pPr>
            <w:r>
              <w:rPr>
                <w:sz w:val="18"/>
              </w:rPr>
              <w:t>1183</w:t>
            </w:r>
          </w:p>
        </w:tc>
        <w:tc>
          <w:tcPr>
            <w:tcW w:w="1261" w:type="dxa"/>
            <w:tcBorders>
              <w:top w:val="single" w:sz="4" w:space="0" w:color="000000"/>
            </w:tcBorders>
          </w:tcPr>
          <w:p>
            <w:pPr>
              <w:pStyle w:val="TableParagraph"/>
              <w:spacing w:before="90"/>
              <w:ind w:left="366"/>
              <w:rPr>
                <w:sz w:val="18"/>
              </w:rPr>
            </w:pPr>
            <w:r>
              <w:rPr>
                <w:sz w:val="18"/>
              </w:rPr>
              <w:t>1454</w:t>
            </w:r>
          </w:p>
        </w:tc>
        <w:tc>
          <w:tcPr>
            <w:tcW w:w="1235" w:type="dxa"/>
            <w:tcBorders>
              <w:top w:val="single" w:sz="4" w:space="0" w:color="000000"/>
            </w:tcBorders>
          </w:tcPr>
          <w:p>
            <w:pPr>
              <w:pStyle w:val="TableParagraph"/>
              <w:spacing w:before="90"/>
              <w:ind w:left="293"/>
              <w:rPr>
                <w:sz w:val="18"/>
              </w:rPr>
            </w:pPr>
            <w:r>
              <w:rPr>
                <w:sz w:val="18"/>
              </w:rPr>
              <w:t>2421</w:t>
            </w:r>
          </w:p>
        </w:tc>
      </w:tr>
      <w:tr>
        <w:trPr>
          <w:trHeight w:val="299" w:hRule="exact"/>
        </w:trPr>
        <w:tc>
          <w:tcPr>
            <w:tcW w:w="2381" w:type="dxa"/>
          </w:tcPr>
          <w:p>
            <w:pPr>
              <w:pStyle w:val="TableParagraph"/>
              <w:spacing w:before="37"/>
              <w:ind w:right="530"/>
              <w:rPr>
                <w:sz w:val="18"/>
              </w:rPr>
            </w:pPr>
            <w:r>
              <w:rPr>
                <w:sz w:val="18"/>
              </w:rPr>
              <w:t>Ocoyoacac</w:t>
            </w:r>
          </w:p>
        </w:tc>
        <w:tc>
          <w:tcPr>
            <w:tcW w:w="1106" w:type="dxa"/>
          </w:tcPr>
          <w:p>
            <w:pPr>
              <w:pStyle w:val="TableParagraph"/>
              <w:spacing w:before="37"/>
              <w:ind w:left="209"/>
              <w:rPr>
                <w:sz w:val="18"/>
              </w:rPr>
            </w:pPr>
            <w:r>
              <w:rPr>
                <w:sz w:val="18"/>
              </w:rPr>
              <w:t>6418</w:t>
            </w:r>
          </w:p>
        </w:tc>
        <w:tc>
          <w:tcPr>
            <w:tcW w:w="1216" w:type="dxa"/>
          </w:tcPr>
          <w:p>
            <w:pPr>
              <w:pStyle w:val="TableParagraph"/>
              <w:spacing w:before="37"/>
              <w:ind w:left="295"/>
              <w:rPr>
                <w:sz w:val="18"/>
              </w:rPr>
            </w:pPr>
            <w:r>
              <w:rPr>
                <w:sz w:val="18"/>
              </w:rPr>
              <w:t>8503</w:t>
            </w:r>
          </w:p>
        </w:tc>
        <w:tc>
          <w:tcPr>
            <w:tcW w:w="1287" w:type="dxa"/>
          </w:tcPr>
          <w:p>
            <w:pPr>
              <w:pStyle w:val="TableParagraph"/>
              <w:spacing w:before="37"/>
              <w:ind w:left="318"/>
              <w:rPr>
                <w:sz w:val="18"/>
              </w:rPr>
            </w:pPr>
            <w:r>
              <w:rPr>
                <w:sz w:val="18"/>
              </w:rPr>
              <w:t>10099</w:t>
            </w:r>
          </w:p>
        </w:tc>
        <w:tc>
          <w:tcPr>
            <w:tcW w:w="1261" w:type="dxa"/>
          </w:tcPr>
          <w:p>
            <w:pPr>
              <w:pStyle w:val="TableParagraph"/>
              <w:spacing w:before="37"/>
              <w:ind w:left="366"/>
              <w:rPr>
                <w:sz w:val="18"/>
              </w:rPr>
            </w:pPr>
            <w:r>
              <w:rPr>
                <w:sz w:val="18"/>
              </w:rPr>
              <w:t>11184</w:t>
            </w:r>
          </w:p>
        </w:tc>
        <w:tc>
          <w:tcPr>
            <w:tcW w:w="1235" w:type="dxa"/>
          </w:tcPr>
          <w:p>
            <w:pPr>
              <w:pStyle w:val="TableParagraph"/>
              <w:spacing w:before="37"/>
              <w:ind w:left="293"/>
              <w:rPr>
                <w:sz w:val="18"/>
              </w:rPr>
            </w:pPr>
            <w:r>
              <w:rPr>
                <w:sz w:val="18"/>
              </w:rPr>
              <w:t>13926</w:t>
            </w:r>
          </w:p>
        </w:tc>
      </w:tr>
      <w:tr>
        <w:trPr>
          <w:trHeight w:val="299" w:hRule="exact"/>
        </w:trPr>
        <w:tc>
          <w:tcPr>
            <w:tcW w:w="2381" w:type="dxa"/>
          </w:tcPr>
          <w:p>
            <w:pPr>
              <w:pStyle w:val="TableParagraph"/>
              <w:spacing w:before="36"/>
              <w:ind w:right="530"/>
              <w:rPr>
                <w:sz w:val="18"/>
              </w:rPr>
            </w:pPr>
            <w:r>
              <w:rPr>
                <w:sz w:val="18"/>
              </w:rPr>
              <w:t>Rayón</w:t>
            </w:r>
          </w:p>
        </w:tc>
        <w:tc>
          <w:tcPr>
            <w:tcW w:w="1106" w:type="dxa"/>
          </w:tcPr>
          <w:p>
            <w:pPr>
              <w:pStyle w:val="TableParagraph"/>
              <w:spacing w:before="36"/>
              <w:ind w:left="209"/>
              <w:rPr>
                <w:sz w:val="18"/>
              </w:rPr>
            </w:pPr>
            <w:r>
              <w:rPr>
                <w:sz w:val="18"/>
              </w:rPr>
              <w:t>1172</w:t>
            </w:r>
          </w:p>
        </w:tc>
        <w:tc>
          <w:tcPr>
            <w:tcW w:w="1216" w:type="dxa"/>
          </w:tcPr>
          <w:p>
            <w:pPr>
              <w:pStyle w:val="TableParagraph"/>
              <w:spacing w:before="36"/>
              <w:ind w:left="295"/>
              <w:rPr>
                <w:sz w:val="18"/>
              </w:rPr>
            </w:pPr>
            <w:r>
              <w:rPr>
                <w:sz w:val="18"/>
              </w:rPr>
              <w:t>1738</w:t>
            </w:r>
          </w:p>
        </w:tc>
        <w:tc>
          <w:tcPr>
            <w:tcW w:w="1287" w:type="dxa"/>
          </w:tcPr>
          <w:p>
            <w:pPr>
              <w:pStyle w:val="TableParagraph"/>
              <w:spacing w:before="36"/>
              <w:ind w:left="318"/>
              <w:rPr>
                <w:sz w:val="18"/>
              </w:rPr>
            </w:pPr>
            <w:r>
              <w:rPr>
                <w:sz w:val="18"/>
              </w:rPr>
              <w:t>1683</w:t>
            </w:r>
          </w:p>
        </w:tc>
        <w:tc>
          <w:tcPr>
            <w:tcW w:w="1261" w:type="dxa"/>
          </w:tcPr>
          <w:p>
            <w:pPr>
              <w:pStyle w:val="TableParagraph"/>
              <w:spacing w:before="36"/>
              <w:ind w:left="366"/>
              <w:rPr>
                <w:sz w:val="18"/>
              </w:rPr>
            </w:pPr>
            <w:r>
              <w:rPr>
                <w:sz w:val="18"/>
              </w:rPr>
              <w:t>2183</w:t>
            </w:r>
          </w:p>
        </w:tc>
        <w:tc>
          <w:tcPr>
            <w:tcW w:w="1235" w:type="dxa"/>
          </w:tcPr>
          <w:p>
            <w:pPr>
              <w:pStyle w:val="TableParagraph"/>
              <w:spacing w:before="36"/>
              <w:ind w:left="293"/>
              <w:rPr>
                <w:sz w:val="18"/>
              </w:rPr>
            </w:pPr>
            <w:r>
              <w:rPr>
                <w:sz w:val="18"/>
              </w:rPr>
              <w:t>2834</w:t>
            </w:r>
          </w:p>
        </w:tc>
      </w:tr>
      <w:tr>
        <w:trPr>
          <w:trHeight w:val="299" w:hRule="exact"/>
        </w:trPr>
        <w:tc>
          <w:tcPr>
            <w:tcW w:w="2381" w:type="dxa"/>
          </w:tcPr>
          <w:p>
            <w:pPr>
              <w:pStyle w:val="TableParagraph"/>
              <w:spacing w:before="37"/>
              <w:ind w:right="530"/>
              <w:rPr>
                <w:sz w:val="18"/>
              </w:rPr>
            </w:pPr>
            <w:r>
              <w:rPr>
                <w:sz w:val="18"/>
              </w:rPr>
              <w:t>San Antonio la Isla</w:t>
            </w:r>
          </w:p>
        </w:tc>
        <w:tc>
          <w:tcPr>
            <w:tcW w:w="1106" w:type="dxa"/>
          </w:tcPr>
          <w:p>
            <w:pPr>
              <w:pStyle w:val="TableParagraph"/>
              <w:spacing w:before="37"/>
              <w:ind w:left="209"/>
              <w:rPr>
                <w:sz w:val="18"/>
              </w:rPr>
            </w:pPr>
            <w:r>
              <w:rPr>
                <w:sz w:val="18"/>
              </w:rPr>
              <w:t>1203</w:t>
            </w:r>
          </w:p>
        </w:tc>
        <w:tc>
          <w:tcPr>
            <w:tcW w:w="1216" w:type="dxa"/>
          </w:tcPr>
          <w:p>
            <w:pPr>
              <w:pStyle w:val="TableParagraph"/>
              <w:spacing w:before="37"/>
              <w:ind w:left="295"/>
              <w:rPr>
                <w:sz w:val="18"/>
              </w:rPr>
            </w:pPr>
            <w:r>
              <w:rPr>
                <w:sz w:val="18"/>
              </w:rPr>
              <w:t>1789</w:t>
            </w:r>
          </w:p>
        </w:tc>
        <w:tc>
          <w:tcPr>
            <w:tcW w:w="1287" w:type="dxa"/>
          </w:tcPr>
          <w:p>
            <w:pPr>
              <w:pStyle w:val="TableParagraph"/>
              <w:spacing w:before="37"/>
              <w:ind w:left="318"/>
              <w:rPr>
                <w:sz w:val="18"/>
              </w:rPr>
            </w:pPr>
            <w:r>
              <w:rPr>
                <w:sz w:val="18"/>
              </w:rPr>
              <w:t>1806</w:t>
            </w:r>
          </w:p>
        </w:tc>
        <w:tc>
          <w:tcPr>
            <w:tcW w:w="1261" w:type="dxa"/>
          </w:tcPr>
          <w:p>
            <w:pPr>
              <w:pStyle w:val="TableParagraph"/>
              <w:spacing w:before="37"/>
              <w:ind w:left="366"/>
              <w:rPr>
                <w:sz w:val="18"/>
              </w:rPr>
            </w:pPr>
            <w:r>
              <w:rPr>
                <w:sz w:val="18"/>
              </w:rPr>
              <w:t>2236</w:t>
            </w:r>
          </w:p>
        </w:tc>
        <w:tc>
          <w:tcPr>
            <w:tcW w:w="1235" w:type="dxa"/>
          </w:tcPr>
          <w:p>
            <w:pPr>
              <w:pStyle w:val="TableParagraph"/>
              <w:spacing w:before="37"/>
              <w:ind w:left="293"/>
              <w:rPr>
                <w:sz w:val="18"/>
              </w:rPr>
            </w:pPr>
            <w:r>
              <w:rPr>
                <w:sz w:val="18"/>
              </w:rPr>
              <w:t>5551</w:t>
            </w:r>
          </w:p>
        </w:tc>
      </w:tr>
      <w:tr>
        <w:trPr>
          <w:trHeight w:val="299" w:hRule="exact"/>
        </w:trPr>
        <w:tc>
          <w:tcPr>
            <w:tcW w:w="2381" w:type="dxa"/>
          </w:tcPr>
          <w:p>
            <w:pPr>
              <w:pStyle w:val="TableParagraph"/>
              <w:spacing w:before="36"/>
              <w:ind w:right="530"/>
              <w:rPr>
                <w:sz w:val="18"/>
              </w:rPr>
            </w:pPr>
            <w:r>
              <w:rPr>
                <w:sz w:val="18"/>
              </w:rPr>
              <w:t>Temoaya</w:t>
            </w:r>
          </w:p>
        </w:tc>
        <w:tc>
          <w:tcPr>
            <w:tcW w:w="1106" w:type="dxa"/>
          </w:tcPr>
          <w:p>
            <w:pPr>
              <w:pStyle w:val="TableParagraph"/>
              <w:spacing w:before="36"/>
              <w:ind w:left="209"/>
              <w:rPr>
                <w:sz w:val="18"/>
              </w:rPr>
            </w:pPr>
            <w:r>
              <w:rPr>
                <w:sz w:val="18"/>
              </w:rPr>
              <w:t>8200</w:t>
            </w:r>
          </w:p>
        </w:tc>
        <w:tc>
          <w:tcPr>
            <w:tcW w:w="1216" w:type="dxa"/>
          </w:tcPr>
          <w:p>
            <w:pPr>
              <w:pStyle w:val="TableParagraph"/>
              <w:spacing w:before="36"/>
              <w:ind w:left="295"/>
              <w:rPr>
                <w:sz w:val="18"/>
              </w:rPr>
            </w:pPr>
            <w:r>
              <w:rPr>
                <w:sz w:val="18"/>
              </w:rPr>
              <w:t>9889</w:t>
            </w:r>
          </w:p>
        </w:tc>
        <w:tc>
          <w:tcPr>
            <w:tcW w:w="1287" w:type="dxa"/>
          </w:tcPr>
          <w:p>
            <w:pPr>
              <w:pStyle w:val="TableParagraph"/>
              <w:spacing w:before="36"/>
              <w:ind w:left="318"/>
              <w:rPr>
                <w:sz w:val="18"/>
              </w:rPr>
            </w:pPr>
            <w:r>
              <w:rPr>
                <w:sz w:val="18"/>
              </w:rPr>
              <w:t>12384</w:t>
            </w:r>
          </w:p>
        </w:tc>
        <w:tc>
          <w:tcPr>
            <w:tcW w:w="1261" w:type="dxa"/>
          </w:tcPr>
          <w:p>
            <w:pPr>
              <w:pStyle w:val="TableParagraph"/>
              <w:spacing w:before="36"/>
              <w:ind w:left="366"/>
              <w:rPr>
                <w:sz w:val="18"/>
              </w:rPr>
            </w:pPr>
            <w:r>
              <w:rPr>
                <w:sz w:val="18"/>
              </w:rPr>
              <w:t>14525</w:t>
            </w:r>
          </w:p>
        </w:tc>
        <w:tc>
          <w:tcPr>
            <w:tcW w:w="1235" w:type="dxa"/>
          </w:tcPr>
          <w:p>
            <w:pPr>
              <w:pStyle w:val="TableParagraph"/>
              <w:spacing w:before="36"/>
              <w:ind w:left="293"/>
              <w:rPr>
                <w:sz w:val="18"/>
              </w:rPr>
            </w:pPr>
            <w:r>
              <w:rPr>
                <w:sz w:val="18"/>
              </w:rPr>
              <w:t>17982</w:t>
            </w:r>
          </w:p>
        </w:tc>
      </w:tr>
      <w:tr>
        <w:trPr>
          <w:trHeight w:val="249" w:hRule="exact"/>
        </w:trPr>
        <w:tc>
          <w:tcPr>
            <w:tcW w:w="2381" w:type="dxa"/>
            <w:tcBorders>
              <w:bottom w:val="single" w:sz="4" w:space="0" w:color="000000"/>
            </w:tcBorders>
          </w:tcPr>
          <w:p>
            <w:pPr>
              <w:pStyle w:val="TableParagraph"/>
              <w:spacing w:before="37"/>
              <w:ind w:right="530"/>
              <w:rPr>
                <w:sz w:val="18"/>
              </w:rPr>
            </w:pPr>
            <w:r>
              <w:rPr>
                <w:sz w:val="18"/>
              </w:rPr>
              <w:t>Xonacatlán</w:t>
            </w:r>
          </w:p>
        </w:tc>
        <w:tc>
          <w:tcPr>
            <w:tcW w:w="1106" w:type="dxa"/>
            <w:tcBorders>
              <w:bottom w:val="single" w:sz="4" w:space="0" w:color="000000"/>
            </w:tcBorders>
          </w:tcPr>
          <w:p>
            <w:pPr>
              <w:pStyle w:val="TableParagraph"/>
              <w:spacing w:before="37"/>
              <w:ind w:left="209"/>
              <w:rPr>
                <w:sz w:val="18"/>
              </w:rPr>
            </w:pPr>
            <w:r>
              <w:rPr>
                <w:sz w:val="18"/>
              </w:rPr>
              <w:t>4870</w:t>
            </w:r>
          </w:p>
        </w:tc>
        <w:tc>
          <w:tcPr>
            <w:tcW w:w="1216" w:type="dxa"/>
            <w:tcBorders>
              <w:bottom w:val="single" w:sz="4" w:space="0" w:color="000000"/>
            </w:tcBorders>
          </w:tcPr>
          <w:p>
            <w:pPr>
              <w:pStyle w:val="TableParagraph"/>
              <w:spacing w:before="37"/>
              <w:ind w:left="295"/>
              <w:rPr>
                <w:sz w:val="18"/>
              </w:rPr>
            </w:pPr>
            <w:r>
              <w:rPr>
                <w:sz w:val="18"/>
              </w:rPr>
              <w:t>6574</w:t>
            </w:r>
          </w:p>
        </w:tc>
        <w:tc>
          <w:tcPr>
            <w:tcW w:w="1287" w:type="dxa"/>
            <w:tcBorders>
              <w:bottom w:val="single" w:sz="4" w:space="0" w:color="000000"/>
            </w:tcBorders>
          </w:tcPr>
          <w:p>
            <w:pPr>
              <w:pStyle w:val="TableParagraph"/>
              <w:spacing w:before="37"/>
              <w:ind w:left="318"/>
              <w:rPr>
                <w:sz w:val="18"/>
              </w:rPr>
            </w:pPr>
            <w:r>
              <w:rPr>
                <w:sz w:val="18"/>
              </w:rPr>
              <w:t>8106</w:t>
            </w:r>
          </w:p>
        </w:tc>
        <w:tc>
          <w:tcPr>
            <w:tcW w:w="1261" w:type="dxa"/>
            <w:tcBorders>
              <w:bottom w:val="single" w:sz="4" w:space="0" w:color="000000"/>
            </w:tcBorders>
          </w:tcPr>
          <w:p>
            <w:pPr>
              <w:pStyle w:val="TableParagraph"/>
              <w:spacing w:before="37"/>
              <w:ind w:left="366"/>
              <w:rPr>
                <w:sz w:val="18"/>
              </w:rPr>
            </w:pPr>
            <w:r>
              <w:rPr>
                <w:sz w:val="18"/>
              </w:rPr>
              <w:t>9316</w:t>
            </w:r>
          </w:p>
        </w:tc>
        <w:tc>
          <w:tcPr>
            <w:tcW w:w="1235" w:type="dxa"/>
            <w:tcBorders>
              <w:bottom w:val="single" w:sz="4" w:space="0" w:color="000000"/>
            </w:tcBorders>
          </w:tcPr>
          <w:p>
            <w:pPr>
              <w:pStyle w:val="TableParagraph"/>
              <w:spacing w:before="37"/>
              <w:ind w:left="293"/>
              <w:rPr>
                <w:sz w:val="18"/>
              </w:rPr>
            </w:pPr>
            <w:r>
              <w:rPr>
                <w:sz w:val="18"/>
              </w:rPr>
              <w:t>9966</w:t>
            </w:r>
          </w:p>
        </w:tc>
      </w:tr>
      <w:tr>
        <w:trPr>
          <w:trHeight w:val="425" w:hRule="exact"/>
        </w:trPr>
        <w:tc>
          <w:tcPr>
            <w:tcW w:w="2381" w:type="dxa"/>
            <w:tcBorders>
              <w:top w:val="single" w:sz="4" w:space="0" w:color="000000"/>
              <w:bottom w:val="single" w:sz="4" w:space="0" w:color="000000"/>
            </w:tcBorders>
          </w:tcPr>
          <w:p>
            <w:pPr>
              <w:pStyle w:val="TableParagraph"/>
              <w:ind w:right="530"/>
              <w:rPr>
                <w:sz w:val="18"/>
              </w:rPr>
            </w:pPr>
            <w:r>
              <w:rPr>
                <w:sz w:val="18"/>
              </w:rPr>
              <w:t>Interrelación funcional intermedia</w:t>
            </w:r>
          </w:p>
        </w:tc>
        <w:tc>
          <w:tcPr>
            <w:tcW w:w="1106" w:type="dxa"/>
            <w:tcBorders>
              <w:top w:val="single" w:sz="4" w:space="0" w:color="000000"/>
              <w:bottom w:val="single" w:sz="4" w:space="0" w:color="000000"/>
            </w:tcBorders>
          </w:tcPr>
          <w:p>
            <w:pPr>
              <w:pStyle w:val="TableParagraph"/>
              <w:ind w:left="0"/>
              <w:rPr>
                <w:sz w:val="18"/>
              </w:rPr>
            </w:pPr>
          </w:p>
          <w:p>
            <w:pPr>
              <w:pStyle w:val="TableParagraph"/>
              <w:spacing w:before="1"/>
              <w:ind w:left="209"/>
              <w:rPr>
                <w:sz w:val="18"/>
              </w:rPr>
            </w:pPr>
            <w:r>
              <w:rPr>
                <w:sz w:val="18"/>
              </w:rPr>
              <w:t>22475</w:t>
            </w:r>
          </w:p>
        </w:tc>
        <w:tc>
          <w:tcPr>
            <w:tcW w:w="1216" w:type="dxa"/>
            <w:tcBorders>
              <w:top w:val="single" w:sz="4" w:space="0" w:color="000000"/>
              <w:bottom w:val="single" w:sz="4" w:space="0" w:color="000000"/>
            </w:tcBorders>
          </w:tcPr>
          <w:p>
            <w:pPr>
              <w:pStyle w:val="TableParagraph"/>
              <w:ind w:left="0"/>
              <w:rPr>
                <w:sz w:val="18"/>
              </w:rPr>
            </w:pPr>
          </w:p>
          <w:p>
            <w:pPr>
              <w:pStyle w:val="TableParagraph"/>
              <w:spacing w:before="1"/>
              <w:ind w:left="295"/>
              <w:rPr>
                <w:sz w:val="18"/>
              </w:rPr>
            </w:pPr>
            <w:r>
              <w:rPr>
                <w:sz w:val="18"/>
              </w:rPr>
              <w:t>29496</w:t>
            </w:r>
          </w:p>
        </w:tc>
        <w:tc>
          <w:tcPr>
            <w:tcW w:w="1287" w:type="dxa"/>
            <w:tcBorders>
              <w:top w:val="single" w:sz="4" w:space="0" w:color="000000"/>
              <w:bottom w:val="single" w:sz="4" w:space="0" w:color="000000"/>
            </w:tcBorders>
          </w:tcPr>
          <w:p>
            <w:pPr>
              <w:pStyle w:val="TableParagraph"/>
              <w:ind w:left="0"/>
              <w:rPr>
                <w:sz w:val="18"/>
              </w:rPr>
            </w:pPr>
          </w:p>
          <w:p>
            <w:pPr>
              <w:pStyle w:val="TableParagraph"/>
              <w:spacing w:before="1"/>
              <w:ind w:left="318"/>
              <w:rPr>
                <w:sz w:val="18"/>
              </w:rPr>
            </w:pPr>
            <w:r>
              <w:rPr>
                <w:sz w:val="18"/>
              </w:rPr>
              <w:t>35261</w:t>
            </w:r>
          </w:p>
        </w:tc>
        <w:tc>
          <w:tcPr>
            <w:tcW w:w="1261" w:type="dxa"/>
            <w:tcBorders>
              <w:top w:val="single" w:sz="4" w:space="0" w:color="000000"/>
              <w:bottom w:val="single" w:sz="4" w:space="0" w:color="000000"/>
            </w:tcBorders>
          </w:tcPr>
          <w:p>
            <w:pPr>
              <w:pStyle w:val="TableParagraph"/>
              <w:ind w:left="0"/>
              <w:rPr>
                <w:sz w:val="18"/>
              </w:rPr>
            </w:pPr>
          </w:p>
          <w:p>
            <w:pPr>
              <w:pStyle w:val="TableParagraph"/>
              <w:spacing w:before="1"/>
              <w:ind w:left="366"/>
              <w:rPr>
                <w:sz w:val="18"/>
              </w:rPr>
            </w:pPr>
            <w:r>
              <w:rPr>
                <w:sz w:val="18"/>
              </w:rPr>
              <w:t>40898</w:t>
            </w:r>
          </w:p>
        </w:tc>
        <w:tc>
          <w:tcPr>
            <w:tcW w:w="1235" w:type="dxa"/>
            <w:tcBorders>
              <w:top w:val="single" w:sz="4" w:space="0" w:color="000000"/>
              <w:bottom w:val="single" w:sz="4" w:space="0" w:color="000000"/>
            </w:tcBorders>
          </w:tcPr>
          <w:p>
            <w:pPr>
              <w:pStyle w:val="TableParagraph"/>
              <w:ind w:left="0"/>
              <w:rPr>
                <w:sz w:val="18"/>
              </w:rPr>
            </w:pPr>
          </w:p>
          <w:p>
            <w:pPr>
              <w:pStyle w:val="TableParagraph"/>
              <w:spacing w:before="1"/>
              <w:ind w:left="293"/>
              <w:rPr>
                <w:sz w:val="18"/>
              </w:rPr>
            </w:pPr>
            <w:r>
              <w:rPr>
                <w:sz w:val="18"/>
              </w:rPr>
              <w:t>52680</w:t>
            </w:r>
          </w:p>
        </w:tc>
      </w:tr>
      <w:tr>
        <w:trPr>
          <w:trHeight w:val="365" w:hRule="exact"/>
        </w:trPr>
        <w:tc>
          <w:tcPr>
            <w:tcW w:w="2381" w:type="dxa"/>
            <w:tcBorders>
              <w:top w:val="single" w:sz="4" w:space="0" w:color="000000"/>
            </w:tcBorders>
          </w:tcPr>
          <w:p>
            <w:pPr>
              <w:pStyle w:val="TableParagraph"/>
              <w:spacing w:before="90"/>
              <w:ind w:right="530"/>
              <w:rPr>
                <w:sz w:val="18"/>
              </w:rPr>
            </w:pPr>
            <w:r>
              <w:rPr>
                <w:sz w:val="18"/>
              </w:rPr>
              <w:t>Xalatlaco</w:t>
            </w:r>
          </w:p>
        </w:tc>
        <w:tc>
          <w:tcPr>
            <w:tcW w:w="1106" w:type="dxa"/>
            <w:tcBorders>
              <w:top w:val="single" w:sz="4" w:space="0" w:color="000000"/>
            </w:tcBorders>
          </w:tcPr>
          <w:p>
            <w:pPr>
              <w:pStyle w:val="TableParagraph"/>
              <w:spacing w:before="90"/>
              <w:ind w:left="209"/>
              <w:rPr>
                <w:sz w:val="18"/>
              </w:rPr>
            </w:pPr>
            <w:r>
              <w:rPr>
                <w:sz w:val="18"/>
              </w:rPr>
              <w:t>2467</w:t>
            </w:r>
          </w:p>
        </w:tc>
        <w:tc>
          <w:tcPr>
            <w:tcW w:w="1216" w:type="dxa"/>
            <w:tcBorders>
              <w:top w:val="single" w:sz="4" w:space="0" w:color="000000"/>
            </w:tcBorders>
          </w:tcPr>
          <w:p>
            <w:pPr>
              <w:pStyle w:val="TableParagraph"/>
              <w:spacing w:before="90"/>
              <w:ind w:left="295"/>
              <w:rPr>
                <w:sz w:val="18"/>
              </w:rPr>
            </w:pPr>
            <w:r>
              <w:rPr>
                <w:sz w:val="18"/>
              </w:rPr>
              <w:t>3205</w:t>
            </w:r>
          </w:p>
        </w:tc>
        <w:tc>
          <w:tcPr>
            <w:tcW w:w="1287" w:type="dxa"/>
            <w:tcBorders>
              <w:top w:val="single" w:sz="4" w:space="0" w:color="000000"/>
            </w:tcBorders>
          </w:tcPr>
          <w:p>
            <w:pPr>
              <w:pStyle w:val="TableParagraph"/>
              <w:spacing w:before="90"/>
              <w:ind w:left="318"/>
              <w:rPr>
                <w:sz w:val="18"/>
              </w:rPr>
            </w:pPr>
            <w:r>
              <w:rPr>
                <w:sz w:val="18"/>
              </w:rPr>
              <w:t>3858</w:t>
            </w:r>
          </w:p>
        </w:tc>
        <w:tc>
          <w:tcPr>
            <w:tcW w:w="1261" w:type="dxa"/>
            <w:tcBorders>
              <w:top w:val="single" w:sz="4" w:space="0" w:color="000000"/>
            </w:tcBorders>
          </w:tcPr>
          <w:p>
            <w:pPr>
              <w:pStyle w:val="TableParagraph"/>
              <w:spacing w:before="90"/>
              <w:ind w:left="366"/>
              <w:rPr>
                <w:sz w:val="18"/>
              </w:rPr>
            </w:pPr>
            <w:r>
              <w:rPr>
                <w:sz w:val="18"/>
              </w:rPr>
              <w:t>3984</w:t>
            </w:r>
          </w:p>
        </w:tc>
        <w:tc>
          <w:tcPr>
            <w:tcW w:w="1235" w:type="dxa"/>
            <w:tcBorders>
              <w:top w:val="single" w:sz="4" w:space="0" w:color="000000"/>
            </w:tcBorders>
          </w:tcPr>
          <w:p>
            <w:pPr>
              <w:pStyle w:val="TableParagraph"/>
              <w:spacing w:before="90"/>
              <w:ind w:left="293"/>
              <w:rPr>
                <w:sz w:val="18"/>
              </w:rPr>
            </w:pPr>
            <w:r>
              <w:rPr>
                <w:sz w:val="18"/>
              </w:rPr>
              <w:t>5666</w:t>
            </w:r>
          </w:p>
        </w:tc>
      </w:tr>
      <w:tr>
        <w:trPr>
          <w:trHeight w:val="307" w:hRule="exact"/>
        </w:trPr>
        <w:tc>
          <w:tcPr>
            <w:tcW w:w="2381" w:type="dxa"/>
          </w:tcPr>
          <w:p>
            <w:pPr>
              <w:pStyle w:val="TableParagraph"/>
              <w:spacing w:before="44"/>
              <w:ind w:right="530"/>
              <w:rPr>
                <w:sz w:val="18"/>
              </w:rPr>
            </w:pPr>
            <w:r>
              <w:rPr>
                <w:sz w:val="18"/>
              </w:rPr>
              <w:t>Almoloya del Río</w:t>
            </w:r>
          </w:p>
        </w:tc>
        <w:tc>
          <w:tcPr>
            <w:tcW w:w="1106" w:type="dxa"/>
          </w:tcPr>
          <w:p>
            <w:pPr>
              <w:pStyle w:val="TableParagraph"/>
              <w:spacing w:before="44"/>
              <w:ind w:left="209"/>
              <w:rPr>
                <w:sz w:val="18"/>
              </w:rPr>
            </w:pPr>
            <w:r>
              <w:rPr>
                <w:sz w:val="18"/>
              </w:rPr>
              <w:t>1191</w:t>
            </w:r>
          </w:p>
        </w:tc>
        <w:tc>
          <w:tcPr>
            <w:tcW w:w="1216" w:type="dxa"/>
          </w:tcPr>
          <w:p>
            <w:pPr>
              <w:pStyle w:val="TableParagraph"/>
              <w:spacing w:before="44"/>
              <w:ind w:left="295"/>
              <w:rPr>
                <w:sz w:val="18"/>
              </w:rPr>
            </w:pPr>
            <w:r>
              <w:rPr>
                <w:sz w:val="18"/>
              </w:rPr>
              <w:t>1475</w:t>
            </w:r>
          </w:p>
        </w:tc>
        <w:tc>
          <w:tcPr>
            <w:tcW w:w="1287" w:type="dxa"/>
          </w:tcPr>
          <w:p>
            <w:pPr>
              <w:pStyle w:val="TableParagraph"/>
              <w:spacing w:before="44"/>
              <w:ind w:left="318"/>
              <w:rPr>
                <w:sz w:val="18"/>
              </w:rPr>
            </w:pPr>
            <w:r>
              <w:rPr>
                <w:sz w:val="18"/>
              </w:rPr>
              <w:t>1791</w:t>
            </w:r>
          </w:p>
        </w:tc>
        <w:tc>
          <w:tcPr>
            <w:tcW w:w="1261" w:type="dxa"/>
          </w:tcPr>
          <w:p>
            <w:pPr>
              <w:pStyle w:val="TableParagraph"/>
              <w:spacing w:before="44"/>
              <w:ind w:left="366"/>
              <w:rPr>
                <w:sz w:val="18"/>
              </w:rPr>
            </w:pPr>
            <w:r>
              <w:rPr>
                <w:sz w:val="18"/>
              </w:rPr>
              <w:t>2129</w:t>
            </w:r>
          </w:p>
        </w:tc>
        <w:tc>
          <w:tcPr>
            <w:tcW w:w="1235" w:type="dxa"/>
          </w:tcPr>
          <w:p>
            <w:pPr>
              <w:pStyle w:val="TableParagraph"/>
              <w:spacing w:before="44"/>
              <w:ind w:left="293"/>
              <w:rPr>
                <w:sz w:val="18"/>
              </w:rPr>
            </w:pPr>
            <w:r>
              <w:rPr>
                <w:sz w:val="18"/>
              </w:rPr>
              <w:t>2429</w:t>
            </w:r>
          </w:p>
        </w:tc>
      </w:tr>
      <w:tr>
        <w:trPr>
          <w:trHeight w:val="299" w:hRule="exact"/>
        </w:trPr>
        <w:tc>
          <w:tcPr>
            <w:tcW w:w="2381" w:type="dxa"/>
          </w:tcPr>
          <w:p>
            <w:pPr>
              <w:pStyle w:val="TableParagraph"/>
              <w:spacing w:before="37"/>
              <w:ind w:right="530"/>
              <w:rPr>
                <w:sz w:val="18"/>
              </w:rPr>
            </w:pPr>
            <w:r>
              <w:rPr>
                <w:sz w:val="18"/>
              </w:rPr>
              <w:t>Atizapán</w:t>
            </w:r>
          </w:p>
        </w:tc>
        <w:tc>
          <w:tcPr>
            <w:tcW w:w="1106" w:type="dxa"/>
          </w:tcPr>
          <w:p>
            <w:pPr>
              <w:pStyle w:val="TableParagraph"/>
              <w:spacing w:before="37"/>
              <w:ind w:left="209"/>
              <w:rPr>
                <w:sz w:val="18"/>
              </w:rPr>
            </w:pPr>
            <w:r>
              <w:rPr>
                <w:sz w:val="18"/>
              </w:rPr>
              <w:t>933</w:t>
            </w:r>
          </w:p>
        </w:tc>
        <w:tc>
          <w:tcPr>
            <w:tcW w:w="1216" w:type="dxa"/>
          </w:tcPr>
          <w:p>
            <w:pPr>
              <w:pStyle w:val="TableParagraph"/>
              <w:spacing w:before="37"/>
              <w:ind w:left="295"/>
              <w:rPr>
                <w:sz w:val="18"/>
              </w:rPr>
            </w:pPr>
            <w:r>
              <w:rPr>
                <w:sz w:val="18"/>
              </w:rPr>
              <w:t>1384</w:t>
            </w:r>
          </w:p>
        </w:tc>
        <w:tc>
          <w:tcPr>
            <w:tcW w:w="1287" w:type="dxa"/>
          </w:tcPr>
          <w:p>
            <w:pPr>
              <w:pStyle w:val="TableParagraph"/>
              <w:spacing w:before="37"/>
              <w:ind w:left="318"/>
              <w:rPr>
                <w:sz w:val="18"/>
              </w:rPr>
            </w:pPr>
            <w:r>
              <w:rPr>
                <w:sz w:val="18"/>
              </w:rPr>
              <w:t>1615</w:t>
            </w:r>
          </w:p>
        </w:tc>
        <w:tc>
          <w:tcPr>
            <w:tcW w:w="1261" w:type="dxa"/>
          </w:tcPr>
          <w:p>
            <w:pPr>
              <w:pStyle w:val="TableParagraph"/>
              <w:spacing w:before="37"/>
              <w:ind w:left="366"/>
              <w:rPr>
                <w:sz w:val="18"/>
              </w:rPr>
            </w:pPr>
            <w:r>
              <w:rPr>
                <w:sz w:val="18"/>
              </w:rPr>
              <w:t>1840</w:t>
            </w:r>
          </w:p>
        </w:tc>
        <w:tc>
          <w:tcPr>
            <w:tcW w:w="1235" w:type="dxa"/>
          </w:tcPr>
          <w:p>
            <w:pPr>
              <w:pStyle w:val="TableParagraph"/>
              <w:spacing w:before="37"/>
              <w:ind w:left="293"/>
              <w:rPr>
                <w:sz w:val="18"/>
              </w:rPr>
            </w:pPr>
            <w:r>
              <w:rPr>
                <w:sz w:val="18"/>
              </w:rPr>
              <w:t>2112</w:t>
            </w:r>
          </w:p>
        </w:tc>
      </w:tr>
      <w:tr>
        <w:trPr>
          <w:trHeight w:val="299" w:hRule="exact"/>
        </w:trPr>
        <w:tc>
          <w:tcPr>
            <w:tcW w:w="2381" w:type="dxa"/>
          </w:tcPr>
          <w:p>
            <w:pPr>
              <w:pStyle w:val="TableParagraph"/>
              <w:spacing w:before="36"/>
              <w:ind w:right="530"/>
              <w:rPr>
                <w:sz w:val="18"/>
              </w:rPr>
            </w:pPr>
            <w:r>
              <w:rPr>
                <w:sz w:val="18"/>
              </w:rPr>
              <w:t>Capulhuac</w:t>
            </w:r>
          </w:p>
        </w:tc>
        <w:tc>
          <w:tcPr>
            <w:tcW w:w="1106" w:type="dxa"/>
          </w:tcPr>
          <w:p>
            <w:pPr>
              <w:pStyle w:val="TableParagraph"/>
              <w:spacing w:before="36"/>
              <w:ind w:left="209"/>
              <w:rPr>
                <w:sz w:val="18"/>
              </w:rPr>
            </w:pPr>
            <w:r>
              <w:rPr>
                <w:sz w:val="18"/>
              </w:rPr>
              <w:t>3764</w:t>
            </w:r>
          </w:p>
        </w:tc>
        <w:tc>
          <w:tcPr>
            <w:tcW w:w="1216" w:type="dxa"/>
          </w:tcPr>
          <w:p>
            <w:pPr>
              <w:pStyle w:val="TableParagraph"/>
              <w:spacing w:before="36"/>
              <w:ind w:left="295"/>
              <w:rPr>
                <w:sz w:val="18"/>
              </w:rPr>
            </w:pPr>
            <w:r>
              <w:rPr>
                <w:sz w:val="18"/>
              </w:rPr>
              <w:t>5165</w:t>
            </w:r>
          </w:p>
        </w:tc>
        <w:tc>
          <w:tcPr>
            <w:tcW w:w="1287" w:type="dxa"/>
          </w:tcPr>
          <w:p>
            <w:pPr>
              <w:pStyle w:val="TableParagraph"/>
              <w:spacing w:before="36"/>
              <w:ind w:left="318"/>
              <w:rPr>
                <w:sz w:val="18"/>
              </w:rPr>
            </w:pPr>
            <w:r>
              <w:rPr>
                <w:sz w:val="18"/>
              </w:rPr>
              <w:t>5943</w:t>
            </w:r>
          </w:p>
        </w:tc>
        <w:tc>
          <w:tcPr>
            <w:tcW w:w="1261" w:type="dxa"/>
          </w:tcPr>
          <w:p>
            <w:pPr>
              <w:pStyle w:val="TableParagraph"/>
              <w:spacing w:before="36"/>
              <w:ind w:left="366"/>
              <w:rPr>
                <w:sz w:val="18"/>
              </w:rPr>
            </w:pPr>
            <w:r>
              <w:rPr>
                <w:sz w:val="18"/>
              </w:rPr>
              <w:t>6642</w:t>
            </w:r>
          </w:p>
        </w:tc>
        <w:tc>
          <w:tcPr>
            <w:tcW w:w="1235" w:type="dxa"/>
          </w:tcPr>
          <w:p>
            <w:pPr>
              <w:pStyle w:val="TableParagraph"/>
              <w:spacing w:before="36"/>
              <w:ind w:left="293"/>
              <w:rPr>
                <w:sz w:val="18"/>
              </w:rPr>
            </w:pPr>
            <w:r>
              <w:rPr>
                <w:sz w:val="18"/>
              </w:rPr>
              <w:t>7470</w:t>
            </w:r>
          </w:p>
        </w:tc>
      </w:tr>
      <w:tr>
        <w:trPr>
          <w:trHeight w:val="300" w:hRule="exact"/>
        </w:trPr>
        <w:tc>
          <w:tcPr>
            <w:tcW w:w="2381" w:type="dxa"/>
          </w:tcPr>
          <w:p>
            <w:pPr>
              <w:pStyle w:val="TableParagraph"/>
              <w:spacing w:before="37"/>
              <w:ind w:right="530"/>
              <w:rPr>
                <w:sz w:val="18"/>
              </w:rPr>
            </w:pPr>
            <w:r>
              <w:rPr>
                <w:sz w:val="18"/>
              </w:rPr>
              <w:t>Tenango del Valle</w:t>
            </w:r>
          </w:p>
        </w:tc>
        <w:tc>
          <w:tcPr>
            <w:tcW w:w="1106" w:type="dxa"/>
          </w:tcPr>
          <w:p>
            <w:pPr>
              <w:pStyle w:val="TableParagraph"/>
              <w:spacing w:before="37"/>
              <w:ind w:left="209"/>
              <w:rPr>
                <w:sz w:val="18"/>
              </w:rPr>
            </w:pPr>
            <w:r>
              <w:rPr>
                <w:sz w:val="18"/>
              </w:rPr>
              <w:t>8478</w:t>
            </w:r>
          </w:p>
        </w:tc>
        <w:tc>
          <w:tcPr>
            <w:tcW w:w="1216" w:type="dxa"/>
          </w:tcPr>
          <w:p>
            <w:pPr>
              <w:pStyle w:val="TableParagraph"/>
              <w:spacing w:before="37"/>
              <w:ind w:left="295"/>
              <w:rPr>
                <w:sz w:val="18"/>
              </w:rPr>
            </w:pPr>
            <w:r>
              <w:rPr>
                <w:sz w:val="18"/>
              </w:rPr>
              <w:t>10682</w:t>
            </w:r>
          </w:p>
        </w:tc>
        <w:tc>
          <w:tcPr>
            <w:tcW w:w="1287" w:type="dxa"/>
          </w:tcPr>
          <w:p>
            <w:pPr>
              <w:pStyle w:val="TableParagraph"/>
              <w:spacing w:before="37"/>
              <w:ind w:left="318"/>
              <w:rPr>
                <w:sz w:val="18"/>
              </w:rPr>
            </w:pPr>
            <w:r>
              <w:rPr>
                <w:sz w:val="18"/>
              </w:rPr>
              <w:t>12966</w:t>
            </w:r>
          </w:p>
        </w:tc>
        <w:tc>
          <w:tcPr>
            <w:tcW w:w="1261" w:type="dxa"/>
          </w:tcPr>
          <w:p>
            <w:pPr>
              <w:pStyle w:val="TableParagraph"/>
              <w:spacing w:before="37"/>
              <w:ind w:left="366"/>
              <w:rPr>
                <w:sz w:val="18"/>
              </w:rPr>
            </w:pPr>
            <w:r>
              <w:rPr>
                <w:sz w:val="18"/>
              </w:rPr>
              <w:t>14,413</w:t>
            </w:r>
          </w:p>
        </w:tc>
        <w:tc>
          <w:tcPr>
            <w:tcW w:w="1235" w:type="dxa"/>
          </w:tcPr>
          <w:p>
            <w:pPr>
              <w:pStyle w:val="TableParagraph"/>
              <w:spacing w:before="37"/>
              <w:ind w:left="293"/>
              <w:rPr>
                <w:sz w:val="18"/>
              </w:rPr>
            </w:pPr>
            <w:r>
              <w:rPr>
                <w:sz w:val="18"/>
              </w:rPr>
              <w:t>17,364</w:t>
            </w:r>
          </w:p>
        </w:tc>
      </w:tr>
      <w:tr>
        <w:trPr>
          <w:trHeight w:val="299" w:hRule="exact"/>
        </w:trPr>
        <w:tc>
          <w:tcPr>
            <w:tcW w:w="2381" w:type="dxa"/>
          </w:tcPr>
          <w:p>
            <w:pPr>
              <w:pStyle w:val="TableParagraph"/>
              <w:spacing w:before="37"/>
              <w:ind w:right="530"/>
              <w:rPr>
                <w:sz w:val="18"/>
              </w:rPr>
            </w:pPr>
            <w:r>
              <w:rPr>
                <w:sz w:val="18"/>
              </w:rPr>
              <w:t>Texcalyacac</w:t>
            </w:r>
          </w:p>
        </w:tc>
        <w:tc>
          <w:tcPr>
            <w:tcW w:w="1106" w:type="dxa"/>
          </w:tcPr>
          <w:p>
            <w:pPr>
              <w:pStyle w:val="TableParagraph"/>
              <w:spacing w:before="37"/>
              <w:ind w:left="209"/>
              <w:rPr>
                <w:sz w:val="18"/>
              </w:rPr>
            </w:pPr>
            <w:r>
              <w:rPr>
                <w:sz w:val="18"/>
              </w:rPr>
              <w:t>530</w:t>
            </w:r>
          </w:p>
        </w:tc>
        <w:tc>
          <w:tcPr>
            <w:tcW w:w="1216" w:type="dxa"/>
          </w:tcPr>
          <w:p>
            <w:pPr>
              <w:pStyle w:val="TableParagraph"/>
              <w:spacing w:before="37"/>
              <w:ind w:left="295"/>
              <w:rPr>
                <w:sz w:val="18"/>
              </w:rPr>
            </w:pPr>
            <w:r>
              <w:rPr>
                <w:sz w:val="18"/>
              </w:rPr>
              <w:t>766</w:t>
            </w:r>
          </w:p>
        </w:tc>
        <w:tc>
          <w:tcPr>
            <w:tcW w:w="1287" w:type="dxa"/>
          </w:tcPr>
          <w:p>
            <w:pPr>
              <w:pStyle w:val="TableParagraph"/>
              <w:spacing w:before="37"/>
              <w:ind w:left="318"/>
              <w:rPr>
                <w:sz w:val="18"/>
              </w:rPr>
            </w:pPr>
            <w:r>
              <w:rPr>
                <w:sz w:val="18"/>
              </w:rPr>
              <w:t>865</w:t>
            </w:r>
          </w:p>
        </w:tc>
        <w:tc>
          <w:tcPr>
            <w:tcW w:w="1261" w:type="dxa"/>
          </w:tcPr>
          <w:p>
            <w:pPr>
              <w:pStyle w:val="TableParagraph"/>
              <w:spacing w:before="37"/>
              <w:ind w:left="366"/>
              <w:rPr>
                <w:sz w:val="18"/>
              </w:rPr>
            </w:pPr>
            <w:r>
              <w:rPr>
                <w:sz w:val="18"/>
              </w:rPr>
              <w:t>1002</w:t>
            </w:r>
          </w:p>
        </w:tc>
        <w:tc>
          <w:tcPr>
            <w:tcW w:w="1235" w:type="dxa"/>
          </w:tcPr>
          <w:p>
            <w:pPr>
              <w:pStyle w:val="TableParagraph"/>
              <w:spacing w:before="37"/>
              <w:ind w:left="293"/>
              <w:rPr>
                <w:sz w:val="18"/>
              </w:rPr>
            </w:pPr>
            <w:r>
              <w:rPr>
                <w:sz w:val="18"/>
              </w:rPr>
              <w:t>1246</w:t>
            </w:r>
          </w:p>
        </w:tc>
      </w:tr>
      <w:tr>
        <w:trPr>
          <w:trHeight w:val="248" w:hRule="exact"/>
        </w:trPr>
        <w:tc>
          <w:tcPr>
            <w:tcW w:w="2381" w:type="dxa"/>
            <w:tcBorders>
              <w:bottom w:val="single" w:sz="4" w:space="0" w:color="000000"/>
            </w:tcBorders>
          </w:tcPr>
          <w:p>
            <w:pPr>
              <w:pStyle w:val="TableParagraph"/>
              <w:spacing w:before="36"/>
              <w:ind w:right="530"/>
              <w:rPr>
                <w:sz w:val="18"/>
              </w:rPr>
            </w:pPr>
            <w:r>
              <w:rPr>
                <w:sz w:val="18"/>
              </w:rPr>
              <w:t>Tianguistenco</w:t>
            </w:r>
          </w:p>
        </w:tc>
        <w:tc>
          <w:tcPr>
            <w:tcW w:w="1106" w:type="dxa"/>
            <w:tcBorders>
              <w:bottom w:val="single" w:sz="4" w:space="0" w:color="000000"/>
            </w:tcBorders>
          </w:tcPr>
          <w:p>
            <w:pPr>
              <w:pStyle w:val="TableParagraph"/>
              <w:spacing w:before="36"/>
              <w:ind w:left="209"/>
              <w:rPr>
                <w:sz w:val="18"/>
              </w:rPr>
            </w:pPr>
            <w:r>
              <w:rPr>
                <w:sz w:val="18"/>
              </w:rPr>
              <w:t>7467</w:t>
            </w:r>
          </w:p>
        </w:tc>
        <w:tc>
          <w:tcPr>
            <w:tcW w:w="1216" w:type="dxa"/>
            <w:tcBorders>
              <w:bottom w:val="single" w:sz="4" w:space="0" w:color="000000"/>
            </w:tcBorders>
          </w:tcPr>
          <w:p>
            <w:pPr>
              <w:pStyle w:val="TableParagraph"/>
              <w:spacing w:before="36"/>
              <w:ind w:left="295"/>
              <w:rPr>
                <w:sz w:val="18"/>
              </w:rPr>
            </w:pPr>
            <w:r>
              <w:rPr>
                <w:sz w:val="18"/>
              </w:rPr>
              <w:t>9376</w:t>
            </w:r>
          </w:p>
        </w:tc>
        <w:tc>
          <w:tcPr>
            <w:tcW w:w="1287" w:type="dxa"/>
            <w:tcBorders>
              <w:bottom w:val="single" w:sz="4" w:space="0" w:color="000000"/>
            </w:tcBorders>
          </w:tcPr>
          <w:p>
            <w:pPr>
              <w:pStyle w:val="TableParagraph"/>
              <w:spacing w:before="36"/>
              <w:ind w:left="318"/>
              <w:rPr>
                <w:sz w:val="18"/>
              </w:rPr>
            </w:pPr>
            <w:r>
              <w:rPr>
                <w:sz w:val="18"/>
              </w:rPr>
              <w:t>11445</w:t>
            </w:r>
          </w:p>
        </w:tc>
        <w:tc>
          <w:tcPr>
            <w:tcW w:w="1261" w:type="dxa"/>
            <w:tcBorders>
              <w:bottom w:val="single" w:sz="4" w:space="0" w:color="000000"/>
            </w:tcBorders>
          </w:tcPr>
          <w:p>
            <w:pPr>
              <w:pStyle w:val="TableParagraph"/>
              <w:spacing w:before="36"/>
              <w:ind w:left="366"/>
              <w:rPr>
                <w:sz w:val="18"/>
              </w:rPr>
            </w:pPr>
            <w:r>
              <w:rPr>
                <w:sz w:val="18"/>
              </w:rPr>
              <w:t>12924</w:t>
            </w:r>
          </w:p>
        </w:tc>
        <w:tc>
          <w:tcPr>
            <w:tcW w:w="1235" w:type="dxa"/>
            <w:tcBorders>
              <w:bottom w:val="single" w:sz="4" w:space="0" w:color="000000"/>
            </w:tcBorders>
          </w:tcPr>
          <w:p>
            <w:pPr>
              <w:pStyle w:val="TableParagraph"/>
              <w:spacing w:before="36"/>
              <w:ind w:left="293"/>
              <w:rPr>
                <w:sz w:val="18"/>
              </w:rPr>
            </w:pPr>
            <w:r>
              <w:rPr>
                <w:sz w:val="18"/>
              </w:rPr>
              <w:t>15,550</w:t>
            </w:r>
          </w:p>
        </w:tc>
      </w:tr>
      <w:tr>
        <w:trPr>
          <w:trHeight w:val="425" w:hRule="exact"/>
        </w:trPr>
        <w:tc>
          <w:tcPr>
            <w:tcW w:w="2381" w:type="dxa"/>
            <w:tcBorders>
              <w:top w:val="single" w:sz="4" w:space="0" w:color="000000"/>
              <w:bottom w:val="single" w:sz="4" w:space="0" w:color="000000"/>
            </w:tcBorders>
          </w:tcPr>
          <w:p>
            <w:pPr>
              <w:pStyle w:val="TableParagraph"/>
              <w:spacing w:before="1"/>
              <w:ind w:right="190"/>
              <w:rPr>
                <w:sz w:val="18"/>
              </w:rPr>
            </w:pPr>
            <w:r>
              <w:rPr>
                <w:sz w:val="18"/>
              </w:rPr>
              <w:t>Relación externa, resto de municipios</w:t>
            </w:r>
          </w:p>
        </w:tc>
        <w:tc>
          <w:tcPr>
            <w:tcW w:w="1106" w:type="dxa"/>
            <w:tcBorders>
              <w:top w:val="single" w:sz="4" w:space="0" w:color="000000"/>
              <w:bottom w:val="single" w:sz="4" w:space="0" w:color="000000"/>
            </w:tcBorders>
          </w:tcPr>
          <w:p>
            <w:pPr>
              <w:pStyle w:val="TableParagraph"/>
              <w:ind w:left="0"/>
              <w:rPr>
                <w:sz w:val="18"/>
              </w:rPr>
            </w:pPr>
          </w:p>
          <w:p>
            <w:pPr>
              <w:pStyle w:val="TableParagraph"/>
              <w:spacing w:before="1"/>
              <w:ind w:left="209"/>
              <w:rPr>
                <w:sz w:val="18"/>
              </w:rPr>
            </w:pPr>
            <w:r>
              <w:rPr>
                <w:sz w:val="18"/>
              </w:rPr>
              <w:t>24830</w:t>
            </w:r>
          </w:p>
        </w:tc>
        <w:tc>
          <w:tcPr>
            <w:tcW w:w="1216" w:type="dxa"/>
            <w:tcBorders>
              <w:top w:val="single" w:sz="4" w:space="0" w:color="000000"/>
              <w:bottom w:val="single" w:sz="4" w:space="0" w:color="000000"/>
            </w:tcBorders>
          </w:tcPr>
          <w:p>
            <w:pPr>
              <w:pStyle w:val="TableParagraph"/>
              <w:ind w:left="0"/>
              <w:rPr>
                <w:sz w:val="18"/>
              </w:rPr>
            </w:pPr>
          </w:p>
          <w:p>
            <w:pPr>
              <w:pStyle w:val="TableParagraph"/>
              <w:spacing w:before="1"/>
              <w:ind w:left="295"/>
              <w:rPr>
                <w:sz w:val="18"/>
              </w:rPr>
            </w:pPr>
            <w:r>
              <w:rPr>
                <w:sz w:val="18"/>
              </w:rPr>
              <w:t>32053</w:t>
            </w:r>
          </w:p>
        </w:tc>
        <w:tc>
          <w:tcPr>
            <w:tcW w:w="1287" w:type="dxa"/>
            <w:tcBorders>
              <w:top w:val="single" w:sz="4" w:space="0" w:color="000000"/>
              <w:bottom w:val="single" w:sz="4" w:space="0" w:color="000000"/>
            </w:tcBorders>
          </w:tcPr>
          <w:p>
            <w:pPr>
              <w:pStyle w:val="TableParagraph"/>
              <w:ind w:left="0"/>
              <w:rPr>
                <w:sz w:val="18"/>
              </w:rPr>
            </w:pPr>
          </w:p>
          <w:p>
            <w:pPr>
              <w:pStyle w:val="TableParagraph"/>
              <w:spacing w:before="1"/>
              <w:ind w:left="318"/>
              <w:rPr>
                <w:sz w:val="18"/>
              </w:rPr>
            </w:pPr>
            <w:r>
              <w:rPr>
                <w:sz w:val="18"/>
              </w:rPr>
              <w:t>38483</w:t>
            </w:r>
          </w:p>
        </w:tc>
        <w:tc>
          <w:tcPr>
            <w:tcW w:w="1261" w:type="dxa"/>
            <w:tcBorders>
              <w:top w:val="single" w:sz="4" w:space="0" w:color="000000"/>
              <w:bottom w:val="single" w:sz="4" w:space="0" w:color="000000"/>
            </w:tcBorders>
          </w:tcPr>
          <w:p>
            <w:pPr>
              <w:pStyle w:val="TableParagraph"/>
              <w:ind w:left="0"/>
              <w:rPr>
                <w:sz w:val="18"/>
              </w:rPr>
            </w:pPr>
          </w:p>
          <w:p>
            <w:pPr>
              <w:pStyle w:val="TableParagraph"/>
              <w:spacing w:before="1"/>
              <w:ind w:left="366"/>
              <w:rPr>
                <w:sz w:val="18"/>
              </w:rPr>
            </w:pPr>
            <w:r>
              <w:rPr>
                <w:sz w:val="18"/>
              </w:rPr>
              <w:t>42934</w:t>
            </w:r>
          </w:p>
        </w:tc>
        <w:tc>
          <w:tcPr>
            <w:tcW w:w="1235" w:type="dxa"/>
            <w:tcBorders>
              <w:top w:val="single" w:sz="4" w:space="0" w:color="000000"/>
              <w:bottom w:val="single" w:sz="4" w:space="0" w:color="000000"/>
            </w:tcBorders>
          </w:tcPr>
          <w:p>
            <w:pPr>
              <w:pStyle w:val="TableParagraph"/>
              <w:ind w:left="0"/>
              <w:rPr>
                <w:sz w:val="18"/>
              </w:rPr>
            </w:pPr>
          </w:p>
          <w:p>
            <w:pPr>
              <w:pStyle w:val="TableParagraph"/>
              <w:spacing w:before="1"/>
              <w:ind w:left="293"/>
              <w:rPr>
                <w:sz w:val="18"/>
              </w:rPr>
            </w:pPr>
            <w:r>
              <w:rPr>
                <w:sz w:val="18"/>
              </w:rPr>
              <w:t>51837</w:t>
            </w:r>
          </w:p>
        </w:tc>
      </w:tr>
    </w:tbl>
    <w:p>
      <w:pPr>
        <w:spacing w:line="240" w:lineRule="auto" w:before="0"/>
        <w:ind w:left="105" w:right="109" w:hanging="3"/>
        <w:jc w:val="center"/>
        <w:rPr>
          <w:sz w:val="20"/>
        </w:rPr>
      </w:pPr>
      <w:r>
        <w:rPr>
          <w:sz w:val="20"/>
        </w:rPr>
        <w:t>Fuente: Elaboración propia con información del XI Censo General de Población y Vivienda 1990, Conteo de Población y Vivienda 1995, XII Censo General de Población y Vivienda 2000, II Conteo de Población y Vivienda 2005 y Censo de Población y Vivienda 2010 (ITER 1990,1995,2000,</w:t>
      </w:r>
      <w:r>
        <w:rPr>
          <w:spacing w:val="-31"/>
          <w:sz w:val="20"/>
        </w:rPr>
        <w:t> </w:t>
      </w:r>
      <w:r>
        <w:rPr>
          <w:sz w:val="20"/>
        </w:rPr>
        <w:t>2005 y</w:t>
      </w:r>
      <w:r>
        <w:rPr>
          <w:spacing w:val="-5"/>
          <w:sz w:val="20"/>
        </w:rPr>
        <w:t> </w:t>
      </w:r>
      <w:r>
        <w:rPr>
          <w:sz w:val="20"/>
        </w:rPr>
        <w:t>2010)</w:t>
      </w:r>
    </w:p>
    <w:p>
      <w:pPr>
        <w:spacing w:after="0" w:line="240" w:lineRule="auto"/>
        <w:jc w:val="center"/>
        <w:rPr>
          <w:sz w:val="20"/>
        </w:rPr>
        <w:sectPr>
          <w:pgSz w:w="12240" w:h="15840"/>
          <w:pgMar w:header="0" w:footer="659" w:top="1360" w:bottom="840" w:left="1640" w:right="1640"/>
        </w:sectPr>
      </w:pPr>
    </w:p>
    <w:p>
      <w:pPr>
        <w:tabs>
          <w:tab w:pos="2323" w:val="left" w:leader="none"/>
          <w:tab w:pos="7988" w:val="left" w:leader="none"/>
        </w:tabs>
        <w:spacing w:before="53"/>
        <w:ind w:left="973" w:right="82" w:firstLine="0"/>
        <w:jc w:val="left"/>
        <w:rPr>
          <w:sz w:val="20"/>
        </w:rPr>
      </w:pPr>
      <w:r>
        <w:rPr>
          <w:w w:val="99"/>
          <w:sz w:val="20"/>
          <w:u w:val="single"/>
        </w:rPr>
        <w:t> </w:t>
      </w:r>
      <w:r>
        <w:rPr>
          <w:sz w:val="20"/>
          <w:u w:val="single"/>
        </w:rPr>
        <w:tab/>
        <w:t>Cuadro A 4.7 Tasa de crecimiento de la</w:t>
      </w:r>
      <w:r>
        <w:rPr>
          <w:spacing w:val="-15"/>
          <w:sz w:val="20"/>
          <w:u w:val="single"/>
        </w:rPr>
        <w:t> </w:t>
      </w:r>
      <w:r>
        <w:rPr>
          <w:sz w:val="20"/>
          <w:u w:val="single"/>
        </w:rPr>
        <w:t>vivienda</w:t>
        <w:tab/>
      </w:r>
    </w:p>
    <w:p>
      <w:pPr>
        <w:pStyle w:val="BodyText"/>
        <w:spacing w:before="7"/>
        <w:rPr>
          <w:sz w:val="16"/>
        </w:rPr>
      </w:pPr>
    </w:p>
    <w:tbl>
      <w:tblPr>
        <w:tblW w:w="0" w:type="auto"/>
        <w:jc w:val="left"/>
        <w:tblInd w:w="974"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3350"/>
        <w:gridCol w:w="1768"/>
        <w:gridCol w:w="1896"/>
      </w:tblGrid>
      <w:tr>
        <w:trPr>
          <w:trHeight w:val="189" w:hRule="exact"/>
        </w:trPr>
        <w:tc>
          <w:tcPr>
            <w:tcW w:w="3350" w:type="dxa"/>
            <w:tcBorders>
              <w:bottom w:val="single" w:sz="4" w:space="0" w:color="000000"/>
            </w:tcBorders>
          </w:tcPr>
          <w:p>
            <w:pPr>
              <w:pStyle w:val="TableParagraph"/>
              <w:spacing w:line="184" w:lineRule="exact"/>
              <w:rPr>
                <w:sz w:val="18"/>
              </w:rPr>
            </w:pPr>
            <w:r>
              <w:rPr>
                <w:sz w:val="18"/>
              </w:rPr>
              <w:t>MUNICIPIO</w:t>
            </w:r>
          </w:p>
        </w:tc>
        <w:tc>
          <w:tcPr>
            <w:tcW w:w="1768" w:type="dxa"/>
            <w:tcBorders>
              <w:bottom w:val="single" w:sz="4" w:space="0" w:color="000000"/>
            </w:tcBorders>
          </w:tcPr>
          <w:p>
            <w:pPr>
              <w:pStyle w:val="TableParagraph"/>
              <w:spacing w:line="184" w:lineRule="exact"/>
              <w:ind w:left="279"/>
              <w:rPr>
                <w:sz w:val="18"/>
              </w:rPr>
            </w:pPr>
            <w:r>
              <w:rPr>
                <w:sz w:val="18"/>
              </w:rPr>
              <w:t>TCV 1985-2000</w:t>
            </w:r>
          </w:p>
        </w:tc>
        <w:tc>
          <w:tcPr>
            <w:tcW w:w="1896" w:type="dxa"/>
            <w:tcBorders>
              <w:bottom w:val="single" w:sz="4" w:space="0" w:color="000000"/>
            </w:tcBorders>
          </w:tcPr>
          <w:p>
            <w:pPr>
              <w:pStyle w:val="TableParagraph"/>
              <w:spacing w:line="184" w:lineRule="exact"/>
              <w:ind w:left="213"/>
              <w:rPr>
                <w:sz w:val="18"/>
              </w:rPr>
            </w:pPr>
            <w:r>
              <w:rPr>
                <w:sz w:val="18"/>
              </w:rPr>
              <w:t>TCV 2000-2010</w:t>
            </w:r>
          </w:p>
        </w:tc>
      </w:tr>
      <w:tr>
        <w:trPr>
          <w:trHeight w:val="454" w:hRule="exact"/>
        </w:trPr>
        <w:tc>
          <w:tcPr>
            <w:tcW w:w="3350" w:type="dxa"/>
            <w:tcBorders>
              <w:top w:val="single" w:sz="4" w:space="0" w:color="000000"/>
            </w:tcBorders>
          </w:tcPr>
          <w:p>
            <w:pPr>
              <w:pStyle w:val="TableParagraph"/>
              <w:spacing w:before="155"/>
              <w:rPr>
                <w:sz w:val="18"/>
              </w:rPr>
            </w:pPr>
            <w:r>
              <w:rPr>
                <w:sz w:val="18"/>
              </w:rPr>
              <w:t>Lerma</w:t>
            </w:r>
          </w:p>
        </w:tc>
        <w:tc>
          <w:tcPr>
            <w:tcW w:w="1768" w:type="dxa"/>
            <w:tcBorders>
              <w:top w:val="single" w:sz="4" w:space="0" w:color="000000"/>
            </w:tcBorders>
          </w:tcPr>
          <w:p>
            <w:pPr>
              <w:pStyle w:val="TableParagraph"/>
              <w:spacing w:before="155"/>
              <w:ind w:left="279"/>
              <w:rPr>
                <w:sz w:val="18"/>
              </w:rPr>
            </w:pPr>
            <w:r>
              <w:rPr>
                <w:sz w:val="18"/>
              </w:rPr>
              <w:t>15.85</w:t>
            </w:r>
          </w:p>
        </w:tc>
        <w:tc>
          <w:tcPr>
            <w:tcW w:w="1896" w:type="dxa"/>
            <w:tcBorders>
              <w:top w:val="single" w:sz="4" w:space="0" w:color="000000"/>
            </w:tcBorders>
          </w:tcPr>
          <w:p>
            <w:pPr>
              <w:pStyle w:val="TableParagraph"/>
              <w:spacing w:before="155"/>
              <w:ind w:left="213"/>
              <w:rPr>
                <w:sz w:val="18"/>
              </w:rPr>
            </w:pPr>
            <w:r>
              <w:rPr>
                <w:sz w:val="18"/>
              </w:rPr>
              <w:t>9.56</w:t>
            </w:r>
          </w:p>
        </w:tc>
      </w:tr>
      <w:tr>
        <w:trPr>
          <w:trHeight w:val="362" w:hRule="exact"/>
        </w:trPr>
        <w:tc>
          <w:tcPr>
            <w:tcW w:w="3350" w:type="dxa"/>
          </w:tcPr>
          <w:p>
            <w:pPr>
              <w:pStyle w:val="TableParagraph"/>
              <w:spacing w:before="68"/>
              <w:rPr>
                <w:sz w:val="18"/>
              </w:rPr>
            </w:pPr>
            <w:r>
              <w:rPr>
                <w:sz w:val="18"/>
              </w:rPr>
              <w:t>Metepec</w:t>
            </w:r>
          </w:p>
        </w:tc>
        <w:tc>
          <w:tcPr>
            <w:tcW w:w="1768" w:type="dxa"/>
          </w:tcPr>
          <w:p>
            <w:pPr>
              <w:pStyle w:val="TableParagraph"/>
              <w:spacing w:before="68"/>
              <w:ind w:left="279"/>
              <w:rPr>
                <w:sz w:val="18"/>
              </w:rPr>
            </w:pPr>
            <w:r>
              <w:rPr>
                <w:sz w:val="18"/>
              </w:rPr>
              <w:t>18.08</w:t>
            </w:r>
          </w:p>
        </w:tc>
        <w:tc>
          <w:tcPr>
            <w:tcW w:w="1896" w:type="dxa"/>
          </w:tcPr>
          <w:p>
            <w:pPr>
              <w:pStyle w:val="TableParagraph"/>
              <w:spacing w:before="68"/>
              <w:ind w:left="213"/>
              <w:rPr>
                <w:sz w:val="18"/>
              </w:rPr>
            </w:pPr>
            <w:r>
              <w:rPr>
                <w:sz w:val="18"/>
              </w:rPr>
              <w:t>7.74</w:t>
            </w:r>
          </w:p>
        </w:tc>
      </w:tr>
      <w:tr>
        <w:trPr>
          <w:trHeight w:val="362" w:hRule="exact"/>
        </w:trPr>
        <w:tc>
          <w:tcPr>
            <w:tcW w:w="3350" w:type="dxa"/>
          </w:tcPr>
          <w:p>
            <w:pPr>
              <w:pStyle w:val="TableParagraph"/>
              <w:spacing w:before="68"/>
              <w:rPr>
                <w:sz w:val="18"/>
              </w:rPr>
            </w:pPr>
            <w:r>
              <w:rPr>
                <w:sz w:val="18"/>
              </w:rPr>
              <w:t>Toluca</w:t>
            </w:r>
          </w:p>
        </w:tc>
        <w:tc>
          <w:tcPr>
            <w:tcW w:w="1768" w:type="dxa"/>
          </w:tcPr>
          <w:p>
            <w:pPr>
              <w:pStyle w:val="TableParagraph"/>
              <w:spacing w:before="68"/>
              <w:ind w:left="279"/>
              <w:rPr>
                <w:sz w:val="18"/>
              </w:rPr>
            </w:pPr>
            <w:r>
              <w:rPr>
                <w:sz w:val="18"/>
              </w:rPr>
              <w:t>9.35</w:t>
            </w:r>
          </w:p>
        </w:tc>
        <w:tc>
          <w:tcPr>
            <w:tcW w:w="1896" w:type="dxa"/>
          </w:tcPr>
          <w:p>
            <w:pPr>
              <w:pStyle w:val="TableParagraph"/>
              <w:spacing w:before="68"/>
              <w:ind w:left="213"/>
              <w:rPr>
                <w:sz w:val="18"/>
              </w:rPr>
            </w:pPr>
            <w:r>
              <w:rPr>
                <w:sz w:val="18"/>
              </w:rPr>
              <w:t>2.45</w:t>
            </w:r>
          </w:p>
        </w:tc>
      </w:tr>
      <w:tr>
        <w:trPr>
          <w:trHeight w:val="361" w:hRule="exact"/>
        </w:trPr>
        <w:tc>
          <w:tcPr>
            <w:tcW w:w="3350" w:type="dxa"/>
          </w:tcPr>
          <w:p>
            <w:pPr>
              <w:pStyle w:val="TableParagraph"/>
              <w:spacing w:before="68"/>
              <w:rPr>
                <w:sz w:val="18"/>
              </w:rPr>
            </w:pPr>
            <w:r>
              <w:rPr>
                <w:sz w:val="18"/>
              </w:rPr>
              <w:t>San Mateo Atenco</w:t>
            </w:r>
          </w:p>
        </w:tc>
        <w:tc>
          <w:tcPr>
            <w:tcW w:w="1768" w:type="dxa"/>
          </w:tcPr>
          <w:p>
            <w:pPr>
              <w:pStyle w:val="TableParagraph"/>
              <w:spacing w:before="68"/>
              <w:ind w:left="279"/>
              <w:rPr>
                <w:sz w:val="18"/>
              </w:rPr>
            </w:pPr>
            <w:r>
              <w:rPr>
                <w:sz w:val="18"/>
              </w:rPr>
              <w:t>13.38</w:t>
            </w:r>
          </w:p>
        </w:tc>
        <w:tc>
          <w:tcPr>
            <w:tcW w:w="1896" w:type="dxa"/>
          </w:tcPr>
          <w:p>
            <w:pPr>
              <w:pStyle w:val="TableParagraph"/>
              <w:spacing w:before="68"/>
              <w:ind w:left="213"/>
              <w:rPr>
                <w:sz w:val="18"/>
              </w:rPr>
            </w:pPr>
            <w:r>
              <w:rPr>
                <w:sz w:val="18"/>
              </w:rPr>
              <w:t>6.85</w:t>
            </w:r>
          </w:p>
        </w:tc>
      </w:tr>
      <w:tr>
        <w:trPr>
          <w:trHeight w:val="361" w:hRule="exact"/>
        </w:trPr>
        <w:tc>
          <w:tcPr>
            <w:tcW w:w="3350" w:type="dxa"/>
          </w:tcPr>
          <w:p>
            <w:pPr>
              <w:pStyle w:val="TableParagraph"/>
              <w:spacing w:before="67"/>
              <w:rPr>
                <w:sz w:val="18"/>
              </w:rPr>
            </w:pPr>
            <w:r>
              <w:rPr>
                <w:sz w:val="18"/>
              </w:rPr>
              <w:t>Zinacantepec</w:t>
            </w:r>
          </w:p>
        </w:tc>
        <w:tc>
          <w:tcPr>
            <w:tcW w:w="1768" w:type="dxa"/>
          </w:tcPr>
          <w:p>
            <w:pPr>
              <w:pStyle w:val="TableParagraph"/>
              <w:spacing w:before="67"/>
              <w:ind w:left="279"/>
              <w:rPr>
                <w:sz w:val="18"/>
              </w:rPr>
            </w:pPr>
            <w:r>
              <w:rPr>
                <w:sz w:val="18"/>
              </w:rPr>
              <w:t>15.39</w:t>
            </w:r>
          </w:p>
        </w:tc>
        <w:tc>
          <w:tcPr>
            <w:tcW w:w="1896" w:type="dxa"/>
          </w:tcPr>
          <w:p>
            <w:pPr>
              <w:pStyle w:val="TableParagraph"/>
              <w:spacing w:before="67"/>
              <w:ind w:left="213"/>
              <w:rPr>
                <w:sz w:val="18"/>
              </w:rPr>
            </w:pPr>
            <w:r>
              <w:rPr>
                <w:sz w:val="18"/>
              </w:rPr>
              <w:t>8.76</w:t>
            </w:r>
          </w:p>
        </w:tc>
      </w:tr>
      <w:tr>
        <w:trPr>
          <w:trHeight w:val="362" w:hRule="exact"/>
        </w:trPr>
        <w:tc>
          <w:tcPr>
            <w:tcW w:w="3350" w:type="dxa"/>
          </w:tcPr>
          <w:p>
            <w:pPr>
              <w:pStyle w:val="TableParagraph"/>
              <w:spacing w:before="68"/>
              <w:rPr>
                <w:sz w:val="18"/>
              </w:rPr>
            </w:pPr>
            <w:r>
              <w:rPr>
                <w:sz w:val="18"/>
              </w:rPr>
              <w:t>Almoloya de Juárez</w:t>
            </w:r>
          </w:p>
        </w:tc>
        <w:tc>
          <w:tcPr>
            <w:tcW w:w="1768" w:type="dxa"/>
          </w:tcPr>
          <w:p>
            <w:pPr>
              <w:pStyle w:val="TableParagraph"/>
              <w:spacing w:before="68"/>
              <w:ind w:left="279"/>
              <w:rPr>
                <w:sz w:val="18"/>
              </w:rPr>
            </w:pPr>
            <w:r>
              <w:rPr>
                <w:sz w:val="18"/>
              </w:rPr>
              <w:t>24.84</w:t>
            </w:r>
          </w:p>
        </w:tc>
        <w:tc>
          <w:tcPr>
            <w:tcW w:w="1896" w:type="dxa"/>
          </w:tcPr>
          <w:p>
            <w:pPr>
              <w:pStyle w:val="TableParagraph"/>
              <w:spacing w:before="68"/>
              <w:ind w:left="213"/>
              <w:rPr>
                <w:sz w:val="18"/>
              </w:rPr>
            </w:pPr>
            <w:r>
              <w:rPr>
                <w:sz w:val="18"/>
              </w:rPr>
              <w:t>7.61</w:t>
            </w:r>
          </w:p>
        </w:tc>
      </w:tr>
      <w:tr>
        <w:trPr>
          <w:trHeight w:val="362" w:hRule="exact"/>
        </w:trPr>
        <w:tc>
          <w:tcPr>
            <w:tcW w:w="3350" w:type="dxa"/>
          </w:tcPr>
          <w:p>
            <w:pPr>
              <w:pStyle w:val="TableParagraph"/>
              <w:spacing w:before="68"/>
              <w:rPr>
                <w:sz w:val="18"/>
              </w:rPr>
            </w:pPr>
            <w:r>
              <w:rPr>
                <w:sz w:val="18"/>
              </w:rPr>
              <w:t>Calimaya</w:t>
            </w:r>
          </w:p>
        </w:tc>
        <w:tc>
          <w:tcPr>
            <w:tcW w:w="1768" w:type="dxa"/>
          </w:tcPr>
          <w:p>
            <w:pPr>
              <w:pStyle w:val="TableParagraph"/>
              <w:spacing w:before="68"/>
              <w:ind w:left="279"/>
              <w:rPr>
                <w:sz w:val="18"/>
              </w:rPr>
            </w:pPr>
            <w:r>
              <w:rPr>
                <w:sz w:val="18"/>
              </w:rPr>
              <w:t>0.00</w:t>
            </w:r>
          </w:p>
        </w:tc>
        <w:tc>
          <w:tcPr>
            <w:tcW w:w="1896" w:type="dxa"/>
          </w:tcPr>
          <w:p>
            <w:pPr>
              <w:pStyle w:val="TableParagraph"/>
              <w:spacing w:before="68"/>
              <w:ind w:left="213"/>
              <w:rPr>
                <w:sz w:val="18"/>
              </w:rPr>
            </w:pPr>
            <w:r>
              <w:rPr>
                <w:sz w:val="18"/>
              </w:rPr>
              <w:t>10.04</w:t>
            </w:r>
          </w:p>
        </w:tc>
      </w:tr>
      <w:tr>
        <w:trPr>
          <w:trHeight w:val="363" w:hRule="exact"/>
        </w:trPr>
        <w:tc>
          <w:tcPr>
            <w:tcW w:w="3350" w:type="dxa"/>
          </w:tcPr>
          <w:p>
            <w:pPr>
              <w:pStyle w:val="TableParagraph"/>
              <w:spacing w:before="68"/>
              <w:rPr>
                <w:sz w:val="18"/>
              </w:rPr>
            </w:pPr>
            <w:r>
              <w:rPr>
                <w:sz w:val="18"/>
              </w:rPr>
              <w:t>Mexicaltzingo</w:t>
            </w:r>
          </w:p>
        </w:tc>
        <w:tc>
          <w:tcPr>
            <w:tcW w:w="1768" w:type="dxa"/>
          </w:tcPr>
          <w:p>
            <w:pPr>
              <w:pStyle w:val="TableParagraph"/>
              <w:spacing w:before="68"/>
              <w:ind w:left="279"/>
              <w:rPr>
                <w:sz w:val="18"/>
              </w:rPr>
            </w:pPr>
            <w:r>
              <w:rPr>
                <w:sz w:val="18"/>
              </w:rPr>
              <w:t>0.00</w:t>
            </w:r>
          </w:p>
        </w:tc>
        <w:tc>
          <w:tcPr>
            <w:tcW w:w="1896" w:type="dxa"/>
          </w:tcPr>
          <w:p>
            <w:pPr>
              <w:pStyle w:val="TableParagraph"/>
              <w:spacing w:before="68"/>
              <w:ind w:left="213"/>
              <w:rPr>
                <w:sz w:val="18"/>
              </w:rPr>
            </w:pPr>
            <w:r>
              <w:rPr>
                <w:sz w:val="18"/>
              </w:rPr>
              <w:t>15.07</w:t>
            </w:r>
          </w:p>
        </w:tc>
      </w:tr>
      <w:tr>
        <w:trPr>
          <w:trHeight w:val="281" w:hRule="exact"/>
        </w:trPr>
        <w:tc>
          <w:tcPr>
            <w:tcW w:w="3350" w:type="dxa"/>
            <w:tcBorders>
              <w:bottom w:val="single" w:sz="4" w:space="0" w:color="000000"/>
            </w:tcBorders>
          </w:tcPr>
          <w:p>
            <w:pPr>
              <w:pStyle w:val="TableParagraph"/>
              <w:spacing w:before="68"/>
              <w:rPr>
                <w:sz w:val="18"/>
              </w:rPr>
            </w:pPr>
            <w:r>
              <w:rPr>
                <w:sz w:val="18"/>
              </w:rPr>
              <w:t>Otzolotepec</w:t>
            </w:r>
          </w:p>
        </w:tc>
        <w:tc>
          <w:tcPr>
            <w:tcW w:w="1768" w:type="dxa"/>
            <w:tcBorders>
              <w:bottom w:val="single" w:sz="4" w:space="0" w:color="000000"/>
            </w:tcBorders>
          </w:tcPr>
          <w:p>
            <w:pPr>
              <w:pStyle w:val="TableParagraph"/>
              <w:spacing w:before="68"/>
              <w:ind w:left="279"/>
              <w:rPr>
                <w:sz w:val="18"/>
              </w:rPr>
            </w:pPr>
            <w:r>
              <w:rPr>
                <w:sz w:val="18"/>
              </w:rPr>
              <w:t>0.00</w:t>
            </w:r>
          </w:p>
        </w:tc>
        <w:tc>
          <w:tcPr>
            <w:tcW w:w="1896" w:type="dxa"/>
            <w:tcBorders>
              <w:bottom w:val="single" w:sz="4" w:space="0" w:color="000000"/>
            </w:tcBorders>
          </w:tcPr>
          <w:p>
            <w:pPr>
              <w:pStyle w:val="TableParagraph"/>
              <w:spacing w:before="68"/>
              <w:ind w:left="213"/>
              <w:rPr>
                <w:sz w:val="18"/>
              </w:rPr>
            </w:pPr>
            <w:r>
              <w:rPr>
                <w:sz w:val="18"/>
              </w:rPr>
              <w:t>12.75</w:t>
            </w:r>
          </w:p>
        </w:tc>
      </w:tr>
      <w:tr>
        <w:trPr>
          <w:trHeight w:val="372" w:hRule="exact"/>
        </w:trPr>
        <w:tc>
          <w:tcPr>
            <w:tcW w:w="3350" w:type="dxa"/>
            <w:tcBorders>
              <w:top w:val="single" w:sz="4" w:space="0" w:color="000000"/>
              <w:bottom w:val="single" w:sz="4" w:space="0" w:color="000000"/>
            </w:tcBorders>
          </w:tcPr>
          <w:p>
            <w:pPr>
              <w:pStyle w:val="TableParagraph"/>
              <w:spacing w:before="155"/>
              <w:rPr>
                <w:sz w:val="18"/>
              </w:rPr>
            </w:pPr>
            <w:r>
              <w:rPr>
                <w:sz w:val="18"/>
              </w:rPr>
              <w:t>Área urbana continua</w:t>
            </w:r>
          </w:p>
        </w:tc>
        <w:tc>
          <w:tcPr>
            <w:tcW w:w="1768" w:type="dxa"/>
            <w:tcBorders>
              <w:top w:val="single" w:sz="4" w:space="0" w:color="000000"/>
              <w:bottom w:val="single" w:sz="4" w:space="0" w:color="000000"/>
            </w:tcBorders>
          </w:tcPr>
          <w:p>
            <w:pPr>
              <w:pStyle w:val="TableParagraph"/>
              <w:spacing w:before="155"/>
              <w:ind w:left="279"/>
              <w:rPr>
                <w:sz w:val="18"/>
              </w:rPr>
            </w:pPr>
            <w:r>
              <w:rPr>
                <w:sz w:val="18"/>
              </w:rPr>
              <w:t>11.00</w:t>
            </w:r>
          </w:p>
        </w:tc>
        <w:tc>
          <w:tcPr>
            <w:tcW w:w="1896" w:type="dxa"/>
            <w:tcBorders>
              <w:top w:val="single" w:sz="4" w:space="0" w:color="000000"/>
              <w:bottom w:val="single" w:sz="4" w:space="0" w:color="000000"/>
            </w:tcBorders>
          </w:tcPr>
          <w:p>
            <w:pPr>
              <w:pStyle w:val="TableParagraph"/>
              <w:spacing w:before="155"/>
              <w:ind w:left="213"/>
              <w:rPr>
                <w:sz w:val="18"/>
              </w:rPr>
            </w:pPr>
            <w:r>
              <w:rPr>
                <w:sz w:val="18"/>
              </w:rPr>
              <w:t>4.31</w:t>
            </w:r>
          </w:p>
        </w:tc>
      </w:tr>
      <w:tr>
        <w:trPr>
          <w:trHeight w:val="454" w:hRule="exact"/>
        </w:trPr>
        <w:tc>
          <w:tcPr>
            <w:tcW w:w="3350" w:type="dxa"/>
            <w:tcBorders>
              <w:top w:val="single" w:sz="4" w:space="0" w:color="000000"/>
            </w:tcBorders>
          </w:tcPr>
          <w:p>
            <w:pPr>
              <w:pStyle w:val="TableParagraph"/>
              <w:spacing w:before="155"/>
              <w:rPr>
                <w:sz w:val="18"/>
              </w:rPr>
            </w:pPr>
            <w:r>
              <w:rPr>
                <w:sz w:val="18"/>
              </w:rPr>
              <w:t>Chapultepec</w:t>
            </w:r>
          </w:p>
        </w:tc>
        <w:tc>
          <w:tcPr>
            <w:tcW w:w="1768" w:type="dxa"/>
            <w:tcBorders>
              <w:top w:val="single" w:sz="4" w:space="0" w:color="000000"/>
            </w:tcBorders>
          </w:tcPr>
          <w:p>
            <w:pPr>
              <w:pStyle w:val="TableParagraph"/>
              <w:spacing w:before="155"/>
              <w:ind w:left="279"/>
              <w:rPr>
                <w:sz w:val="18"/>
              </w:rPr>
            </w:pPr>
            <w:r>
              <w:rPr>
                <w:sz w:val="18"/>
              </w:rPr>
              <w:t>0.00</w:t>
            </w:r>
          </w:p>
        </w:tc>
        <w:tc>
          <w:tcPr>
            <w:tcW w:w="1896" w:type="dxa"/>
            <w:tcBorders>
              <w:top w:val="single" w:sz="4" w:space="0" w:color="000000"/>
            </w:tcBorders>
          </w:tcPr>
          <w:p>
            <w:pPr>
              <w:pStyle w:val="TableParagraph"/>
              <w:spacing w:before="155"/>
              <w:ind w:left="213"/>
              <w:rPr>
                <w:sz w:val="18"/>
              </w:rPr>
            </w:pPr>
            <w:r>
              <w:rPr>
                <w:sz w:val="18"/>
              </w:rPr>
              <w:t>18.73</w:t>
            </w:r>
          </w:p>
        </w:tc>
      </w:tr>
      <w:tr>
        <w:trPr>
          <w:trHeight w:val="361" w:hRule="exact"/>
        </w:trPr>
        <w:tc>
          <w:tcPr>
            <w:tcW w:w="3350" w:type="dxa"/>
          </w:tcPr>
          <w:p>
            <w:pPr>
              <w:pStyle w:val="TableParagraph"/>
              <w:spacing w:before="68"/>
              <w:rPr>
                <w:sz w:val="18"/>
              </w:rPr>
            </w:pPr>
            <w:r>
              <w:rPr>
                <w:sz w:val="18"/>
              </w:rPr>
              <w:t>Ocoyoacac</w:t>
            </w:r>
          </w:p>
        </w:tc>
        <w:tc>
          <w:tcPr>
            <w:tcW w:w="1768" w:type="dxa"/>
          </w:tcPr>
          <w:p>
            <w:pPr>
              <w:pStyle w:val="TableParagraph"/>
              <w:spacing w:before="68"/>
              <w:ind w:left="279"/>
              <w:rPr>
                <w:sz w:val="18"/>
              </w:rPr>
            </w:pPr>
            <w:r>
              <w:rPr>
                <w:sz w:val="18"/>
              </w:rPr>
              <w:t>0.00</w:t>
            </w:r>
          </w:p>
        </w:tc>
        <w:tc>
          <w:tcPr>
            <w:tcW w:w="1896" w:type="dxa"/>
          </w:tcPr>
          <w:p>
            <w:pPr>
              <w:pStyle w:val="TableParagraph"/>
              <w:spacing w:before="68"/>
              <w:ind w:left="213"/>
              <w:rPr>
                <w:sz w:val="18"/>
              </w:rPr>
            </w:pPr>
            <w:r>
              <w:rPr>
                <w:sz w:val="18"/>
              </w:rPr>
              <w:t>10.77</w:t>
            </w:r>
          </w:p>
        </w:tc>
      </w:tr>
      <w:tr>
        <w:trPr>
          <w:trHeight w:val="361" w:hRule="exact"/>
        </w:trPr>
        <w:tc>
          <w:tcPr>
            <w:tcW w:w="3350" w:type="dxa"/>
          </w:tcPr>
          <w:p>
            <w:pPr>
              <w:pStyle w:val="TableParagraph"/>
              <w:spacing w:before="67"/>
              <w:rPr>
                <w:sz w:val="18"/>
              </w:rPr>
            </w:pPr>
            <w:r>
              <w:rPr>
                <w:sz w:val="18"/>
              </w:rPr>
              <w:t>Rayón</w:t>
            </w:r>
          </w:p>
        </w:tc>
        <w:tc>
          <w:tcPr>
            <w:tcW w:w="1768" w:type="dxa"/>
          </w:tcPr>
          <w:p>
            <w:pPr>
              <w:pStyle w:val="TableParagraph"/>
              <w:spacing w:before="67"/>
              <w:ind w:left="279"/>
              <w:rPr>
                <w:sz w:val="18"/>
              </w:rPr>
            </w:pPr>
            <w:r>
              <w:rPr>
                <w:sz w:val="18"/>
              </w:rPr>
              <w:t>0.00</w:t>
            </w:r>
          </w:p>
        </w:tc>
        <w:tc>
          <w:tcPr>
            <w:tcW w:w="1896" w:type="dxa"/>
          </w:tcPr>
          <w:p>
            <w:pPr>
              <w:pStyle w:val="TableParagraph"/>
              <w:spacing w:before="67"/>
              <w:ind w:left="213"/>
              <w:rPr>
                <w:sz w:val="18"/>
              </w:rPr>
            </w:pPr>
            <w:r>
              <w:rPr>
                <w:sz w:val="18"/>
              </w:rPr>
              <w:t>15.82</w:t>
            </w:r>
          </w:p>
        </w:tc>
      </w:tr>
      <w:tr>
        <w:trPr>
          <w:trHeight w:val="362" w:hRule="exact"/>
        </w:trPr>
        <w:tc>
          <w:tcPr>
            <w:tcW w:w="3350" w:type="dxa"/>
          </w:tcPr>
          <w:p>
            <w:pPr>
              <w:pStyle w:val="TableParagraph"/>
              <w:spacing w:before="68"/>
              <w:rPr>
                <w:sz w:val="18"/>
              </w:rPr>
            </w:pPr>
            <w:r>
              <w:rPr>
                <w:sz w:val="18"/>
              </w:rPr>
              <w:t>San Antonio la Isla</w:t>
            </w:r>
          </w:p>
        </w:tc>
        <w:tc>
          <w:tcPr>
            <w:tcW w:w="1768" w:type="dxa"/>
          </w:tcPr>
          <w:p>
            <w:pPr>
              <w:pStyle w:val="TableParagraph"/>
              <w:spacing w:before="68"/>
              <w:ind w:left="279"/>
              <w:rPr>
                <w:sz w:val="18"/>
              </w:rPr>
            </w:pPr>
            <w:r>
              <w:rPr>
                <w:sz w:val="18"/>
              </w:rPr>
              <w:t>0.00</w:t>
            </w:r>
          </w:p>
        </w:tc>
        <w:tc>
          <w:tcPr>
            <w:tcW w:w="1896" w:type="dxa"/>
          </w:tcPr>
          <w:p>
            <w:pPr>
              <w:pStyle w:val="TableParagraph"/>
              <w:spacing w:before="68"/>
              <w:ind w:left="213"/>
              <w:rPr>
                <w:sz w:val="18"/>
              </w:rPr>
            </w:pPr>
            <w:r>
              <w:rPr>
                <w:sz w:val="18"/>
              </w:rPr>
              <w:t>14.64</w:t>
            </w:r>
          </w:p>
        </w:tc>
      </w:tr>
      <w:tr>
        <w:trPr>
          <w:trHeight w:val="362" w:hRule="exact"/>
        </w:trPr>
        <w:tc>
          <w:tcPr>
            <w:tcW w:w="3350" w:type="dxa"/>
          </w:tcPr>
          <w:p>
            <w:pPr>
              <w:pStyle w:val="TableParagraph"/>
              <w:spacing w:before="68"/>
              <w:rPr>
                <w:sz w:val="18"/>
              </w:rPr>
            </w:pPr>
            <w:r>
              <w:rPr>
                <w:sz w:val="18"/>
              </w:rPr>
              <w:t>Temoaya</w:t>
            </w:r>
          </w:p>
        </w:tc>
        <w:tc>
          <w:tcPr>
            <w:tcW w:w="1768" w:type="dxa"/>
          </w:tcPr>
          <w:p>
            <w:pPr>
              <w:pStyle w:val="TableParagraph"/>
              <w:spacing w:before="68"/>
              <w:ind w:left="279"/>
              <w:rPr>
                <w:sz w:val="18"/>
              </w:rPr>
            </w:pPr>
            <w:r>
              <w:rPr>
                <w:sz w:val="18"/>
              </w:rPr>
              <w:t>0.00</w:t>
            </w:r>
          </w:p>
        </w:tc>
        <w:tc>
          <w:tcPr>
            <w:tcW w:w="1896" w:type="dxa"/>
          </w:tcPr>
          <w:p>
            <w:pPr>
              <w:pStyle w:val="TableParagraph"/>
              <w:spacing w:before="68"/>
              <w:ind w:left="213"/>
              <w:rPr>
                <w:sz w:val="18"/>
              </w:rPr>
            </w:pPr>
            <w:r>
              <w:rPr>
                <w:sz w:val="18"/>
              </w:rPr>
              <w:t>9.34</w:t>
            </w:r>
          </w:p>
        </w:tc>
      </w:tr>
      <w:tr>
        <w:trPr>
          <w:trHeight w:val="280" w:hRule="exact"/>
        </w:trPr>
        <w:tc>
          <w:tcPr>
            <w:tcW w:w="3350" w:type="dxa"/>
            <w:tcBorders>
              <w:bottom w:val="single" w:sz="4" w:space="0" w:color="000000"/>
            </w:tcBorders>
          </w:tcPr>
          <w:p>
            <w:pPr>
              <w:pStyle w:val="TableParagraph"/>
              <w:spacing w:before="68"/>
              <w:rPr>
                <w:sz w:val="18"/>
              </w:rPr>
            </w:pPr>
            <w:r>
              <w:rPr>
                <w:sz w:val="18"/>
              </w:rPr>
              <w:t>Xonacatlán</w:t>
            </w:r>
          </w:p>
        </w:tc>
        <w:tc>
          <w:tcPr>
            <w:tcW w:w="1768" w:type="dxa"/>
            <w:tcBorders>
              <w:bottom w:val="single" w:sz="4" w:space="0" w:color="000000"/>
            </w:tcBorders>
          </w:tcPr>
          <w:p>
            <w:pPr>
              <w:pStyle w:val="TableParagraph"/>
              <w:spacing w:before="68"/>
              <w:ind w:left="279"/>
              <w:rPr>
                <w:sz w:val="18"/>
              </w:rPr>
            </w:pPr>
            <w:r>
              <w:rPr>
                <w:sz w:val="18"/>
              </w:rPr>
              <w:t>0.00</w:t>
            </w:r>
          </w:p>
        </w:tc>
        <w:tc>
          <w:tcPr>
            <w:tcW w:w="1896" w:type="dxa"/>
            <w:tcBorders>
              <w:bottom w:val="single" w:sz="4" w:space="0" w:color="000000"/>
            </w:tcBorders>
          </w:tcPr>
          <w:p>
            <w:pPr>
              <w:pStyle w:val="TableParagraph"/>
              <w:spacing w:before="68"/>
              <w:ind w:left="213"/>
              <w:rPr>
                <w:sz w:val="18"/>
              </w:rPr>
            </w:pPr>
            <w:r>
              <w:rPr>
                <w:sz w:val="18"/>
              </w:rPr>
              <w:t>10.81</w:t>
            </w:r>
          </w:p>
        </w:tc>
      </w:tr>
      <w:tr>
        <w:trPr>
          <w:trHeight w:val="372" w:hRule="exact"/>
        </w:trPr>
        <w:tc>
          <w:tcPr>
            <w:tcW w:w="3350" w:type="dxa"/>
            <w:tcBorders>
              <w:top w:val="single" w:sz="4" w:space="0" w:color="000000"/>
              <w:bottom w:val="single" w:sz="4" w:space="0" w:color="000000"/>
            </w:tcBorders>
          </w:tcPr>
          <w:p>
            <w:pPr>
              <w:pStyle w:val="TableParagraph"/>
              <w:spacing w:before="155"/>
              <w:rPr>
                <w:sz w:val="18"/>
              </w:rPr>
            </w:pPr>
            <w:r>
              <w:rPr>
                <w:sz w:val="18"/>
              </w:rPr>
              <w:t>Interrelación funcional intermedia</w:t>
            </w:r>
          </w:p>
        </w:tc>
        <w:tc>
          <w:tcPr>
            <w:tcW w:w="1768" w:type="dxa"/>
            <w:tcBorders>
              <w:top w:val="single" w:sz="4" w:space="0" w:color="000000"/>
              <w:bottom w:val="single" w:sz="4" w:space="0" w:color="000000"/>
            </w:tcBorders>
          </w:tcPr>
          <w:p>
            <w:pPr>
              <w:pStyle w:val="TableParagraph"/>
              <w:spacing w:before="155"/>
              <w:ind w:left="279"/>
              <w:rPr>
                <w:sz w:val="18"/>
              </w:rPr>
            </w:pPr>
            <w:r>
              <w:rPr>
                <w:sz w:val="18"/>
              </w:rPr>
              <w:t>0.00</w:t>
            </w:r>
          </w:p>
        </w:tc>
        <w:tc>
          <w:tcPr>
            <w:tcW w:w="1896" w:type="dxa"/>
            <w:tcBorders>
              <w:top w:val="single" w:sz="4" w:space="0" w:color="000000"/>
              <w:bottom w:val="single" w:sz="4" w:space="0" w:color="000000"/>
            </w:tcBorders>
          </w:tcPr>
          <w:p>
            <w:pPr>
              <w:pStyle w:val="TableParagraph"/>
              <w:spacing w:before="155"/>
              <w:ind w:left="213"/>
              <w:rPr>
                <w:sz w:val="18"/>
              </w:rPr>
            </w:pPr>
            <w:r>
              <w:rPr>
                <w:sz w:val="18"/>
              </w:rPr>
              <w:t>10.80</w:t>
            </w:r>
          </w:p>
        </w:tc>
      </w:tr>
      <w:tr>
        <w:trPr>
          <w:trHeight w:val="455" w:hRule="exact"/>
        </w:trPr>
        <w:tc>
          <w:tcPr>
            <w:tcW w:w="3350" w:type="dxa"/>
            <w:tcBorders>
              <w:top w:val="single" w:sz="4" w:space="0" w:color="000000"/>
            </w:tcBorders>
          </w:tcPr>
          <w:p>
            <w:pPr>
              <w:pStyle w:val="TableParagraph"/>
              <w:spacing w:before="155"/>
              <w:rPr>
                <w:sz w:val="18"/>
              </w:rPr>
            </w:pPr>
            <w:r>
              <w:rPr>
                <w:sz w:val="18"/>
              </w:rPr>
              <w:t>Xalatlaco</w:t>
            </w:r>
          </w:p>
        </w:tc>
        <w:tc>
          <w:tcPr>
            <w:tcW w:w="1768" w:type="dxa"/>
            <w:tcBorders>
              <w:top w:val="single" w:sz="4" w:space="0" w:color="000000"/>
            </w:tcBorders>
          </w:tcPr>
          <w:p>
            <w:pPr>
              <w:pStyle w:val="TableParagraph"/>
              <w:spacing w:before="155"/>
              <w:ind w:left="279"/>
              <w:rPr>
                <w:sz w:val="18"/>
              </w:rPr>
            </w:pPr>
            <w:r>
              <w:rPr>
                <w:sz w:val="18"/>
              </w:rPr>
              <w:t>0.00</w:t>
            </w:r>
          </w:p>
        </w:tc>
        <w:tc>
          <w:tcPr>
            <w:tcW w:w="1896" w:type="dxa"/>
            <w:tcBorders>
              <w:top w:val="single" w:sz="4" w:space="0" w:color="000000"/>
            </w:tcBorders>
          </w:tcPr>
          <w:p>
            <w:pPr>
              <w:pStyle w:val="TableParagraph"/>
              <w:spacing w:before="155"/>
              <w:ind w:left="213"/>
              <w:rPr>
                <w:sz w:val="18"/>
              </w:rPr>
            </w:pPr>
            <w:r>
              <w:rPr>
                <w:sz w:val="18"/>
              </w:rPr>
              <w:t>18.10</w:t>
            </w:r>
          </w:p>
        </w:tc>
      </w:tr>
      <w:tr>
        <w:trPr>
          <w:trHeight w:val="362" w:hRule="exact"/>
        </w:trPr>
        <w:tc>
          <w:tcPr>
            <w:tcW w:w="3350" w:type="dxa"/>
          </w:tcPr>
          <w:p>
            <w:pPr>
              <w:pStyle w:val="TableParagraph"/>
              <w:spacing w:before="68"/>
              <w:rPr>
                <w:sz w:val="18"/>
              </w:rPr>
            </w:pPr>
            <w:r>
              <w:rPr>
                <w:sz w:val="18"/>
              </w:rPr>
              <w:t>Almoloya del Río</w:t>
            </w:r>
          </w:p>
        </w:tc>
        <w:tc>
          <w:tcPr>
            <w:tcW w:w="1768" w:type="dxa"/>
          </w:tcPr>
          <w:p>
            <w:pPr>
              <w:pStyle w:val="TableParagraph"/>
              <w:spacing w:before="68"/>
              <w:ind w:left="279"/>
              <w:rPr>
                <w:sz w:val="18"/>
              </w:rPr>
            </w:pPr>
            <w:r>
              <w:rPr>
                <w:sz w:val="18"/>
              </w:rPr>
              <w:t>0.00</w:t>
            </w:r>
          </w:p>
        </w:tc>
        <w:tc>
          <w:tcPr>
            <w:tcW w:w="1896" w:type="dxa"/>
          </w:tcPr>
          <w:p>
            <w:pPr>
              <w:pStyle w:val="TableParagraph"/>
              <w:spacing w:before="68"/>
              <w:ind w:left="213"/>
              <w:rPr>
                <w:sz w:val="18"/>
              </w:rPr>
            </w:pPr>
            <w:r>
              <w:rPr>
                <w:sz w:val="18"/>
              </w:rPr>
              <w:t>14.51</w:t>
            </w:r>
          </w:p>
        </w:tc>
      </w:tr>
      <w:tr>
        <w:trPr>
          <w:trHeight w:val="361" w:hRule="exact"/>
        </w:trPr>
        <w:tc>
          <w:tcPr>
            <w:tcW w:w="3350" w:type="dxa"/>
          </w:tcPr>
          <w:p>
            <w:pPr>
              <w:pStyle w:val="TableParagraph"/>
              <w:spacing w:before="68"/>
              <w:rPr>
                <w:sz w:val="18"/>
              </w:rPr>
            </w:pPr>
            <w:r>
              <w:rPr>
                <w:sz w:val="18"/>
              </w:rPr>
              <w:t>Atizapán</w:t>
            </w:r>
          </w:p>
        </w:tc>
        <w:tc>
          <w:tcPr>
            <w:tcW w:w="1768" w:type="dxa"/>
          </w:tcPr>
          <w:p>
            <w:pPr>
              <w:pStyle w:val="TableParagraph"/>
              <w:spacing w:before="68"/>
              <w:ind w:left="279"/>
              <w:rPr>
                <w:sz w:val="18"/>
              </w:rPr>
            </w:pPr>
            <w:r>
              <w:rPr>
                <w:sz w:val="18"/>
              </w:rPr>
              <w:t>0.00</w:t>
            </w:r>
          </w:p>
        </w:tc>
        <w:tc>
          <w:tcPr>
            <w:tcW w:w="1896" w:type="dxa"/>
          </w:tcPr>
          <w:p>
            <w:pPr>
              <w:pStyle w:val="TableParagraph"/>
              <w:spacing w:before="68"/>
              <w:ind w:left="213"/>
              <w:rPr>
                <w:sz w:val="18"/>
              </w:rPr>
            </w:pPr>
            <w:r>
              <w:rPr>
                <w:sz w:val="18"/>
              </w:rPr>
              <w:t>9.98</w:t>
            </w:r>
          </w:p>
        </w:tc>
      </w:tr>
      <w:tr>
        <w:trPr>
          <w:trHeight w:val="361" w:hRule="exact"/>
        </w:trPr>
        <w:tc>
          <w:tcPr>
            <w:tcW w:w="3350" w:type="dxa"/>
          </w:tcPr>
          <w:p>
            <w:pPr>
              <w:pStyle w:val="TableParagraph"/>
              <w:spacing w:before="67"/>
              <w:rPr>
                <w:sz w:val="18"/>
              </w:rPr>
            </w:pPr>
            <w:r>
              <w:rPr>
                <w:sz w:val="18"/>
              </w:rPr>
              <w:t>Capulhuac</w:t>
            </w:r>
          </w:p>
        </w:tc>
        <w:tc>
          <w:tcPr>
            <w:tcW w:w="1768" w:type="dxa"/>
          </w:tcPr>
          <w:p>
            <w:pPr>
              <w:pStyle w:val="TableParagraph"/>
              <w:spacing w:before="67"/>
              <w:ind w:left="279"/>
              <w:rPr>
                <w:sz w:val="18"/>
              </w:rPr>
            </w:pPr>
            <w:r>
              <w:rPr>
                <w:sz w:val="18"/>
              </w:rPr>
              <w:t>0.00</w:t>
            </w:r>
          </w:p>
        </w:tc>
        <w:tc>
          <w:tcPr>
            <w:tcW w:w="1896" w:type="dxa"/>
          </w:tcPr>
          <w:p>
            <w:pPr>
              <w:pStyle w:val="TableParagraph"/>
              <w:spacing w:before="67"/>
              <w:ind w:left="213"/>
              <w:rPr>
                <w:sz w:val="18"/>
              </w:rPr>
            </w:pPr>
            <w:r>
              <w:rPr>
                <w:sz w:val="18"/>
              </w:rPr>
              <w:t>8.36</w:t>
            </w:r>
          </w:p>
        </w:tc>
      </w:tr>
      <w:tr>
        <w:trPr>
          <w:trHeight w:val="362" w:hRule="exact"/>
        </w:trPr>
        <w:tc>
          <w:tcPr>
            <w:tcW w:w="3350" w:type="dxa"/>
          </w:tcPr>
          <w:p>
            <w:pPr>
              <w:pStyle w:val="TableParagraph"/>
              <w:spacing w:before="68"/>
              <w:rPr>
                <w:sz w:val="18"/>
              </w:rPr>
            </w:pPr>
            <w:r>
              <w:rPr>
                <w:sz w:val="18"/>
              </w:rPr>
              <w:t>Tenango del Valle</w:t>
            </w:r>
          </w:p>
        </w:tc>
        <w:tc>
          <w:tcPr>
            <w:tcW w:w="1768" w:type="dxa"/>
          </w:tcPr>
          <w:p>
            <w:pPr>
              <w:pStyle w:val="TableParagraph"/>
              <w:spacing w:before="68"/>
              <w:ind w:left="279"/>
              <w:rPr>
                <w:sz w:val="18"/>
              </w:rPr>
            </w:pPr>
            <w:r>
              <w:rPr>
                <w:sz w:val="18"/>
              </w:rPr>
              <w:t>0.00</w:t>
            </w:r>
          </w:p>
        </w:tc>
        <w:tc>
          <w:tcPr>
            <w:tcW w:w="1896" w:type="dxa"/>
          </w:tcPr>
          <w:p>
            <w:pPr>
              <w:pStyle w:val="TableParagraph"/>
              <w:spacing w:before="68"/>
              <w:ind w:left="213"/>
              <w:rPr>
                <w:sz w:val="18"/>
              </w:rPr>
            </w:pPr>
            <w:r>
              <w:rPr>
                <w:sz w:val="18"/>
              </w:rPr>
              <w:t>9.03</w:t>
            </w:r>
          </w:p>
        </w:tc>
      </w:tr>
      <w:tr>
        <w:trPr>
          <w:trHeight w:val="362" w:hRule="exact"/>
        </w:trPr>
        <w:tc>
          <w:tcPr>
            <w:tcW w:w="3350" w:type="dxa"/>
          </w:tcPr>
          <w:p>
            <w:pPr>
              <w:pStyle w:val="TableParagraph"/>
              <w:spacing w:before="68"/>
              <w:rPr>
                <w:sz w:val="18"/>
              </w:rPr>
            </w:pPr>
            <w:r>
              <w:rPr>
                <w:sz w:val="18"/>
              </w:rPr>
              <w:t>Texcalyacac</w:t>
            </w:r>
          </w:p>
        </w:tc>
        <w:tc>
          <w:tcPr>
            <w:tcW w:w="1768" w:type="dxa"/>
          </w:tcPr>
          <w:p>
            <w:pPr>
              <w:pStyle w:val="TableParagraph"/>
              <w:spacing w:before="68"/>
              <w:ind w:left="279"/>
              <w:rPr>
                <w:sz w:val="18"/>
              </w:rPr>
            </w:pPr>
            <w:r>
              <w:rPr>
                <w:sz w:val="18"/>
              </w:rPr>
              <w:t>0.00</w:t>
            </w:r>
          </w:p>
        </w:tc>
        <w:tc>
          <w:tcPr>
            <w:tcW w:w="1896" w:type="dxa"/>
          </w:tcPr>
          <w:p>
            <w:pPr>
              <w:pStyle w:val="TableParagraph"/>
              <w:spacing w:before="68"/>
              <w:ind w:left="213"/>
              <w:rPr>
                <w:sz w:val="18"/>
              </w:rPr>
            </w:pPr>
            <w:r>
              <w:rPr>
                <w:sz w:val="18"/>
              </w:rPr>
              <w:t>21.07</w:t>
            </w:r>
          </w:p>
        </w:tc>
      </w:tr>
      <w:tr>
        <w:trPr>
          <w:trHeight w:val="280" w:hRule="exact"/>
        </w:trPr>
        <w:tc>
          <w:tcPr>
            <w:tcW w:w="3350" w:type="dxa"/>
            <w:tcBorders>
              <w:bottom w:val="single" w:sz="4" w:space="0" w:color="000000"/>
            </w:tcBorders>
          </w:tcPr>
          <w:p>
            <w:pPr>
              <w:pStyle w:val="TableParagraph"/>
              <w:spacing w:before="68"/>
              <w:rPr>
                <w:sz w:val="18"/>
              </w:rPr>
            </w:pPr>
            <w:r>
              <w:rPr>
                <w:sz w:val="18"/>
              </w:rPr>
              <w:t>Tianguistenco</w:t>
            </w:r>
          </w:p>
        </w:tc>
        <w:tc>
          <w:tcPr>
            <w:tcW w:w="1768" w:type="dxa"/>
            <w:tcBorders>
              <w:bottom w:val="single" w:sz="4" w:space="0" w:color="000000"/>
            </w:tcBorders>
          </w:tcPr>
          <w:p>
            <w:pPr>
              <w:pStyle w:val="TableParagraph"/>
              <w:spacing w:before="68"/>
              <w:ind w:left="279"/>
              <w:rPr>
                <w:sz w:val="18"/>
              </w:rPr>
            </w:pPr>
            <w:r>
              <w:rPr>
                <w:sz w:val="18"/>
              </w:rPr>
              <w:t>0.00</w:t>
            </w:r>
          </w:p>
        </w:tc>
        <w:tc>
          <w:tcPr>
            <w:tcW w:w="1896" w:type="dxa"/>
            <w:tcBorders>
              <w:bottom w:val="single" w:sz="4" w:space="0" w:color="000000"/>
            </w:tcBorders>
          </w:tcPr>
          <w:p>
            <w:pPr>
              <w:pStyle w:val="TableParagraph"/>
              <w:spacing w:before="68"/>
              <w:ind w:left="213"/>
              <w:rPr>
                <w:sz w:val="18"/>
              </w:rPr>
            </w:pPr>
            <w:r>
              <w:rPr>
                <w:sz w:val="18"/>
              </w:rPr>
              <w:t>9.86</w:t>
            </w:r>
          </w:p>
        </w:tc>
      </w:tr>
      <w:tr>
        <w:trPr>
          <w:trHeight w:val="401" w:hRule="exact"/>
        </w:trPr>
        <w:tc>
          <w:tcPr>
            <w:tcW w:w="3350" w:type="dxa"/>
            <w:tcBorders>
              <w:top w:val="single" w:sz="4" w:space="0" w:color="000000"/>
              <w:bottom w:val="single" w:sz="4" w:space="0" w:color="000000"/>
            </w:tcBorders>
          </w:tcPr>
          <w:p>
            <w:pPr>
              <w:pStyle w:val="TableParagraph"/>
              <w:spacing w:before="11"/>
              <w:ind w:left="0"/>
              <w:rPr>
                <w:sz w:val="15"/>
              </w:rPr>
            </w:pPr>
          </w:p>
          <w:p>
            <w:pPr>
              <w:pStyle w:val="TableParagraph"/>
              <w:rPr>
                <w:sz w:val="18"/>
              </w:rPr>
            </w:pPr>
            <w:r>
              <w:rPr>
                <w:sz w:val="18"/>
              </w:rPr>
              <w:t>Relación externa, resto de municipios</w:t>
            </w:r>
          </w:p>
        </w:tc>
        <w:tc>
          <w:tcPr>
            <w:tcW w:w="1768" w:type="dxa"/>
            <w:tcBorders>
              <w:top w:val="single" w:sz="4" w:space="0" w:color="000000"/>
              <w:bottom w:val="single" w:sz="4" w:space="0" w:color="000000"/>
            </w:tcBorders>
          </w:tcPr>
          <w:p>
            <w:pPr>
              <w:pStyle w:val="TableParagraph"/>
              <w:spacing w:before="11"/>
              <w:ind w:left="0"/>
              <w:rPr>
                <w:sz w:val="15"/>
              </w:rPr>
            </w:pPr>
          </w:p>
          <w:p>
            <w:pPr>
              <w:pStyle w:val="TableParagraph"/>
              <w:ind w:left="279"/>
              <w:rPr>
                <w:sz w:val="18"/>
              </w:rPr>
            </w:pPr>
            <w:r>
              <w:rPr>
                <w:sz w:val="18"/>
              </w:rPr>
              <w:t>0.00</w:t>
            </w:r>
          </w:p>
        </w:tc>
        <w:tc>
          <w:tcPr>
            <w:tcW w:w="1896" w:type="dxa"/>
            <w:tcBorders>
              <w:top w:val="single" w:sz="4" w:space="0" w:color="000000"/>
              <w:bottom w:val="single" w:sz="4" w:space="0" w:color="000000"/>
            </w:tcBorders>
          </w:tcPr>
          <w:p>
            <w:pPr>
              <w:pStyle w:val="TableParagraph"/>
              <w:spacing w:before="11"/>
              <w:ind w:left="0"/>
              <w:rPr>
                <w:sz w:val="15"/>
              </w:rPr>
            </w:pPr>
          </w:p>
          <w:p>
            <w:pPr>
              <w:pStyle w:val="TableParagraph"/>
              <w:ind w:left="213"/>
              <w:rPr>
                <w:sz w:val="18"/>
              </w:rPr>
            </w:pPr>
            <w:r>
              <w:rPr>
                <w:sz w:val="18"/>
              </w:rPr>
              <w:t>10.05</w:t>
            </w:r>
          </w:p>
        </w:tc>
      </w:tr>
    </w:tbl>
    <w:p>
      <w:pPr>
        <w:spacing w:line="240" w:lineRule="auto" w:before="0"/>
        <w:ind w:left="105" w:right="109" w:hanging="3"/>
        <w:jc w:val="center"/>
        <w:rPr>
          <w:sz w:val="20"/>
        </w:rPr>
      </w:pPr>
      <w:r>
        <w:rPr>
          <w:sz w:val="20"/>
        </w:rPr>
        <w:t>Fuente: Elaboración propia con información del XI Censo General de Población y Vivienda 1990, Conteo de Población y Vivienda 1995, XII Censo General de Población y Vivienda 2000, II Conteo de Población y Vivienda 2005 y Censo de Población y Vivienda 2010 (ITER 1990,1995,2000,</w:t>
      </w:r>
      <w:r>
        <w:rPr>
          <w:spacing w:val="-31"/>
          <w:sz w:val="20"/>
        </w:rPr>
        <w:t> </w:t>
      </w:r>
      <w:r>
        <w:rPr>
          <w:sz w:val="20"/>
        </w:rPr>
        <w:t>2005 y</w:t>
      </w:r>
      <w:r>
        <w:rPr>
          <w:spacing w:val="-5"/>
          <w:sz w:val="20"/>
        </w:rPr>
        <w:t> </w:t>
      </w:r>
      <w:r>
        <w:rPr>
          <w:sz w:val="20"/>
        </w:rPr>
        <w:t>2010)</w:t>
      </w:r>
    </w:p>
    <w:p>
      <w:pPr>
        <w:spacing w:after="0" w:line="240" w:lineRule="auto"/>
        <w:jc w:val="center"/>
        <w:rPr>
          <w:sz w:val="20"/>
        </w:rPr>
        <w:sectPr>
          <w:pgSz w:w="12240" w:h="15840"/>
          <w:pgMar w:header="0" w:footer="659" w:top="1360" w:bottom="840" w:left="1640" w:right="1640"/>
        </w:sectPr>
      </w:pPr>
    </w:p>
    <w:p>
      <w:pPr>
        <w:tabs>
          <w:tab w:pos="2149" w:val="left" w:leader="none"/>
          <w:tab w:pos="8636" w:val="left" w:leader="none"/>
        </w:tabs>
        <w:spacing w:before="53"/>
        <w:ind w:left="326" w:right="82" w:firstLine="0"/>
        <w:jc w:val="left"/>
        <w:rPr>
          <w:sz w:val="20"/>
        </w:rPr>
      </w:pPr>
      <w:r>
        <w:rPr>
          <w:w w:val="99"/>
          <w:sz w:val="20"/>
          <w:u w:val="single"/>
        </w:rPr>
        <w:t> </w:t>
      </w:r>
      <w:r>
        <w:rPr>
          <w:sz w:val="20"/>
          <w:u w:val="single"/>
        </w:rPr>
        <w:tab/>
        <w:t>Cuadro A. 4.8 Densidades de población</w:t>
      </w:r>
      <w:r>
        <w:rPr>
          <w:spacing w:val="45"/>
          <w:sz w:val="20"/>
          <w:u w:val="single"/>
        </w:rPr>
        <w:t> </w:t>
      </w:r>
      <w:r>
        <w:rPr>
          <w:sz w:val="20"/>
          <w:u w:val="single"/>
        </w:rPr>
        <w:t>1990-2010.</w:t>
        <w:tab/>
      </w:r>
    </w:p>
    <w:p>
      <w:pPr>
        <w:pStyle w:val="BodyText"/>
        <w:spacing w:before="3"/>
        <w:rPr>
          <w:sz w:val="11"/>
        </w:rPr>
      </w:pPr>
    </w:p>
    <w:tbl>
      <w:tblPr>
        <w:tblW w:w="0" w:type="auto"/>
        <w:jc w:val="left"/>
        <w:tblInd w:w="321"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820"/>
        <w:gridCol w:w="1251"/>
        <w:gridCol w:w="771"/>
        <w:gridCol w:w="847"/>
        <w:gridCol w:w="820"/>
        <w:gridCol w:w="917"/>
        <w:gridCol w:w="884"/>
      </w:tblGrid>
      <w:tr>
        <w:trPr>
          <w:trHeight w:val="232" w:hRule="exact"/>
        </w:trPr>
        <w:tc>
          <w:tcPr>
            <w:tcW w:w="8310" w:type="dxa"/>
            <w:gridSpan w:val="7"/>
          </w:tcPr>
          <w:p>
            <w:pPr>
              <w:pStyle w:val="TableParagraph"/>
              <w:spacing w:line="227" w:lineRule="exact"/>
              <w:ind w:left="5314"/>
              <w:rPr>
                <w:sz w:val="12"/>
              </w:rPr>
            </w:pPr>
            <w:r>
              <w:rPr>
                <w:sz w:val="18"/>
              </w:rPr>
              <w:t>DENSIDAD POB/KM</w:t>
            </w:r>
            <w:r>
              <w:rPr>
                <w:position w:val="9"/>
                <w:sz w:val="12"/>
              </w:rPr>
              <w:t>2</w:t>
            </w:r>
          </w:p>
        </w:tc>
      </w:tr>
      <w:tr>
        <w:trPr>
          <w:trHeight w:val="353" w:hRule="exact"/>
        </w:trPr>
        <w:tc>
          <w:tcPr>
            <w:tcW w:w="2820" w:type="dxa"/>
            <w:tcBorders>
              <w:bottom w:val="single" w:sz="4" w:space="0" w:color="000000"/>
            </w:tcBorders>
          </w:tcPr>
          <w:p>
            <w:pPr>
              <w:pStyle w:val="TableParagraph"/>
              <w:spacing w:before="138"/>
              <w:rPr>
                <w:sz w:val="18"/>
              </w:rPr>
            </w:pPr>
            <w:r>
              <w:rPr>
                <w:sz w:val="18"/>
              </w:rPr>
              <w:t>MUNICIPIO /ÁMBITO</w:t>
            </w:r>
          </w:p>
        </w:tc>
        <w:tc>
          <w:tcPr>
            <w:tcW w:w="1251" w:type="dxa"/>
            <w:tcBorders>
              <w:bottom w:val="single" w:sz="4" w:space="0" w:color="000000"/>
            </w:tcBorders>
          </w:tcPr>
          <w:p>
            <w:pPr>
              <w:pStyle w:val="TableParagraph"/>
              <w:spacing w:before="138"/>
              <w:ind w:left="99"/>
              <w:rPr>
                <w:sz w:val="18"/>
              </w:rPr>
            </w:pPr>
            <w:r>
              <w:rPr>
                <w:sz w:val="18"/>
              </w:rPr>
              <w:t>SUPERFICIE</w:t>
            </w:r>
          </w:p>
        </w:tc>
        <w:tc>
          <w:tcPr>
            <w:tcW w:w="771" w:type="dxa"/>
            <w:tcBorders>
              <w:top w:val="single" w:sz="4" w:space="0" w:color="000000"/>
              <w:bottom w:val="single" w:sz="4" w:space="0" w:color="000000"/>
            </w:tcBorders>
          </w:tcPr>
          <w:p>
            <w:pPr>
              <w:pStyle w:val="TableParagraph"/>
              <w:spacing w:before="133"/>
              <w:rPr>
                <w:sz w:val="18"/>
              </w:rPr>
            </w:pPr>
            <w:r>
              <w:rPr>
                <w:sz w:val="18"/>
              </w:rPr>
              <w:t>1990</w:t>
            </w:r>
          </w:p>
        </w:tc>
        <w:tc>
          <w:tcPr>
            <w:tcW w:w="847" w:type="dxa"/>
            <w:tcBorders>
              <w:top w:val="single" w:sz="4" w:space="0" w:color="000000"/>
              <w:bottom w:val="single" w:sz="4" w:space="0" w:color="000000"/>
            </w:tcBorders>
          </w:tcPr>
          <w:p>
            <w:pPr>
              <w:pStyle w:val="TableParagraph"/>
              <w:spacing w:before="133"/>
              <w:ind w:left="84" w:right="224"/>
              <w:jc w:val="center"/>
              <w:rPr>
                <w:sz w:val="18"/>
              </w:rPr>
            </w:pPr>
            <w:r>
              <w:rPr>
                <w:sz w:val="18"/>
              </w:rPr>
              <w:t>1995</w:t>
            </w:r>
          </w:p>
        </w:tc>
        <w:tc>
          <w:tcPr>
            <w:tcW w:w="820" w:type="dxa"/>
            <w:tcBorders>
              <w:top w:val="single" w:sz="4" w:space="0" w:color="000000"/>
              <w:bottom w:val="single" w:sz="4" w:space="0" w:color="000000"/>
            </w:tcBorders>
          </w:tcPr>
          <w:p>
            <w:pPr>
              <w:pStyle w:val="TableParagraph"/>
              <w:spacing w:before="133"/>
              <w:ind w:left="79" w:right="201"/>
              <w:jc w:val="center"/>
              <w:rPr>
                <w:sz w:val="18"/>
              </w:rPr>
            </w:pPr>
            <w:r>
              <w:rPr>
                <w:sz w:val="18"/>
              </w:rPr>
              <w:t>2000</w:t>
            </w:r>
          </w:p>
        </w:tc>
        <w:tc>
          <w:tcPr>
            <w:tcW w:w="917" w:type="dxa"/>
            <w:tcBorders>
              <w:top w:val="single" w:sz="4" w:space="0" w:color="000000"/>
              <w:bottom w:val="single" w:sz="4" w:space="0" w:color="000000"/>
            </w:tcBorders>
          </w:tcPr>
          <w:p>
            <w:pPr>
              <w:pStyle w:val="TableParagraph"/>
              <w:spacing w:before="133"/>
              <w:ind w:left="123"/>
              <w:rPr>
                <w:sz w:val="18"/>
              </w:rPr>
            </w:pPr>
            <w:r>
              <w:rPr>
                <w:sz w:val="18"/>
              </w:rPr>
              <w:t>2005</w:t>
            </w:r>
          </w:p>
        </w:tc>
        <w:tc>
          <w:tcPr>
            <w:tcW w:w="884" w:type="dxa"/>
            <w:tcBorders>
              <w:top w:val="single" w:sz="4" w:space="0" w:color="000000"/>
              <w:bottom w:val="single" w:sz="4" w:space="0" w:color="000000"/>
            </w:tcBorders>
          </w:tcPr>
          <w:p>
            <w:pPr>
              <w:pStyle w:val="TableParagraph"/>
              <w:spacing w:before="133"/>
              <w:ind w:left="243"/>
              <w:rPr>
                <w:sz w:val="18"/>
              </w:rPr>
            </w:pPr>
            <w:r>
              <w:rPr>
                <w:sz w:val="18"/>
              </w:rPr>
              <w:t>2010</w:t>
            </w:r>
          </w:p>
        </w:tc>
      </w:tr>
      <w:tr>
        <w:trPr>
          <w:trHeight w:val="423" w:hRule="exact"/>
        </w:trPr>
        <w:tc>
          <w:tcPr>
            <w:tcW w:w="2820" w:type="dxa"/>
            <w:tcBorders>
              <w:top w:val="single" w:sz="4" w:space="0" w:color="000000"/>
            </w:tcBorders>
          </w:tcPr>
          <w:p>
            <w:pPr>
              <w:pStyle w:val="TableParagraph"/>
              <w:spacing w:before="133"/>
              <w:rPr>
                <w:sz w:val="18"/>
              </w:rPr>
            </w:pPr>
            <w:r>
              <w:rPr>
                <w:sz w:val="18"/>
              </w:rPr>
              <w:t>Lerma</w:t>
            </w:r>
          </w:p>
        </w:tc>
        <w:tc>
          <w:tcPr>
            <w:tcW w:w="1251" w:type="dxa"/>
            <w:tcBorders>
              <w:top w:val="single" w:sz="4" w:space="0" w:color="000000"/>
            </w:tcBorders>
          </w:tcPr>
          <w:p>
            <w:pPr>
              <w:pStyle w:val="TableParagraph"/>
              <w:spacing w:before="133"/>
              <w:ind w:left="99"/>
              <w:rPr>
                <w:sz w:val="18"/>
              </w:rPr>
            </w:pPr>
            <w:r>
              <w:rPr>
                <w:sz w:val="18"/>
              </w:rPr>
              <w:t>228.6</w:t>
            </w:r>
          </w:p>
        </w:tc>
        <w:tc>
          <w:tcPr>
            <w:tcW w:w="771" w:type="dxa"/>
            <w:tcBorders>
              <w:top w:val="single" w:sz="4" w:space="0" w:color="000000"/>
            </w:tcBorders>
          </w:tcPr>
          <w:p>
            <w:pPr>
              <w:pStyle w:val="TableParagraph"/>
              <w:spacing w:before="133"/>
              <w:rPr>
                <w:sz w:val="18"/>
              </w:rPr>
            </w:pPr>
            <w:r>
              <w:rPr>
                <w:sz w:val="18"/>
              </w:rPr>
              <w:t>292.7</w:t>
            </w:r>
          </w:p>
        </w:tc>
        <w:tc>
          <w:tcPr>
            <w:tcW w:w="847" w:type="dxa"/>
            <w:tcBorders>
              <w:top w:val="single" w:sz="4" w:space="0" w:color="000000"/>
            </w:tcBorders>
          </w:tcPr>
          <w:p>
            <w:pPr>
              <w:pStyle w:val="TableParagraph"/>
              <w:spacing w:before="133"/>
              <w:ind w:left="130" w:right="221"/>
              <w:jc w:val="center"/>
              <w:rPr>
                <w:sz w:val="18"/>
              </w:rPr>
            </w:pPr>
            <w:r>
              <w:rPr>
                <w:sz w:val="18"/>
              </w:rPr>
              <w:t>355.2</w:t>
            </w:r>
          </w:p>
        </w:tc>
        <w:tc>
          <w:tcPr>
            <w:tcW w:w="820" w:type="dxa"/>
            <w:tcBorders>
              <w:top w:val="single" w:sz="4" w:space="0" w:color="000000"/>
            </w:tcBorders>
          </w:tcPr>
          <w:p>
            <w:pPr>
              <w:pStyle w:val="TableParagraph"/>
              <w:spacing w:before="133"/>
              <w:ind w:left="125" w:right="198"/>
              <w:jc w:val="center"/>
              <w:rPr>
                <w:sz w:val="18"/>
              </w:rPr>
            </w:pPr>
            <w:r>
              <w:rPr>
                <w:sz w:val="18"/>
              </w:rPr>
              <w:t>436.9</w:t>
            </w:r>
          </w:p>
        </w:tc>
        <w:tc>
          <w:tcPr>
            <w:tcW w:w="917" w:type="dxa"/>
            <w:tcBorders>
              <w:top w:val="single" w:sz="4" w:space="0" w:color="000000"/>
            </w:tcBorders>
          </w:tcPr>
          <w:p>
            <w:pPr>
              <w:pStyle w:val="TableParagraph"/>
              <w:spacing w:before="133"/>
              <w:ind w:left="123"/>
              <w:rPr>
                <w:sz w:val="18"/>
              </w:rPr>
            </w:pPr>
            <w:r>
              <w:rPr>
                <w:sz w:val="18"/>
              </w:rPr>
              <w:t>461.8</w:t>
            </w:r>
          </w:p>
        </w:tc>
        <w:tc>
          <w:tcPr>
            <w:tcW w:w="884" w:type="dxa"/>
            <w:tcBorders>
              <w:top w:val="single" w:sz="4" w:space="0" w:color="000000"/>
            </w:tcBorders>
          </w:tcPr>
          <w:p>
            <w:pPr>
              <w:pStyle w:val="TableParagraph"/>
              <w:spacing w:before="133"/>
              <w:ind w:left="243"/>
              <w:rPr>
                <w:sz w:val="18"/>
              </w:rPr>
            </w:pPr>
            <w:r>
              <w:rPr>
                <w:sz w:val="18"/>
              </w:rPr>
              <w:t>589.7</w:t>
            </w:r>
          </w:p>
        </w:tc>
      </w:tr>
      <w:tr>
        <w:trPr>
          <w:trHeight w:val="342" w:hRule="exact"/>
        </w:trPr>
        <w:tc>
          <w:tcPr>
            <w:tcW w:w="2820" w:type="dxa"/>
          </w:tcPr>
          <w:p>
            <w:pPr>
              <w:pStyle w:val="TableParagraph"/>
              <w:spacing w:before="58"/>
              <w:rPr>
                <w:sz w:val="18"/>
              </w:rPr>
            </w:pPr>
            <w:r>
              <w:rPr>
                <w:sz w:val="18"/>
              </w:rPr>
              <w:t>Metepec</w:t>
            </w:r>
          </w:p>
        </w:tc>
        <w:tc>
          <w:tcPr>
            <w:tcW w:w="1251" w:type="dxa"/>
          </w:tcPr>
          <w:p>
            <w:pPr>
              <w:pStyle w:val="TableParagraph"/>
              <w:spacing w:before="58"/>
              <w:ind w:left="99"/>
              <w:rPr>
                <w:sz w:val="18"/>
              </w:rPr>
            </w:pPr>
            <w:r>
              <w:rPr>
                <w:sz w:val="18"/>
              </w:rPr>
              <w:t>70.5</w:t>
            </w:r>
          </w:p>
        </w:tc>
        <w:tc>
          <w:tcPr>
            <w:tcW w:w="771" w:type="dxa"/>
          </w:tcPr>
          <w:p>
            <w:pPr>
              <w:pStyle w:val="TableParagraph"/>
              <w:spacing w:before="58"/>
              <w:rPr>
                <w:sz w:val="18"/>
              </w:rPr>
            </w:pPr>
            <w:r>
              <w:rPr>
                <w:sz w:val="18"/>
              </w:rPr>
              <w:t>1989.6</w:t>
            </w:r>
          </w:p>
        </w:tc>
        <w:tc>
          <w:tcPr>
            <w:tcW w:w="847" w:type="dxa"/>
          </w:tcPr>
          <w:p>
            <w:pPr>
              <w:pStyle w:val="TableParagraph"/>
              <w:spacing w:before="58"/>
              <w:ind w:left="130" w:right="125"/>
              <w:jc w:val="center"/>
              <w:rPr>
                <w:sz w:val="18"/>
              </w:rPr>
            </w:pPr>
            <w:r>
              <w:rPr>
                <w:sz w:val="18"/>
              </w:rPr>
              <w:t>2526.2</w:t>
            </w:r>
          </w:p>
        </w:tc>
        <w:tc>
          <w:tcPr>
            <w:tcW w:w="820" w:type="dxa"/>
          </w:tcPr>
          <w:p>
            <w:pPr>
              <w:pStyle w:val="TableParagraph"/>
              <w:spacing w:before="58"/>
              <w:ind w:left="125" w:right="103"/>
              <w:jc w:val="center"/>
              <w:rPr>
                <w:sz w:val="18"/>
              </w:rPr>
            </w:pPr>
            <w:r>
              <w:rPr>
                <w:sz w:val="18"/>
              </w:rPr>
              <w:t>2758.3</w:t>
            </w:r>
          </w:p>
        </w:tc>
        <w:tc>
          <w:tcPr>
            <w:tcW w:w="917" w:type="dxa"/>
          </w:tcPr>
          <w:p>
            <w:pPr>
              <w:pStyle w:val="TableParagraph"/>
              <w:spacing w:before="58"/>
              <w:ind w:left="123"/>
              <w:rPr>
                <w:sz w:val="18"/>
              </w:rPr>
            </w:pPr>
            <w:r>
              <w:rPr>
                <w:sz w:val="18"/>
              </w:rPr>
              <w:t>2922.1</w:t>
            </w:r>
          </w:p>
        </w:tc>
        <w:tc>
          <w:tcPr>
            <w:tcW w:w="884" w:type="dxa"/>
          </w:tcPr>
          <w:p>
            <w:pPr>
              <w:pStyle w:val="TableParagraph"/>
              <w:spacing w:before="58"/>
              <w:ind w:left="243"/>
              <w:rPr>
                <w:sz w:val="18"/>
              </w:rPr>
            </w:pPr>
            <w:r>
              <w:rPr>
                <w:sz w:val="18"/>
              </w:rPr>
              <w:t>3037.8</w:t>
            </w:r>
          </w:p>
        </w:tc>
      </w:tr>
      <w:tr>
        <w:trPr>
          <w:trHeight w:val="342" w:hRule="exact"/>
        </w:trPr>
        <w:tc>
          <w:tcPr>
            <w:tcW w:w="2820" w:type="dxa"/>
          </w:tcPr>
          <w:p>
            <w:pPr>
              <w:pStyle w:val="TableParagraph"/>
              <w:spacing w:before="57"/>
              <w:rPr>
                <w:sz w:val="18"/>
              </w:rPr>
            </w:pPr>
            <w:r>
              <w:rPr>
                <w:sz w:val="18"/>
              </w:rPr>
              <w:t>Toluca</w:t>
            </w:r>
          </w:p>
        </w:tc>
        <w:tc>
          <w:tcPr>
            <w:tcW w:w="1251" w:type="dxa"/>
          </w:tcPr>
          <w:p>
            <w:pPr>
              <w:pStyle w:val="TableParagraph"/>
              <w:spacing w:before="57"/>
              <w:ind w:left="99"/>
              <w:rPr>
                <w:sz w:val="18"/>
              </w:rPr>
            </w:pPr>
            <w:r>
              <w:rPr>
                <w:sz w:val="18"/>
              </w:rPr>
              <w:t>420.1</w:t>
            </w:r>
          </w:p>
        </w:tc>
        <w:tc>
          <w:tcPr>
            <w:tcW w:w="771" w:type="dxa"/>
          </w:tcPr>
          <w:p>
            <w:pPr>
              <w:pStyle w:val="TableParagraph"/>
              <w:spacing w:before="57"/>
              <w:rPr>
                <w:sz w:val="18"/>
              </w:rPr>
            </w:pPr>
            <w:r>
              <w:rPr>
                <w:sz w:val="18"/>
              </w:rPr>
              <w:t>1160.7</w:t>
            </w:r>
          </w:p>
        </w:tc>
        <w:tc>
          <w:tcPr>
            <w:tcW w:w="847" w:type="dxa"/>
          </w:tcPr>
          <w:p>
            <w:pPr>
              <w:pStyle w:val="TableParagraph"/>
              <w:spacing w:before="57"/>
              <w:ind w:left="130" w:right="125"/>
              <w:jc w:val="center"/>
              <w:rPr>
                <w:sz w:val="18"/>
              </w:rPr>
            </w:pPr>
            <w:r>
              <w:rPr>
                <w:sz w:val="18"/>
              </w:rPr>
              <w:t>1343.7</w:t>
            </w:r>
          </w:p>
        </w:tc>
        <w:tc>
          <w:tcPr>
            <w:tcW w:w="820" w:type="dxa"/>
          </w:tcPr>
          <w:p>
            <w:pPr>
              <w:pStyle w:val="TableParagraph"/>
              <w:spacing w:before="57"/>
              <w:ind w:left="125" w:right="103"/>
              <w:jc w:val="center"/>
              <w:rPr>
                <w:sz w:val="18"/>
              </w:rPr>
            </w:pPr>
            <w:r>
              <w:rPr>
                <w:sz w:val="18"/>
              </w:rPr>
              <w:t>1586.8</w:t>
            </w:r>
          </w:p>
        </w:tc>
        <w:tc>
          <w:tcPr>
            <w:tcW w:w="917" w:type="dxa"/>
          </w:tcPr>
          <w:p>
            <w:pPr>
              <w:pStyle w:val="TableParagraph"/>
              <w:spacing w:before="57"/>
              <w:ind w:left="123"/>
              <w:rPr>
                <w:sz w:val="18"/>
              </w:rPr>
            </w:pPr>
            <w:r>
              <w:rPr>
                <w:sz w:val="18"/>
              </w:rPr>
              <w:t>1779.4</w:t>
            </w:r>
          </w:p>
        </w:tc>
        <w:tc>
          <w:tcPr>
            <w:tcW w:w="884" w:type="dxa"/>
          </w:tcPr>
          <w:p>
            <w:pPr>
              <w:pStyle w:val="TableParagraph"/>
              <w:spacing w:before="57"/>
              <w:ind w:left="243"/>
              <w:rPr>
                <w:sz w:val="18"/>
              </w:rPr>
            </w:pPr>
            <w:r>
              <w:rPr>
                <w:sz w:val="18"/>
              </w:rPr>
              <w:t>1950.9</w:t>
            </w:r>
          </w:p>
        </w:tc>
      </w:tr>
      <w:tr>
        <w:trPr>
          <w:trHeight w:val="342" w:hRule="exact"/>
        </w:trPr>
        <w:tc>
          <w:tcPr>
            <w:tcW w:w="2820" w:type="dxa"/>
          </w:tcPr>
          <w:p>
            <w:pPr>
              <w:pStyle w:val="TableParagraph"/>
              <w:spacing w:before="58"/>
              <w:rPr>
                <w:sz w:val="18"/>
              </w:rPr>
            </w:pPr>
            <w:r>
              <w:rPr>
                <w:sz w:val="18"/>
              </w:rPr>
              <w:t>San Mateo Atenco</w:t>
            </w:r>
          </w:p>
        </w:tc>
        <w:tc>
          <w:tcPr>
            <w:tcW w:w="1251" w:type="dxa"/>
          </w:tcPr>
          <w:p>
            <w:pPr>
              <w:pStyle w:val="TableParagraph"/>
              <w:spacing w:before="58"/>
              <w:ind w:left="99"/>
              <w:rPr>
                <w:sz w:val="18"/>
              </w:rPr>
            </w:pPr>
            <w:r>
              <w:rPr>
                <w:sz w:val="18"/>
              </w:rPr>
              <w:t>12.6</w:t>
            </w:r>
          </w:p>
        </w:tc>
        <w:tc>
          <w:tcPr>
            <w:tcW w:w="771" w:type="dxa"/>
          </w:tcPr>
          <w:p>
            <w:pPr>
              <w:pStyle w:val="TableParagraph"/>
              <w:spacing w:before="58"/>
              <w:rPr>
                <w:sz w:val="18"/>
              </w:rPr>
            </w:pPr>
            <w:r>
              <w:rPr>
                <w:sz w:val="18"/>
              </w:rPr>
              <w:t>3327.5</w:t>
            </w:r>
          </w:p>
        </w:tc>
        <w:tc>
          <w:tcPr>
            <w:tcW w:w="847" w:type="dxa"/>
          </w:tcPr>
          <w:p>
            <w:pPr>
              <w:pStyle w:val="TableParagraph"/>
              <w:spacing w:before="58"/>
              <w:ind w:left="130" w:right="125"/>
              <w:jc w:val="center"/>
              <w:rPr>
                <w:sz w:val="18"/>
              </w:rPr>
            </w:pPr>
            <w:r>
              <w:rPr>
                <w:sz w:val="18"/>
              </w:rPr>
              <w:t>4292.8</w:t>
            </w:r>
          </w:p>
        </w:tc>
        <w:tc>
          <w:tcPr>
            <w:tcW w:w="820" w:type="dxa"/>
          </w:tcPr>
          <w:p>
            <w:pPr>
              <w:pStyle w:val="TableParagraph"/>
              <w:spacing w:before="58"/>
              <w:ind w:left="125" w:right="103"/>
              <w:jc w:val="center"/>
              <w:rPr>
                <w:sz w:val="18"/>
              </w:rPr>
            </w:pPr>
            <w:r>
              <w:rPr>
                <w:sz w:val="18"/>
              </w:rPr>
              <w:t>4733.9</w:t>
            </w:r>
          </w:p>
        </w:tc>
        <w:tc>
          <w:tcPr>
            <w:tcW w:w="917" w:type="dxa"/>
          </w:tcPr>
          <w:p>
            <w:pPr>
              <w:pStyle w:val="TableParagraph"/>
              <w:spacing w:before="58"/>
              <w:ind w:left="123"/>
              <w:rPr>
                <w:sz w:val="18"/>
              </w:rPr>
            </w:pPr>
            <w:r>
              <w:rPr>
                <w:sz w:val="18"/>
              </w:rPr>
              <w:t>5296.8</w:t>
            </w:r>
          </w:p>
        </w:tc>
        <w:tc>
          <w:tcPr>
            <w:tcW w:w="884" w:type="dxa"/>
          </w:tcPr>
          <w:p>
            <w:pPr>
              <w:pStyle w:val="TableParagraph"/>
              <w:spacing w:before="58"/>
              <w:ind w:left="243"/>
              <w:rPr>
                <w:sz w:val="18"/>
              </w:rPr>
            </w:pPr>
            <w:r>
              <w:rPr>
                <w:sz w:val="18"/>
              </w:rPr>
              <w:t>5760.2</w:t>
            </w:r>
          </w:p>
        </w:tc>
      </w:tr>
      <w:tr>
        <w:trPr>
          <w:trHeight w:val="342" w:hRule="exact"/>
        </w:trPr>
        <w:tc>
          <w:tcPr>
            <w:tcW w:w="2820" w:type="dxa"/>
          </w:tcPr>
          <w:p>
            <w:pPr>
              <w:pStyle w:val="TableParagraph"/>
              <w:spacing w:before="57"/>
              <w:rPr>
                <w:sz w:val="18"/>
              </w:rPr>
            </w:pPr>
            <w:r>
              <w:rPr>
                <w:sz w:val="18"/>
              </w:rPr>
              <w:t>Zinacantepec</w:t>
            </w:r>
          </w:p>
        </w:tc>
        <w:tc>
          <w:tcPr>
            <w:tcW w:w="1251" w:type="dxa"/>
          </w:tcPr>
          <w:p>
            <w:pPr>
              <w:pStyle w:val="TableParagraph"/>
              <w:spacing w:before="57"/>
              <w:ind w:left="99"/>
              <w:rPr>
                <w:sz w:val="18"/>
              </w:rPr>
            </w:pPr>
            <w:r>
              <w:rPr>
                <w:sz w:val="18"/>
              </w:rPr>
              <w:t>308.7</w:t>
            </w:r>
          </w:p>
        </w:tc>
        <w:tc>
          <w:tcPr>
            <w:tcW w:w="771" w:type="dxa"/>
          </w:tcPr>
          <w:p>
            <w:pPr>
              <w:pStyle w:val="TableParagraph"/>
              <w:spacing w:before="57"/>
              <w:rPr>
                <w:sz w:val="18"/>
              </w:rPr>
            </w:pPr>
            <w:r>
              <w:rPr>
                <w:sz w:val="18"/>
              </w:rPr>
              <w:t>269.5</w:t>
            </w:r>
          </w:p>
        </w:tc>
        <w:tc>
          <w:tcPr>
            <w:tcW w:w="847" w:type="dxa"/>
          </w:tcPr>
          <w:p>
            <w:pPr>
              <w:pStyle w:val="TableParagraph"/>
              <w:spacing w:before="57"/>
              <w:ind w:left="130" w:right="221"/>
              <w:jc w:val="center"/>
              <w:rPr>
                <w:sz w:val="18"/>
              </w:rPr>
            </w:pPr>
            <w:r>
              <w:rPr>
                <w:sz w:val="18"/>
              </w:rPr>
              <w:t>342.0</w:t>
            </w:r>
          </w:p>
        </w:tc>
        <w:tc>
          <w:tcPr>
            <w:tcW w:w="820" w:type="dxa"/>
          </w:tcPr>
          <w:p>
            <w:pPr>
              <w:pStyle w:val="TableParagraph"/>
              <w:spacing w:before="57"/>
              <w:ind w:left="125" w:right="198"/>
              <w:jc w:val="center"/>
              <w:rPr>
                <w:sz w:val="18"/>
              </w:rPr>
            </w:pPr>
            <w:r>
              <w:rPr>
                <w:sz w:val="18"/>
              </w:rPr>
              <w:t>394.7</w:t>
            </w:r>
          </w:p>
        </w:tc>
        <w:tc>
          <w:tcPr>
            <w:tcW w:w="917" w:type="dxa"/>
          </w:tcPr>
          <w:p>
            <w:pPr>
              <w:pStyle w:val="TableParagraph"/>
              <w:spacing w:before="57"/>
              <w:ind w:left="123"/>
              <w:rPr>
                <w:sz w:val="18"/>
              </w:rPr>
            </w:pPr>
            <w:r>
              <w:rPr>
                <w:sz w:val="18"/>
              </w:rPr>
              <w:t>441.1</w:t>
            </w:r>
          </w:p>
        </w:tc>
        <w:tc>
          <w:tcPr>
            <w:tcW w:w="884" w:type="dxa"/>
          </w:tcPr>
          <w:p>
            <w:pPr>
              <w:pStyle w:val="TableParagraph"/>
              <w:spacing w:before="57"/>
              <w:ind w:left="243"/>
              <w:rPr>
                <w:sz w:val="18"/>
              </w:rPr>
            </w:pPr>
            <w:r>
              <w:rPr>
                <w:sz w:val="18"/>
              </w:rPr>
              <w:t>543.4</w:t>
            </w:r>
          </w:p>
        </w:tc>
      </w:tr>
      <w:tr>
        <w:trPr>
          <w:trHeight w:val="342" w:hRule="exact"/>
        </w:trPr>
        <w:tc>
          <w:tcPr>
            <w:tcW w:w="2820" w:type="dxa"/>
          </w:tcPr>
          <w:p>
            <w:pPr>
              <w:pStyle w:val="TableParagraph"/>
              <w:spacing w:before="58"/>
              <w:rPr>
                <w:sz w:val="18"/>
              </w:rPr>
            </w:pPr>
            <w:r>
              <w:rPr>
                <w:sz w:val="18"/>
              </w:rPr>
              <w:t>Almoloya de Juárez</w:t>
            </w:r>
          </w:p>
        </w:tc>
        <w:tc>
          <w:tcPr>
            <w:tcW w:w="1251" w:type="dxa"/>
          </w:tcPr>
          <w:p>
            <w:pPr>
              <w:pStyle w:val="TableParagraph"/>
              <w:spacing w:before="58"/>
              <w:ind w:left="99"/>
              <w:rPr>
                <w:sz w:val="18"/>
              </w:rPr>
            </w:pPr>
            <w:r>
              <w:rPr>
                <w:sz w:val="18"/>
              </w:rPr>
              <w:t>483.8</w:t>
            </w:r>
          </w:p>
        </w:tc>
        <w:tc>
          <w:tcPr>
            <w:tcW w:w="771" w:type="dxa"/>
          </w:tcPr>
          <w:p>
            <w:pPr>
              <w:pStyle w:val="TableParagraph"/>
              <w:spacing w:before="58"/>
              <w:rPr>
                <w:sz w:val="18"/>
              </w:rPr>
            </w:pPr>
            <w:r>
              <w:rPr>
                <w:sz w:val="18"/>
              </w:rPr>
              <w:t>173.9</w:t>
            </w:r>
          </w:p>
        </w:tc>
        <w:tc>
          <w:tcPr>
            <w:tcW w:w="847" w:type="dxa"/>
          </w:tcPr>
          <w:p>
            <w:pPr>
              <w:pStyle w:val="TableParagraph"/>
              <w:spacing w:before="58"/>
              <w:ind w:left="130" w:right="221"/>
              <w:jc w:val="center"/>
              <w:rPr>
                <w:sz w:val="18"/>
              </w:rPr>
            </w:pPr>
            <w:r>
              <w:rPr>
                <w:sz w:val="18"/>
              </w:rPr>
              <w:t>199.8</w:t>
            </w:r>
          </w:p>
        </w:tc>
        <w:tc>
          <w:tcPr>
            <w:tcW w:w="820" w:type="dxa"/>
          </w:tcPr>
          <w:p>
            <w:pPr>
              <w:pStyle w:val="TableParagraph"/>
              <w:spacing w:before="58"/>
              <w:ind w:left="125" w:right="198"/>
              <w:jc w:val="center"/>
              <w:rPr>
                <w:sz w:val="18"/>
              </w:rPr>
            </w:pPr>
            <w:r>
              <w:rPr>
                <w:sz w:val="18"/>
              </w:rPr>
              <w:t>228.6</w:t>
            </w:r>
          </w:p>
        </w:tc>
        <w:tc>
          <w:tcPr>
            <w:tcW w:w="917" w:type="dxa"/>
          </w:tcPr>
          <w:p>
            <w:pPr>
              <w:pStyle w:val="TableParagraph"/>
              <w:spacing w:before="58"/>
              <w:ind w:left="123"/>
              <w:rPr>
                <w:sz w:val="18"/>
              </w:rPr>
            </w:pPr>
            <w:r>
              <w:rPr>
                <w:sz w:val="18"/>
              </w:rPr>
              <w:t>260.8</w:t>
            </w:r>
          </w:p>
        </w:tc>
        <w:tc>
          <w:tcPr>
            <w:tcW w:w="884" w:type="dxa"/>
          </w:tcPr>
          <w:p>
            <w:pPr>
              <w:pStyle w:val="TableParagraph"/>
              <w:spacing w:before="58"/>
              <w:ind w:left="243"/>
              <w:rPr>
                <w:sz w:val="18"/>
              </w:rPr>
            </w:pPr>
            <w:r>
              <w:rPr>
                <w:sz w:val="18"/>
              </w:rPr>
              <w:t>305.2</w:t>
            </w:r>
          </w:p>
        </w:tc>
      </w:tr>
      <w:tr>
        <w:trPr>
          <w:trHeight w:val="342" w:hRule="exact"/>
        </w:trPr>
        <w:tc>
          <w:tcPr>
            <w:tcW w:w="2820" w:type="dxa"/>
          </w:tcPr>
          <w:p>
            <w:pPr>
              <w:pStyle w:val="TableParagraph"/>
              <w:spacing w:before="57"/>
              <w:rPr>
                <w:sz w:val="18"/>
              </w:rPr>
            </w:pPr>
            <w:r>
              <w:rPr>
                <w:sz w:val="18"/>
              </w:rPr>
              <w:t>Calimaya</w:t>
            </w:r>
          </w:p>
        </w:tc>
        <w:tc>
          <w:tcPr>
            <w:tcW w:w="1251" w:type="dxa"/>
          </w:tcPr>
          <w:p>
            <w:pPr>
              <w:pStyle w:val="TableParagraph"/>
              <w:spacing w:before="57"/>
              <w:ind w:left="99"/>
              <w:rPr>
                <w:sz w:val="18"/>
              </w:rPr>
            </w:pPr>
            <w:r>
              <w:rPr>
                <w:sz w:val="18"/>
              </w:rPr>
              <w:t>103.1</w:t>
            </w:r>
          </w:p>
        </w:tc>
        <w:tc>
          <w:tcPr>
            <w:tcW w:w="771" w:type="dxa"/>
          </w:tcPr>
          <w:p>
            <w:pPr>
              <w:pStyle w:val="TableParagraph"/>
              <w:spacing w:before="57"/>
              <w:rPr>
                <w:sz w:val="18"/>
              </w:rPr>
            </w:pPr>
            <w:r>
              <w:rPr>
                <w:sz w:val="18"/>
              </w:rPr>
              <w:t>241.6</w:t>
            </w:r>
          </w:p>
        </w:tc>
        <w:tc>
          <w:tcPr>
            <w:tcW w:w="847" w:type="dxa"/>
          </w:tcPr>
          <w:p>
            <w:pPr>
              <w:pStyle w:val="TableParagraph"/>
              <w:spacing w:before="57"/>
              <w:ind w:left="130" w:right="221"/>
              <w:jc w:val="center"/>
              <w:rPr>
                <w:sz w:val="18"/>
              </w:rPr>
            </w:pPr>
            <w:r>
              <w:rPr>
                <w:sz w:val="18"/>
              </w:rPr>
              <w:t>309.4</w:t>
            </w:r>
          </w:p>
        </w:tc>
        <w:tc>
          <w:tcPr>
            <w:tcW w:w="820" w:type="dxa"/>
          </w:tcPr>
          <w:p>
            <w:pPr>
              <w:pStyle w:val="TableParagraph"/>
              <w:spacing w:before="57"/>
              <w:ind w:left="125" w:right="198"/>
              <w:jc w:val="center"/>
              <w:rPr>
                <w:sz w:val="18"/>
              </w:rPr>
            </w:pPr>
            <w:r>
              <w:rPr>
                <w:sz w:val="18"/>
              </w:rPr>
              <w:t>341.4</w:t>
            </w:r>
          </w:p>
        </w:tc>
        <w:tc>
          <w:tcPr>
            <w:tcW w:w="917" w:type="dxa"/>
          </w:tcPr>
          <w:p>
            <w:pPr>
              <w:pStyle w:val="TableParagraph"/>
              <w:spacing w:before="57"/>
              <w:ind w:left="123"/>
              <w:rPr>
                <w:sz w:val="18"/>
              </w:rPr>
            </w:pPr>
            <w:r>
              <w:rPr>
                <w:sz w:val="18"/>
              </w:rPr>
              <w:t>376.0</w:t>
            </w:r>
          </w:p>
        </w:tc>
        <w:tc>
          <w:tcPr>
            <w:tcW w:w="884" w:type="dxa"/>
          </w:tcPr>
          <w:p>
            <w:pPr>
              <w:pStyle w:val="TableParagraph"/>
              <w:spacing w:before="57"/>
              <w:ind w:left="243"/>
              <w:rPr>
                <w:sz w:val="18"/>
              </w:rPr>
            </w:pPr>
            <w:r>
              <w:rPr>
                <w:sz w:val="18"/>
              </w:rPr>
              <w:t>456.2</w:t>
            </w:r>
          </w:p>
        </w:tc>
      </w:tr>
      <w:tr>
        <w:trPr>
          <w:trHeight w:val="342" w:hRule="exact"/>
        </w:trPr>
        <w:tc>
          <w:tcPr>
            <w:tcW w:w="2820" w:type="dxa"/>
          </w:tcPr>
          <w:p>
            <w:pPr>
              <w:pStyle w:val="TableParagraph"/>
              <w:spacing w:before="58"/>
              <w:rPr>
                <w:sz w:val="18"/>
              </w:rPr>
            </w:pPr>
            <w:r>
              <w:rPr>
                <w:sz w:val="18"/>
              </w:rPr>
              <w:t>Mexicaltzingo</w:t>
            </w:r>
          </w:p>
        </w:tc>
        <w:tc>
          <w:tcPr>
            <w:tcW w:w="1251" w:type="dxa"/>
          </w:tcPr>
          <w:p>
            <w:pPr>
              <w:pStyle w:val="TableParagraph"/>
              <w:spacing w:before="58"/>
              <w:ind w:left="99"/>
              <w:rPr>
                <w:sz w:val="18"/>
              </w:rPr>
            </w:pPr>
            <w:r>
              <w:rPr>
                <w:sz w:val="18"/>
              </w:rPr>
              <w:t>12.2</w:t>
            </w:r>
          </w:p>
        </w:tc>
        <w:tc>
          <w:tcPr>
            <w:tcW w:w="771" w:type="dxa"/>
          </w:tcPr>
          <w:p>
            <w:pPr>
              <w:pStyle w:val="TableParagraph"/>
              <w:spacing w:before="58"/>
              <w:rPr>
                <w:sz w:val="18"/>
              </w:rPr>
            </w:pPr>
            <w:r>
              <w:rPr>
                <w:sz w:val="18"/>
              </w:rPr>
              <w:t>594.1</w:t>
            </w:r>
          </w:p>
        </w:tc>
        <w:tc>
          <w:tcPr>
            <w:tcW w:w="847" w:type="dxa"/>
          </w:tcPr>
          <w:p>
            <w:pPr>
              <w:pStyle w:val="TableParagraph"/>
              <w:spacing w:before="58"/>
              <w:ind w:left="130" w:right="221"/>
              <w:jc w:val="center"/>
              <w:rPr>
                <w:sz w:val="18"/>
              </w:rPr>
            </w:pPr>
            <w:r>
              <w:rPr>
                <w:sz w:val="18"/>
              </w:rPr>
              <w:t>710.0</w:t>
            </w:r>
          </w:p>
        </w:tc>
        <w:tc>
          <w:tcPr>
            <w:tcW w:w="820" w:type="dxa"/>
          </w:tcPr>
          <w:p>
            <w:pPr>
              <w:pStyle w:val="TableParagraph"/>
              <w:spacing w:before="58"/>
              <w:ind w:left="125" w:right="198"/>
              <w:jc w:val="center"/>
              <w:rPr>
                <w:sz w:val="18"/>
              </w:rPr>
            </w:pPr>
            <w:r>
              <w:rPr>
                <w:sz w:val="18"/>
              </w:rPr>
              <w:t>756.1</w:t>
            </w:r>
          </w:p>
        </w:tc>
        <w:tc>
          <w:tcPr>
            <w:tcW w:w="917" w:type="dxa"/>
          </w:tcPr>
          <w:p>
            <w:pPr>
              <w:pStyle w:val="TableParagraph"/>
              <w:spacing w:before="58"/>
              <w:ind w:left="123"/>
              <w:rPr>
                <w:sz w:val="18"/>
              </w:rPr>
            </w:pPr>
            <w:r>
              <w:rPr>
                <w:sz w:val="18"/>
              </w:rPr>
              <w:t>832.9</w:t>
            </w:r>
          </w:p>
        </w:tc>
        <w:tc>
          <w:tcPr>
            <w:tcW w:w="884" w:type="dxa"/>
          </w:tcPr>
          <w:p>
            <w:pPr>
              <w:pStyle w:val="TableParagraph"/>
              <w:spacing w:before="58"/>
              <w:ind w:left="243"/>
              <w:rPr>
                <w:sz w:val="18"/>
              </w:rPr>
            </w:pPr>
            <w:r>
              <w:rPr>
                <w:sz w:val="18"/>
              </w:rPr>
              <w:t>960.0</w:t>
            </w:r>
          </w:p>
        </w:tc>
      </w:tr>
      <w:tr>
        <w:trPr>
          <w:trHeight w:val="265" w:hRule="exact"/>
        </w:trPr>
        <w:tc>
          <w:tcPr>
            <w:tcW w:w="2820" w:type="dxa"/>
          </w:tcPr>
          <w:p>
            <w:pPr>
              <w:pStyle w:val="TableParagraph"/>
              <w:spacing w:before="57"/>
              <w:rPr>
                <w:sz w:val="18"/>
              </w:rPr>
            </w:pPr>
            <w:r>
              <w:rPr>
                <w:sz w:val="18"/>
              </w:rPr>
              <w:t>Otzolotepec</w:t>
            </w:r>
          </w:p>
        </w:tc>
        <w:tc>
          <w:tcPr>
            <w:tcW w:w="1251" w:type="dxa"/>
          </w:tcPr>
          <w:p>
            <w:pPr>
              <w:pStyle w:val="TableParagraph"/>
              <w:spacing w:before="57"/>
              <w:ind w:left="99"/>
              <w:rPr>
                <w:sz w:val="18"/>
              </w:rPr>
            </w:pPr>
            <w:r>
              <w:rPr>
                <w:sz w:val="18"/>
              </w:rPr>
              <w:t>128</w:t>
            </w:r>
          </w:p>
        </w:tc>
        <w:tc>
          <w:tcPr>
            <w:tcW w:w="771" w:type="dxa"/>
          </w:tcPr>
          <w:p>
            <w:pPr>
              <w:pStyle w:val="TableParagraph"/>
              <w:spacing w:before="57"/>
              <w:rPr>
                <w:sz w:val="18"/>
              </w:rPr>
            </w:pPr>
            <w:r>
              <w:rPr>
                <w:sz w:val="18"/>
              </w:rPr>
              <w:t>315.7</w:t>
            </w:r>
          </w:p>
        </w:tc>
        <w:tc>
          <w:tcPr>
            <w:tcW w:w="847" w:type="dxa"/>
          </w:tcPr>
          <w:p>
            <w:pPr>
              <w:pStyle w:val="TableParagraph"/>
              <w:spacing w:before="57"/>
              <w:ind w:left="130" w:right="221"/>
              <w:jc w:val="center"/>
              <w:rPr>
                <w:sz w:val="18"/>
              </w:rPr>
            </w:pPr>
            <w:r>
              <w:rPr>
                <w:sz w:val="18"/>
              </w:rPr>
              <w:t>384.9</w:t>
            </w:r>
          </w:p>
        </w:tc>
        <w:tc>
          <w:tcPr>
            <w:tcW w:w="820" w:type="dxa"/>
          </w:tcPr>
          <w:p>
            <w:pPr>
              <w:pStyle w:val="TableParagraph"/>
              <w:spacing w:before="57"/>
              <w:ind w:left="125" w:right="198"/>
              <w:jc w:val="center"/>
              <w:rPr>
                <w:sz w:val="18"/>
              </w:rPr>
            </w:pPr>
            <w:r>
              <w:rPr>
                <w:sz w:val="18"/>
              </w:rPr>
              <w:t>449.9</w:t>
            </w:r>
          </w:p>
        </w:tc>
        <w:tc>
          <w:tcPr>
            <w:tcW w:w="917" w:type="dxa"/>
          </w:tcPr>
          <w:p>
            <w:pPr>
              <w:pStyle w:val="TableParagraph"/>
              <w:spacing w:before="57"/>
              <w:ind w:left="123"/>
              <w:rPr>
                <w:sz w:val="18"/>
              </w:rPr>
            </w:pPr>
            <w:r>
              <w:rPr>
                <w:sz w:val="18"/>
              </w:rPr>
              <w:t>528.2</w:t>
            </w:r>
          </w:p>
        </w:tc>
        <w:tc>
          <w:tcPr>
            <w:tcW w:w="884" w:type="dxa"/>
          </w:tcPr>
          <w:p>
            <w:pPr>
              <w:pStyle w:val="TableParagraph"/>
              <w:spacing w:before="57"/>
              <w:ind w:left="243"/>
              <w:rPr>
                <w:sz w:val="18"/>
              </w:rPr>
            </w:pPr>
            <w:r>
              <w:rPr>
                <w:sz w:val="18"/>
              </w:rPr>
              <w:t>610.5</w:t>
            </w:r>
          </w:p>
        </w:tc>
      </w:tr>
      <w:tr>
        <w:trPr>
          <w:trHeight w:val="343" w:hRule="exact"/>
        </w:trPr>
        <w:tc>
          <w:tcPr>
            <w:tcW w:w="2820" w:type="dxa"/>
            <w:shd w:val="clear" w:color="auto" w:fill="EDEBE0"/>
          </w:tcPr>
          <w:p>
            <w:pPr>
              <w:pStyle w:val="TableParagraph"/>
              <w:spacing w:before="136"/>
              <w:rPr>
                <w:sz w:val="18"/>
              </w:rPr>
            </w:pPr>
            <w:r>
              <w:rPr>
                <w:sz w:val="18"/>
              </w:rPr>
              <w:t>Área urbana continua</w:t>
            </w:r>
          </w:p>
        </w:tc>
        <w:tc>
          <w:tcPr>
            <w:tcW w:w="1251" w:type="dxa"/>
            <w:shd w:val="clear" w:color="auto" w:fill="EDEBE0"/>
          </w:tcPr>
          <w:p>
            <w:pPr>
              <w:pStyle w:val="TableParagraph"/>
              <w:spacing w:before="136"/>
              <w:ind w:left="99"/>
              <w:rPr>
                <w:sz w:val="18"/>
              </w:rPr>
            </w:pPr>
            <w:r>
              <w:rPr>
                <w:sz w:val="18"/>
              </w:rPr>
              <w:t>1767.6</w:t>
            </w:r>
          </w:p>
        </w:tc>
        <w:tc>
          <w:tcPr>
            <w:tcW w:w="771" w:type="dxa"/>
            <w:shd w:val="clear" w:color="auto" w:fill="EDEBE0"/>
          </w:tcPr>
          <w:p>
            <w:pPr>
              <w:pStyle w:val="TableParagraph"/>
              <w:spacing w:before="136"/>
              <w:rPr>
                <w:sz w:val="18"/>
              </w:rPr>
            </w:pPr>
            <w:r>
              <w:rPr>
                <w:sz w:val="18"/>
              </w:rPr>
              <w:t>552.5</w:t>
            </w:r>
          </w:p>
        </w:tc>
        <w:tc>
          <w:tcPr>
            <w:tcW w:w="847" w:type="dxa"/>
            <w:shd w:val="clear" w:color="auto" w:fill="EDEBE0"/>
          </w:tcPr>
          <w:p>
            <w:pPr>
              <w:pStyle w:val="TableParagraph"/>
              <w:spacing w:before="136"/>
              <w:ind w:left="130" w:right="221"/>
              <w:jc w:val="center"/>
              <w:rPr>
                <w:sz w:val="18"/>
              </w:rPr>
            </w:pPr>
            <w:r>
              <w:rPr>
                <w:sz w:val="18"/>
              </w:rPr>
              <w:t>661.9</w:t>
            </w:r>
          </w:p>
        </w:tc>
        <w:tc>
          <w:tcPr>
            <w:tcW w:w="820" w:type="dxa"/>
            <w:shd w:val="clear" w:color="auto" w:fill="EDEBE0"/>
          </w:tcPr>
          <w:p>
            <w:pPr>
              <w:pStyle w:val="TableParagraph"/>
              <w:spacing w:before="136"/>
              <w:ind w:left="125" w:right="198"/>
              <w:jc w:val="center"/>
              <w:rPr>
                <w:sz w:val="18"/>
              </w:rPr>
            </w:pPr>
            <w:r>
              <w:rPr>
                <w:sz w:val="18"/>
              </w:rPr>
              <w:t>766.6</w:t>
            </w:r>
          </w:p>
        </w:tc>
        <w:tc>
          <w:tcPr>
            <w:tcW w:w="917" w:type="dxa"/>
            <w:shd w:val="clear" w:color="auto" w:fill="EDEBE0"/>
          </w:tcPr>
          <w:p>
            <w:pPr>
              <w:pStyle w:val="TableParagraph"/>
              <w:spacing w:before="136"/>
              <w:ind w:left="123"/>
              <w:rPr>
                <w:sz w:val="18"/>
              </w:rPr>
            </w:pPr>
            <w:r>
              <w:rPr>
                <w:sz w:val="18"/>
              </w:rPr>
              <w:t>851.3</w:t>
            </w:r>
          </w:p>
        </w:tc>
        <w:tc>
          <w:tcPr>
            <w:tcW w:w="884" w:type="dxa"/>
            <w:shd w:val="clear" w:color="auto" w:fill="EDEBE0"/>
          </w:tcPr>
          <w:p>
            <w:pPr>
              <w:pStyle w:val="TableParagraph"/>
              <w:spacing w:before="136"/>
              <w:ind w:left="243"/>
              <w:rPr>
                <w:sz w:val="18"/>
              </w:rPr>
            </w:pPr>
            <w:r>
              <w:rPr>
                <w:sz w:val="18"/>
              </w:rPr>
              <w:t>958.0</w:t>
            </w:r>
          </w:p>
        </w:tc>
      </w:tr>
      <w:tr>
        <w:trPr>
          <w:trHeight w:val="418" w:hRule="exact"/>
        </w:trPr>
        <w:tc>
          <w:tcPr>
            <w:tcW w:w="2820" w:type="dxa"/>
          </w:tcPr>
          <w:p>
            <w:pPr>
              <w:pStyle w:val="TableParagraph"/>
              <w:spacing w:before="133"/>
              <w:rPr>
                <w:sz w:val="18"/>
              </w:rPr>
            </w:pPr>
            <w:r>
              <w:rPr>
                <w:sz w:val="18"/>
              </w:rPr>
              <w:t>Chapultepec</w:t>
            </w:r>
          </w:p>
        </w:tc>
        <w:tc>
          <w:tcPr>
            <w:tcW w:w="1251" w:type="dxa"/>
          </w:tcPr>
          <w:p>
            <w:pPr>
              <w:pStyle w:val="TableParagraph"/>
              <w:spacing w:before="133"/>
              <w:ind w:left="99"/>
              <w:rPr>
                <w:sz w:val="18"/>
              </w:rPr>
            </w:pPr>
            <w:r>
              <w:rPr>
                <w:sz w:val="18"/>
              </w:rPr>
              <w:t>11.9</w:t>
            </w:r>
          </w:p>
        </w:tc>
        <w:tc>
          <w:tcPr>
            <w:tcW w:w="771" w:type="dxa"/>
          </w:tcPr>
          <w:p>
            <w:pPr>
              <w:pStyle w:val="TableParagraph"/>
              <w:spacing w:before="133"/>
              <w:rPr>
                <w:sz w:val="18"/>
              </w:rPr>
            </w:pPr>
            <w:r>
              <w:rPr>
                <w:sz w:val="18"/>
              </w:rPr>
              <w:t>324.6</w:t>
            </w:r>
          </w:p>
        </w:tc>
        <w:tc>
          <w:tcPr>
            <w:tcW w:w="847" w:type="dxa"/>
          </w:tcPr>
          <w:p>
            <w:pPr>
              <w:pStyle w:val="TableParagraph"/>
              <w:spacing w:before="133"/>
              <w:ind w:left="130" w:right="221"/>
              <w:jc w:val="center"/>
              <w:rPr>
                <w:sz w:val="18"/>
              </w:rPr>
            </w:pPr>
            <w:r>
              <w:rPr>
                <w:sz w:val="18"/>
              </w:rPr>
              <w:t>433.9</w:t>
            </w:r>
          </w:p>
        </w:tc>
        <w:tc>
          <w:tcPr>
            <w:tcW w:w="820" w:type="dxa"/>
          </w:tcPr>
          <w:p>
            <w:pPr>
              <w:pStyle w:val="TableParagraph"/>
              <w:spacing w:before="133"/>
              <w:ind w:left="125" w:right="198"/>
              <w:jc w:val="center"/>
              <w:rPr>
                <w:sz w:val="18"/>
              </w:rPr>
            </w:pPr>
            <w:r>
              <w:rPr>
                <w:sz w:val="18"/>
              </w:rPr>
              <w:t>481.9</w:t>
            </w:r>
          </w:p>
        </w:tc>
        <w:tc>
          <w:tcPr>
            <w:tcW w:w="917" w:type="dxa"/>
          </w:tcPr>
          <w:p>
            <w:pPr>
              <w:pStyle w:val="TableParagraph"/>
              <w:spacing w:before="133"/>
              <w:ind w:left="123"/>
              <w:rPr>
                <w:sz w:val="18"/>
              </w:rPr>
            </w:pPr>
            <w:r>
              <w:rPr>
                <w:sz w:val="18"/>
              </w:rPr>
              <w:t>553.0</w:t>
            </w:r>
          </w:p>
        </w:tc>
        <w:tc>
          <w:tcPr>
            <w:tcW w:w="884" w:type="dxa"/>
          </w:tcPr>
          <w:p>
            <w:pPr>
              <w:pStyle w:val="TableParagraph"/>
              <w:spacing w:before="133"/>
              <w:ind w:left="243"/>
              <w:rPr>
                <w:sz w:val="18"/>
              </w:rPr>
            </w:pPr>
            <w:r>
              <w:rPr>
                <w:sz w:val="18"/>
              </w:rPr>
              <w:t>813.1</w:t>
            </w:r>
          </w:p>
        </w:tc>
      </w:tr>
      <w:tr>
        <w:trPr>
          <w:trHeight w:val="342" w:hRule="exact"/>
        </w:trPr>
        <w:tc>
          <w:tcPr>
            <w:tcW w:w="2820" w:type="dxa"/>
          </w:tcPr>
          <w:p>
            <w:pPr>
              <w:pStyle w:val="TableParagraph"/>
              <w:spacing w:before="58"/>
              <w:rPr>
                <w:sz w:val="18"/>
              </w:rPr>
            </w:pPr>
            <w:r>
              <w:rPr>
                <w:sz w:val="18"/>
              </w:rPr>
              <w:t>Ocoyoacac</w:t>
            </w:r>
          </w:p>
        </w:tc>
        <w:tc>
          <w:tcPr>
            <w:tcW w:w="1251" w:type="dxa"/>
          </w:tcPr>
          <w:p>
            <w:pPr>
              <w:pStyle w:val="TableParagraph"/>
              <w:spacing w:before="58"/>
              <w:ind w:left="99"/>
              <w:rPr>
                <w:sz w:val="18"/>
              </w:rPr>
            </w:pPr>
            <w:r>
              <w:rPr>
                <w:sz w:val="18"/>
              </w:rPr>
              <w:t>134.8</w:t>
            </w:r>
          </w:p>
        </w:tc>
        <w:tc>
          <w:tcPr>
            <w:tcW w:w="771" w:type="dxa"/>
          </w:tcPr>
          <w:p>
            <w:pPr>
              <w:pStyle w:val="TableParagraph"/>
              <w:spacing w:before="58"/>
              <w:rPr>
                <w:sz w:val="18"/>
              </w:rPr>
            </w:pPr>
            <w:r>
              <w:rPr>
                <w:sz w:val="18"/>
              </w:rPr>
              <w:t>277.4</w:t>
            </w:r>
          </w:p>
        </w:tc>
        <w:tc>
          <w:tcPr>
            <w:tcW w:w="847" w:type="dxa"/>
          </w:tcPr>
          <w:p>
            <w:pPr>
              <w:pStyle w:val="TableParagraph"/>
              <w:spacing w:before="58"/>
              <w:ind w:left="130" w:right="221"/>
              <w:jc w:val="center"/>
              <w:rPr>
                <w:sz w:val="18"/>
              </w:rPr>
            </w:pPr>
            <w:r>
              <w:rPr>
                <w:sz w:val="18"/>
              </w:rPr>
              <w:t>324.0</w:t>
            </w:r>
          </w:p>
        </w:tc>
        <w:tc>
          <w:tcPr>
            <w:tcW w:w="820" w:type="dxa"/>
          </w:tcPr>
          <w:p>
            <w:pPr>
              <w:pStyle w:val="TableParagraph"/>
              <w:spacing w:before="58"/>
              <w:ind w:left="125" w:right="198"/>
              <w:jc w:val="center"/>
              <w:rPr>
                <w:sz w:val="18"/>
              </w:rPr>
            </w:pPr>
            <w:r>
              <w:rPr>
                <w:sz w:val="18"/>
              </w:rPr>
              <w:t>368.3</w:t>
            </w:r>
          </w:p>
        </w:tc>
        <w:tc>
          <w:tcPr>
            <w:tcW w:w="917" w:type="dxa"/>
          </w:tcPr>
          <w:p>
            <w:pPr>
              <w:pStyle w:val="TableParagraph"/>
              <w:spacing w:before="58"/>
              <w:ind w:left="123"/>
              <w:rPr>
                <w:sz w:val="18"/>
              </w:rPr>
            </w:pPr>
            <w:r>
              <w:rPr>
                <w:sz w:val="18"/>
              </w:rPr>
              <w:t>402.3</w:t>
            </w:r>
          </w:p>
        </w:tc>
        <w:tc>
          <w:tcPr>
            <w:tcW w:w="884" w:type="dxa"/>
          </w:tcPr>
          <w:p>
            <w:pPr>
              <w:pStyle w:val="TableParagraph"/>
              <w:spacing w:before="58"/>
              <w:ind w:left="243"/>
              <w:rPr>
                <w:sz w:val="18"/>
              </w:rPr>
            </w:pPr>
            <w:r>
              <w:rPr>
                <w:sz w:val="18"/>
              </w:rPr>
              <w:t>458.5</w:t>
            </w:r>
          </w:p>
        </w:tc>
      </w:tr>
      <w:tr>
        <w:trPr>
          <w:trHeight w:val="342" w:hRule="exact"/>
        </w:trPr>
        <w:tc>
          <w:tcPr>
            <w:tcW w:w="2820" w:type="dxa"/>
          </w:tcPr>
          <w:p>
            <w:pPr>
              <w:pStyle w:val="TableParagraph"/>
              <w:spacing w:before="57"/>
              <w:rPr>
                <w:sz w:val="18"/>
              </w:rPr>
            </w:pPr>
            <w:r>
              <w:rPr>
                <w:sz w:val="18"/>
              </w:rPr>
              <w:t>Rayón</w:t>
            </w:r>
          </w:p>
        </w:tc>
        <w:tc>
          <w:tcPr>
            <w:tcW w:w="1251" w:type="dxa"/>
          </w:tcPr>
          <w:p>
            <w:pPr>
              <w:pStyle w:val="TableParagraph"/>
              <w:spacing w:before="57"/>
              <w:ind w:left="99"/>
              <w:rPr>
                <w:sz w:val="18"/>
              </w:rPr>
            </w:pPr>
            <w:r>
              <w:rPr>
                <w:sz w:val="18"/>
              </w:rPr>
              <w:t>20.6</w:t>
            </w:r>
          </w:p>
        </w:tc>
        <w:tc>
          <w:tcPr>
            <w:tcW w:w="771" w:type="dxa"/>
          </w:tcPr>
          <w:p>
            <w:pPr>
              <w:pStyle w:val="TableParagraph"/>
              <w:spacing w:before="57"/>
              <w:rPr>
                <w:sz w:val="18"/>
              </w:rPr>
            </w:pPr>
            <w:r>
              <w:rPr>
                <w:sz w:val="18"/>
              </w:rPr>
              <w:t>341.1</w:t>
            </w:r>
          </w:p>
        </w:tc>
        <w:tc>
          <w:tcPr>
            <w:tcW w:w="847" w:type="dxa"/>
          </w:tcPr>
          <w:p>
            <w:pPr>
              <w:pStyle w:val="TableParagraph"/>
              <w:spacing w:before="57"/>
              <w:ind w:left="130" w:right="221"/>
              <w:jc w:val="center"/>
              <w:rPr>
                <w:sz w:val="18"/>
              </w:rPr>
            </w:pPr>
            <w:r>
              <w:rPr>
                <w:sz w:val="18"/>
              </w:rPr>
              <w:t>402.9</w:t>
            </w:r>
          </w:p>
        </w:tc>
        <w:tc>
          <w:tcPr>
            <w:tcW w:w="820" w:type="dxa"/>
          </w:tcPr>
          <w:p>
            <w:pPr>
              <w:pStyle w:val="TableParagraph"/>
              <w:spacing w:before="57"/>
              <w:ind w:left="125" w:right="198"/>
              <w:jc w:val="center"/>
              <w:rPr>
                <w:sz w:val="18"/>
              </w:rPr>
            </w:pPr>
            <w:r>
              <w:rPr>
                <w:sz w:val="18"/>
              </w:rPr>
              <w:t>438.1</w:t>
            </w:r>
          </w:p>
        </w:tc>
        <w:tc>
          <w:tcPr>
            <w:tcW w:w="917" w:type="dxa"/>
          </w:tcPr>
          <w:p>
            <w:pPr>
              <w:pStyle w:val="TableParagraph"/>
              <w:spacing w:before="57"/>
              <w:ind w:left="123"/>
              <w:rPr>
                <w:sz w:val="18"/>
              </w:rPr>
            </w:pPr>
            <w:r>
              <w:rPr>
                <w:sz w:val="18"/>
              </w:rPr>
              <w:t>531.7</w:t>
            </w:r>
          </w:p>
        </w:tc>
        <w:tc>
          <w:tcPr>
            <w:tcW w:w="884" w:type="dxa"/>
          </w:tcPr>
          <w:p>
            <w:pPr>
              <w:pStyle w:val="TableParagraph"/>
              <w:spacing w:before="57"/>
              <w:ind w:left="243"/>
              <w:rPr>
                <w:sz w:val="18"/>
              </w:rPr>
            </w:pPr>
            <w:r>
              <w:rPr>
                <w:sz w:val="18"/>
              </w:rPr>
              <w:t>618.8</w:t>
            </w:r>
          </w:p>
        </w:tc>
      </w:tr>
      <w:tr>
        <w:trPr>
          <w:trHeight w:val="342" w:hRule="exact"/>
        </w:trPr>
        <w:tc>
          <w:tcPr>
            <w:tcW w:w="2820" w:type="dxa"/>
          </w:tcPr>
          <w:p>
            <w:pPr>
              <w:pStyle w:val="TableParagraph"/>
              <w:spacing w:before="58"/>
              <w:rPr>
                <w:sz w:val="18"/>
              </w:rPr>
            </w:pPr>
            <w:r>
              <w:rPr>
                <w:sz w:val="18"/>
              </w:rPr>
              <w:t>San Antonio la Isla</w:t>
            </w:r>
          </w:p>
        </w:tc>
        <w:tc>
          <w:tcPr>
            <w:tcW w:w="1251" w:type="dxa"/>
          </w:tcPr>
          <w:p>
            <w:pPr>
              <w:pStyle w:val="TableParagraph"/>
              <w:spacing w:before="58"/>
              <w:ind w:left="99"/>
              <w:rPr>
                <w:sz w:val="18"/>
              </w:rPr>
            </w:pPr>
            <w:r>
              <w:rPr>
                <w:sz w:val="18"/>
              </w:rPr>
              <w:t>24.1</w:t>
            </w:r>
          </w:p>
        </w:tc>
        <w:tc>
          <w:tcPr>
            <w:tcW w:w="771" w:type="dxa"/>
          </w:tcPr>
          <w:p>
            <w:pPr>
              <w:pStyle w:val="TableParagraph"/>
              <w:spacing w:before="58"/>
              <w:rPr>
                <w:sz w:val="18"/>
              </w:rPr>
            </w:pPr>
            <w:r>
              <w:rPr>
                <w:sz w:val="18"/>
              </w:rPr>
              <w:t>303.8</w:t>
            </w:r>
          </w:p>
        </w:tc>
        <w:tc>
          <w:tcPr>
            <w:tcW w:w="847" w:type="dxa"/>
          </w:tcPr>
          <w:p>
            <w:pPr>
              <w:pStyle w:val="TableParagraph"/>
              <w:spacing w:before="58"/>
              <w:ind w:left="130" w:right="221"/>
              <w:jc w:val="center"/>
              <w:rPr>
                <w:sz w:val="18"/>
              </w:rPr>
            </w:pPr>
            <w:r>
              <w:rPr>
                <w:sz w:val="18"/>
              </w:rPr>
              <w:t>378.3</w:t>
            </w:r>
          </w:p>
        </w:tc>
        <w:tc>
          <w:tcPr>
            <w:tcW w:w="820" w:type="dxa"/>
          </w:tcPr>
          <w:p>
            <w:pPr>
              <w:pStyle w:val="TableParagraph"/>
              <w:spacing w:before="58"/>
              <w:ind w:left="125" w:right="198"/>
              <w:jc w:val="center"/>
              <w:rPr>
                <w:sz w:val="18"/>
              </w:rPr>
            </w:pPr>
            <w:r>
              <w:rPr>
                <w:sz w:val="18"/>
              </w:rPr>
              <w:t>428.3</w:t>
            </w:r>
          </w:p>
        </w:tc>
        <w:tc>
          <w:tcPr>
            <w:tcW w:w="917" w:type="dxa"/>
          </w:tcPr>
          <w:p>
            <w:pPr>
              <w:pStyle w:val="TableParagraph"/>
              <w:spacing w:before="58"/>
              <w:ind w:left="123"/>
              <w:rPr>
                <w:sz w:val="18"/>
              </w:rPr>
            </w:pPr>
            <w:r>
              <w:rPr>
                <w:sz w:val="18"/>
              </w:rPr>
              <w:t>469.4</w:t>
            </w:r>
          </w:p>
        </w:tc>
        <w:tc>
          <w:tcPr>
            <w:tcW w:w="884" w:type="dxa"/>
          </w:tcPr>
          <w:p>
            <w:pPr>
              <w:pStyle w:val="TableParagraph"/>
              <w:spacing w:before="58"/>
              <w:ind w:left="243"/>
              <w:rPr>
                <w:sz w:val="18"/>
              </w:rPr>
            </w:pPr>
            <w:r>
              <w:rPr>
                <w:sz w:val="18"/>
              </w:rPr>
              <w:t>919.2</w:t>
            </w:r>
          </w:p>
        </w:tc>
      </w:tr>
      <w:tr>
        <w:trPr>
          <w:trHeight w:val="342" w:hRule="exact"/>
        </w:trPr>
        <w:tc>
          <w:tcPr>
            <w:tcW w:w="2820" w:type="dxa"/>
          </w:tcPr>
          <w:p>
            <w:pPr>
              <w:pStyle w:val="TableParagraph"/>
              <w:spacing w:before="57"/>
              <w:rPr>
                <w:sz w:val="18"/>
              </w:rPr>
            </w:pPr>
            <w:r>
              <w:rPr>
                <w:sz w:val="18"/>
              </w:rPr>
              <w:t>Temoaya</w:t>
            </w:r>
          </w:p>
        </w:tc>
        <w:tc>
          <w:tcPr>
            <w:tcW w:w="1251" w:type="dxa"/>
          </w:tcPr>
          <w:p>
            <w:pPr>
              <w:pStyle w:val="TableParagraph"/>
              <w:spacing w:before="57"/>
              <w:ind w:left="99"/>
              <w:rPr>
                <w:sz w:val="18"/>
              </w:rPr>
            </w:pPr>
            <w:r>
              <w:rPr>
                <w:sz w:val="18"/>
              </w:rPr>
              <w:t>199.7</w:t>
            </w:r>
          </w:p>
        </w:tc>
        <w:tc>
          <w:tcPr>
            <w:tcW w:w="771" w:type="dxa"/>
          </w:tcPr>
          <w:p>
            <w:pPr>
              <w:pStyle w:val="TableParagraph"/>
              <w:spacing w:before="57"/>
              <w:rPr>
                <w:sz w:val="18"/>
              </w:rPr>
            </w:pPr>
            <w:r>
              <w:rPr>
                <w:sz w:val="18"/>
              </w:rPr>
              <w:t>247.5</w:t>
            </w:r>
          </w:p>
        </w:tc>
        <w:tc>
          <w:tcPr>
            <w:tcW w:w="847" w:type="dxa"/>
          </w:tcPr>
          <w:p>
            <w:pPr>
              <w:pStyle w:val="TableParagraph"/>
              <w:spacing w:before="57"/>
              <w:ind w:left="130" w:right="221"/>
              <w:jc w:val="center"/>
              <w:rPr>
                <w:sz w:val="18"/>
              </w:rPr>
            </w:pPr>
            <w:r>
              <w:rPr>
                <w:sz w:val="18"/>
              </w:rPr>
              <w:t>304.7</w:t>
            </w:r>
          </w:p>
        </w:tc>
        <w:tc>
          <w:tcPr>
            <w:tcW w:w="820" w:type="dxa"/>
          </w:tcPr>
          <w:p>
            <w:pPr>
              <w:pStyle w:val="TableParagraph"/>
              <w:spacing w:before="57"/>
              <w:ind w:left="125" w:right="198"/>
              <w:jc w:val="center"/>
              <w:rPr>
                <w:sz w:val="18"/>
              </w:rPr>
            </w:pPr>
            <w:r>
              <w:rPr>
                <w:sz w:val="18"/>
              </w:rPr>
              <w:t>347.1</w:t>
            </w:r>
          </w:p>
        </w:tc>
        <w:tc>
          <w:tcPr>
            <w:tcW w:w="917" w:type="dxa"/>
          </w:tcPr>
          <w:p>
            <w:pPr>
              <w:pStyle w:val="TableParagraph"/>
              <w:spacing w:before="57"/>
              <w:ind w:left="123"/>
              <w:rPr>
                <w:sz w:val="18"/>
              </w:rPr>
            </w:pPr>
            <w:r>
              <w:rPr>
                <w:sz w:val="18"/>
              </w:rPr>
              <w:t>389.2</w:t>
            </w:r>
          </w:p>
        </w:tc>
        <w:tc>
          <w:tcPr>
            <w:tcW w:w="884" w:type="dxa"/>
          </w:tcPr>
          <w:p>
            <w:pPr>
              <w:pStyle w:val="TableParagraph"/>
              <w:spacing w:before="57"/>
              <w:ind w:left="243"/>
              <w:rPr>
                <w:sz w:val="18"/>
              </w:rPr>
            </w:pPr>
            <w:r>
              <w:rPr>
                <w:sz w:val="18"/>
              </w:rPr>
              <w:t>450.7</w:t>
            </w:r>
          </w:p>
        </w:tc>
      </w:tr>
      <w:tr>
        <w:trPr>
          <w:trHeight w:val="266" w:hRule="exact"/>
        </w:trPr>
        <w:tc>
          <w:tcPr>
            <w:tcW w:w="2820" w:type="dxa"/>
          </w:tcPr>
          <w:p>
            <w:pPr>
              <w:pStyle w:val="TableParagraph"/>
              <w:spacing w:before="58"/>
              <w:rPr>
                <w:sz w:val="18"/>
              </w:rPr>
            </w:pPr>
            <w:r>
              <w:rPr>
                <w:sz w:val="18"/>
              </w:rPr>
              <w:t>Xonacatlán</w:t>
            </w:r>
          </w:p>
        </w:tc>
        <w:tc>
          <w:tcPr>
            <w:tcW w:w="1251" w:type="dxa"/>
          </w:tcPr>
          <w:p>
            <w:pPr>
              <w:pStyle w:val="TableParagraph"/>
              <w:spacing w:before="58"/>
              <w:ind w:left="99"/>
              <w:rPr>
                <w:sz w:val="18"/>
              </w:rPr>
            </w:pPr>
            <w:r>
              <w:rPr>
                <w:sz w:val="18"/>
              </w:rPr>
              <w:t>32.9</w:t>
            </w:r>
          </w:p>
        </w:tc>
        <w:tc>
          <w:tcPr>
            <w:tcW w:w="771" w:type="dxa"/>
          </w:tcPr>
          <w:p>
            <w:pPr>
              <w:pStyle w:val="TableParagraph"/>
              <w:spacing w:before="58"/>
              <w:rPr>
                <w:sz w:val="18"/>
              </w:rPr>
            </w:pPr>
            <w:r>
              <w:rPr>
                <w:sz w:val="18"/>
              </w:rPr>
              <w:t>876.5</w:t>
            </w:r>
          </w:p>
        </w:tc>
        <w:tc>
          <w:tcPr>
            <w:tcW w:w="847" w:type="dxa"/>
          </w:tcPr>
          <w:p>
            <w:pPr>
              <w:pStyle w:val="TableParagraph"/>
              <w:spacing w:before="58"/>
              <w:ind w:left="130" w:right="125"/>
              <w:jc w:val="center"/>
              <w:rPr>
                <w:sz w:val="18"/>
              </w:rPr>
            </w:pPr>
            <w:r>
              <w:rPr>
                <w:sz w:val="18"/>
              </w:rPr>
              <w:t>1098.5</w:t>
            </w:r>
          </w:p>
        </w:tc>
        <w:tc>
          <w:tcPr>
            <w:tcW w:w="820" w:type="dxa"/>
          </w:tcPr>
          <w:p>
            <w:pPr>
              <w:pStyle w:val="TableParagraph"/>
              <w:spacing w:before="58"/>
              <w:ind w:left="125" w:right="103"/>
              <w:jc w:val="center"/>
              <w:rPr>
                <w:sz w:val="18"/>
              </w:rPr>
            </w:pPr>
            <w:r>
              <w:rPr>
                <w:sz w:val="18"/>
              </w:rPr>
              <w:t>1258.4</w:t>
            </w:r>
          </w:p>
        </w:tc>
        <w:tc>
          <w:tcPr>
            <w:tcW w:w="917" w:type="dxa"/>
          </w:tcPr>
          <w:p>
            <w:pPr>
              <w:pStyle w:val="TableParagraph"/>
              <w:spacing w:before="58"/>
              <w:ind w:left="123"/>
              <w:rPr>
                <w:sz w:val="18"/>
              </w:rPr>
            </w:pPr>
            <w:r>
              <w:rPr>
                <w:sz w:val="18"/>
              </w:rPr>
              <w:t>1376.1</w:t>
            </w:r>
          </w:p>
        </w:tc>
        <w:tc>
          <w:tcPr>
            <w:tcW w:w="884" w:type="dxa"/>
          </w:tcPr>
          <w:p>
            <w:pPr>
              <w:pStyle w:val="TableParagraph"/>
              <w:spacing w:before="58"/>
              <w:ind w:left="243"/>
              <w:rPr>
                <w:sz w:val="18"/>
              </w:rPr>
            </w:pPr>
            <w:r>
              <w:rPr>
                <w:sz w:val="18"/>
              </w:rPr>
              <w:t>1408.2</w:t>
            </w:r>
          </w:p>
        </w:tc>
      </w:tr>
      <w:tr>
        <w:trPr>
          <w:trHeight w:val="341" w:hRule="exact"/>
        </w:trPr>
        <w:tc>
          <w:tcPr>
            <w:tcW w:w="2820" w:type="dxa"/>
            <w:shd w:val="clear" w:color="auto" w:fill="EDEBE0"/>
          </w:tcPr>
          <w:p>
            <w:pPr>
              <w:pStyle w:val="TableParagraph"/>
              <w:spacing w:before="133"/>
              <w:rPr>
                <w:sz w:val="18"/>
              </w:rPr>
            </w:pPr>
            <w:r>
              <w:rPr>
                <w:sz w:val="18"/>
              </w:rPr>
              <w:t>Interrelación funcional intermedia</w:t>
            </w:r>
          </w:p>
        </w:tc>
        <w:tc>
          <w:tcPr>
            <w:tcW w:w="1251" w:type="dxa"/>
            <w:shd w:val="clear" w:color="auto" w:fill="EDEBE0"/>
          </w:tcPr>
          <w:p>
            <w:pPr>
              <w:pStyle w:val="TableParagraph"/>
              <w:spacing w:before="133"/>
              <w:ind w:left="99"/>
              <w:rPr>
                <w:sz w:val="18"/>
              </w:rPr>
            </w:pPr>
            <w:r>
              <w:rPr>
                <w:sz w:val="18"/>
              </w:rPr>
              <w:t>424</w:t>
            </w:r>
          </w:p>
        </w:tc>
        <w:tc>
          <w:tcPr>
            <w:tcW w:w="771" w:type="dxa"/>
            <w:shd w:val="clear" w:color="auto" w:fill="EDEBE0"/>
          </w:tcPr>
          <w:p>
            <w:pPr>
              <w:pStyle w:val="TableParagraph"/>
              <w:spacing w:before="133"/>
              <w:rPr>
                <w:sz w:val="18"/>
              </w:rPr>
            </w:pPr>
            <w:r>
              <w:rPr>
                <w:sz w:val="18"/>
              </w:rPr>
              <w:t>315.7</w:t>
            </w:r>
          </w:p>
        </w:tc>
        <w:tc>
          <w:tcPr>
            <w:tcW w:w="847" w:type="dxa"/>
            <w:shd w:val="clear" w:color="auto" w:fill="EDEBE0"/>
          </w:tcPr>
          <w:p>
            <w:pPr>
              <w:pStyle w:val="TableParagraph"/>
              <w:spacing w:before="133"/>
              <w:ind w:left="130" w:right="221"/>
              <w:jc w:val="center"/>
              <w:rPr>
                <w:sz w:val="18"/>
              </w:rPr>
            </w:pPr>
            <w:r>
              <w:rPr>
                <w:sz w:val="18"/>
              </w:rPr>
              <w:t>385.0</w:t>
            </w:r>
          </w:p>
        </w:tc>
        <w:tc>
          <w:tcPr>
            <w:tcW w:w="820" w:type="dxa"/>
            <w:shd w:val="clear" w:color="auto" w:fill="EDEBE0"/>
          </w:tcPr>
          <w:p>
            <w:pPr>
              <w:pStyle w:val="TableParagraph"/>
              <w:spacing w:before="133"/>
              <w:ind w:left="125" w:right="198"/>
              <w:jc w:val="center"/>
              <w:rPr>
                <w:sz w:val="18"/>
              </w:rPr>
            </w:pPr>
            <w:r>
              <w:rPr>
                <w:sz w:val="18"/>
              </w:rPr>
              <w:t>437.3</w:t>
            </w:r>
          </w:p>
        </w:tc>
        <w:tc>
          <w:tcPr>
            <w:tcW w:w="917" w:type="dxa"/>
            <w:shd w:val="clear" w:color="auto" w:fill="EDEBE0"/>
          </w:tcPr>
          <w:p>
            <w:pPr>
              <w:pStyle w:val="TableParagraph"/>
              <w:spacing w:before="133"/>
              <w:ind w:left="123"/>
              <w:rPr>
                <w:sz w:val="18"/>
              </w:rPr>
            </w:pPr>
            <w:r>
              <w:rPr>
                <w:sz w:val="18"/>
              </w:rPr>
              <w:t>486.0</w:t>
            </w:r>
          </w:p>
        </w:tc>
        <w:tc>
          <w:tcPr>
            <w:tcW w:w="884" w:type="dxa"/>
            <w:shd w:val="clear" w:color="auto" w:fill="EDEBE0"/>
          </w:tcPr>
          <w:p>
            <w:pPr>
              <w:pStyle w:val="TableParagraph"/>
              <w:spacing w:before="133"/>
              <w:ind w:left="243"/>
              <w:rPr>
                <w:sz w:val="18"/>
              </w:rPr>
            </w:pPr>
            <w:r>
              <w:rPr>
                <w:sz w:val="18"/>
              </w:rPr>
              <w:t>572.5</w:t>
            </w:r>
          </w:p>
        </w:tc>
      </w:tr>
      <w:tr>
        <w:trPr>
          <w:trHeight w:val="420" w:hRule="exact"/>
        </w:trPr>
        <w:tc>
          <w:tcPr>
            <w:tcW w:w="2820" w:type="dxa"/>
          </w:tcPr>
          <w:p>
            <w:pPr>
              <w:pStyle w:val="TableParagraph"/>
              <w:spacing w:before="136"/>
              <w:rPr>
                <w:sz w:val="18"/>
              </w:rPr>
            </w:pPr>
            <w:r>
              <w:rPr>
                <w:sz w:val="18"/>
              </w:rPr>
              <w:t>Xalatlaco</w:t>
            </w:r>
          </w:p>
        </w:tc>
        <w:tc>
          <w:tcPr>
            <w:tcW w:w="1251" w:type="dxa"/>
          </w:tcPr>
          <w:p>
            <w:pPr>
              <w:pStyle w:val="TableParagraph"/>
              <w:spacing w:before="136"/>
              <w:ind w:left="99"/>
              <w:rPr>
                <w:sz w:val="18"/>
              </w:rPr>
            </w:pPr>
            <w:r>
              <w:rPr>
                <w:sz w:val="18"/>
              </w:rPr>
              <w:t>93.2</w:t>
            </w:r>
          </w:p>
        </w:tc>
        <w:tc>
          <w:tcPr>
            <w:tcW w:w="771" w:type="dxa"/>
          </w:tcPr>
          <w:p>
            <w:pPr>
              <w:pStyle w:val="TableParagraph"/>
              <w:spacing w:before="136"/>
              <w:rPr>
                <w:sz w:val="18"/>
              </w:rPr>
            </w:pPr>
            <w:r>
              <w:rPr>
                <w:sz w:val="18"/>
              </w:rPr>
              <w:t>150.7</w:t>
            </w:r>
          </w:p>
        </w:tc>
        <w:tc>
          <w:tcPr>
            <w:tcW w:w="847" w:type="dxa"/>
          </w:tcPr>
          <w:p>
            <w:pPr>
              <w:pStyle w:val="TableParagraph"/>
              <w:spacing w:before="136"/>
              <w:ind w:left="130" w:right="221"/>
              <w:jc w:val="center"/>
              <w:rPr>
                <w:sz w:val="18"/>
              </w:rPr>
            </w:pPr>
            <w:r>
              <w:rPr>
                <w:sz w:val="18"/>
              </w:rPr>
              <w:t>188.9</w:t>
            </w:r>
          </w:p>
        </w:tc>
        <w:tc>
          <w:tcPr>
            <w:tcW w:w="820" w:type="dxa"/>
          </w:tcPr>
          <w:p>
            <w:pPr>
              <w:pStyle w:val="TableParagraph"/>
              <w:spacing w:before="136"/>
              <w:ind w:left="125" w:right="198"/>
              <w:jc w:val="center"/>
              <w:rPr>
                <w:sz w:val="18"/>
              </w:rPr>
            </w:pPr>
            <w:r>
              <w:rPr>
                <w:sz w:val="18"/>
              </w:rPr>
              <w:t>205.8</w:t>
            </w:r>
          </w:p>
        </w:tc>
        <w:tc>
          <w:tcPr>
            <w:tcW w:w="917" w:type="dxa"/>
          </w:tcPr>
          <w:p>
            <w:pPr>
              <w:pStyle w:val="TableParagraph"/>
              <w:spacing w:before="136"/>
              <w:ind w:left="123"/>
              <w:rPr>
                <w:sz w:val="18"/>
              </w:rPr>
            </w:pPr>
            <w:r>
              <w:rPr>
                <w:sz w:val="18"/>
              </w:rPr>
              <w:t>214.6</w:t>
            </w:r>
          </w:p>
        </w:tc>
        <w:tc>
          <w:tcPr>
            <w:tcW w:w="884" w:type="dxa"/>
          </w:tcPr>
          <w:p>
            <w:pPr>
              <w:pStyle w:val="TableParagraph"/>
              <w:spacing w:before="136"/>
              <w:ind w:left="243"/>
              <w:rPr>
                <w:sz w:val="18"/>
              </w:rPr>
            </w:pPr>
            <w:r>
              <w:rPr>
                <w:sz w:val="18"/>
              </w:rPr>
              <w:t>288.3</w:t>
            </w:r>
          </w:p>
        </w:tc>
      </w:tr>
      <w:tr>
        <w:trPr>
          <w:trHeight w:val="342" w:hRule="exact"/>
        </w:trPr>
        <w:tc>
          <w:tcPr>
            <w:tcW w:w="2820" w:type="dxa"/>
          </w:tcPr>
          <w:p>
            <w:pPr>
              <w:pStyle w:val="TableParagraph"/>
              <w:spacing w:before="57"/>
              <w:rPr>
                <w:sz w:val="18"/>
              </w:rPr>
            </w:pPr>
            <w:r>
              <w:rPr>
                <w:sz w:val="18"/>
              </w:rPr>
              <w:t>Almoloya del Río</w:t>
            </w:r>
          </w:p>
        </w:tc>
        <w:tc>
          <w:tcPr>
            <w:tcW w:w="1251" w:type="dxa"/>
          </w:tcPr>
          <w:p>
            <w:pPr>
              <w:pStyle w:val="TableParagraph"/>
              <w:spacing w:before="57"/>
              <w:ind w:left="99"/>
              <w:rPr>
                <w:sz w:val="18"/>
              </w:rPr>
            </w:pPr>
            <w:r>
              <w:rPr>
                <w:sz w:val="18"/>
              </w:rPr>
              <w:t>6.5</w:t>
            </w:r>
          </w:p>
        </w:tc>
        <w:tc>
          <w:tcPr>
            <w:tcW w:w="771" w:type="dxa"/>
          </w:tcPr>
          <w:p>
            <w:pPr>
              <w:pStyle w:val="TableParagraph"/>
              <w:spacing w:before="57"/>
              <w:rPr>
                <w:sz w:val="18"/>
              </w:rPr>
            </w:pPr>
            <w:r>
              <w:rPr>
                <w:sz w:val="18"/>
              </w:rPr>
              <w:t>1042.6</w:t>
            </w:r>
          </w:p>
        </w:tc>
        <w:tc>
          <w:tcPr>
            <w:tcW w:w="847" w:type="dxa"/>
          </w:tcPr>
          <w:p>
            <w:pPr>
              <w:pStyle w:val="TableParagraph"/>
              <w:spacing w:before="57"/>
              <w:ind w:left="130" w:right="125"/>
              <w:jc w:val="center"/>
              <w:rPr>
                <w:sz w:val="18"/>
              </w:rPr>
            </w:pPr>
            <w:r>
              <w:rPr>
                <w:sz w:val="18"/>
              </w:rPr>
              <w:t>1189.1</w:t>
            </w:r>
          </w:p>
        </w:tc>
        <w:tc>
          <w:tcPr>
            <w:tcW w:w="820" w:type="dxa"/>
          </w:tcPr>
          <w:p>
            <w:pPr>
              <w:pStyle w:val="TableParagraph"/>
              <w:spacing w:before="57"/>
              <w:ind w:left="125" w:right="103"/>
              <w:jc w:val="center"/>
              <w:rPr>
                <w:sz w:val="18"/>
              </w:rPr>
            </w:pPr>
            <w:r>
              <w:rPr>
                <w:sz w:val="18"/>
              </w:rPr>
              <w:t>1365.1</w:t>
            </w:r>
          </w:p>
        </w:tc>
        <w:tc>
          <w:tcPr>
            <w:tcW w:w="917" w:type="dxa"/>
          </w:tcPr>
          <w:p>
            <w:pPr>
              <w:pStyle w:val="TableParagraph"/>
              <w:spacing w:before="57"/>
              <w:ind w:left="123"/>
              <w:rPr>
                <w:sz w:val="18"/>
              </w:rPr>
            </w:pPr>
            <w:r>
              <w:rPr>
                <w:sz w:val="18"/>
              </w:rPr>
              <w:t>1375.2</w:t>
            </w:r>
          </w:p>
        </w:tc>
        <w:tc>
          <w:tcPr>
            <w:tcW w:w="884" w:type="dxa"/>
          </w:tcPr>
          <w:p>
            <w:pPr>
              <w:pStyle w:val="TableParagraph"/>
              <w:spacing w:before="57"/>
              <w:ind w:left="243"/>
              <w:rPr>
                <w:sz w:val="18"/>
              </w:rPr>
            </w:pPr>
            <w:r>
              <w:rPr>
                <w:sz w:val="18"/>
              </w:rPr>
              <w:t>1674.8</w:t>
            </w:r>
          </w:p>
        </w:tc>
      </w:tr>
      <w:tr>
        <w:trPr>
          <w:trHeight w:val="342" w:hRule="exact"/>
        </w:trPr>
        <w:tc>
          <w:tcPr>
            <w:tcW w:w="2820" w:type="dxa"/>
          </w:tcPr>
          <w:p>
            <w:pPr>
              <w:pStyle w:val="TableParagraph"/>
              <w:spacing w:before="58"/>
              <w:rPr>
                <w:sz w:val="18"/>
              </w:rPr>
            </w:pPr>
            <w:r>
              <w:rPr>
                <w:sz w:val="18"/>
              </w:rPr>
              <w:t>Atizapán</w:t>
            </w:r>
          </w:p>
        </w:tc>
        <w:tc>
          <w:tcPr>
            <w:tcW w:w="1251" w:type="dxa"/>
          </w:tcPr>
          <w:p>
            <w:pPr>
              <w:pStyle w:val="TableParagraph"/>
              <w:spacing w:before="58"/>
              <w:ind w:left="99"/>
              <w:rPr>
                <w:sz w:val="18"/>
              </w:rPr>
            </w:pPr>
            <w:r>
              <w:rPr>
                <w:sz w:val="18"/>
              </w:rPr>
              <w:t>8.4</w:t>
            </w:r>
          </w:p>
        </w:tc>
        <w:tc>
          <w:tcPr>
            <w:tcW w:w="771" w:type="dxa"/>
          </w:tcPr>
          <w:p>
            <w:pPr>
              <w:pStyle w:val="TableParagraph"/>
              <w:spacing w:before="58"/>
              <w:rPr>
                <w:sz w:val="18"/>
              </w:rPr>
            </w:pPr>
            <w:r>
              <w:rPr>
                <w:sz w:val="18"/>
              </w:rPr>
              <w:t>635.6</w:t>
            </w:r>
          </w:p>
        </w:tc>
        <w:tc>
          <w:tcPr>
            <w:tcW w:w="847" w:type="dxa"/>
          </w:tcPr>
          <w:p>
            <w:pPr>
              <w:pStyle w:val="TableParagraph"/>
              <w:spacing w:before="58"/>
              <w:ind w:left="130" w:right="221"/>
              <w:jc w:val="center"/>
              <w:rPr>
                <w:sz w:val="18"/>
              </w:rPr>
            </w:pPr>
            <w:r>
              <w:rPr>
                <w:sz w:val="18"/>
              </w:rPr>
              <w:t>850.8</w:t>
            </w:r>
          </w:p>
        </w:tc>
        <w:tc>
          <w:tcPr>
            <w:tcW w:w="820" w:type="dxa"/>
          </w:tcPr>
          <w:p>
            <w:pPr>
              <w:pStyle w:val="TableParagraph"/>
              <w:spacing w:before="58"/>
              <w:ind w:left="125" w:right="198"/>
              <w:jc w:val="center"/>
              <w:rPr>
                <w:sz w:val="18"/>
              </w:rPr>
            </w:pPr>
            <w:r>
              <w:rPr>
                <w:sz w:val="18"/>
              </w:rPr>
              <w:t>972.9</w:t>
            </w:r>
          </w:p>
        </w:tc>
        <w:tc>
          <w:tcPr>
            <w:tcW w:w="917" w:type="dxa"/>
          </w:tcPr>
          <w:p>
            <w:pPr>
              <w:pStyle w:val="TableParagraph"/>
              <w:spacing w:before="58"/>
              <w:ind w:left="123"/>
              <w:rPr>
                <w:sz w:val="18"/>
              </w:rPr>
            </w:pPr>
            <w:r>
              <w:rPr>
                <w:sz w:val="18"/>
              </w:rPr>
              <w:t>1060.6</w:t>
            </w:r>
          </w:p>
        </w:tc>
        <w:tc>
          <w:tcPr>
            <w:tcW w:w="884" w:type="dxa"/>
          </w:tcPr>
          <w:p>
            <w:pPr>
              <w:pStyle w:val="TableParagraph"/>
              <w:spacing w:before="58"/>
              <w:ind w:left="243"/>
              <w:rPr>
                <w:sz w:val="18"/>
              </w:rPr>
            </w:pPr>
            <w:r>
              <w:rPr>
                <w:sz w:val="18"/>
              </w:rPr>
              <w:t>1226.1</w:t>
            </w:r>
          </w:p>
        </w:tc>
      </w:tr>
      <w:tr>
        <w:trPr>
          <w:trHeight w:val="342" w:hRule="exact"/>
        </w:trPr>
        <w:tc>
          <w:tcPr>
            <w:tcW w:w="2820" w:type="dxa"/>
          </w:tcPr>
          <w:p>
            <w:pPr>
              <w:pStyle w:val="TableParagraph"/>
              <w:spacing w:before="57"/>
              <w:rPr>
                <w:sz w:val="18"/>
              </w:rPr>
            </w:pPr>
            <w:r>
              <w:rPr>
                <w:sz w:val="18"/>
              </w:rPr>
              <w:t>Capulhuac</w:t>
            </w:r>
          </w:p>
        </w:tc>
        <w:tc>
          <w:tcPr>
            <w:tcW w:w="1251" w:type="dxa"/>
          </w:tcPr>
          <w:p>
            <w:pPr>
              <w:pStyle w:val="TableParagraph"/>
              <w:spacing w:before="57"/>
              <w:ind w:left="99"/>
              <w:rPr>
                <w:sz w:val="18"/>
              </w:rPr>
            </w:pPr>
            <w:r>
              <w:rPr>
                <w:sz w:val="18"/>
              </w:rPr>
              <w:t>21.5</w:t>
            </w:r>
          </w:p>
        </w:tc>
        <w:tc>
          <w:tcPr>
            <w:tcW w:w="771" w:type="dxa"/>
          </w:tcPr>
          <w:p>
            <w:pPr>
              <w:pStyle w:val="TableParagraph"/>
              <w:spacing w:before="57"/>
              <w:rPr>
                <w:sz w:val="18"/>
              </w:rPr>
            </w:pPr>
            <w:r>
              <w:rPr>
                <w:sz w:val="18"/>
              </w:rPr>
              <w:t>988.7</w:t>
            </w:r>
          </w:p>
        </w:tc>
        <w:tc>
          <w:tcPr>
            <w:tcW w:w="847" w:type="dxa"/>
          </w:tcPr>
          <w:p>
            <w:pPr>
              <w:pStyle w:val="TableParagraph"/>
              <w:spacing w:before="57"/>
              <w:ind w:left="130" w:right="125"/>
              <w:jc w:val="center"/>
              <w:rPr>
                <w:sz w:val="18"/>
              </w:rPr>
            </w:pPr>
            <w:r>
              <w:rPr>
                <w:sz w:val="18"/>
              </w:rPr>
              <w:t>1204.7</w:t>
            </w:r>
          </w:p>
        </w:tc>
        <w:tc>
          <w:tcPr>
            <w:tcW w:w="820" w:type="dxa"/>
          </w:tcPr>
          <w:p>
            <w:pPr>
              <w:pStyle w:val="TableParagraph"/>
              <w:spacing w:before="57"/>
              <w:ind w:left="125" w:right="103"/>
              <w:jc w:val="center"/>
              <w:rPr>
                <w:sz w:val="18"/>
              </w:rPr>
            </w:pPr>
            <w:r>
              <w:rPr>
                <w:sz w:val="18"/>
              </w:rPr>
              <w:t>1339.9</w:t>
            </w:r>
          </w:p>
        </w:tc>
        <w:tc>
          <w:tcPr>
            <w:tcW w:w="917" w:type="dxa"/>
          </w:tcPr>
          <w:p>
            <w:pPr>
              <w:pStyle w:val="TableParagraph"/>
              <w:spacing w:before="57"/>
              <w:ind w:left="123"/>
              <w:rPr>
                <w:sz w:val="18"/>
              </w:rPr>
            </w:pPr>
            <w:r>
              <w:rPr>
                <w:sz w:val="18"/>
              </w:rPr>
              <w:t>1434.3</w:t>
            </w:r>
          </w:p>
        </w:tc>
        <w:tc>
          <w:tcPr>
            <w:tcW w:w="884" w:type="dxa"/>
          </w:tcPr>
          <w:p>
            <w:pPr>
              <w:pStyle w:val="TableParagraph"/>
              <w:spacing w:before="57"/>
              <w:ind w:left="243"/>
              <w:rPr>
                <w:sz w:val="18"/>
              </w:rPr>
            </w:pPr>
            <w:r>
              <w:rPr>
                <w:sz w:val="18"/>
              </w:rPr>
              <w:t>1586.1</w:t>
            </w:r>
          </w:p>
        </w:tc>
      </w:tr>
      <w:tr>
        <w:trPr>
          <w:trHeight w:val="342" w:hRule="exact"/>
        </w:trPr>
        <w:tc>
          <w:tcPr>
            <w:tcW w:w="2820" w:type="dxa"/>
          </w:tcPr>
          <w:p>
            <w:pPr>
              <w:pStyle w:val="TableParagraph"/>
              <w:spacing w:before="58"/>
              <w:rPr>
                <w:sz w:val="18"/>
              </w:rPr>
            </w:pPr>
            <w:r>
              <w:rPr>
                <w:sz w:val="18"/>
              </w:rPr>
              <w:t>Tenango del Valle</w:t>
            </w:r>
          </w:p>
        </w:tc>
        <w:tc>
          <w:tcPr>
            <w:tcW w:w="1251" w:type="dxa"/>
          </w:tcPr>
          <w:p>
            <w:pPr>
              <w:pStyle w:val="TableParagraph"/>
              <w:spacing w:before="58"/>
              <w:ind w:left="99"/>
              <w:rPr>
                <w:sz w:val="18"/>
              </w:rPr>
            </w:pPr>
            <w:r>
              <w:rPr>
                <w:sz w:val="18"/>
              </w:rPr>
              <w:t>208.9</w:t>
            </w:r>
          </w:p>
        </w:tc>
        <w:tc>
          <w:tcPr>
            <w:tcW w:w="771" w:type="dxa"/>
          </w:tcPr>
          <w:p>
            <w:pPr>
              <w:pStyle w:val="TableParagraph"/>
              <w:spacing w:before="58"/>
              <w:rPr>
                <w:sz w:val="18"/>
              </w:rPr>
            </w:pPr>
            <w:r>
              <w:rPr>
                <w:sz w:val="18"/>
              </w:rPr>
              <w:t>220.0</w:t>
            </w:r>
          </w:p>
        </w:tc>
        <w:tc>
          <w:tcPr>
            <w:tcW w:w="847" w:type="dxa"/>
          </w:tcPr>
          <w:p>
            <w:pPr>
              <w:pStyle w:val="TableParagraph"/>
              <w:spacing w:before="58"/>
              <w:ind w:left="130" w:right="221"/>
              <w:jc w:val="center"/>
              <w:rPr>
                <w:sz w:val="18"/>
              </w:rPr>
            </w:pPr>
            <w:r>
              <w:rPr>
                <w:sz w:val="18"/>
              </w:rPr>
              <w:t>262.3</w:t>
            </w:r>
          </w:p>
        </w:tc>
        <w:tc>
          <w:tcPr>
            <w:tcW w:w="820" w:type="dxa"/>
          </w:tcPr>
          <w:p>
            <w:pPr>
              <w:pStyle w:val="TableParagraph"/>
              <w:spacing w:before="58"/>
              <w:ind w:left="125" w:right="198"/>
              <w:jc w:val="center"/>
              <w:rPr>
                <w:sz w:val="18"/>
              </w:rPr>
            </w:pPr>
            <w:r>
              <w:rPr>
                <w:sz w:val="18"/>
              </w:rPr>
              <w:t>311.7</w:t>
            </w:r>
          </w:p>
        </w:tc>
        <w:tc>
          <w:tcPr>
            <w:tcW w:w="917" w:type="dxa"/>
          </w:tcPr>
          <w:p>
            <w:pPr>
              <w:pStyle w:val="TableParagraph"/>
              <w:spacing w:before="58"/>
              <w:ind w:left="123"/>
              <w:rPr>
                <w:sz w:val="18"/>
              </w:rPr>
            </w:pPr>
            <w:r>
              <w:rPr>
                <w:sz w:val="18"/>
              </w:rPr>
              <w:t>328.7</w:t>
            </w:r>
          </w:p>
        </w:tc>
        <w:tc>
          <w:tcPr>
            <w:tcW w:w="884" w:type="dxa"/>
          </w:tcPr>
          <w:p>
            <w:pPr>
              <w:pStyle w:val="TableParagraph"/>
              <w:spacing w:before="58"/>
              <w:ind w:left="243"/>
              <w:rPr>
                <w:sz w:val="18"/>
              </w:rPr>
            </w:pPr>
            <w:r>
              <w:rPr>
                <w:sz w:val="18"/>
              </w:rPr>
              <w:t>373.2</w:t>
            </w:r>
          </w:p>
        </w:tc>
      </w:tr>
      <w:tr>
        <w:trPr>
          <w:trHeight w:val="342" w:hRule="exact"/>
        </w:trPr>
        <w:tc>
          <w:tcPr>
            <w:tcW w:w="2820" w:type="dxa"/>
          </w:tcPr>
          <w:p>
            <w:pPr>
              <w:pStyle w:val="TableParagraph"/>
              <w:spacing w:before="57"/>
              <w:rPr>
                <w:sz w:val="18"/>
              </w:rPr>
            </w:pPr>
            <w:r>
              <w:rPr>
                <w:sz w:val="18"/>
              </w:rPr>
              <w:t>Texcalyacac</w:t>
            </w:r>
          </w:p>
        </w:tc>
        <w:tc>
          <w:tcPr>
            <w:tcW w:w="1251" w:type="dxa"/>
          </w:tcPr>
          <w:p>
            <w:pPr>
              <w:pStyle w:val="TableParagraph"/>
              <w:spacing w:before="57"/>
              <w:ind w:left="99"/>
              <w:rPr>
                <w:sz w:val="18"/>
              </w:rPr>
            </w:pPr>
            <w:r>
              <w:rPr>
                <w:sz w:val="18"/>
              </w:rPr>
              <w:t>17.9</w:t>
            </w:r>
          </w:p>
        </w:tc>
        <w:tc>
          <w:tcPr>
            <w:tcW w:w="771" w:type="dxa"/>
          </w:tcPr>
          <w:p>
            <w:pPr>
              <w:pStyle w:val="TableParagraph"/>
              <w:spacing w:before="57"/>
              <w:rPr>
                <w:sz w:val="18"/>
              </w:rPr>
            </w:pPr>
            <w:r>
              <w:rPr>
                <w:sz w:val="18"/>
              </w:rPr>
              <w:t>165.4</w:t>
            </w:r>
          </w:p>
        </w:tc>
        <w:tc>
          <w:tcPr>
            <w:tcW w:w="847" w:type="dxa"/>
          </w:tcPr>
          <w:p>
            <w:pPr>
              <w:pStyle w:val="TableParagraph"/>
              <w:spacing w:before="57"/>
              <w:ind w:left="130" w:right="221"/>
              <w:jc w:val="center"/>
              <w:rPr>
                <w:sz w:val="18"/>
              </w:rPr>
            </w:pPr>
            <w:r>
              <w:rPr>
                <w:sz w:val="18"/>
              </w:rPr>
              <w:t>209.2</w:t>
            </w:r>
          </w:p>
        </w:tc>
        <w:tc>
          <w:tcPr>
            <w:tcW w:w="820" w:type="dxa"/>
          </w:tcPr>
          <w:p>
            <w:pPr>
              <w:pStyle w:val="TableParagraph"/>
              <w:spacing w:before="57"/>
              <w:ind w:left="125" w:right="198"/>
              <w:jc w:val="center"/>
              <w:rPr>
                <w:sz w:val="18"/>
              </w:rPr>
            </w:pPr>
            <w:r>
              <w:rPr>
                <w:sz w:val="18"/>
              </w:rPr>
              <w:t>223.3</w:t>
            </w:r>
          </w:p>
        </w:tc>
        <w:tc>
          <w:tcPr>
            <w:tcW w:w="917" w:type="dxa"/>
          </w:tcPr>
          <w:p>
            <w:pPr>
              <w:pStyle w:val="TableParagraph"/>
              <w:spacing w:before="57"/>
              <w:ind w:left="123"/>
              <w:rPr>
                <w:sz w:val="18"/>
              </w:rPr>
            </w:pPr>
            <w:r>
              <w:rPr>
                <w:sz w:val="18"/>
              </w:rPr>
              <w:t>252.2</w:t>
            </w:r>
          </w:p>
        </w:tc>
        <w:tc>
          <w:tcPr>
            <w:tcW w:w="884" w:type="dxa"/>
          </w:tcPr>
          <w:p>
            <w:pPr>
              <w:pStyle w:val="TableParagraph"/>
              <w:spacing w:before="57"/>
              <w:ind w:left="243"/>
              <w:rPr>
                <w:sz w:val="18"/>
              </w:rPr>
            </w:pPr>
            <w:r>
              <w:rPr>
                <w:sz w:val="18"/>
              </w:rPr>
              <w:t>285.5</w:t>
            </w:r>
          </w:p>
        </w:tc>
      </w:tr>
      <w:tr>
        <w:trPr>
          <w:trHeight w:val="266" w:hRule="exact"/>
        </w:trPr>
        <w:tc>
          <w:tcPr>
            <w:tcW w:w="2820" w:type="dxa"/>
          </w:tcPr>
          <w:p>
            <w:pPr>
              <w:pStyle w:val="TableParagraph"/>
              <w:spacing w:before="58"/>
              <w:rPr>
                <w:sz w:val="18"/>
              </w:rPr>
            </w:pPr>
            <w:r>
              <w:rPr>
                <w:sz w:val="18"/>
              </w:rPr>
              <w:t>Tianguistenco</w:t>
            </w:r>
          </w:p>
        </w:tc>
        <w:tc>
          <w:tcPr>
            <w:tcW w:w="1251" w:type="dxa"/>
          </w:tcPr>
          <w:p>
            <w:pPr>
              <w:pStyle w:val="TableParagraph"/>
              <w:spacing w:before="58"/>
              <w:ind w:left="99"/>
              <w:rPr>
                <w:sz w:val="18"/>
              </w:rPr>
            </w:pPr>
            <w:r>
              <w:rPr>
                <w:sz w:val="18"/>
              </w:rPr>
              <w:t>121.6</w:t>
            </w:r>
          </w:p>
        </w:tc>
        <w:tc>
          <w:tcPr>
            <w:tcW w:w="771" w:type="dxa"/>
          </w:tcPr>
          <w:p>
            <w:pPr>
              <w:pStyle w:val="TableParagraph"/>
              <w:spacing w:before="58"/>
              <w:rPr>
                <w:sz w:val="18"/>
              </w:rPr>
            </w:pPr>
            <w:r>
              <w:rPr>
                <w:sz w:val="18"/>
              </w:rPr>
              <w:t>349.1</w:t>
            </w:r>
          </w:p>
        </w:tc>
        <w:tc>
          <w:tcPr>
            <w:tcW w:w="847" w:type="dxa"/>
          </w:tcPr>
          <w:p>
            <w:pPr>
              <w:pStyle w:val="TableParagraph"/>
              <w:spacing w:before="58"/>
              <w:ind w:left="130" w:right="221"/>
              <w:jc w:val="center"/>
              <w:rPr>
                <w:sz w:val="18"/>
              </w:rPr>
            </w:pPr>
            <w:r>
              <w:rPr>
                <w:sz w:val="18"/>
              </w:rPr>
              <w:t>420.6</w:t>
            </w:r>
          </w:p>
        </w:tc>
        <w:tc>
          <w:tcPr>
            <w:tcW w:w="820" w:type="dxa"/>
          </w:tcPr>
          <w:p>
            <w:pPr>
              <w:pStyle w:val="TableParagraph"/>
              <w:spacing w:before="58"/>
              <w:ind w:left="125" w:right="198"/>
              <w:jc w:val="center"/>
              <w:rPr>
                <w:sz w:val="18"/>
              </w:rPr>
            </w:pPr>
            <w:r>
              <w:rPr>
                <w:sz w:val="18"/>
              </w:rPr>
              <w:t>480.1</w:t>
            </w:r>
          </w:p>
        </w:tc>
        <w:tc>
          <w:tcPr>
            <w:tcW w:w="917" w:type="dxa"/>
          </w:tcPr>
          <w:p>
            <w:pPr>
              <w:pStyle w:val="TableParagraph"/>
              <w:spacing w:before="58"/>
              <w:ind w:left="123"/>
              <w:rPr>
                <w:sz w:val="18"/>
              </w:rPr>
            </w:pPr>
            <w:r>
              <w:rPr>
                <w:sz w:val="18"/>
              </w:rPr>
              <w:t>529.3</w:t>
            </w:r>
          </w:p>
        </w:tc>
        <w:tc>
          <w:tcPr>
            <w:tcW w:w="884" w:type="dxa"/>
          </w:tcPr>
          <w:p>
            <w:pPr>
              <w:pStyle w:val="TableParagraph"/>
              <w:spacing w:before="58"/>
              <w:ind w:left="243"/>
              <w:rPr>
                <w:sz w:val="18"/>
              </w:rPr>
            </w:pPr>
            <w:r>
              <w:rPr>
                <w:sz w:val="18"/>
              </w:rPr>
              <w:t>581.3</w:t>
            </w:r>
          </w:p>
        </w:tc>
      </w:tr>
      <w:tr>
        <w:trPr>
          <w:trHeight w:val="418" w:hRule="exact"/>
        </w:trPr>
        <w:tc>
          <w:tcPr>
            <w:tcW w:w="2820" w:type="dxa"/>
            <w:tcBorders>
              <w:bottom w:val="single" w:sz="4" w:space="0" w:color="000000"/>
            </w:tcBorders>
            <w:shd w:val="clear" w:color="auto" w:fill="EDEBE0"/>
          </w:tcPr>
          <w:p>
            <w:pPr>
              <w:pStyle w:val="TableParagraph"/>
              <w:ind w:right="629"/>
              <w:rPr>
                <w:sz w:val="18"/>
              </w:rPr>
            </w:pPr>
            <w:r>
              <w:rPr>
                <w:sz w:val="18"/>
              </w:rPr>
              <w:t>Relación externa, resto de municipios</w:t>
            </w:r>
          </w:p>
        </w:tc>
        <w:tc>
          <w:tcPr>
            <w:tcW w:w="1251" w:type="dxa"/>
            <w:tcBorders>
              <w:bottom w:val="single" w:sz="4" w:space="0" w:color="000000"/>
            </w:tcBorders>
            <w:shd w:val="clear" w:color="auto" w:fill="EDEBE0"/>
          </w:tcPr>
          <w:p>
            <w:pPr>
              <w:pStyle w:val="TableParagraph"/>
              <w:spacing w:before="10"/>
              <w:ind w:left="0"/>
              <w:rPr>
                <w:sz w:val="17"/>
              </w:rPr>
            </w:pPr>
          </w:p>
          <w:p>
            <w:pPr>
              <w:pStyle w:val="TableParagraph"/>
              <w:ind w:left="99"/>
              <w:rPr>
                <w:sz w:val="18"/>
              </w:rPr>
            </w:pPr>
            <w:r>
              <w:rPr>
                <w:sz w:val="18"/>
              </w:rPr>
              <w:t>478</w:t>
            </w:r>
          </w:p>
        </w:tc>
        <w:tc>
          <w:tcPr>
            <w:tcW w:w="771" w:type="dxa"/>
            <w:tcBorders>
              <w:bottom w:val="single" w:sz="4" w:space="0" w:color="000000"/>
            </w:tcBorders>
            <w:shd w:val="clear" w:color="auto" w:fill="EDEBE0"/>
          </w:tcPr>
          <w:p>
            <w:pPr>
              <w:pStyle w:val="TableParagraph"/>
              <w:spacing w:before="10"/>
              <w:ind w:left="0"/>
              <w:rPr>
                <w:sz w:val="17"/>
              </w:rPr>
            </w:pPr>
          </w:p>
          <w:p>
            <w:pPr>
              <w:pStyle w:val="TableParagraph"/>
              <w:rPr>
                <w:sz w:val="18"/>
              </w:rPr>
            </w:pPr>
            <w:r>
              <w:rPr>
                <w:sz w:val="18"/>
              </w:rPr>
              <w:t>290.3</w:t>
            </w:r>
          </w:p>
        </w:tc>
        <w:tc>
          <w:tcPr>
            <w:tcW w:w="847" w:type="dxa"/>
            <w:tcBorders>
              <w:bottom w:val="single" w:sz="4" w:space="0" w:color="000000"/>
            </w:tcBorders>
            <w:shd w:val="clear" w:color="auto" w:fill="EDEBE0"/>
          </w:tcPr>
          <w:p>
            <w:pPr>
              <w:pStyle w:val="TableParagraph"/>
              <w:spacing w:before="10"/>
              <w:ind w:left="0"/>
              <w:rPr>
                <w:sz w:val="17"/>
              </w:rPr>
            </w:pPr>
          </w:p>
          <w:p>
            <w:pPr>
              <w:pStyle w:val="TableParagraph"/>
              <w:ind w:left="130" w:right="221"/>
              <w:jc w:val="center"/>
              <w:rPr>
                <w:sz w:val="18"/>
              </w:rPr>
            </w:pPr>
            <w:r>
              <w:rPr>
                <w:sz w:val="18"/>
              </w:rPr>
              <w:t>351.6</w:t>
            </w:r>
          </w:p>
        </w:tc>
        <w:tc>
          <w:tcPr>
            <w:tcW w:w="820" w:type="dxa"/>
            <w:tcBorders>
              <w:bottom w:val="single" w:sz="4" w:space="0" w:color="000000"/>
            </w:tcBorders>
            <w:shd w:val="clear" w:color="auto" w:fill="EDEBE0"/>
          </w:tcPr>
          <w:p>
            <w:pPr>
              <w:pStyle w:val="TableParagraph"/>
              <w:spacing w:before="10"/>
              <w:ind w:left="0"/>
              <w:rPr>
                <w:sz w:val="17"/>
              </w:rPr>
            </w:pPr>
          </w:p>
          <w:p>
            <w:pPr>
              <w:pStyle w:val="TableParagraph"/>
              <w:ind w:left="125" w:right="198"/>
              <w:jc w:val="center"/>
              <w:rPr>
                <w:sz w:val="18"/>
              </w:rPr>
            </w:pPr>
            <w:r>
              <w:rPr>
                <w:sz w:val="18"/>
              </w:rPr>
              <w:t>402.8</w:t>
            </w:r>
          </w:p>
        </w:tc>
        <w:tc>
          <w:tcPr>
            <w:tcW w:w="917" w:type="dxa"/>
            <w:tcBorders>
              <w:bottom w:val="single" w:sz="4" w:space="0" w:color="000000"/>
            </w:tcBorders>
            <w:shd w:val="clear" w:color="auto" w:fill="EDEBE0"/>
          </w:tcPr>
          <w:p>
            <w:pPr>
              <w:pStyle w:val="TableParagraph"/>
              <w:spacing w:before="10"/>
              <w:ind w:left="0"/>
              <w:rPr>
                <w:sz w:val="17"/>
              </w:rPr>
            </w:pPr>
          </w:p>
          <w:p>
            <w:pPr>
              <w:pStyle w:val="TableParagraph"/>
              <w:ind w:left="123"/>
              <w:rPr>
                <w:sz w:val="18"/>
              </w:rPr>
            </w:pPr>
            <w:r>
              <w:rPr>
                <w:sz w:val="18"/>
              </w:rPr>
              <w:t>431.5</w:t>
            </w:r>
          </w:p>
        </w:tc>
        <w:tc>
          <w:tcPr>
            <w:tcW w:w="884" w:type="dxa"/>
            <w:tcBorders>
              <w:bottom w:val="single" w:sz="4" w:space="0" w:color="000000"/>
            </w:tcBorders>
            <w:shd w:val="clear" w:color="auto" w:fill="EDEBE0"/>
          </w:tcPr>
          <w:p>
            <w:pPr>
              <w:pStyle w:val="TableParagraph"/>
              <w:spacing w:before="10"/>
              <w:ind w:left="0"/>
              <w:rPr>
                <w:sz w:val="17"/>
              </w:rPr>
            </w:pPr>
          </w:p>
          <w:p>
            <w:pPr>
              <w:pStyle w:val="TableParagraph"/>
              <w:ind w:left="243"/>
              <w:rPr>
                <w:sz w:val="18"/>
              </w:rPr>
            </w:pPr>
            <w:r>
              <w:rPr>
                <w:sz w:val="18"/>
              </w:rPr>
              <w:t>493.5</w:t>
            </w:r>
          </w:p>
        </w:tc>
      </w:tr>
    </w:tbl>
    <w:p>
      <w:pPr>
        <w:spacing w:line="240" w:lineRule="auto" w:before="0"/>
        <w:ind w:left="105" w:right="109" w:hanging="3"/>
        <w:jc w:val="center"/>
        <w:rPr>
          <w:sz w:val="20"/>
        </w:rPr>
      </w:pPr>
      <w:r>
        <w:rPr>
          <w:sz w:val="20"/>
        </w:rPr>
        <w:t>Fuente: Elaboración propia con información del XI Censo General de Población y Vivienda 1990, Conteo de Población y Vivienda 1995, XII Censo General de Población y Vivienda 2000, II Conteo de Población y Vivienda 2005 y Censo de Población y Vivienda 2010 (ITER 1990,1995,2000,</w:t>
      </w:r>
      <w:r>
        <w:rPr>
          <w:spacing w:val="-32"/>
          <w:sz w:val="20"/>
        </w:rPr>
        <w:t> </w:t>
      </w:r>
      <w:r>
        <w:rPr>
          <w:sz w:val="20"/>
        </w:rPr>
        <w:t>2005 y</w:t>
      </w:r>
      <w:r>
        <w:rPr>
          <w:spacing w:val="-5"/>
          <w:sz w:val="20"/>
        </w:rPr>
        <w:t> </w:t>
      </w:r>
      <w:r>
        <w:rPr>
          <w:sz w:val="20"/>
        </w:rPr>
        <w:t>2010)</w:t>
      </w:r>
    </w:p>
    <w:p>
      <w:pPr>
        <w:spacing w:after="0" w:line="240" w:lineRule="auto"/>
        <w:jc w:val="center"/>
        <w:rPr>
          <w:sz w:val="20"/>
        </w:rPr>
        <w:sectPr>
          <w:footerReference w:type="default" r:id="rId77"/>
          <w:pgSz w:w="12240" w:h="15840"/>
          <w:pgMar w:footer="659" w:header="0" w:top="1360" w:bottom="840" w:left="1640" w:right="1640"/>
          <w:pgNumType w:start="160"/>
        </w:sectPr>
      </w:pPr>
    </w:p>
    <w:p>
      <w:pPr>
        <w:tabs>
          <w:tab w:pos="1509" w:val="left" w:leader="none"/>
          <w:tab w:pos="8672" w:val="left" w:leader="none"/>
        </w:tabs>
        <w:spacing w:before="53"/>
        <w:ind w:left="290" w:right="82" w:firstLine="0"/>
        <w:jc w:val="left"/>
        <w:rPr>
          <w:sz w:val="20"/>
        </w:rPr>
      </w:pPr>
      <w:r>
        <w:rPr>
          <w:w w:val="99"/>
          <w:sz w:val="20"/>
          <w:u w:val="single"/>
        </w:rPr>
        <w:t> </w:t>
      </w:r>
      <w:r>
        <w:rPr>
          <w:sz w:val="20"/>
          <w:u w:val="single"/>
        </w:rPr>
        <w:tab/>
        <w:t>Cuadro A. 4.9 Densidades de vivienda (viviendas/km2)</w:t>
      </w:r>
      <w:r>
        <w:rPr>
          <w:spacing w:val="-16"/>
          <w:sz w:val="20"/>
          <w:u w:val="single"/>
        </w:rPr>
        <w:t> </w:t>
      </w:r>
      <w:r>
        <w:rPr>
          <w:sz w:val="20"/>
          <w:u w:val="single"/>
        </w:rPr>
        <w:t>1990-2010.</w:t>
        <w:tab/>
      </w:r>
    </w:p>
    <w:p>
      <w:pPr>
        <w:pStyle w:val="BodyText"/>
        <w:spacing w:before="10"/>
        <w:rPr>
          <w:sz w:val="17"/>
        </w:rPr>
      </w:pPr>
    </w:p>
    <w:tbl>
      <w:tblPr>
        <w:tblW w:w="0" w:type="auto"/>
        <w:jc w:val="left"/>
        <w:tblInd w:w="285"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232"/>
        <w:gridCol w:w="1250"/>
        <w:gridCol w:w="1199"/>
        <w:gridCol w:w="1210"/>
        <w:gridCol w:w="1335"/>
        <w:gridCol w:w="1157"/>
      </w:tblGrid>
      <w:tr>
        <w:trPr>
          <w:trHeight w:val="362" w:hRule="exact"/>
        </w:trPr>
        <w:tc>
          <w:tcPr>
            <w:tcW w:w="2232" w:type="dxa"/>
            <w:tcBorders>
              <w:bottom w:val="single" w:sz="4" w:space="0" w:color="000000"/>
            </w:tcBorders>
          </w:tcPr>
          <w:p>
            <w:pPr>
              <w:pStyle w:val="TableParagraph"/>
              <w:spacing w:line="184" w:lineRule="exact"/>
              <w:ind w:right="382"/>
              <w:rPr>
                <w:sz w:val="18"/>
              </w:rPr>
            </w:pPr>
            <w:r>
              <w:rPr>
                <w:sz w:val="18"/>
              </w:rPr>
              <w:t>MUNICIPIO</w:t>
            </w:r>
          </w:p>
        </w:tc>
        <w:tc>
          <w:tcPr>
            <w:tcW w:w="1250" w:type="dxa"/>
            <w:tcBorders>
              <w:bottom w:val="single" w:sz="4" w:space="0" w:color="000000"/>
            </w:tcBorders>
          </w:tcPr>
          <w:p>
            <w:pPr>
              <w:pStyle w:val="TableParagraph"/>
              <w:spacing w:line="184" w:lineRule="exact"/>
              <w:ind w:left="312"/>
              <w:rPr>
                <w:sz w:val="18"/>
              </w:rPr>
            </w:pPr>
            <w:r>
              <w:rPr>
                <w:sz w:val="18"/>
              </w:rPr>
              <w:t>1990</w:t>
            </w:r>
          </w:p>
        </w:tc>
        <w:tc>
          <w:tcPr>
            <w:tcW w:w="1199" w:type="dxa"/>
            <w:tcBorders>
              <w:bottom w:val="single" w:sz="4" w:space="0" w:color="000000"/>
            </w:tcBorders>
          </w:tcPr>
          <w:p>
            <w:pPr>
              <w:pStyle w:val="TableParagraph"/>
              <w:spacing w:line="184" w:lineRule="exact"/>
              <w:ind w:left="222" w:right="241"/>
              <w:jc w:val="center"/>
              <w:rPr>
                <w:sz w:val="18"/>
              </w:rPr>
            </w:pPr>
            <w:r>
              <w:rPr>
                <w:sz w:val="18"/>
              </w:rPr>
              <w:t>1995</w:t>
            </w:r>
          </w:p>
        </w:tc>
        <w:tc>
          <w:tcPr>
            <w:tcW w:w="1210" w:type="dxa"/>
            <w:tcBorders>
              <w:bottom w:val="single" w:sz="4" w:space="0" w:color="000000"/>
            </w:tcBorders>
          </w:tcPr>
          <w:p>
            <w:pPr>
              <w:pStyle w:val="TableParagraph"/>
              <w:spacing w:line="184" w:lineRule="exact"/>
              <w:ind w:left="261"/>
              <w:rPr>
                <w:sz w:val="18"/>
              </w:rPr>
            </w:pPr>
            <w:r>
              <w:rPr>
                <w:sz w:val="18"/>
              </w:rPr>
              <w:t>2000</w:t>
            </w:r>
          </w:p>
        </w:tc>
        <w:tc>
          <w:tcPr>
            <w:tcW w:w="1335" w:type="dxa"/>
            <w:tcBorders>
              <w:bottom w:val="single" w:sz="4" w:space="0" w:color="000000"/>
            </w:tcBorders>
          </w:tcPr>
          <w:p>
            <w:pPr>
              <w:pStyle w:val="TableParagraph"/>
              <w:spacing w:line="184" w:lineRule="exact"/>
              <w:ind w:left="397"/>
              <w:rPr>
                <w:sz w:val="18"/>
              </w:rPr>
            </w:pPr>
            <w:r>
              <w:rPr>
                <w:sz w:val="18"/>
              </w:rPr>
              <w:t>2005</w:t>
            </w:r>
          </w:p>
        </w:tc>
        <w:tc>
          <w:tcPr>
            <w:tcW w:w="1157" w:type="dxa"/>
            <w:tcBorders>
              <w:bottom w:val="single" w:sz="4" w:space="0" w:color="000000"/>
            </w:tcBorders>
          </w:tcPr>
          <w:p>
            <w:pPr>
              <w:pStyle w:val="TableParagraph"/>
              <w:spacing w:line="184" w:lineRule="exact"/>
              <w:ind w:left="285"/>
              <w:rPr>
                <w:sz w:val="18"/>
              </w:rPr>
            </w:pPr>
            <w:r>
              <w:rPr>
                <w:sz w:val="18"/>
              </w:rPr>
              <w:t>2010</w:t>
            </w:r>
          </w:p>
        </w:tc>
      </w:tr>
      <w:tr>
        <w:trPr>
          <w:trHeight w:val="220" w:hRule="exact"/>
        </w:trPr>
        <w:tc>
          <w:tcPr>
            <w:tcW w:w="2232" w:type="dxa"/>
            <w:tcBorders>
              <w:top w:val="single" w:sz="4" w:space="0" w:color="000000"/>
            </w:tcBorders>
          </w:tcPr>
          <w:p>
            <w:pPr>
              <w:pStyle w:val="TableParagraph"/>
              <w:spacing w:line="206" w:lineRule="exact"/>
              <w:ind w:right="382"/>
              <w:rPr>
                <w:sz w:val="18"/>
              </w:rPr>
            </w:pPr>
            <w:r>
              <w:rPr>
                <w:sz w:val="18"/>
              </w:rPr>
              <w:t>Lerma</w:t>
            </w:r>
          </w:p>
        </w:tc>
        <w:tc>
          <w:tcPr>
            <w:tcW w:w="1250" w:type="dxa"/>
            <w:tcBorders>
              <w:top w:val="single" w:sz="4" w:space="0" w:color="000000"/>
            </w:tcBorders>
          </w:tcPr>
          <w:p>
            <w:pPr>
              <w:pStyle w:val="TableParagraph"/>
              <w:spacing w:line="206" w:lineRule="exact"/>
              <w:ind w:left="312"/>
              <w:rPr>
                <w:sz w:val="18"/>
              </w:rPr>
            </w:pPr>
            <w:r>
              <w:rPr>
                <w:sz w:val="18"/>
              </w:rPr>
              <w:t>52.55</w:t>
            </w:r>
          </w:p>
        </w:tc>
        <w:tc>
          <w:tcPr>
            <w:tcW w:w="1199" w:type="dxa"/>
            <w:tcBorders>
              <w:top w:val="single" w:sz="4" w:space="0" w:color="000000"/>
            </w:tcBorders>
          </w:tcPr>
          <w:p>
            <w:pPr>
              <w:pStyle w:val="TableParagraph"/>
              <w:spacing w:line="206" w:lineRule="exact"/>
              <w:ind w:left="268" w:right="241"/>
              <w:jc w:val="center"/>
              <w:rPr>
                <w:sz w:val="18"/>
              </w:rPr>
            </w:pPr>
            <w:r>
              <w:rPr>
                <w:sz w:val="18"/>
              </w:rPr>
              <w:t>68.44</w:t>
            </w:r>
          </w:p>
        </w:tc>
        <w:tc>
          <w:tcPr>
            <w:tcW w:w="1210" w:type="dxa"/>
            <w:tcBorders>
              <w:top w:val="single" w:sz="4" w:space="0" w:color="000000"/>
            </w:tcBorders>
          </w:tcPr>
          <w:p>
            <w:pPr>
              <w:pStyle w:val="TableParagraph"/>
              <w:spacing w:line="206" w:lineRule="exact"/>
              <w:ind w:left="261"/>
              <w:rPr>
                <w:sz w:val="18"/>
              </w:rPr>
            </w:pPr>
            <w:r>
              <w:rPr>
                <w:sz w:val="18"/>
              </w:rPr>
              <w:t>90.37</w:t>
            </w:r>
          </w:p>
        </w:tc>
        <w:tc>
          <w:tcPr>
            <w:tcW w:w="1335" w:type="dxa"/>
            <w:tcBorders>
              <w:top w:val="single" w:sz="4" w:space="0" w:color="000000"/>
            </w:tcBorders>
          </w:tcPr>
          <w:p>
            <w:pPr>
              <w:pStyle w:val="TableParagraph"/>
              <w:spacing w:line="206" w:lineRule="exact"/>
              <w:ind w:left="397"/>
              <w:rPr>
                <w:sz w:val="18"/>
              </w:rPr>
            </w:pPr>
            <w:r>
              <w:rPr>
                <w:sz w:val="18"/>
              </w:rPr>
              <w:t>98.62</w:t>
            </w:r>
          </w:p>
        </w:tc>
        <w:tc>
          <w:tcPr>
            <w:tcW w:w="1157" w:type="dxa"/>
            <w:tcBorders>
              <w:top w:val="single" w:sz="4" w:space="0" w:color="000000"/>
            </w:tcBorders>
          </w:tcPr>
          <w:p>
            <w:pPr>
              <w:pStyle w:val="TableParagraph"/>
              <w:spacing w:line="206" w:lineRule="exact"/>
              <w:ind w:left="285"/>
              <w:rPr>
                <w:sz w:val="18"/>
              </w:rPr>
            </w:pPr>
            <w:r>
              <w:rPr>
                <w:sz w:val="18"/>
              </w:rPr>
              <w:t>136.26</w:t>
            </w:r>
          </w:p>
        </w:tc>
      </w:tr>
      <w:tr>
        <w:trPr>
          <w:trHeight w:val="206" w:hRule="exact"/>
        </w:trPr>
        <w:tc>
          <w:tcPr>
            <w:tcW w:w="2232" w:type="dxa"/>
          </w:tcPr>
          <w:p>
            <w:pPr>
              <w:pStyle w:val="TableParagraph"/>
              <w:spacing w:line="197" w:lineRule="exact"/>
              <w:ind w:right="382"/>
              <w:rPr>
                <w:sz w:val="18"/>
              </w:rPr>
            </w:pPr>
            <w:r>
              <w:rPr>
                <w:sz w:val="18"/>
              </w:rPr>
              <w:t>Metepec</w:t>
            </w:r>
          </w:p>
        </w:tc>
        <w:tc>
          <w:tcPr>
            <w:tcW w:w="1250" w:type="dxa"/>
          </w:tcPr>
          <w:p>
            <w:pPr>
              <w:pStyle w:val="TableParagraph"/>
              <w:spacing w:line="197" w:lineRule="exact"/>
              <w:ind w:left="312"/>
              <w:rPr>
                <w:sz w:val="18"/>
              </w:rPr>
            </w:pPr>
            <w:r>
              <w:rPr>
                <w:sz w:val="18"/>
              </w:rPr>
              <w:t>404.91</w:t>
            </w:r>
          </w:p>
        </w:tc>
        <w:tc>
          <w:tcPr>
            <w:tcW w:w="1199" w:type="dxa"/>
          </w:tcPr>
          <w:p>
            <w:pPr>
              <w:pStyle w:val="TableParagraph"/>
              <w:spacing w:line="197" w:lineRule="exact"/>
              <w:ind w:left="366" w:right="241"/>
              <w:jc w:val="center"/>
              <w:rPr>
                <w:sz w:val="18"/>
              </w:rPr>
            </w:pPr>
            <w:r>
              <w:rPr>
                <w:sz w:val="18"/>
              </w:rPr>
              <w:t>551.74</w:t>
            </w:r>
          </w:p>
        </w:tc>
        <w:tc>
          <w:tcPr>
            <w:tcW w:w="1210" w:type="dxa"/>
          </w:tcPr>
          <w:p>
            <w:pPr>
              <w:pStyle w:val="TableParagraph"/>
              <w:spacing w:line="197" w:lineRule="exact"/>
              <w:ind w:left="261"/>
              <w:rPr>
                <w:sz w:val="18"/>
              </w:rPr>
            </w:pPr>
            <w:r>
              <w:rPr>
                <w:sz w:val="18"/>
              </w:rPr>
              <w:t>622.01</w:t>
            </w:r>
          </w:p>
        </w:tc>
        <w:tc>
          <w:tcPr>
            <w:tcW w:w="1335" w:type="dxa"/>
          </w:tcPr>
          <w:p>
            <w:pPr>
              <w:pStyle w:val="TableParagraph"/>
              <w:spacing w:line="197" w:lineRule="exact"/>
              <w:ind w:left="397"/>
              <w:rPr>
                <w:sz w:val="18"/>
              </w:rPr>
            </w:pPr>
            <w:r>
              <w:rPr>
                <w:sz w:val="18"/>
              </w:rPr>
              <w:t>709.80</w:t>
            </w:r>
          </w:p>
        </w:tc>
        <w:tc>
          <w:tcPr>
            <w:tcW w:w="1157" w:type="dxa"/>
          </w:tcPr>
          <w:p>
            <w:pPr>
              <w:pStyle w:val="TableParagraph"/>
              <w:spacing w:line="197" w:lineRule="exact"/>
              <w:ind w:left="285"/>
              <w:rPr>
                <w:sz w:val="18"/>
              </w:rPr>
            </w:pPr>
            <w:r>
              <w:rPr>
                <w:sz w:val="18"/>
              </w:rPr>
              <w:t>778.94</w:t>
            </w:r>
          </w:p>
        </w:tc>
      </w:tr>
      <w:tr>
        <w:trPr>
          <w:trHeight w:val="208" w:hRule="exact"/>
        </w:trPr>
        <w:tc>
          <w:tcPr>
            <w:tcW w:w="2232" w:type="dxa"/>
          </w:tcPr>
          <w:p>
            <w:pPr>
              <w:pStyle w:val="TableParagraph"/>
              <w:spacing w:line="197" w:lineRule="exact"/>
              <w:ind w:right="382"/>
              <w:rPr>
                <w:sz w:val="18"/>
              </w:rPr>
            </w:pPr>
            <w:r>
              <w:rPr>
                <w:sz w:val="18"/>
              </w:rPr>
              <w:t>Toluca</w:t>
            </w:r>
          </w:p>
        </w:tc>
        <w:tc>
          <w:tcPr>
            <w:tcW w:w="1250" w:type="dxa"/>
          </w:tcPr>
          <w:p>
            <w:pPr>
              <w:pStyle w:val="TableParagraph"/>
              <w:spacing w:line="197" w:lineRule="exact"/>
              <w:ind w:left="312"/>
              <w:rPr>
                <w:sz w:val="18"/>
              </w:rPr>
            </w:pPr>
            <w:r>
              <w:rPr>
                <w:sz w:val="18"/>
              </w:rPr>
              <w:t>220.76</w:t>
            </w:r>
          </w:p>
        </w:tc>
        <w:tc>
          <w:tcPr>
            <w:tcW w:w="1199" w:type="dxa"/>
          </w:tcPr>
          <w:p>
            <w:pPr>
              <w:pStyle w:val="TableParagraph"/>
              <w:spacing w:line="197" w:lineRule="exact"/>
              <w:ind w:left="366" w:right="241"/>
              <w:jc w:val="center"/>
              <w:rPr>
                <w:sz w:val="18"/>
              </w:rPr>
            </w:pPr>
            <w:r>
              <w:rPr>
                <w:sz w:val="18"/>
              </w:rPr>
              <w:t>274.65</w:t>
            </w:r>
          </w:p>
        </w:tc>
        <w:tc>
          <w:tcPr>
            <w:tcW w:w="1210" w:type="dxa"/>
          </w:tcPr>
          <w:p>
            <w:pPr>
              <w:pStyle w:val="TableParagraph"/>
              <w:spacing w:line="197" w:lineRule="exact"/>
              <w:ind w:left="261"/>
              <w:rPr>
                <w:sz w:val="18"/>
              </w:rPr>
            </w:pPr>
            <w:r>
              <w:rPr>
                <w:sz w:val="18"/>
              </w:rPr>
              <w:t>346.70</w:t>
            </w:r>
          </w:p>
        </w:tc>
        <w:tc>
          <w:tcPr>
            <w:tcW w:w="1335" w:type="dxa"/>
          </w:tcPr>
          <w:p>
            <w:pPr>
              <w:pStyle w:val="TableParagraph"/>
              <w:spacing w:line="197" w:lineRule="exact"/>
              <w:ind w:left="397"/>
              <w:rPr>
                <w:sz w:val="18"/>
              </w:rPr>
            </w:pPr>
            <w:r>
              <w:rPr>
                <w:sz w:val="18"/>
              </w:rPr>
              <w:t>416.62</w:t>
            </w:r>
          </w:p>
        </w:tc>
        <w:tc>
          <w:tcPr>
            <w:tcW w:w="1157" w:type="dxa"/>
          </w:tcPr>
          <w:p>
            <w:pPr>
              <w:pStyle w:val="TableParagraph"/>
              <w:spacing w:line="197" w:lineRule="exact"/>
              <w:ind w:left="285"/>
              <w:rPr>
                <w:sz w:val="18"/>
              </w:rPr>
            </w:pPr>
            <w:r>
              <w:rPr>
                <w:sz w:val="18"/>
              </w:rPr>
              <w:t>475.64</w:t>
            </w:r>
          </w:p>
        </w:tc>
      </w:tr>
      <w:tr>
        <w:trPr>
          <w:trHeight w:val="208" w:hRule="exact"/>
        </w:trPr>
        <w:tc>
          <w:tcPr>
            <w:tcW w:w="2232" w:type="dxa"/>
          </w:tcPr>
          <w:p>
            <w:pPr>
              <w:pStyle w:val="TableParagraph"/>
              <w:spacing w:line="198" w:lineRule="exact"/>
              <w:ind w:right="382"/>
              <w:rPr>
                <w:sz w:val="18"/>
              </w:rPr>
            </w:pPr>
            <w:r>
              <w:rPr>
                <w:sz w:val="18"/>
              </w:rPr>
              <w:t>San Mateo Atenco</w:t>
            </w:r>
          </w:p>
        </w:tc>
        <w:tc>
          <w:tcPr>
            <w:tcW w:w="1250" w:type="dxa"/>
          </w:tcPr>
          <w:p>
            <w:pPr>
              <w:pStyle w:val="TableParagraph"/>
              <w:spacing w:line="198" w:lineRule="exact"/>
              <w:ind w:left="312"/>
              <w:rPr>
                <w:sz w:val="18"/>
              </w:rPr>
            </w:pPr>
            <w:r>
              <w:rPr>
                <w:sz w:val="18"/>
              </w:rPr>
              <w:t>566.59</w:t>
            </w:r>
          </w:p>
        </w:tc>
        <w:tc>
          <w:tcPr>
            <w:tcW w:w="1199" w:type="dxa"/>
          </w:tcPr>
          <w:p>
            <w:pPr>
              <w:pStyle w:val="TableParagraph"/>
              <w:spacing w:line="198" w:lineRule="exact"/>
              <w:ind w:left="366" w:right="241"/>
              <w:jc w:val="center"/>
              <w:rPr>
                <w:sz w:val="18"/>
              </w:rPr>
            </w:pPr>
            <w:r>
              <w:rPr>
                <w:sz w:val="18"/>
              </w:rPr>
              <w:t>830.48</w:t>
            </w:r>
          </w:p>
        </w:tc>
        <w:tc>
          <w:tcPr>
            <w:tcW w:w="1210" w:type="dxa"/>
          </w:tcPr>
          <w:p>
            <w:pPr>
              <w:pStyle w:val="TableParagraph"/>
              <w:spacing w:line="198" w:lineRule="exact"/>
              <w:ind w:left="261"/>
              <w:rPr>
                <w:sz w:val="18"/>
              </w:rPr>
            </w:pPr>
            <w:r>
              <w:rPr>
                <w:sz w:val="18"/>
              </w:rPr>
              <w:t>951.03</w:t>
            </w:r>
          </w:p>
        </w:tc>
        <w:tc>
          <w:tcPr>
            <w:tcW w:w="1335" w:type="dxa"/>
          </w:tcPr>
          <w:p>
            <w:pPr>
              <w:pStyle w:val="TableParagraph"/>
              <w:spacing w:line="198" w:lineRule="exact"/>
              <w:ind w:left="397"/>
              <w:rPr>
                <w:sz w:val="18"/>
              </w:rPr>
            </w:pPr>
            <w:r>
              <w:rPr>
                <w:sz w:val="18"/>
              </w:rPr>
              <w:t>1102.78</w:t>
            </w:r>
          </w:p>
        </w:tc>
        <w:tc>
          <w:tcPr>
            <w:tcW w:w="1157" w:type="dxa"/>
          </w:tcPr>
          <w:p>
            <w:pPr>
              <w:pStyle w:val="TableParagraph"/>
              <w:spacing w:line="198" w:lineRule="exact"/>
              <w:ind w:left="285"/>
              <w:rPr>
                <w:sz w:val="18"/>
              </w:rPr>
            </w:pPr>
            <w:r>
              <w:rPr>
                <w:sz w:val="18"/>
              </w:rPr>
              <w:t>1279.29</w:t>
            </w:r>
          </w:p>
        </w:tc>
      </w:tr>
      <w:tr>
        <w:trPr>
          <w:trHeight w:val="206" w:hRule="exact"/>
        </w:trPr>
        <w:tc>
          <w:tcPr>
            <w:tcW w:w="2232" w:type="dxa"/>
          </w:tcPr>
          <w:p>
            <w:pPr>
              <w:pStyle w:val="TableParagraph"/>
              <w:spacing w:line="197" w:lineRule="exact"/>
              <w:ind w:right="382"/>
              <w:rPr>
                <w:sz w:val="18"/>
              </w:rPr>
            </w:pPr>
            <w:r>
              <w:rPr>
                <w:sz w:val="18"/>
              </w:rPr>
              <w:t>Zinacantepec</w:t>
            </w:r>
          </w:p>
        </w:tc>
        <w:tc>
          <w:tcPr>
            <w:tcW w:w="1250" w:type="dxa"/>
          </w:tcPr>
          <w:p>
            <w:pPr>
              <w:pStyle w:val="TableParagraph"/>
              <w:spacing w:line="197" w:lineRule="exact"/>
              <w:ind w:left="312"/>
              <w:rPr>
                <w:sz w:val="18"/>
              </w:rPr>
            </w:pPr>
            <w:r>
              <w:rPr>
                <w:sz w:val="18"/>
              </w:rPr>
              <w:t>46.31</w:t>
            </w:r>
          </w:p>
        </w:tc>
        <w:tc>
          <w:tcPr>
            <w:tcW w:w="1199" w:type="dxa"/>
          </w:tcPr>
          <w:p>
            <w:pPr>
              <w:pStyle w:val="TableParagraph"/>
              <w:spacing w:line="197" w:lineRule="exact"/>
              <w:ind w:left="268" w:right="241"/>
              <w:jc w:val="center"/>
              <w:rPr>
                <w:sz w:val="18"/>
              </w:rPr>
            </w:pPr>
            <w:r>
              <w:rPr>
                <w:sz w:val="18"/>
              </w:rPr>
              <w:t>62.24</w:t>
            </w:r>
          </w:p>
        </w:tc>
        <w:tc>
          <w:tcPr>
            <w:tcW w:w="1210" w:type="dxa"/>
          </w:tcPr>
          <w:p>
            <w:pPr>
              <w:pStyle w:val="TableParagraph"/>
              <w:spacing w:line="197" w:lineRule="exact"/>
              <w:ind w:left="261"/>
              <w:rPr>
                <w:sz w:val="18"/>
              </w:rPr>
            </w:pPr>
            <w:r>
              <w:rPr>
                <w:sz w:val="18"/>
              </w:rPr>
              <w:t>76.58</w:t>
            </w:r>
          </w:p>
        </w:tc>
        <w:tc>
          <w:tcPr>
            <w:tcW w:w="1335" w:type="dxa"/>
          </w:tcPr>
          <w:p>
            <w:pPr>
              <w:pStyle w:val="TableParagraph"/>
              <w:spacing w:line="197" w:lineRule="exact"/>
              <w:ind w:left="397"/>
              <w:rPr>
                <w:sz w:val="18"/>
              </w:rPr>
            </w:pPr>
            <w:r>
              <w:rPr>
                <w:sz w:val="18"/>
              </w:rPr>
              <w:t>92.18</w:t>
            </w:r>
          </w:p>
        </w:tc>
        <w:tc>
          <w:tcPr>
            <w:tcW w:w="1157" w:type="dxa"/>
          </w:tcPr>
          <w:p>
            <w:pPr>
              <w:pStyle w:val="TableParagraph"/>
              <w:spacing w:line="197" w:lineRule="exact"/>
              <w:ind w:left="285"/>
              <w:rPr>
                <w:sz w:val="18"/>
              </w:rPr>
            </w:pPr>
            <w:r>
              <w:rPr>
                <w:sz w:val="18"/>
              </w:rPr>
              <w:t>122.01</w:t>
            </w:r>
          </w:p>
        </w:tc>
      </w:tr>
      <w:tr>
        <w:trPr>
          <w:trHeight w:val="206" w:hRule="exact"/>
        </w:trPr>
        <w:tc>
          <w:tcPr>
            <w:tcW w:w="2232" w:type="dxa"/>
          </w:tcPr>
          <w:p>
            <w:pPr>
              <w:pStyle w:val="TableParagraph"/>
              <w:spacing w:line="197" w:lineRule="exact"/>
              <w:ind w:right="382"/>
              <w:rPr>
                <w:sz w:val="18"/>
              </w:rPr>
            </w:pPr>
            <w:r>
              <w:rPr>
                <w:sz w:val="18"/>
              </w:rPr>
              <w:t>Almoloya de Juárez</w:t>
            </w:r>
          </w:p>
        </w:tc>
        <w:tc>
          <w:tcPr>
            <w:tcW w:w="1250" w:type="dxa"/>
          </w:tcPr>
          <w:p>
            <w:pPr>
              <w:pStyle w:val="TableParagraph"/>
              <w:spacing w:line="197" w:lineRule="exact"/>
              <w:ind w:left="312"/>
              <w:rPr>
                <w:sz w:val="18"/>
              </w:rPr>
            </w:pPr>
            <w:r>
              <w:rPr>
                <w:sz w:val="18"/>
              </w:rPr>
              <w:t>30.43</w:t>
            </w:r>
          </w:p>
        </w:tc>
        <w:tc>
          <w:tcPr>
            <w:tcW w:w="1199" w:type="dxa"/>
          </w:tcPr>
          <w:p>
            <w:pPr>
              <w:pStyle w:val="TableParagraph"/>
              <w:spacing w:line="197" w:lineRule="exact"/>
              <w:ind w:left="268" w:right="241"/>
              <w:jc w:val="center"/>
              <w:rPr>
                <w:sz w:val="18"/>
              </w:rPr>
            </w:pPr>
            <w:r>
              <w:rPr>
                <w:sz w:val="18"/>
              </w:rPr>
              <w:t>35.67</w:t>
            </w:r>
          </w:p>
        </w:tc>
        <w:tc>
          <w:tcPr>
            <w:tcW w:w="1210" w:type="dxa"/>
          </w:tcPr>
          <w:p>
            <w:pPr>
              <w:pStyle w:val="TableParagraph"/>
              <w:spacing w:line="197" w:lineRule="exact"/>
              <w:ind w:left="261"/>
              <w:rPr>
                <w:sz w:val="18"/>
              </w:rPr>
            </w:pPr>
            <w:r>
              <w:rPr>
                <w:sz w:val="18"/>
              </w:rPr>
              <w:t>45.47</w:t>
            </w:r>
          </w:p>
        </w:tc>
        <w:tc>
          <w:tcPr>
            <w:tcW w:w="1335" w:type="dxa"/>
          </w:tcPr>
          <w:p>
            <w:pPr>
              <w:pStyle w:val="TableParagraph"/>
              <w:spacing w:line="197" w:lineRule="exact"/>
              <w:ind w:left="397"/>
              <w:rPr>
                <w:sz w:val="18"/>
              </w:rPr>
            </w:pPr>
            <w:r>
              <w:rPr>
                <w:sz w:val="18"/>
              </w:rPr>
              <w:t>54.21</w:t>
            </w:r>
          </w:p>
        </w:tc>
        <w:tc>
          <w:tcPr>
            <w:tcW w:w="1157" w:type="dxa"/>
          </w:tcPr>
          <w:p>
            <w:pPr>
              <w:pStyle w:val="TableParagraph"/>
              <w:spacing w:line="197" w:lineRule="exact"/>
              <w:ind w:left="285"/>
              <w:rPr>
                <w:sz w:val="18"/>
              </w:rPr>
            </w:pPr>
            <w:r>
              <w:rPr>
                <w:sz w:val="18"/>
              </w:rPr>
              <w:t>67.88</w:t>
            </w:r>
          </w:p>
        </w:tc>
      </w:tr>
      <w:tr>
        <w:trPr>
          <w:trHeight w:val="208" w:hRule="exact"/>
        </w:trPr>
        <w:tc>
          <w:tcPr>
            <w:tcW w:w="2232" w:type="dxa"/>
          </w:tcPr>
          <w:p>
            <w:pPr>
              <w:pStyle w:val="TableParagraph"/>
              <w:spacing w:line="197" w:lineRule="exact"/>
              <w:ind w:right="382"/>
              <w:rPr>
                <w:sz w:val="18"/>
              </w:rPr>
            </w:pPr>
            <w:r>
              <w:rPr>
                <w:sz w:val="18"/>
              </w:rPr>
              <w:t>Calimaya</w:t>
            </w:r>
          </w:p>
        </w:tc>
        <w:tc>
          <w:tcPr>
            <w:tcW w:w="1250" w:type="dxa"/>
          </w:tcPr>
          <w:p>
            <w:pPr>
              <w:pStyle w:val="TableParagraph"/>
              <w:spacing w:line="197" w:lineRule="exact"/>
              <w:ind w:left="312"/>
              <w:rPr>
                <w:sz w:val="18"/>
              </w:rPr>
            </w:pPr>
            <w:r>
              <w:rPr>
                <w:sz w:val="18"/>
              </w:rPr>
              <w:t>43.39</w:t>
            </w:r>
          </w:p>
        </w:tc>
        <w:tc>
          <w:tcPr>
            <w:tcW w:w="1199" w:type="dxa"/>
          </w:tcPr>
          <w:p>
            <w:pPr>
              <w:pStyle w:val="TableParagraph"/>
              <w:spacing w:line="197" w:lineRule="exact"/>
              <w:ind w:left="268" w:right="241"/>
              <w:jc w:val="center"/>
              <w:rPr>
                <w:sz w:val="18"/>
              </w:rPr>
            </w:pPr>
            <w:r>
              <w:rPr>
                <w:sz w:val="18"/>
              </w:rPr>
              <w:t>58.58</w:t>
            </w:r>
          </w:p>
        </w:tc>
        <w:tc>
          <w:tcPr>
            <w:tcW w:w="1210" w:type="dxa"/>
          </w:tcPr>
          <w:p>
            <w:pPr>
              <w:pStyle w:val="TableParagraph"/>
              <w:spacing w:line="197" w:lineRule="exact"/>
              <w:ind w:left="261"/>
              <w:rPr>
                <w:sz w:val="18"/>
              </w:rPr>
            </w:pPr>
            <w:r>
              <w:rPr>
                <w:sz w:val="18"/>
              </w:rPr>
              <w:t>69.38</w:t>
            </w:r>
          </w:p>
        </w:tc>
        <w:tc>
          <w:tcPr>
            <w:tcW w:w="1335" w:type="dxa"/>
          </w:tcPr>
          <w:p>
            <w:pPr>
              <w:pStyle w:val="TableParagraph"/>
              <w:spacing w:line="197" w:lineRule="exact"/>
              <w:ind w:left="397"/>
              <w:rPr>
                <w:sz w:val="18"/>
              </w:rPr>
            </w:pPr>
            <w:r>
              <w:rPr>
                <w:sz w:val="18"/>
              </w:rPr>
              <w:t>72.47</w:t>
            </w:r>
          </w:p>
        </w:tc>
        <w:tc>
          <w:tcPr>
            <w:tcW w:w="1157" w:type="dxa"/>
          </w:tcPr>
          <w:p>
            <w:pPr>
              <w:pStyle w:val="TableParagraph"/>
              <w:spacing w:line="197" w:lineRule="exact"/>
              <w:ind w:left="285"/>
              <w:rPr>
                <w:sz w:val="18"/>
              </w:rPr>
            </w:pPr>
            <w:r>
              <w:rPr>
                <w:sz w:val="18"/>
              </w:rPr>
              <w:t>103.72</w:t>
            </w:r>
          </w:p>
        </w:tc>
      </w:tr>
      <w:tr>
        <w:trPr>
          <w:trHeight w:val="306" w:hRule="exact"/>
        </w:trPr>
        <w:tc>
          <w:tcPr>
            <w:tcW w:w="2232" w:type="dxa"/>
          </w:tcPr>
          <w:p>
            <w:pPr>
              <w:pStyle w:val="TableParagraph"/>
              <w:spacing w:line="198" w:lineRule="exact"/>
              <w:ind w:right="382"/>
              <w:rPr>
                <w:sz w:val="18"/>
              </w:rPr>
            </w:pPr>
            <w:r>
              <w:rPr>
                <w:sz w:val="18"/>
              </w:rPr>
              <w:t>Mexicaltzingo</w:t>
            </w:r>
          </w:p>
        </w:tc>
        <w:tc>
          <w:tcPr>
            <w:tcW w:w="1250" w:type="dxa"/>
          </w:tcPr>
          <w:p>
            <w:pPr>
              <w:pStyle w:val="TableParagraph"/>
              <w:spacing w:line="198" w:lineRule="exact"/>
              <w:ind w:left="312"/>
              <w:rPr>
                <w:sz w:val="18"/>
              </w:rPr>
            </w:pPr>
            <w:r>
              <w:rPr>
                <w:sz w:val="18"/>
              </w:rPr>
              <w:t>104.59</w:t>
            </w:r>
          </w:p>
        </w:tc>
        <w:tc>
          <w:tcPr>
            <w:tcW w:w="1199" w:type="dxa"/>
          </w:tcPr>
          <w:p>
            <w:pPr>
              <w:pStyle w:val="TableParagraph"/>
              <w:spacing w:line="198" w:lineRule="exact"/>
              <w:ind w:left="366" w:right="241"/>
              <w:jc w:val="center"/>
              <w:rPr>
                <w:sz w:val="18"/>
              </w:rPr>
            </w:pPr>
            <w:r>
              <w:rPr>
                <w:sz w:val="18"/>
              </w:rPr>
              <w:t>135.74</w:t>
            </w:r>
          </w:p>
        </w:tc>
        <w:tc>
          <w:tcPr>
            <w:tcW w:w="1210" w:type="dxa"/>
          </w:tcPr>
          <w:p>
            <w:pPr>
              <w:pStyle w:val="TableParagraph"/>
              <w:spacing w:line="198" w:lineRule="exact"/>
              <w:ind w:left="261"/>
              <w:rPr>
                <w:sz w:val="18"/>
              </w:rPr>
            </w:pPr>
            <w:r>
              <w:rPr>
                <w:sz w:val="18"/>
              </w:rPr>
              <w:t>141.56</w:t>
            </w:r>
          </w:p>
        </w:tc>
        <w:tc>
          <w:tcPr>
            <w:tcW w:w="1335" w:type="dxa"/>
          </w:tcPr>
          <w:p>
            <w:pPr>
              <w:pStyle w:val="TableParagraph"/>
              <w:spacing w:line="198" w:lineRule="exact"/>
              <w:ind w:left="397"/>
              <w:rPr>
                <w:sz w:val="18"/>
              </w:rPr>
            </w:pPr>
            <w:r>
              <w:rPr>
                <w:sz w:val="18"/>
              </w:rPr>
              <w:t>164.10</w:t>
            </w:r>
          </w:p>
        </w:tc>
        <w:tc>
          <w:tcPr>
            <w:tcW w:w="1157" w:type="dxa"/>
          </w:tcPr>
          <w:p>
            <w:pPr>
              <w:pStyle w:val="TableParagraph"/>
              <w:spacing w:line="198" w:lineRule="exact"/>
              <w:ind w:left="285"/>
              <w:rPr>
                <w:sz w:val="18"/>
              </w:rPr>
            </w:pPr>
            <w:r>
              <w:rPr>
                <w:sz w:val="18"/>
              </w:rPr>
              <w:t>215.00</w:t>
            </w:r>
          </w:p>
        </w:tc>
      </w:tr>
      <w:tr>
        <w:trPr>
          <w:trHeight w:val="296" w:hRule="exact"/>
        </w:trPr>
        <w:tc>
          <w:tcPr>
            <w:tcW w:w="2232" w:type="dxa"/>
          </w:tcPr>
          <w:p>
            <w:pPr>
              <w:pStyle w:val="TableParagraph"/>
              <w:spacing w:before="88"/>
              <w:ind w:right="382"/>
              <w:rPr>
                <w:sz w:val="18"/>
              </w:rPr>
            </w:pPr>
            <w:r>
              <w:rPr>
                <w:sz w:val="18"/>
              </w:rPr>
              <w:t>Otzolotepec</w:t>
            </w:r>
          </w:p>
        </w:tc>
        <w:tc>
          <w:tcPr>
            <w:tcW w:w="1250" w:type="dxa"/>
          </w:tcPr>
          <w:p>
            <w:pPr>
              <w:pStyle w:val="TableParagraph"/>
              <w:spacing w:before="88"/>
              <w:ind w:left="312"/>
              <w:rPr>
                <w:sz w:val="18"/>
              </w:rPr>
            </w:pPr>
            <w:r>
              <w:rPr>
                <w:sz w:val="18"/>
              </w:rPr>
              <w:t>52.15</w:t>
            </w:r>
          </w:p>
        </w:tc>
        <w:tc>
          <w:tcPr>
            <w:tcW w:w="1199" w:type="dxa"/>
          </w:tcPr>
          <w:p>
            <w:pPr>
              <w:pStyle w:val="TableParagraph"/>
              <w:spacing w:before="88"/>
              <w:ind w:left="268" w:right="241"/>
              <w:jc w:val="center"/>
              <w:rPr>
                <w:sz w:val="18"/>
              </w:rPr>
            </w:pPr>
            <w:r>
              <w:rPr>
                <w:sz w:val="18"/>
              </w:rPr>
              <w:t>66.60</w:t>
            </w:r>
          </w:p>
        </w:tc>
        <w:tc>
          <w:tcPr>
            <w:tcW w:w="1210" w:type="dxa"/>
          </w:tcPr>
          <w:p>
            <w:pPr>
              <w:pStyle w:val="TableParagraph"/>
              <w:spacing w:before="88"/>
              <w:ind w:left="261"/>
              <w:rPr>
                <w:sz w:val="18"/>
              </w:rPr>
            </w:pPr>
            <w:r>
              <w:rPr>
                <w:sz w:val="18"/>
              </w:rPr>
              <w:t>83.70</w:t>
            </w:r>
          </w:p>
        </w:tc>
        <w:tc>
          <w:tcPr>
            <w:tcW w:w="1335" w:type="dxa"/>
          </w:tcPr>
          <w:p>
            <w:pPr>
              <w:pStyle w:val="TableParagraph"/>
              <w:spacing w:before="88"/>
              <w:ind w:left="397"/>
              <w:rPr>
                <w:sz w:val="18"/>
              </w:rPr>
            </w:pPr>
            <w:r>
              <w:rPr>
                <w:sz w:val="18"/>
              </w:rPr>
              <w:t>104.31</w:t>
            </w:r>
          </w:p>
        </w:tc>
        <w:tc>
          <w:tcPr>
            <w:tcW w:w="1157" w:type="dxa"/>
          </w:tcPr>
          <w:p>
            <w:pPr>
              <w:pStyle w:val="TableParagraph"/>
              <w:spacing w:before="88"/>
              <w:ind w:left="285"/>
              <w:rPr>
                <w:sz w:val="18"/>
              </w:rPr>
            </w:pPr>
            <w:r>
              <w:rPr>
                <w:sz w:val="18"/>
              </w:rPr>
              <w:t>125.59</w:t>
            </w:r>
          </w:p>
        </w:tc>
      </w:tr>
      <w:tr>
        <w:trPr>
          <w:trHeight w:val="494" w:hRule="exact"/>
        </w:trPr>
        <w:tc>
          <w:tcPr>
            <w:tcW w:w="2232" w:type="dxa"/>
            <w:shd w:val="clear" w:color="auto" w:fill="EDEBE0"/>
          </w:tcPr>
          <w:p>
            <w:pPr>
              <w:pStyle w:val="TableParagraph"/>
              <w:spacing w:before="143"/>
              <w:ind w:right="382"/>
              <w:rPr>
                <w:sz w:val="18"/>
              </w:rPr>
            </w:pPr>
            <w:r>
              <w:rPr>
                <w:sz w:val="18"/>
              </w:rPr>
              <w:t>Área urbana continua</w:t>
            </w:r>
          </w:p>
        </w:tc>
        <w:tc>
          <w:tcPr>
            <w:tcW w:w="1250" w:type="dxa"/>
            <w:shd w:val="clear" w:color="auto" w:fill="EDEBE0"/>
          </w:tcPr>
          <w:p>
            <w:pPr>
              <w:pStyle w:val="TableParagraph"/>
              <w:spacing w:before="143"/>
              <w:ind w:left="312"/>
              <w:rPr>
                <w:sz w:val="18"/>
              </w:rPr>
            </w:pPr>
            <w:r>
              <w:rPr>
                <w:sz w:val="18"/>
              </w:rPr>
              <w:t>102.90</w:t>
            </w:r>
          </w:p>
        </w:tc>
        <w:tc>
          <w:tcPr>
            <w:tcW w:w="1199" w:type="dxa"/>
            <w:shd w:val="clear" w:color="auto" w:fill="EDEBE0"/>
          </w:tcPr>
          <w:p>
            <w:pPr>
              <w:pStyle w:val="TableParagraph"/>
              <w:spacing w:before="143"/>
              <w:ind w:left="366" w:right="241"/>
              <w:jc w:val="center"/>
              <w:rPr>
                <w:sz w:val="18"/>
              </w:rPr>
            </w:pPr>
            <w:r>
              <w:rPr>
                <w:sz w:val="18"/>
              </w:rPr>
              <w:t>131.86</w:t>
            </w:r>
          </w:p>
        </w:tc>
        <w:tc>
          <w:tcPr>
            <w:tcW w:w="1210" w:type="dxa"/>
            <w:shd w:val="clear" w:color="auto" w:fill="EDEBE0"/>
          </w:tcPr>
          <w:p>
            <w:pPr>
              <w:pStyle w:val="TableParagraph"/>
              <w:spacing w:before="143"/>
              <w:ind w:left="261"/>
              <w:rPr>
                <w:sz w:val="18"/>
              </w:rPr>
            </w:pPr>
            <w:r>
              <w:rPr>
                <w:sz w:val="18"/>
              </w:rPr>
              <w:t>162.58</w:t>
            </w:r>
          </w:p>
        </w:tc>
        <w:tc>
          <w:tcPr>
            <w:tcW w:w="1335" w:type="dxa"/>
            <w:shd w:val="clear" w:color="auto" w:fill="EDEBE0"/>
          </w:tcPr>
          <w:p>
            <w:pPr>
              <w:pStyle w:val="TableParagraph"/>
              <w:spacing w:before="143"/>
              <w:ind w:left="397"/>
              <w:rPr>
                <w:sz w:val="18"/>
              </w:rPr>
            </w:pPr>
            <w:r>
              <w:rPr>
                <w:sz w:val="18"/>
              </w:rPr>
              <w:t>191.79</w:t>
            </w:r>
          </w:p>
        </w:tc>
        <w:tc>
          <w:tcPr>
            <w:tcW w:w="1157" w:type="dxa"/>
            <w:shd w:val="clear" w:color="auto" w:fill="EDEBE0"/>
          </w:tcPr>
          <w:p>
            <w:pPr>
              <w:pStyle w:val="TableParagraph"/>
              <w:spacing w:before="143"/>
              <w:ind w:left="285"/>
              <w:rPr>
                <w:sz w:val="18"/>
              </w:rPr>
            </w:pPr>
            <w:r>
              <w:rPr>
                <w:sz w:val="18"/>
              </w:rPr>
              <w:t>227.37</w:t>
            </w:r>
          </w:p>
        </w:tc>
      </w:tr>
      <w:tr>
        <w:trPr>
          <w:trHeight w:val="216" w:hRule="exact"/>
        </w:trPr>
        <w:tc>
          <w:tcPr>
            <w:tcW w:w="2232" w:type="dxa"/>
          </w:tcPr>
          <w:p>
            <w:pPr>
              <w:pStyle w:val="TableParagraph"/>
              <w:spacing w:line="206" w:lineRule="exact"/>
              <w:ind w:right="382"/>
              <w:rPr>
                <w:sz w:val="18"/>
              </w:rPr>
            </w:pPr>
            <w:r>
              <w:rPr>
                <w:sz w:val="18"/>
              </w:rPr>
              <w:t>Chapultepec</w:t>
            </w:r>
          </w:p>
        </w:tc>
        <w:tc>
          <w:tcPr>
            <w:tcW w:w="1250" w:type="dxa"/>
          </w:tcPr>
          <w:p>
            <w:pPr>
              <w:pStyle w:val="TableParagraph"/>
              <w:spacing w:line="206" w:lineRule="exact"/>
              <w:ind w:left="312"/>
              <w:rPr>
                <w:sz w:val="18"/>
              </w:rPr>
            </w:pPr>
            <w:r>
              <w:rPr>
                <w:sz w:val="18"/>
              </w:rPr>
              <w:t>51.43</w:t>
            </w:r>
          </w:p>
        </w:tc>
        <w:tc>
          <w:tcPr>
            <w:tcW w:w="1199" w:type="dxa"/>
          </w:tcPr>
          <w:p>
            <w:pPr>
              <w:pStyle w:val="TableParagraph"/>
              <w:spacing w:line="206" w:lineRule="exact"/>
              <w:ind w:left="268" w:right="241"/>
              <w:jc w:val="center"/>
              <w:rPr>
                <w:sz w:val="18"/>
              </w:rPr>
            </w:pPr>
            <w:r>
              <w:rPr>
                <w:sz w:val="18"/>
              </w:rPr>
              <w:t>84.29</w:t>
            </w:r>
          </w:p>
        </w:tc>
        <w:tc>
          <w:tcPr>
            <w:tcW w:w="1210" w:type="dxa"/>
          </w:tcPr>
          <w:p>
            <w:pPr>
              <w:pStyle w:val="TableParagraph"/>
              <w:spacing w:line="206" w:lineRule="exact"/>
              <w:ind w:left="261"/>
              <w:rPr>
                <w:sz w:val="18"/>
              </w:rPr>
            </w:pPr>
            <w:r>
              <w:rPr>
                <w:sz w:val="18"/>
              </w:rPr>
              <w:t>99.41</w:t>
            </w:r>
          </w:p>
        </w:tc>
        <w:tc>
          <w:tcPr>
            <w:tcW w:w="1335" w:type="dxa"/>
          </w:tcPr>
          <w:p>
            <w:pPr>
              <w:pStyle w:val="TableParagraph"/>
              <w:spacing w:line="206" w:lineRule="exact"/>
              <w:ind w:left="397"/>
              <w:rPr>
                <w:sz w:val="18"/>
              </w:rPr>
            </w:pPr>
            <w:r>
              <w:rPr>
                <w:sz w:val="18"/>
              </w:rPr>
              <w:t>122.18</w:t>
            </w:r>
          </w:p>
        </w:tc>
        <w:tc>
          <w:tcPr>
            <w:tcW w:w="1157" w:type="dxa"/>
          </w:tcPr>
          <w:p>
            <w:pPr>
              <w:pStyle w:val="TableParagraph"/>
              <w:spacing w:line="206" w:lineRule="exact"/>
              <w:ind w:left="285"/>
              <w:rPr>
                <w:sz w:val="18"/>
              </w:rPr>
            </w:pPr>
            <w:r>
              <w:rPr>
                <w:sz w:val="18"/>
              </w:rPr>
              <w:t>203.45</w:t>
            </w:r>
          </w:p>
        </w:tc>
      </w:tr>
      <w:tr>
        <w:trPr>
          <w:trHeight w:val="208" w:hRule="exact"/>
        </w:trPr>
        <w:tc>
          <w:tcPr>
            <w:tcW w:w="2232" w:type="dxa"/>
          </w:tcPr>
          <w:p>
            <w:pPr>
              <w:pStyle w:val="TableParagraph"/>
              <w:spacing w:line="198" w:lineRule="exact"/>
              <w:ind w:right="382"/>
              <w:rPr>
                <w:sz w:val="18"/>
              </w:rPr>
            </w:pPr>
            <w:r>
              <w:rPr>
                <w:sz w:val="18"/>
              </w:rPr>
              <w:t>Ocoyoacac</w:t>
            </w:r>
          </w:p>
        </w:tc>
        <w:tc>
          <w:tcPr>
            <w:tcW w:w="1250" w:type="dxa"/>
          </w:tcPr>
          <w:p>
            <w:pPr>
              <w:pStyle w:val="TableParagraph"/>
              <w:spacing w:line="198" w:lineRule="exact"/>
              <w:ind w:left="312"/>
              <w:rPr>
                <w:sz w:val="18"/>
              </w:rPr>
            </w:pPr>
            <w:r>
              <w:rPr>
                <w:sz w:val="18"/>
              </w:rPr>
              <w:t>47.61</w:t>
            </w:r>
          </w:p>
        </w:tc>
        <w:tc>
          <w:tcPr>
            <w:tcW w:w="1199" w:type="dxa"/>
          </w:tcPr>
          <w:p>
            <w:pPr>
              <w:pStyle w:val="TableParagraph"/>
              <w:spacing w:line="198" w:lineRule="exact"/>
              <w:ind w:left="268" w:right="241"/>
              <w:jc w:val="center"/>
              <w:rPr>
                <w:sz w:val="18"/>
              </w:rPr>
            </w:pPr>
            <w:r>
              <w:rPr>
                <w:sz w:val="18"/>
              </w:rPr>
              <w:t>63.08</w:t>
            </w:r>
          </w:p>
        </w:tc>
        <w:tc>
          <w:tcPr>
            <w:tcW w:w="1210" w:type="dxa"/>
          </w:tcPr>
          <w:p>
            <w:pPr>
              <w:pStyle w:val="TableParagraph"/>
              <w:spacing w:line="198" w:lineRule="exact"/>
              <w:ind w:left="261"/>
              <w:rPr>
                <w:sz w:val="18"/>
              </w:rPr>
            </w:pPr>
            <w:r>
              <w:rPr>
                <w:sz w:val="18"/>
              </w:rPr>
              <w:t>74.92</w:t>
            </w:r>
          </w:p>
        </w:tc>
        <w:tc>
          <w:tcPr>
            <w:tcW w:w="1335" w:type="dxa"/>
          </w:tcPr>
          <w:p>
            <w:pPr>
              <w:pStyle w:val="TableParagraph"/>
              <w:spacing w:line="198" w:lineRule="exact"/>
              <w:ind w:left="397"/>
              <w:rPr>
                <w:sz w:val="18"/>
              </w:rPr>
            </w:pPr>
            <w:r>
              <w:rPr>
                <w:sz w:val="18"/>
              </w:rPr>
              <w:t>82.97</w:t>
            </w:r>
          </w:p>
        </w:tc>
        <w:tc>
          <w:tcPr>
            <w:tcW w:w="1157" w:type="dxa"/>
          </w:tcPr>
          <w:p>
            <w:pPr>
              <w:pStyle w:val="TableParagraph"/>
              <w:spacing w:line="198" w:lineRule="exact"/>
              <w:ind w:left="285"/>
              <w:rPr>
                <w:sz w:val="18"/>
              </w:rPr>
            </w:pPr>
            <w:r>
              <w:rPr>
                <w:sz w:val="18"/>
              </w:rPr>
              <w:t>103.31</w:t>
            </w:r>
          </w:p>
        </w:tc>
      </w:tr>
      <w:tr>
        <w:trPr>
          <w:trHeight w:val="208" w:hRule="exact"/>
        </w:trPr>
        <w:tc>
          <w:tcPr>
            <w:tcW w:w="2232" w:type="dxa"/>
          </w:tcPr>
          <w:p>
            <w:pPr>
              <w:pStyle w:val="TableParagraph"/>
              <w:spacing w:line="198" w:lineRule="exact"/>
              <w:ind w:right="382"/>
              <w:rPr>
                <w:sz w:val="18"/>
              </w:rPr>
            </w:pPr>
            <w:r>
              <w:rPr>
                <w:sz w:val="18"/>
              </w:rPr>
              <w:t>Rayón</w:t>
            </w:r>
          </w:p>
        </w:tc>
        <w:tc>
          <w:tcPr>
            <w:tcW w:w="1250" w:type="dxa"/>
          </w:tcPr>
          <w:p>
            <w:pPr>
              <w:pStyle w:val="TableParagraph"/>
              <w:spacing w:line="198" w:lineRule="exact"/>
              <w:ind w:left="312"/>
              <w:rPr>
                <w:sz w:val="18"/>
              </w:rPr>
            </w:pPr>
            <w:r>
              <w:rPr>
                <w:sz w:val="18"/>
              </w:rPr>
              <w:t>56.89</w:t>
            </w:r>
          </w:p>
        </w:tc>
        <w:tc>
          <w:tcPr>
            <w:tcW w:w="1199" w:type="dxa"/>
          </w:tcPr>
          <w:p>
            <w:pPr>
              <w:pStyle w:val="TableParagraph"/>
              <w:spacing w:line="198" w:lineRule="exact"/>
              <w:ind w:left="268" w:right="241"/>
              <w:jc w:val="center"/>
              <w:rPr>
                <w:sz w:val="18"/>
              </w:rPr>
            </w:pPr>
            <w:r>
              <w:rPr>
                <w:sz w:val="18"/>
              </w:rPr>
              <w:t>84.37</w:t>
            </w:r>
          </w:p>
        </w:tc>
        <w:tc>
          <w:tcPr>
            <w:tcW w:w="1210" w:type="dxa"/>
          </w:tcPr>
          <w:p>
            <w:pPr>
              <w:pStyle w:val="TableParagraph"/>
              <w:spacing w:line="198" w:lineRule="exact"/>
              <w:ind w:left="261"/>
              <w:rPr>
                <w:sz w:val="18"/>
              </w:rPr>
            </w:pPr>
            <w:r>
              <w:rPr>
                <w:sz w:val="18"/>
              </w:rPr>
              <w:t>81.70</w:t>
            </w:r>
          </w:p>
        </w:tc>
        <w:tc>
          <w:tcPr>
            <w:tcW w:w="1335" w:type="dxa"/>
          </w:tcPr>
          <w:p>
            <w:pPr>
              <w:pStyle w:val="TableParagraph"/>
              <w:spacing w:line="198" w:lineRule="exact"/>
              <w:ind w:left="397"/>
              <w:rPr>
                <w:sz w:val="18"/>
              </w:rPr>
            </w:pPr>
            <w:r>
              <w:rPr>
                <w:sz w:val="18"/>
              </w:rPr>
              <w:t>105.97</w:t>
            </w:r>
          </w:p>
        </w:tc>
        <w:tc>
          <w:tcPr>
            <w:tcW w:w="1157" w:type="dxa"/>
          </w:tcPr>
          <w:p>
            <w:pPr>
              <w:pStyle w:val="TableParagraph"/>
              <w:spacing w:line="198" w:lineRule="exact"/>
              <w:ind w:left="285"/>
              <w:rPr>
                <w:sz w:val="18"/>
              </w:rPr>
            </w:pPr>
            <w:r>
              <w:rPr>
                <w:sz w:val="18"/>
              </w:rPr>
              <w:t>137.57</w:t>
            </w:r>
          </w:p>
        </w:tc>
      </w:tr>
      <w:tr>
        <w:trPr>
          <w:trHeight w:val="206" w:hRule="exact"/>
        </w:trPr>
        <w:tc>
          <w:tcPr>
            <w:tcW w:w="2232" w:type="dxa"/>
          </w:tcPr>
          <w:p>
            <w:pPr>
              <w:pStyle w:val="TableParagraph"/>
              <w:spacing w:line="197" w:lineRule="exact"/>
              <w:ind w:right="382"/>
              <w:rPr>
                <w:sz w:val="18"/>
              </w:rPr>
            </w:pPr>
            <w:r>
              <w:rPr>
                <w:sz w:val="18"/>
              </w:rPr>
              <w:t>San Antonio la Isla</w:t>
            </w:r>
          </w:p>
        </w:tc>
        <w:tc>
          <w:tcPr>
            <w:tcW w:w="1250" w:type="dxa"/>
          </w:tcPr>
          <w:p>
            <w:pPr>
              <w:pStyle w:val="TableParagraph"/>
              <w:spacing w:line="197" w:lineRule="exact"/>
              <w:ind w:left="312"/>
              <w:rPr>
                <w:sz w:val="18"/>
              </w:rPr>
            </w:pPr>
            <w:r>
              <w:rPr>
                <w:sz w:val="18"/>
              </w:rPr>
              <w:t>49.92</w:t>
            </w:r>
          </w:p>
        </w:tc>
        <w:tc>
          <w:tcPr>
            <w:tcW w:w="1199" w:type="dxa"/>
          </w:tcPr>
          <w:p>
            <w:pPr>
              <w:pStyle w:val="TableParagraph"/>
              <w:spacing w:line="197" w:lineRule="exact"/>
              <w:ind w:left="268" w:right="241"/>
              <w:jc w:val="center"/>
              <w:rPr>
                <w:sz w:val="18"/>
              </w:rPr>
            </w:pPr>
            <w:r>
              <w:rPr>
                <w:sz w:val="18"/>
              </w:rPr>
              <w:t>74.23</w:t>
            </w:r>
          </w:p>
        </w:tc>
        <w:tc>
          <w:tcPr>
            <w:tcW w:w="1210" w:type="dxa"/>
          </w:tcPr>
          <w:p>
            <w:pPr>
              <w:pStyle w:val="TableParagraph"/>
              <w:spacing w:line="197" w:lineRule="exact"/>
              <w:ind w:left="261"/>
              <w:rPr>
                <w:sz w:val="18"/>
              </w:rPr>
            </w:pPr>
            <w:r>
              <w:rPr>
                <w:sz w:val="18"/>
              </w:rPr>
              <w:t>74.94</w:t>
            </w:r>
          </w:p>
        </w:tc>
        <w:tc>
          <w:tcPr>
            <w:tcW w:w="1335" w:type="dxa"/>
          </w:tcPr>
          <w:p>
            <w:pPr>
              <w:pStyle w:val="TableParagraph"/>
              <w:spacing w:line="197" w:lineRule="exact"/>
              <w:ind w:left="397"/>
              <w:rPr>
                <w:sz w:val="18"/>
              </w:rPr>
            </w:pPr>
            <w:r>
              <w:rPr>
                <w:sz w:val="18"/>
              </w:rPr>
              <w:t>92.78</w:t>
            </w:r>
          </w:p>
        </w:tc>
        <w:tc>
          <w:tcPr>
            <w:tcW w:w="1157" w:type="dxa"/>
          </w:tcPr>
          <w:p>
            <w:pPr>
              <w:pStyle w:val="TableParagraph"/>
              <w:spacing w:line="197" w:lineRule="exact"/>
              <w:ind w:left="285"/>
              <w:rPr>
                <w:sz w:val="18"/>
              </w:rPr>
            </w:pPr>
            <w:r>
              <w:rPr>
                <w:sz w:val="18"/>
              </w:rPr>
              <w:t>230.33</w:t>
            </w:r>
          </w:p>
        </w:tc>
      </w:tr>
      <w:tr>
        <w:trPr>
          <w:trHeight w:val="206" w:hRule="exact"/>
        </w:trPr>
        <w:tc>
          <w:tcPr>
            <w:tcW w:w="2232" w:type="dxa"/>
          </w:tcPr>
          <w:p>
            <w:pPr>
              <w:pStyle w:val="TableParagraph"/>
              <w:spacing w:line="197" w:lineRule="exact"/>
              <w:ind w:right="382"/>
              <w:rPr>
                <w:sz w:val="18"/>
              </w:rPr>
            </w:pPr>
            <w:r>
              <w:rPr>
                <w:sz w:val="18"/>
              </w:rPr>
              <w:t>Temoaya</w:t>
            </w:r>
          </w:p>
        </w:tc>
        <w:tc>
          <w:tcPr>
            <w:tcW w:w="1250" w:type="dxa"/>
          </w:tcPr>
          <w:p>
            <w:pPr>
              <w:pStyle w:val="TableParagraph"/>
              <w:spacing w:line="197" w:lineRule="exact"/>
              <w:ind w:left="312"/>
              <w:rPr>
                <w:sz w:val="18"/>
              </w:rPr>
            </w:pPr>
            <w:r>
              <w:rPr>
                <w:sz w:val="18"/>
              </w:rPr>
              <w:t>41.06</w:t>
            </w:r>
          </w:p>
        </w:tc>
        <w:tc>
          <w:tcPr>
            <w:tcW w:w="1199" w:type="dxa"/>
          </w:tcPr>
          <w:p>
            <w:pPr>
              <w:pStyle w:val="TableParagraph"/>
              <w:spacing w:line="197" w:lineRule="exact"/>
              <w:ind w:left="268" w:right="241"/>
              <w:jc w:val="center"/>
              <w:rPr>
                <w:sz w:val="18"/>
              </w:rPr>
            </w:pPr>
            <w:r>
              <w:rPr>
                <w:sz w:val="18"/>
              </w:rPr>
              <w:t>49.52</w:t>
            </w:r>
          </w:p>
        </w:tc>
        <w:tc>
          <w:tcPr>
            <w:tcW w:w="1210" w:type="dxa"/>
          </w:tcPr>
          <w:p>
            <w:pPr>
              <w:pStyle w:val="TableParagraph"/>
              <w:spacing w:line="197" w:lineRule="exact"/>
              <w:ind w:left="261"/>
              <w:rPr>
                <w:sz w:val="18"/>
              </w:rPr>
            </w:pPr>
            <w:r>
              <w:rPr>
                <w:sz w:val="18"/>
              </w:rPr>
              <w:t>62.01</w:t>
            </w:r>
          </w:p>
        </w:tc>
        <w:tc>
          <w:tcPr>
            <w:tcW w:w="1335" w:type="dxa"/>
          </w:tcPr>
          <w:p>
            <w:pPr>
              <w:pStyle w:val="TableParagraph"/>
              <w:spacing w:line="197" w:lineRule="exact"/>
              <w:ind w:left="397"/>
              <w:rPr>
                <w:sz w:val="18"/>
              </w:rPr>
            </w:pPr>
            <w:r>
              <w:rPr>
                <w:sz w:val="18"/>
              </w:rPr>
              <w:t>72.73</w:t>
            </w:r>
          </w:p>
        </w:tc>
        <w:tc>
          <w:tcPr>
            <w:tcW w:w="1157" w:type="dxa"/>
          </w:tcPr>
          <w:p>
            <w:pPr>
              <w:pStyle w:val="TableParagraph"/>
              <w:spacing w:line="197" w:lineRule="exact"/>
              <w:ind w:left="285"/>
              <w:rPr>
                <w:sz w:val="18"/>
              </w:rPr>
            </w:pPr>
            <w:r>
              <w:rPr>
                <w:sz w:val="18"/>
              </w:rPr>
              <w:t>90.05</w:t>
            </w:r>
          </w:p>
        </w:tc>
      </w:tr>
      <w:tr>
        <w:trPr>
          <w:trHeight w:val="197" w:hRule="exact"/>
        </w:trPr>
        <w:tc>
          <w:tcPr>
            <w:tcW w:w="2232" w:type="dxa"/>
          </w:tcPr>
          <w:p>
            <w:pPr>
              <w:pStyle w:val="TableParagraph"/>
              <w:spacing w:line="197" w:lineRule="exact"/>
              <w:ind w:right="382"/>
              <w:rPr>
                <w:sz w:val="18"/>
              </w:rPr>
            </w:pPr>
            <w:r>
              <w:rPr>
                <w:sz w:val="18"/>
              </w:rPr>
              <w:t>Xonacatlán</w:t>
            </w:r>
          </w:p>
        </w:tc>
        <w:tc>
          <w:tcPr>
            <w:tcW w:w="1250" w:type="dxa"/>
          </w:tcPr>
          <w:p>
            <w:pPr>
              <w:pStyle w:val="TableParagraph"/>
              <w:spacing w:line="197" w:lineRule="exact"/>
              <w:ind w:left="312"/>
              <w:rPr>
                <w:sz w:val="18"/>
              </w:rPr>
            </w:pPr>
            <w:r>
              <w:rPr>
                <w:sz w:val="18"/>
              </w:rPr>
              <w:t>148.02</w:t>
            </w:r>
          </w:p>
        </w:tc>
        <w:tc>
          <w:tcPr>
            <w:tcW w:w="1199" w:type="dxa"/>
          </w:tcPr>
          <w:p>
            <w:pPr>
              <w:pStyle w:val="TableParagraph"/>
              <w:spacing w:line="197" w:lineRule="exact"/>
              <w:ind w:left="366" w:right="241"/>
              <w:jc w:val="center"/>
              <w:rPr>
                <w:sz w:val="18"/>
              </w:rPr>
            </w:pPr>
            <w:r>
              <w:rPr>
                <w:sz w:val="18"/>
              </w:rPr>
              <w:t>199.82</w:t>
            </w:r>
          </w:p>
        </w:tc>
        <w:tc>
          <w:tcPr>
            <w:tcW w:w="1210" w:type="dxa"/>
          </w:tcPr>
          <w:p>
            <w:pPr>
              <w:pStyle w:val="TableParagraph"/>
              <w:spacing w:line="197" w:lineRule="exact"/>
              <w:ind w:left="261"/>
              <w:rPr>
                <w:sz w:val="18"/>
              </w:rPr>
            </w:pPr>
            <w:r>
              <w:rPr>
                <w:sz w:val="18"/>
              </w:rPr>
              <w:t>246.38</w:t>
            </w:r>
          </w:p>
        </w:tc>
        <w:tc>
          <w:tcPr>
            <w:tcW w:w="1335" w:type="dxa"/>
          </w:tcPr>
          <w:p>
            <w:pPr>
              <w:pStyle w:val="TableParagraph"/>
              <w:spacing w:line="197" w:lineRule="exact"/>
              <w:ind w:left="397"/>
              <w:rPr>
                <w:sz w:val="18"/>
              </w:rPr>
            </w:pPr>
            <w:r>
              <w:rPr>
                <w:sz w:val="18"/>
              </w:rPr>
              <w:t>283.16</w:t>
            </w:r>
          </w:p>
        </w:tc>
        <w:tc>
          <w:tcPr>
            <w:tcW w:w="1157" w:type="dxa"/>
          </w:tcPr>
          <w:p>
            <w:pPr>
              <w:pStyle w:val="TableParagraph"/>
              <w:spacing w:line="197" w:lineRule="exact"/>
              <w:ind w:left="285"/>
              <w:rPr>
                <w:sz w:val="18"/>
              </w:rPr>
            </w:pPr>
            <w:r>
              <w:rPr>
                <w:sz w:val="18"/>
              </w:rPr>
              <w:t>302.92</w:t>
            </w:r>
          </w:p>
        </w:tc>
      </w:tr>
      <w:tr>
        <w:trPr>
          <w:trHeight w:val="509" w:hRule="exact"/>
        </w:trPr>
        <w:tc>
          <w:tcPr>
            <w:tcW w:w="2232" w:type="dxa"/>
            <w:shd w:val="clear" w:color="auto" w:fill="EDEBE0"/>
          </w:tcPr>
          <w:p>
            <w:pPr>
              <w:pStyle w:val="TableParagraph"/>
              <w:spacing w:before="47"/>
              <w:ind w:right="382"/>
              <w:rPr>
                <w:sz w:val="18"/>
              </w:rPr>
            </w:pPr>
            <w:r>
              <w:rPr>
                <w:sz w:val="18"/>
              </w:rPr>
              <w:t>Interrelación funcional intermedia</w:t>
            </w:r>
          </w:p>
        </w:tc>
        <w:tc>
          <w:tcPr>
            <w:tcW w:w="1250" w:type="dxa"/>
            <w:shd w:val="clear" w:color="auto" w:fill="EDEBE0"/>
          </w:tcPr>
          <w:p>
            <w:pPr>
              <w:pStyle w:val="TableParagraph"/>
              <w:spacing w:before="150"/>
              <w:ind w:left="312"/>
              <w:rPr>
                <w:sz w:val="18"/>
              </w:rPr>
            </w:pPr>
            <w:r>
              <w:rPr>
                <w:sz w:val="18"/>
              </w:rPr>
              <w:t>53.01</w:t>
            </w:r>
          </w:p>
        </w:tc>
        <w:tc>
          <w:tcPr>
            <w:tcW w:w="1199" w:type="dxa"/>
            <w:shd w:val="clear" w:color="auto" w:fill="EDEBE0"/>
          </w:tcPr>
          <w:p>
            <w:pPr>
              <w:pStyle w:val="TableParagraph"/>
              <w:spacing w:before="150"/>
              <w:ind w:left="268" w:right="241"/>
              <w:jc w:val="center"/>
              <w:rPr>
                <w:sz w:val="18"/>
              </w:rPr>
            </w:pPr>
            <w:r>
              <w:rPr>
                <w:sz w:val="18"/>
              </w:rPr>
              <w:t>69.57</w:t>
            </w:r>
          </w:p>
        </w:tc>
        <w:tc>
          <w:tcPr>
            <w:tcW w:w="1210" w:type="dxa"/>
            <w:shd w:val="clear" w:color="auto" w:fill="EDEBE0"/>
          </w:tcPr>
          <w:p>
            <w:pPr>
              <w:pStyle w:val="TableParagraph"/>
              <w:spacing w:before="150"/>
              <w:ind w:left="261"/>
              <w:rPr>
                <w:sz w:val="18"/>
              </w:rPr>
            </w:pPr>
            <w:r>
              <w:rPr>
                <w:sz w:val="18"/>
              </w:rPr>
              <w:t>83.16</w:t>
            </w:r>
          </w:p>
        </w:tc>
        <w:tc>
          <w:tcPr>
            <w:tcW w:w="1335" w:type="dxa"/>
            <w:shd w:val="clear" w:color="auto" w:fill="EDEBE0"/>
          </w:tcPr>
          <w:p>
            <w:pPr>
              <w:pStyle w:val="TableParagraph"/>
              <w:spacing w:before="150"/>
              <w:ind w:left="397"/>
              <w:rPr>
                <w:sz w:val="18"/>
              </w:rPr>
            </w:pPr>
            <w:r>
              <w:rPr>
                <w:sz w:val="18"/>
              </w:rPr>
              <w:t>96.46</w:t>
            </w:r>
          </w:p>
        </w:tc>
        <w:tc>
          <w:tcPr>
            <w:tcW w:w="1157" w:type="dxa"/>
            <w:shd w:val="clear" w:color="auto" w:fill="EDEBE0"/>
          </w:tcPr>
          <w:p>
            <w:pPr>
              <w:pStyle w:val="TableParagraph"/>
              <w:spacing w:before="150"/>
              <w:ind w:left="285"/>
              <w:rPr>
                <w:sz w:val="18"/>
              </w:rPr>
            </w:pPr>
            <w:r>
              <w:rPr>
                <w:sz w:val="18"/>
              </w:rPr>
              <w:t>124.25</w:t>
            </w:r>
          </w:p>
        </w:tc>
      </w:tr>
      <w:tr>
        <w:trPr>
          <w:trHeight w:val="215" w:hRule="exact"/>
        </w:trPr>
        <w:tc>
          <w:tcPr>
            <w:tcW w:w="2232" w:type="dxa"/>
          </w:tcPr>
          <w:p>
            <w:pPr>
              <w:pStyle w:val="TableParagraph"/>
              <w:spacing w:line="206" w:lineRule="exact"/>
              <w:ind w:right="382"/>
              <w:rPr>
                <w:sz w:val="18"/>
              </w:rPr>
            </w:pPr>
            <w:r>
              <w:rPr>
                <w:sz w:val="18"/>
              </w:rPr>
              <w:t>Xalatlaco</w:t>
            </w:r>
          </w:p>
        </w:tc>
        <w:tc>
          <w:tcPr>
            <w:tcW w:w="1250" w:type="dxa"/>
          </w:tcPr>
          <w:p>
            <w:pPr>
              <w:pStyle w:val="TableParagraph"/>
              <w:spacing w:line="206" w:lineRule="exact"/>
              <w:ind w:left="312"/>
              <w:rPr>
                <w:sz w:val="18"/>
              </w:rPr>
            </w:pPr>
            <w:r>
              <w:rPr>
                <w:sz w:val="18"/>
              </w:rPr>
              <w:t>26.47</w:t>
            </w:r>
          </w:p>
        </w:tc>
        <w:tc>
          <w:tcPr>
            <w:tcW w:w="1199" w:type="dxa"/>
          </w:tcPr>
          <w:p>
            <w:pPr>
              <w:pStyle w:val="TableParagraph"/>
              <w:spacing w:line="206" w:lineRule="exact"/>
              <w:ind w:left="268" w:right="241"/>
              <w:jc w:val="center"/>
              <w:rPr>
                <w:sz w:val="18"/>
              </w:rPr>
            </w:pPr>
            <w:r>
              <w:rPr>
                <w:sz w:val="18"/>
              </w:rPr>
              <w:t>34.39</w:t>
            </w:r>
          </w:p>
        </w:tc>
        <w:tc>
          <w:tcPr>
            <w:tcW w:w="1210" w:type="dxa"/>
          </w:tcPr>
          <w:p>
            <w:pPr>
              <w:pStyle w:val="TableParagraph"/>
              <w:spacing w:line="206" w:lineRule="exact"/>
              <w:ind w:left="261"/>
              <w:rPr>
                <w:sz w:val="18"/>
              </w:rPr>
            </w:pPr>
            <w:r>
              <w:rPr>
                <w:sz w:val="18"/>
              </w:rPr>
              <w:t>41.39</w:t>
            </w:r>
          </w:p>
        </w:tc>
        <w:tc>
          <w:tcPr>
            <w:tcW w:w="1335" w:type="dxa"/>
          </w:tcPr>
          <w:p>
            <w:pPr>
              <w:pStyle w:val="TableParagraph"/>
              <w:spacing w:line="206" w:lineRule="exact"/>
              <w:ind w:left="397"/>
              <w:rPr>
                <w:sz w:val="18"/>
              </w:rPr>
            </w:pPr>
            <w:r>
              <w:rPr>
                <w:sz w:val="18"/>
              </w:rPr>
              <w:t>42.75</w:t>
            </w:r>
          </w:p>
        </w:tc>
        <w:tc>
          <w:tcPr>
            <w:tcW w:w="1157" w:type="dxa"/>
          </w:tcPr>
          <w:p>
            <w:pPr>
              <w:pStyle w:val="TableParagraph"/>
              <w:spacing w:line="206" w:lineRule="exact"/>
              <w:ind w:left="285"/>
              <w:rPr>
                <w:sz w:val="18"/>
              </w:rPr>
            </w:pPr>
            <w:r>
              <w:rPr>
                <w:sz w:val="18"/>
              </w:rPr>
              <w:t>60.79</w:t>
            </w:r>
          </w:p>
        </w:tc>
      </w:tr>
      <w:tr>
        <w:trPr>
          <w:trHeight w:val="220" w:hRule="exact"/>
        </w:trPr>
        <w:tc>
          <w:tcPr>
            <w:tcW w:w="2232" w:type="dxa"/>
          </w:tcPr>
          <w:p>
            <w:pPr>
              <w:pStyle w:val="TableParagraph"/>
              <w:spacing w:line="197" w:lineRule="exact"/>
              <w:ind w:right="382"/>
              <w:rPr>
                <w:sz w:val="18"/>
              </w:rPr>
            </w:pPr>
            <w:r>
              <w:rPr>
                <w:sz w:val="18"/>
              </w:rPr>
              <w:t>Almoloya del Río</w:t>
            </w:r>
          </w:p>
        </w:tc>
        <w:tc>
          <w:tcPr>
            <w:tcW w:w="1250" w:type="dxa"/>
          </w:tcPr>
          <w:p>
            <w:pPr>
              <w:pStyle w:val="TableParagraph"/>
              <w:spacing w:line="197" w:lineRule="exact"/>
              <w:ind w:left="312"/>
              <w:rPr>
                <w:sz w:val="18"/>
              </w:rPr>
            </w:pPr>
            <w:r>
              <w:rPr>
                <w:sz w:val="18"/>
              </w:rPr>
              <w:t>183.23</w:t>
            </w:r>
          </w:p>
        </w:tc>
        <w:tc>
          <w:tcPr>
            <w:tcW w:w="1199" w:type="dxa"/>
          </w:tcPr>
          <w:p>
            <w:pPr>
              <w:pStyle w:val="TableParagraph"/>
              <w:spacing w:line="197" w:lineRule="exact"/>
              <w:ind w:left="366" w:right="241"/>
              <w:jc w:val="center"/>
              <w:rPr>
                <w:sz w:val="18"/>
              </w:rPr>
            </w:pPr>
            <w:r>
              <w:rPr>
                <w:sz w:val="18"/>
              </w:rPr>
              <w:t>226.92</w:t>
            </w:r>
          </w:p>
        </w:tc>
        <w:tc>
          <w:tcPr>
            <w:tcW w:w="1210" w:type="dxa"/>
          </w:tcPr>
          <w:p>
            <w:pPr>
              <w:pStyle w:val="TableParagraph"/>
              <w:spacing w:line="197" w:lineRule="exact"/>
              <w:ind w:left="261"/>
              <w:rPr>
                <w:sz w:val="18"/>
              </w:rPr>
            </w:pPr>
            <w:r>
              <w:rPr>
                <w:sz w:val="18"/>
              </w:rPr>
              <w:t>275.54</w:t>
            </w:r>
          </w:p>
        </w:tc>
        <w:tc>
          <w:tcPr>
            <w:tcW w:w="1335" w:type="dxa"/>
          </w:tcPr>
          <w:p>
            <w:pPr>
              <w:pStyle w:val="TableParagraph"/>
              <w:spacing w:line="197" w:lineRule="exact"/>
              <w:ind w:left="397"/>
              <w:rPr>
                <w:sz w:val="18"/>
              </w:rPr>
            </w:pPr>
            <w:r>
              <w:rPr>
                <w:sz w:val="18"/>
              </w:rPr>
              <w:t>327.54</w:t>
            </w:r>
          </w:p>
        </w:tc>
        <w:tc>
          <w:tcPr>
            <w:tcW w:w="1157" w:type="dxa"/>
          </w:tcPr>
          <w:p>
            <w:pPr>
              <w:pStyle w:val="TableParagraph"/>
              <w:spacing w:line="197" w:lineRule="exact"/>
              <w:ind w:left="285"/>
              <w:rPr>
                <w:sz w:val="18"/>
              </w:rPr>
            </w:pPr>
            <w:r>
              <w:rPr>
                <w:sz w:val="18"/>
              </w:rPr>
              <w:t>373.69</w:t>
            </w:r>
          </w:p>
        </w:tc>
      </w:tr>
      <w:tr>
        <w:trPr>
          <w:trHeight w:val="220" w:hRule="exact"/>
        </w:trPr>
        <w:tc>
          <w:tcPr>
            <w:tcW w:w="2232" w:type="dxa"/>
          </w:tcPr>
          <w:p>
            <w:pPr>
              <w:pStyle w:val="TableParagraph"/>
              <w:spacing w:before="3"/>
              <w:ind w:right="382"/>
              <w:rPr>
                <w:sz w:val="18"/>
              </w:rPr>
            </w:pPr>
            <w:r>
              <w:rPr>
                <w:sz w:val="18"/>
              </w:rPr>
              <w:t>Atizapán</w:t>
            </w:r>
          </w:p>
        </w:tc>
        <w:tc>
          <w:tcPr>
            <w:tcW w:w="1250" w:type="dxa"/>
          </w:tcPr>
          <w:p>
            <w:pPr>
              <w:pStyle w:val="TableParagraph"/>
              <w:spacing w:before="3"/>
              <w:ind w:left="312"/>
              <w:rPr>
                <w:sz w:val="18"/>
              </w:rPr>
            </w:pPr>
            <w:r>
              <w:rPr>
                <w:sz w:val="18"/>
              </w:rPr>
              <w:t>111.07</w:t>
            </w:r>
          </w:p>
        </w:tc>
        <w:tc>
          <w:tcPr>
            <w:tcW w:w="1199" w:type="dxa"/>
          </w:tcPr>
          <w:p>
            <w:pPr>
              <w:pStyle w:val="TableParagraph"/>
              <w:spacing w:before="3"/>
              <w:ind w:left="366" w:right="241"/>
              <w:jc w:val="center"/>
              <w:rPr>
                <w:sz w:val="18"/>
              </w:rPr>
            </w:pPr>
            <w:r>
              <w:rPr>
                <w:sz w:val="18"/>
              </w:rPr>
              <w:t>164.76</w:t>
            </w:r>
          </w:p>
        </w:tc>
        <w:tc>
          <w:tcPr>
            <w:tcW w:w="1210" w:type="dxa"/>
          </w:tcPr>
          <w:p>
            <w:pPr>
              <w:pStyle w:val="TableParagraph"/>
              <w:spacing w:before="3"/>
              <w:ind w:left="261"/>
              <w:rPr>
                <w:sz w:val="18"/>
              </w:rPr>
            </w:pPr>
            <w:r>
              <w:rPr>
                <w:sz w:val="18"/>
              </w:rPr>
              <w:t>192.26</w:t>
            </w:r>
          </w:p>
        </w:tc>
        <w:tc>
          <w:tcPr>
            <w:tcW w:w="1335" w:type="dxa"/>
          </w:tcPr>
          <w:p>
            <w:pPr>
              <w:pStyle w:val="TableParagraph"/>
              <w:spacing w:before="3"/>
              <w:ind w:left="397"/>
              <w:rPr>
                <w:sz w:val="18"/>
              </w:rPr>
            </w:pPr>
            <w:r>
              <w:rPr>
                <w:sz w:val="18"/>
              </w:rPr>
              <w:t>219.05</w:t>
            </w:r>
          </w:p>
        </w:tc>
        <w:tc>
          <w:tcPr>
            <w:tcW w:w="1157" w:type="dxa"/>
          </w:tcPr>
          <w:p>
            <w:pPr>
              <w:pStyle w:val="TableParagraph"/>
              <w:spacing w:before="3"/>
              <w:ind w:left="285"/>
              <w:rPr>
                <w:sz w:val="18"/>
              </w:rPr>
            </w:pPr>
            <w:r>
              <w:rPr>
                <w:sz w:val="18"/>
              </w:rPr>
              <w:t>251.43</w:t>
            </w:r>
          </w:p>
        </w:tc>
      </w:tr>
      <w:tr>
        <w:trPr>
          <w:trHeight w:val="208" w:hRule="exact"/>
        </w:trPr>
        <w:tc>
          <w:tcPr>
            <w:tcW w:w="2232" w:type="dxa"/>
          </w:tcPr>
          <w:p>
            <w:pPr>
              <w:pStyle w:val="TableParagraph"/>
              <w:spacing w:line="197" w:lineRule="exact"/>
              <w:ind w:right="382"/>
              <w:rPr>
                <w:sz w:val="18"/>
              </w:rPr>
            </w:pPr>
            <w:r>
              <w:rPr>
                <w:sz w:val="18"/>
              </w:rPr>
              <w:t>Capulhuac</w:t>
            </w:r>
          </w:p>
        </w:tc>
        <w:tc>
          <w:tcPr>
            <w:tcW w:w="1250" w:type="dxa"/>
          </w:tcPr>
          <w:p>
            <w:pPr>
              <w:pStyle w:val="TableParagraph"/>
              <w:spacing w:line="197" w:lineRule="exact"/>
              <w:ind w:left="312"/>
              <w:rPr>
                <w:sz w:val="18"/>
              </w:rPr>
            </w:pPr>
            <w:r>
              <w:rPr>
                <w:sz w:val="18"/>
              </w:rPr>
              <w:t>175.07</w:t>
            </w:r>
          </w:p>
        </w:tc>
        <w:tc>
          <w:tcPr>
            <w:tcW w:w="1199" w:type="dxa"/>
          </w:tcPr>
          <w:p>
            <w:pPr>
              <w:pStyle w:val="TableParagraph"/>
              <w:spacing w:line="197" w:lineRule="exact"/>
              <w:ind w:left="366" w:right="241"/>
              <w:jc w:val="center"/>
              <w:rPr>
                <w:sz w:val="18"/>
              </w:rPr>
            </w:pPr>
            <w:r>
              <w:rPr>
                <w:sz w:val="18"/>
              </w:rPr>
              <w:t>240.23</w:t>
            </w:r>
          </w:p>
        </w:tc>
        <w:tc>
          <w:tcPr>
            <w:tcW w:w="1210" w:type="dxa"/>
          </w:tcPr>
          <w:p>
            <w:pPr>
              <w:pStyle w:val="TableParagraph"/>
              <w:spacing w:line="197" w:lineRule="exact"/>
              <w:ind w:left="261"/>
              <w:rPr>
                <w:sz w:val="18"/>
              </w:rPr>
            </w:pPr>
            <w:r>
              <w:rPr>
                <w:sz w:val="18"/>
              </w:rPr>
              <w:t>276.42</w:t>
            </w:r>
          </w:p>
        </w:tc>
        <w:tc>
          <w:tcPr>
            <w:tcW w:w="1335" w:type="dxa"/>
          </w:tcPr>
          <w:p>
            <w:pPr>
              <w:pStyle w:val="TableParagraph"/>
              <w:spacing w:line="197" w:lineRule="exact"/>
              <w:ind w:left="397"/>
              <w:rPr>
                <w:sz w:val="18"/>
              </w:rPr>
            </w:pPr>
            <w:r>
              <w:rPr>
                <w:sz w:val="18"/>
              </w:rPr>
              <w:t>308.93</w:t>
            </w:r>
          </w:p>
        </w:tc>
        <w:tc>
          <w:tcPr>
            <w:tcW w:w="1157" w:type="dxa"/>
          </w:tcPr>
          <w:p>
            <w:pPr>
              <w:pStyle w:val="TableParagraph"/>
              <w:spacing w:line="197" w:lineRule="exact"/>
              <w:ind w:left="285"/>
              <w:rPr>
                <w:sz w:val="18"/>
              </w:rPr>
            </w:pPr>
            <w:r>
              <w:rPr>
                <w:sz w:val="18"/>
              </w:rPr>
              <w:t>347.44</w:t>
            </w:r>
          </w:p>
        </w:tc>
      </w:tr>
      <w:tr>
        <w:trPr>
          <w:trHeight w:val="208" w:hRule="exact"/>
        </w:trPr>
        <w:tc>
          <w:tcPr>
            <w:tcW w:w="2232" w:type="dxa"/>
          </w:tcPr>
          <w:p>
            <w:pPr>
              <w:pStyle w:val="TableParagraph"/>
              <w:spacing w:line="198" w:lineRule="exact"/>
              <w:ind w:right="382"/>
              <w:rPr>
                <w:sz w:val="18"/>
              </w:rPr>
            </w:pPr>
            <w:r>
              <w:rPr>
                <w:sz w:val="18"/>
              </w:rPr>
              <w:t>Tenango del Valle</w:t>
            </w:r>
          </w:p>
        </w:tc>
        <w:tc>
          <w:tcPr>
            <w:tcW w:w="1250" w:type="dxa"/>
          </w:tcPr>
          <w:p>
            <w:pPr>
              <w:pStyle w:val="TableParagraph"/>
              <w:spacing w:line="198" w:lineRule="exact"/>
              <w:ind w:left="312"/>
              <w:rPr>
                <w:sz w:val="18"/>
              </w:rPr>
            </w:pPr>
            <w:r>
              <w:rPr>
                <w:sz w:val="18"/>
              </w:rPr>
              <w:t>40.58</w:t>
            </w:r>
          </w:p>
        </w:tc>
        <w:tc>
          <w:tcPr>
            <w:tcW w:w="1199" w:type="dxa"/>
          </w:tcPr>
          <w:p>
            <w:pPr>
              <w:pStyle w:val="TableParagraph"/>
              <w:spacing w:line="198" w:lineRule="exact"/>
              <w:ind w:left="268" w:right="241"/>
              <w:jc w:val="center"/>
              <w:rPr>
                <w:sz w:val="18"/>
              </w:rPr>
            </w:pPr>
            <w:r>
              <w:rPr>
                <w:sz w:val="18"/>
              </w:rPr>
              <w:t>51.13</w:t>
            </w:r>
          </w:p>
        </w:tc>
        <w:tc>
          <w:tcPr>
            <w:tcW w:w="1210" w:type="dxa"/>
          </w:tcPr>
          <w:p>
            <w:pPr>
              <w:pStyle w:val="TableParagraph"/>
              <w:spacing w:line="198" w:lineRule="exact"/>
              <w:ind w:left="261"/>
              <w:rPr>
                <w:sz w:val="18"/>
              </w:rPr>
            </w:pPr>
            <w:r>
              <w:rPr>
                <w:sz w:val="18"/>
              </w:rPr>
              <w:t>62.07</w:t>
            </w:r>
          </w:p>
        </w:tc>
        <w:tc>
          <w:tcPr>
            <w:tcW w:w="1335" w:type="dxa"/>
          </w:tcPr>
          <w:p>
            <w:pPr>
              <w:pStyle w:val="TableParagraph"/>
              <w:spacing w:line="198" w:lineRule="exact"/>
              <w:ind w:left="397"/>
              <w:rPr>
                <w:sz w:val="18"/>
              </w:rPr>
            </w:pPr>
            <w:r>
              <w:rPr>
                <w:sz w:val="18"/>
              </w:rPr>
              <w:t>68.99</w:t>
            </w:r>
          </w:p>
        </w:tc>
        <w:tc>
          <w:tcPr>
            <w:tcW w:w="1157" w:type="dxa"/>
          </w:tcPr>
          <w:p>
            <w:pPr>
              <w:pStyle w:val="TableParagraph"/>
              <w:spacing w:line="198" w:lineRule="exact"/>
              <w:ind w:left="285"/>
              <w:rPr>
                <w:sz w:val="18"/>
              </w:rPr>
            </w:pPr>
            <w:r>
              <w:rPr>
                <w:sz w:val="18"/>
              </w:rPr>
              <w:t>83.12</w:t>
            </w:r>
          </w:p>
        </w:tc>
      </w:tr>
      <w:tr>
        <w:trPr>
          <w:trHeight w:val="206" w:hRule="exact"/>
        </w:trPr>
        <w:tc>
          <w:tcPr>
            <w:tcW w:w="2232" w:type="dxa"/>
          </w:tcPr>
          <w:p>
            <w:pPr>
              <w:pStyle w:val="TableParagraph"/>
              <w:spacing w:line="197" w:lineRule="exact"/>
              <w:ind w:right="382"/>
              <w:rPr>
                <w:sz w:val="18"/>
              </w:rPr>
            </w:pPr>
            <w:r>
              <w:rPr>
                <w:sz w:val="18"/>
              </w:rPr>
              <w:t>Texcalyacac</w:t>
            </w:r>
          </w:p>
        </w:tc>
        <w:tc>
          <w:tcPr>
            <w:tcW w:w="1250" w:type="dxa"/>
          </w:tcPr>
          <w:p>
            <w:pPr>
              <w:pStyle w:val="TableParagraph"/>
              <w:spacing w:line="197" w:lineRule="exact"/>
              <w:ind w:left="312"/>
              <w:rPr>
                <w:sz w:val="18"/>
              </w:rPr>
            </w:pPr>
            <w:r>
              <w:rPr>
                <w:sz w:val="18"/>
              </w:rPr>
              <w:t>29.61</w:t>
            </w:r>
          </w:p>
        </w:tc>
        <w:tc>
          <w:tcPr>
            <w:tcW w:w="1199" w:type="dxa"/>
          </w:tcPr>
          <w:p>
            <w:pPr>
              <w:pStyle w:val="TableParagraph"/>
              <w:spacing w:line="197" w:lineRule="exact"/>
              <w:ind w:left="268" w:right="241"/>
              <w:jc w:val="center"/>
              <w:rPr>
                <w:sz w:val="18"/>
              </w:rPr>
            </w:pPr>
            <w:r>
              <w:rPr>
                <w:sz w:val="18"/>
              </w:rPr>
              <w:t>42.79</w:t>
            </w:r>
          </w:p>
        </w:tc>
        <w:tc>
          <w:tcPr>
            <w:tcW w:w="1210" w:type="dxa"/>
          </w:tcPr>
          <w:p>
            <w:pPr>
              <w:pStyle w:val="TableParagraph"/>
              <w:spacing w:line="197" w:lineRule="exact"/>
              <w:ind w:left="261"/>
              <w:rPr>
                <w:sz w:val="18"/>
              </w:rPr>
            </w:pPr>
            <w:r>
              <w:rPr>
                <w:sz w:val="18"/>
              </w:rPr>
              <w:t>48.32</w:t>
            </w:r>
          </w:p>
        </w:tc>
        <w:tc>
          <w:tcPr>
            <w:tcW w:w="1335" w:type="dxa"/>
          </w:tcPr>
          <w:p>
            <w:pPr>
              <w:pStyle w:val="TableParagraph"/>
              <w:spacing w:line="197" w:lineRule="exact"/>
              <w:ind w:left="397"/>
              <w:rPr>
                <w:sz w:val="18"/>
              </w:rPr>
            </w:pPr>
            <w:r>
              <w:rPr>
                <w:sz w:val="18"/>
              </w:rPr>
              <w:t>55.98</w:t>
            </w:r>
          </w:p>
        </w:tc>
        <w:tc>
          <w:tcPr>
            <w:tcW w:w="1157" w:type="dxa"/>
          </w:tcPr>
          <w:p>
            <w:pPr>
              <w:pStyle w:val="TableParagraph"/>
              <w:spacing w:line="197" w:lineRule="exact"/>
              <w:ind w:left="285"/>
              <w:rPr>
                <w:sz w:val="18"/>
              </w:rPr>
            </w:pPr>
            <w:r>
              <w:rPr>
                <w:sz w:val="18"/>
              </w:rPr>
              <w:t>69.61</w:t>
            </w:r>
          </w:p>
        </w:tc>
      </w:tr>
      <w:tr>
        <w:trPr>
          <w:trHeight w:val="197" w:hRule="exact"/>
        </w:trPr>
        <w:tc>
          <w:tcPr>
            <w:tcW w:w="2232" w:type="dxa"/>
          </w:tcPr>
          <w:p>
            <w:pPr>
              <w:pStyle w:val="TableParagraph"/>
              <w:spacing w:line="197" w:lineRule="exact"/>
              <w:ind w:right="382"/>
              <w:rPr>
                <w:sz w:val="18"/>
              </w:rPr>
            </w:pPr>
            <w:r>
              <w:rPr>
                <w:sz w:val="18"/>
              </w:rPr>
              <w:t>Tianguistenco</w:t>
            </w:r>
          </w:p>
        </w:tc>
        <w:tc>
          <w:tcPr>
            <w:tcW w:w="1250" w:type="dxa"/>
          </w:tcPr>
          <w:p>
            <w:pPr>
              <w:pStyle w:val="TableParagraph"/>
              <w:spacing w:line="197" w:lineRule="exact"/>
              <w:ind w:left="312"/>
              <w:rPr>
                <w:sz w:val="18"/>
              </w:rPr>
            </w:pPr>
            <w:r>
              <w:rPr>
                <w:sz w:val="18"/>
              </w:rPr>
              <w:t>61.41</w:t>
            </w:r>
          </w:p>
        </w:tc>
        <w:tc>
          <w:tcPr>
            <w:tcW w:w="1199" w:type="dxa"/>
          </w:tcPr>
          <w:p>
            <w:pPr>
              <w:pStyle w:val="TableParagraph"/>
              <w:spacing w:line="197" w:lineRule="exact"/>
              <w:ind w:left="268" w:right="241"/>
              <w:jc w:val="center"/>
              <w:rPr>
                <w:sz w:val="18"/>
              </w:rPr>
            </w:pPr>
            <w:r>
              <w:rPr>
                <w:sz w:val="18"/>
              </w:rPr>
              <w:t>77.11</w:t>
            </w:r>
          </w:p>
        </w:tc>
        <w:tc>
          <w:tcPr>
            <w:tcW w:w="1210" w:type="dxa"/>
          </w:tcPr>
          <w:p>
            <w:pPr>
              <w:pStyle w:val="TableParagraph"/>
              <w:spacing w:line="197" w:lineRule="exact"/>
              <w:ind w:left="261"/>
              <w:rPr>
                <w:sz w:val="18"/>
              </w:rPr>
            </w:pPr>
            <w:r>
              <w:rPr>
                <w:sz w:val="18"/>
              </w:rPr>
              <w:t>94.12</w:t>
            </w:r>
          </w:p>
        </w:tc>
        <w:tc>
          <w:tcPr>
            <w:tcW w:w="1335" w:type="dxa"/>
          </w:tcPr>
          <w:p>
            <w:pPr>
              <w:pStyle w:val="TableParagraph"/>
              <w:spacing w:line="197" w:lineRule="exact"/>
              <w:ind w:left="397"/>
              <w:rPr>
                <w:sz w:val="18"/>
              </w:rPr>
            </w:pPr>
            <w:r>
              <w:rPr>
                <w:sz w:val="18"/>
              </w:rPr>
              <w:t>106.28</w:t>
            </w:r>
          </w:p>
        </w:tc>
        <w:tc>
          <w:tcPr>
            <w:tcW w:w="1157" w:type="dxa"/>
          </w:tcPr>
          <w:p>
            <w:pPr>
              <w:pStyle w:val="TableParagraph"/>
              <w:spacing w:line="197" w:lineRule="exact"/>
              <w:ind w:left="285"/>
              <w:rPr>
                <w:sz w:val="18"/>
              </w:rPr>
            </w:pPr>
            <w:r>
              <w:rPr>
                <w:sz w:val="18"/>
              </w:rPr>
              <w:t>127.88</w:t>
            </w:r>
          </w:p>
        </w:tc>
      </w:tr>
      <w:tr>
        <w:trPr>
          <w:trHeight w:val="530" w:hRule="exact"/>
        </w:trPr>
        <w:tc>
          <w:tcPr>
            <w:tcW w:w="2232" w:type="dxa"/>
            <w:tcBorders>
              <w:bottom w:val="single" w:sz="4" w:space="0" w:color="000000"/>
            </w:tcBorders>
            <w:shd w:val="clear" w:color="auto" w:fill="EDEBE0"/>
          </w:tcPr>
          <w:p>
            <w:pPr>
              <w:pStyle w:val="TableParagraph"/>
              <w:spacing w:before="54"/>
              <w:ind w:right="292"/>
              <w:rPr>
                <w:sz w:val="18"/>
              </w:rPr>
            </w:pPr>
            <w:r>
              <w:rPr>
                <w:sz w:val="18"/>
              </w:rPr>
              <w:t>Relación externa, resto municipios</w:t>
            </w:r>
          </w:p>
        </w:tc>
        <w:tc>
          <w:tcPr>
            <w:tcW w:w="1250" w:type="dxa"/>
            <w:tcBorders>
              <w:bottom w:val="single" w:sz="4" w:space="0" w:color="000000"/>
            </w:tcBorders>
            <w:shd w:val="clear" w:color="auto" w:fill="EDEBE0"/>
          </w:tcPr>
          <w:p>
            <w:pPr>
              <w:pStyle w:val="TableParagraph"/>
              <w:spacing w:before="157"/>
              <w:ind w:left="312"/>
              <w:rPr>
                <w:sz w:val="18"/>
              </w:rPr>
            </w:pPr>
            <w:r>
              <w:rPr>
                <w:sz w:val="18"/>
              </w:rPr>
              <w:t>51.95</w:t>
            </w:r>
          </w:p>
        </w:tc>
        <w:tc>
          <w:tcPr>
            <w:tcW w:w="1199" w:type="dxa"/>
            <w:tcBorders>
              <w:bottom w:val="single" w:sz="4" w:space="0" w:color="000000"/>
            </w:tcBorders>
            <w:shd w:val="clear" w:color="auto" w:fill="EDEBE0"/>
          </w:tcPr>
          <w:p>
            <w:pPr>
              <w:pStyle w:val="TableParagraph"/>
              <w:spacing w:before="157"/>
              <w:ind w:left="268" w:right="241"/>
              <w:jc w:val="center"/>
              <w:rPr>
                <w:sz w:val="18"/>
              </w:rPr>
            </w:pPr>
            <w:r>
              <w:rPr>
                <w:sz w:val="18"/>
              </w:rPr>
              <w:t>67.06</w:t>
            </w:r>
          </w:p>
        </w:tc>
        <w:tc>
          <w:tcPr>
            <w:tcW w:w="1210" w:type="dxa"/>
            <w:tcBorders>
              <w:bottom w:val="single" w:sz="4" w:space="0" w:color="000000"/>
            </w:tcBorders>
            <w:shd w:val="clear" w:color="auto" w:fill="EDEBE0"/>
          </w:tcPr>
          <w:p>
            <w:pPr>
              <w:pStyle w:val="TableParagraph"/>
              <w:spacing w:before="157"/>
              <w:ind w:left="261"/>
              <w:rPr>
                <w:sz w:val="18"/>
              </w:rPr>
            </w:pPr>
            <w:r>
              <w:rPr>
                <w:sz w:val="18"/>
              </w:rPr>
              <w:t>80.51</w:t>
            </w:r>
          </w:p>
        </w:tc>
        <w:tc>
          <w:tcPr>
            <w:tcW w:w="1335" w:type="dxa"/>
            <w:tcBorders>
              <w:bottom w:val="single" w:sz="4" w:space="0" w:color="000000"/>
            </w:tcBorders>
            <w:shd w:val="clear" w:color="auto" w:fill="EDEBE0"/>
          </w:tcPr>
          <w:p>
            <w:pPr>
              <w:pStyle w:val="TableParagraph"/>
              <w:spacing w:before="157"/>
              <w:ind w:left="397"/>
              <w:rPr>
                <w:sz w:val="18"/>
              </w:rPr>
            </w:pPr>
            <w:r>
              <w:rPr>
                <w:sz w:val="18"/>
              </w:rPr>
              <w:t>89.82</w:t>
            </w:r>
          </w:p>
        </w:tc>
        <w:tc>
          <w:tcPr>
            <w:tcW w:w="1157" w:type="dxa"/>
            <w:tcBorders>
              <w:bottom w:val="single" w:sz="4" w:space="0" w:color="000000"/>
            </w:tcBorders>
            <w:shd w:val="clear" w:color="auto" w:fill="EDEBE0"/>
          </w:tcPr>
          <w:p>
            <w:pPr>
              <w:pStyle w:val="TableParagraph"/>
              <w:spacing w:before="157"/>
              <w:ind w:left="285"/>
              <w:rPr>
                <w:sz w:val="18"/>
              </w:rPr>
            </w:pPr>
            <w:r>
              <w:rPr>
                <w:sz w:val="18"/>
              </w:rPr>
              <w:t>108.45</w:t>
            </w:r>
          </w:p>
        </w:tc>
      </w:tr>
    </w:tbl>
    <w:p>
      <w:pPr>
        <w:spacing w:line="240" w:lineRule="auto" w:before="0"/>
        <w:ind w:left="105" w:right="109" w:hanging="3"/>
        <w:jc w:val="center"/>
        <w:rPr>
          <w:sz w:val="20"/>
        </w:rPr>
      </w:pPr>
      <w:r>
        <w:rPr>
          <w:sz w:val="20"/>
        </w:rPr>
        <w:t>Fuente: Elaboración propia con información del XI Censo General de Población y Vivienda 1990, Conteo de Población y Vivienda 1995, XII Censo General de Población y Vivienda 2000, II Conteo de Población y Vivienda 2005 y Censo de Población y Vivienda 2010 (ITER 1990,1995,2000,</w:t>
      </w:r>
      <w:r>
        <w:rPr>
          <w:spacing w:val="-31"/>
          <w:sz w:val="20"/>
        </w:rPr>
        <w:t> </w:t>
      </w:r>
      <w:r>
        <w:rPr>
          <w:sz w:val="20"/>
        </w:rPr>
        <w:t>2005 y</w:t>
      </w:r>
      <w:r>
        <w:rPr>
          <w:spacing w:val="-5"/>
          <w:sz w:val="20"/>
        </w:rPr>
        <w:t> </w:t>
      </w:r>
      <w:r>
        <w:rPr>
          <w:sz w:val="20"/>
        </w:rPr>
        <w:t>2010)</w:t>
      </w:r>
    </w:p>
    <w:p>
      <w:pPr>
        <w:spacing w:after="0" w:line="240" w:lineRule="auto"/>
        <w:jc w:val="center"/>
        <w:rPr>
          <w:sz w:val="20"/>
        </w:rPr>
        <w:sectPr>
          <w:pgSz w:w="12240" w:h="15840"/>
          <w:pgMar w:header="0" w:footer="659" w:top="1360" w:bottom="840" w:left="1640" w:right="1640"/>
        </w:sectPr>
      </w:pPr>
    </w:p>
    <w:p>
      <w:pPr>
        <w:spacing w:before="53" w:after="4"/>
        <w:ind w:left="1813" w:right="296" w:firstLine="0"/>
        <w:jc w:val="left"/>
        <w:rPr>
          <w:sz w:val="20"/>
        </w:rPr>
      </w:pPr>
      <w:r>
        <w:rPr>
          <w:sz w:val="20"/>
        </w:rPr>
        <w:t>Cuadro A. 4.10 Consumo de suelo por habitante 1990-2010.</w:t>
      </w:r>
    </w:p>
    <w:tbl>
      <w:tblPr>
        <w:tblW w:w="0" w:type="auto"/>
        <w:jc w:val="left"/>
        <w:tblInd w:w="10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2887"/>
        <w:gridCol w:w="867"/>
        <w:gridCol w:w="1191"/>
        <w:gridCol w:w="1191"/>
        <w:gridCol w:w="1191"/>
        <w:gridCol w:w="1515"/>
      </w:tblGrid>
      <w:tr>
        <w:trPr>
          <w:trHeight w:val="336" w:hRule="exact"/>
        </w:trPr>
        <w:tc>
          <w:tcPr>
            <w:tcW w:w="2887" w:type="dxa"/>
            <w:tcBorders>
              <w:left w:val="nil"/>
              <w:right w:val="nil"/>
            </w:tcBorders>
          </w:tcPr>
          <w:p>
            <w:pPr>
              <w:pStyle w:val="TableParagraph"/>
              <w:spacing w:before="4"/>
              <w:rPr>
                <w:sz w:val="18"/>
              </w:rPr>
            </w:pPr>
            <w:r>
              <w:rPr>
                <w:sz w:val="18"/>
              </w:rPr>
              <w:t>MUNICIPIO</w:t>
            </w:r>
          </w:p>
        </w:tc>
        <w:tc>
          <w:tcPr>
            <w:tcW w:w="867" w:type="dxa"/>
            <w:tcBorders>
              <w:left w:val="nil"/>
              <w:right w:val="nil"/>
            </w:tcBorders>
          </w:tcPr>
          <w:p>
            <w:pPr>
              <w:pStyle w:val="TableParagraph"/>
              <w:spacing w:before="4"/>
              <w:ind w:left="70"/>
              <w:rPr>
                <w:sz w:val="18"/>
              </w:rPr>
            </w:pPr>
            <w:r>
              <w:rPr>
                <w:sz w:val="18"/>
              </w:rPr>
              <w:t>1990</w:t>
            </w:r>
          </w:p>
        </w:tc>
        <w:tc>
          <w:tcPr>
            <w:tcW w:w="1191" w:type="dxa"/>
            <w:tcBorders>
              <w:left w:val="nil"/>
              <w:right w:val="nil"/>
            </w:tcBorders>
          </w:tcPr>
          <w:p>
            <w:pPr>
              <w:pStyle w:val="TableParagraph"/>
              <w:spacing w:before="4"/>
              <w:ind w:left="375" w:right="375"/>
              <w:jc w:val="center"/>
              <w:rPr>
                <w:sz w:val="18"/>
              </w:rPr>
            </w:pPr>
            <w:r>
              <w:rPr>
                <w:sz w:val="18"/>
              </w:rPr>
              <w:t>1995</w:t>
            </w:r>
          </w:p>
        </w:tc>
        <w:tc>
          <w:tcPr>
            <w:tcW w:w="1191" w:type="dxa"/>
            <w:tcBorders>
              <w:left w:val="nil"/>
              <w:right w:val="nil"/>
            </w:tcBorders>
          </w:tcPr>
          <w:p>
            <w:pPr>
              <w:pStyle w:val="TableParagraph"/>
              <w:spacing w:before="4"/>
              <w:ind w:left="375" w:right="375"/>
              <w:jc w:val="center"/>
              <w:rPr>
                <w:sz w:val="18"/>
              </w:rPr>
            </w:pPr>
            <w:r>
              <w:rPr>
                <w:sz w:val="18"/>
              </w:rPr>
              <w:t>2000</w:t>
            </w:r>
          </w:p>
        </w:tc>
        <w:tc>
          <w:tcPr>
            <w:tcW w:w="1191" w:type="dxa"/>
            <w:tcBorders>
              <w:left w:val="nil"/>
              <w:right w:val="nil"/>
            </w:tcBorders>
          </w:tcPr>
          <w:p>
            <w:pPr>
              <w:pStyle w:val="TableParagraph"/>
              <w:spacing w:before="4"/>
              <w:ind w:left="393"/>
              <w:rPr>
                <w:sz w:val="18"/>
              </w:rPr>
            </w:pPr>
            <w:r>
              <w:rPr>
                <w:sz w:val="18"/>
              </w:rPr>
              <w:t>2005</w:t>
            </w:r>
          </w:p>
        </w:tc>
        <w:tc>
          <w:tcPr>
            <w:tcW w:w="1515" w:type="dxa"/>
            <w:tcBorders>
              <w:left w:val="nil"/>
              <w:right w:val="nil"/>
            </w:tcBorders>
          </w:tcPr>
          <w:p>
            <w:pPr>
              <w:pStyle w:val="TableParagraph"/>
              <w:spacing w:before="4"/>
              <w:ind w:left="393"/>
              <w:rPr>
                <w:sz w:val="18"/>
              </w:rPr>
            </w:pPr>
            <w:r>
              <w:rPr>
                <w:sz w:val="18"/>
              </w:rPr>
              <w:t>2010</w:t>
            </w:r>
          </w:p>
        </w:tc>
      </w:tr>
      <w:tr>
        <w:trPr>
          <w:trHeight w:val="278" w:hRule="exact"/>
        </w:trPr>
        <w:tc>
          <w:tcPr>
            <w:tcW w:w="2887" w:type="dxa"/>
            <w:tcBorders>
              <w:left w:val="nil"/>
              <w:bottom w:val="nil"/>
              <w:right w:val="nil"/>
            </w:tcBorders>
          </w:tcPr>
          <w:p>
            <w:pPr>
              <w:pStyle w:val="TableParagraph"/>
              <w:spacing w:line="206" w:lineRule="exact"/>
              <w:rPr>
                <w:sz w:val="18"/>
              </w:rPr>
            </w:pPr>
            <w:r>
              <w:rPr>
                <w:sz w:val="18"/>
              </w:rPr>
              <w:t>Lerma</w:t>
            </w:r>
          </w:p>
        </w:tc>
        <w:tc>
          <w:tcPr>
            <w:tcW w:w="867" w:type="dxa"/>
            <w:tcBorders>
              <w:left w:val="nil"/>
              <w:bottom w:val="nil"/>
              <w:right w:val="nil"/>
            </w:tcBorders>
          </w:tcPr>
          <w:p>
            <w:pPr>
              <w:pStyle w:val="TableParagraph"/>
              <w:spacing w:line="206" w:lineRule="exact"/>
              <w:ind w:left="70"/>
              <w:rPr>
                <w:sz w:val="18"/>
              </w:rPr>
            </w:pPr>
            <w:r>
              <w:rPr>
                <w:sz w:val="18"/>
              </w:rPr>
              <w:t>3.42</w:t>
            </w:r>
          </w:p>
        </w:tc>
        <w:tc>
          <w:tcPr>
            <w:tcW w:w="1191" w:type="dxa"/>
            <w:tcBorders>
              <w:left w:val="nil"/>
              <w:bottom w:val="nil"/>
              <w:right w:val="nil"/>
            </w:tcBorders>
          </w:tcPr>
          <w:p>
            <w:pPr>
              <w:pStyle w:val="TableParagraph"/>
              <w:spacing w:line="206" w:lineRule="exact"/>
              <w:ind w:left="326" w:right="375"/>
              <w:jc w:val="center"/>
              <w:rPr>
                <w:sz w:val="18"/>
              </w:rPr>
            </w:pPr>
            <w:r>
              <w:rPr>
                <w:sz w:val="18"/>
              </w:rPr>
              <w:t>2.82</w:t>
            </w:r>
          </w:p>
        </w:tc>
        <w:tc>
          <w:tcPr>
            <w:tcW w:w="1191" w:type="dxa"/>
            <w:tcBorders>
              <w:left w:val="nil"/>
              <w:bottom w:val="nil"/>
              <w:right w:val="nil"/>
            </w:tcBorders>
          </w:tcPr>
          <w:p>
            <w:pPr>
              <w:pStyle w:val="TableParagraph"/>
              <w:spacing w:line="206" w:lineRule="exact"/>
              <w:ind w:left="326" w:right="375"/>
              <w:jc w:val="center"/>
              <w:rPr>
                <w:sz w:val="18"/>
              </w:rPr>
            </w:pPr>
            <w:r>
              <w:rPr>
                <w:sz w:val="18"/>
              </w:rPr>
              <w:t>2.29</w:t>
            </w:r>
          </w:p>
        </w:tc>
        <w:tc>
          <w:tcPr>
            <w:tcW w:w="1191" w:type="dxa"/>
            <w:tcBorders>
              <w:left w:val="nil"/>
              <w:bottom w:val="nil"/>
              <w:right w:val="nil"/>
            </w:tcBorders>
          </w:tcPr>
          <w:p>
            <w:pPr>
              <w:pStyle w:val="TableParagraph"/>
              <w:spacing w:line="206" w:lineRule="exact"/>
              <w:ind w:left="393"/>
              <w:rPr>
                <w:sz w:val="18"/>
              </w:rPr>
            </w:pPr>
            <w:r>
              <w:rPr>
                <w:sz w:val="18"/>
              </w:rPr>
              <w:t>2.17</w:t>
            </w:r>
          </w:p>
        </w:tc>
        <w:tc>
          <w:tcPr>
            <w:tcW w:w="1515" w:type="dxa"/>
            <w:tcBorders>
              <w:left w:val="nil"/>
              <w:bottom w:val="nil"/>
              <w:right w:val="nil"/>
            </w:tcBorders>
          </w:tcPr>
          <w:p>
            <w:pPr>
              <w:pStyle w:val="TableParagraph"/>
              <w:spacing w:line="206" w:lineRule="exact"/>
              <w:ind w:left="393"/>
              <w:rPr>
                <w:sz w:val="18"/>
              </w:rPr>
            </w:pPr>
            <w:r>
              <w:rPr>
                <w:sz w:val="18"/>
              </w:rPr>
              <w:t>1.70</w:t>
            </w:r>
          </w:p>
        </w:tc>
      </w:tr>
      <w:tr>
        <w:trPr>
          <w:trHeight w:val="311" w:hRule="exact"/>
        </w:trPr>
        <w:tc>
          <w:tcPr>
            <w:tcW w:w="2887" w:type="dxa"/>
            <w:tcBorders>
              <w:top w:val="nil"/>
              <w:left w:val="nil"/>
              <w:bottom w:val="nil"/>
              <w:right w:val="nil"/>
            </w:tcBorders>
          </w:tcPr>
          <w:p>
            <w:pPr>
              <w:pStyle w:val="TableParagraph"/>
              <w:spacing w:before="43"/>
              <w:rPr>
                <w:sz w:val="18"/>
              </w:rPr>
            </w:pPr>
            <w:r>
              <w:rPr>
                <w:sz w:val="18"/>
              </w:rPr>
              <w:t>Metepec</w:t>
            </w:r>
          </w:p>
        </w:tc>
        <w:tc>
          <w:tcPr>
            <w:tcW w:w="867" w:type="dxa"/>
            <w:tcBorders>
              <w:top w:val="nil"/>
              <w:left w:val="nil"/>
              <w:bottom w:val="nil"/>
              <w:right w:val="nil"/>
            </w:tcBorders>
          </w:tcPr>
          <w:p>
            <w:pPr>
              <w:pStyle w:val="TableParagraph"/>
              <w:spacing w:before="43"/>
              <w:ind w:left="70"/>
              <w:rPr>
                <w:sz w:val="18"/>
              </w:rPr>
            </w:pPr>
            <w:r>
              <w:rPr>
                <w:sz w:val="18"/>
              </w:rPr>
              <w:t>0.50</w:t>
            </w:r>
          </w:p>
        </w:tc>
        <w:tc>
          <w:tcPr>
            <w:tcW w:w="1191" w:type="dxa"/>
            <w:tcBorders>
              <w:top w:val="nil"/>
              <w:left w:val="nil"/>
              <w:bottom w:val="nil"/>
              <w:right w:val="nil"/>
            </w:tcBorders>
          </w:tcPr>
          <w:p>
            <w:pPr>
              <w:pStyle w:val="TableParagraph"/>
              <w:spacing w:before="43"/>
              <w:ind w:left="326" w:right="375"/>
              <w:jc w:val="center"/>
              <w:rPr>
                <w:sz w:val="18"/>
              </w:rPr>
            </w:pPr>
            <w:r>
              <w:rPr>
                <w:sz w:val="18"/>
              </w:rPr>
              <w:t>0.40</w:t>
            </w:r>
          </w:p>
        </w:tc>
        <w:tc>
          <w:tcPr>
            <w:tcW w:w="1191" w:type="dxa"/>
            <w:tcBorders>
              <w:top w:val="nil"/>
              <w:left w:val="nil"/>
              <w:bottom w:val="nil"/>
              <w:right w:val="nil"/>
            </w:tcBorders>
          </w:tcPr>
          <w:p>
            <w:pPr>
              <w:pStyle w:val="TableParagraph"/>
              <w:spacing w:before="43"/>
              <w:ind w:left="326" w:right="375"/>
              <w:jc w:val="center"/>
              <w:rPr>
                <w:sz w:val="18"/>
              </w:rPr>
            </w:pPr>
            <w:r>
              <w:rPr>
                <w:sz w:val="18"/>
              </w:rPr>
              <w:t>0.36</w:t>
            </w:r>
          </w:p>
        </w:tc>
        <w:tc>
          <w:tcPr>
            <w:tcW w:w="1191" w:type="dxa"/>
            <w:tcBorders>
              <w:top w:val="nil"/>
              <w:left w:val="nil"/>
              <w:bottom w:val="nil"/>
              <w:right w:val="nil"/>
            </w:tcBorders>
          </w:tcPr>
          <w:p>
            <w:pPr>
              <w:pStyle w:val="TableParagraph"/>
              <w:spacing w:before="43"/>
              <w:ind w:left="393"/>
              <w:rPr>
                <w:sz w:val="18"/>
              </w:rPr>
            </w:pPr>
            <w:r>
              <w:rPr>
                <w:sz w:val="18"/>
              </w:rPr>
              <w:t>0.34</w:t>
            </w:r>
          </w:p>
        </w:tc>
        <w:tc>
          <w:tcPr>
            <w:tcW w:w="1515" w:type="dxa"/>
            <w:tcBorders>
              <w:top w:val="nil"/>
              <w:left w:val="nil"/>
              <w:bottom w:val="nil"/>
              <w:right w:val="nil"/>
            </w:tcBorders>
          </w:tcPr>
          <w:p>
            <w:pPr>
              <w:pStyle w:val="TableParagraph"/>
              <w:spacing w:before="43"/>
              <w:ind w:left="393"/>
              <w:rPr>
                <w:sz w:val="18"/>
              </w:rPr>
            </w:pPr>
            <w:r>
              <w:rPr>
                <w:sz w:val="18"/>
              </w:rPr>
              <w:t>0.33</w:t>
            </w:r>
          </w:p>
        </w:tc>
      </w:tr>
      <w:tr>
        <w:trPr>
          <w:trHeight w:val="310" w:hRule="exact"/>
        </w:trPr>
        <w:tc>
          <w:tcPr>
            <w:tcW w:w="2887" w:type="dxa"/>
            <w:tcBorders>
              <w:top w:val="nil"/>
              <w:left w:val="nil"/>
              <w:bottom w:val="nil"/>
              <w:right w:val="nil"/>
            </w:tcBorders>
          </w:tcPr>
          <w:p>
            <w:pPr>
              <w:pStyle w:val="TableParagraph"/>
              <w:spacing w:before="42"/>
              <w:rPr>
                <w:sz w:val="18"/>
              </w:rPr>
            </w:pPr>
            <w:r>
              <w:rPr>
                <w:sz w:val="18"/>
              </w:rPr>
              <w:t>Toluca</w:t>
            </w:r>
          </w:p>
        </w:tc>
        <w:tc>
          <w:tcPr>
            <w:tcW w:w="867" w:type="dxa"/>
            <w:tcBorders>
              <w:top w:val="nil"/>
              <w:left w:val="nil"/>
              <w:bottom w:val="nil"/>
              <w:right w:val="nil"/>
            </w:tcBorders>
          </w:tcPr>
          <w:p>
            <w:pPr>
              <w:pStyle w:val="TableParagraph"/>
              <w:spacing w:before="42"/>
              <w:ind w:left="70"/>
              <w:rPr>
                <w:sz w:val="18"/>
              </w:rPr>
            </w:pPr>
            <w:r>
              <w:rPr>
                <w:sz w:val="18"/>
              </w:rPr>
              <w:t>0.86</w:t>
            </w:r>
          </w:p>
        </w:tc>
        <w:tc>
          <w:tcPr>
            <w:tcW w:w="1191" w:type="dxa"/>
            <w:tcBorders>
              <w:top w:val="nil"/>
              <w:left w:val="nil"/>
              <w:bottom w:val="nil"/>
              <w:right w:val="nil"/>
            </w:tcBorders>
          </w:tcPr>
          <w:p>
            <w:pPr>
              <w:pStyle w:val="TableParagraph"/>
              <w:spacing w:before="42"/>
              <w:ind w:left="326" w:right="375"/>
              <w:jc w:val="center"/>
              <w:rPr>
                <w:sz w:val="18"/>
              </w:rPr>
            </w:pPr>
            <w:r>
              <w:rPr>
                <w:sz w:val="18"/>
              </w:rPr>
              <w:t>0.74</w:t>
            </w:r>
          </w:p>
        </w:tc>
        <w:tc>
          <w:tcPr>
            <w:tcW w:w="1191" w:type="dxa"/>
            <w:tcBorders>
              <w:top w:val="nil"/>
              <w:left w:val="nil"/>
              <w:bottom w:val="nil"/>
              <w:right w:val="nil"/>
            </w:tcBorders>
          </w:tcPr>
          <w:p>
            <w:pPr>
              <w:pStyle w:val="TableParagraph"/>
              <w:spacing w:before="42"/>
              <w:ind w:left="326" w:right="375"/>
              <w:jc w:val="center"/>
              <w:rPr>
                <w:sz w:val="18"/>
              </w:rPr>
            </w:pPr>
            <w:r>
              <w:rPr>
                <w:sz w:val="18"/>
              </w:rPr>
              <w:t>0.63</w:t>
            </w:r>
          </w:p>
        </w:tc>
        <w:tc>
          <w:tcPr>
            <w:tcW w:w="1191" w:type="dxa"/>
            <w:tcBorders>
              <w:top w:val="nil"/>
              <w:left w:val="nil"/>
              <w:bottom w:val="nil"/>
              <w:right w:val="nil"/>
            </w:tcBorders>
          </w:tcPr>
          <w:p>
            <w:pPr>
              <w:pStyle w:val="TableParagraph"/>
              <w:spacing w:before="42"/>
              <w:ind w:left="393"/>
              <w:rPr>
                <w:sz w:val="18"/>
              </w:rPr>
            </w:pPr>
            <w:r>
              <w:rPr>
                <w:sz w:val="18"/>
              </w:rPr>
              <w:t>0.56</w:t>
            </w:r>
          </w:p>
        </w:tc>
        <w:tc>
          <w:tcPr>
            <w:tcW w:w="1515" w:type="dxa"/>
            <w:tcBorders>
              <w:top w:val="nil"/>
              <w:left w:val="nil"/>
              <w:bottom w:val="nil"/>
              <w:right w:val="nil"/>
            </w:tcBorders>
          </w:tcPr>
          <w:p>
            <w:pPr>
              <w:pStyle w:val="TableParagraph"/>
              <w:spacing w:before="42"/>
              <w:ind w:left="393"/>
              <w:rPr>
                <w:sz w:val="18"/>
              </w:rPr>
            </w:pPr>
            <w:r>
              <w:rPr>
                <w:sz w:val="18"/>
              </w:rPr>
              <w:t>0.51</w:t>
            </w:r>
          </w:p>
        </w:tc>
      </w:tr>
      <w:tr>
        <w:trPr>
          <w:trHeight w:val="311" w:hRule="exact"/>
        </w:trPr>
        <w:tc>
          <w:tcPr>
            <w:tcW w:w="2887" w:type="dxa"/>
            <w:tcBorders>
              <w:top w:val="nil"/>
              <w:left w:val="nil"/>
              <w:bottom w:val="nil"/>
              <w:right w:val="nil"/>
            </w:tcBorders>
          </w:tcPr>
          <w:p>
            <w:pPr>
              <w:pStyle w:val="TableParagraph"/>
              <w:spacing w:before="42"/>
              <w:rPr>
                <w:sz w:val="18"/>
              </w:rPr>
            </w:pPr>
            <w:r>
              <w:rPr>
                <w:sz w:val="18"/>
              </w:rPr>
              <w:t>San Mateo Atenco</w:t>
            </w:r>
          </w:p>
        </w:tc>
        <w:tc>
          <w:tcPr>
            <w:tcW w:w="867" w:type="dxa"/>
            <w:tcBorders>
              <w:top w:val="nil"/>
              <w:left w:val="nil"/>
              <w:bottom w:val="nil"/>
              <w:right w:val="nil"/>
            </w:tcBorders>
          </w:tcPr>
          <w:p>
            <w:pPr>
              <w:pStyle w:val="TableParagraph"/>
              <w:spacing w:before="42"/>
              <w:ind w:left="70"/>
              <w:rPr>
                <w:sz w:val="18"/>
              </w:rPr>
            </w:pPr>
            <w:r>
              <w:rPr>
                <w:sz w:val="18"/>
              </w:rPr>
              <w:t>0.30</w:t>
            </w:r>
          </w:p>
        </w:tc>
        <w:tc>
          <w:tcPr>
            <w:tcW w:w="1191" w:type="dxa"/>
            <w:tcBorders>
              <w:top w:val="nil"/>
              <w:left w:val="nil"/>
              <w:bottom w:val="nil"/>
              <w:right w:val="nil"/>
            </w:tcBorders>
          </w:tcPr>
          <w:p>
            <w:pPr>
              <w:pStyle w:val="TableParagraph"/>
              <w:spacing w:before="42"/>
              <w:ind w:left="326" w:right="375"/>
              <w:jc w:val="center"/>
              <w:rPr>
                <w:sz w:val="18"/>
              </w:rPr>
            </w:pPr>
            <w:r>
              <w:rPr>
                <w:sz w:val="18"/>
              </w:rPr>
              <w:t>0.23</w:t>
            </w:r>
          </w:p>
        </w:tc>
        <w:tc>
          <w:tcPr>
            <w:tcW w:w="1191" w:type="dxa"/>
            <w:tcBorders>
              <w:top w:val="nil"/>
              <w:left w:val="nil"/>
              <w:bottom w:val="nil"/>
              <w:right w:val="nil"/>
            </w:tcBorders>
          </w:tcPr>
          <w:p>
            <w:pPr>
              <w:pStyle w:val="TableParagraph"/>
              <w:spacing w:before="42"/>
              <w:ind w:left="326" w:right="375"/>
              <w:jc w:val="center"/>
              <w:rPr>
                <w:sz w:val="18"/>
              </w:rPr>
            </w:pPr>
            <w:r>
              <w:rPr>
                <w:sz w:val="18"/>
              </w:rPr>
              <w:t>0.21</w:t>
            </w:r>
          </w:p>
        </w:tc>
        <w:tc>
          <w:tcPr>
            <w:tcW w:w="1191" w:type="dxa"/>
            <w:tcBorders>
              <w:top w:val="nil"/>
              <w:left w:val="nil"/>
              <w:bottom w:val="nil"/>
              <w:right w:val="nil"/>
            </w:tcBorders>
          </w:tcPr>
          <w:p>
            <w:pPr>
              <w:pStyle w:val="TableParagraph"/>
              <w:spacing w:before="42"/>
              <w:ind w:left="393"/>
              <w:rPr>
                <w:sz w:val="18"/>
              </w:rPr>
            </w:pPr>
            <w:r>
              <w:rPr>
                <w:sz w:val="18"/>
              </w:rPr>
              <w:t>0.19</w:t>
            </w:r>
          </w:p>
        </w:tc>
        <w:tc>
          <w:tcPr>
            <w:tcW w:w="1515" w:type="dxa"/>
            <w:tcBorders>
              <w:top w:val="nil"/>
              <w:left w:val="nil"/>
              <w:bottom w:val="nil"/>
              <w:right w:val="nil"/>
            </w:tcBorders>
          </w:tcPr>
          <w:p>
            <w:pPr>
              <w:pStyle w:val="TableParagraph"/>
              <w:spacing w:before="42"/>
              <w:ind w:left="393"/>
              <w:rPr>
                <w:sz w:val="18"/>
              </w:rPr>
            </w:pPr>
            <w:r>
              <w:rPr>
                <w:sz w:val="18"/>
              </w:rPr>
              <w:t>0.17</w:t>
            </w:r>
          </w:p>
        </w:tc>
      </w:tr>
      <w:tr>
        <w:trPr>
          <w:trHeight w:val="311" w:hRule="exact"/>
        </w:trPr>
        <w:tc>
          <w:tcPr>
            <w:tcW w:w="2887" w:type="dxa"/>
            <w:tcBorders>
              <w:top w:val="nil"/>
              <w:left w:val="nil"/>
              <w:bottom w:val="nil"/>
              <w:right w:val="nil"/>
            </w:tcBorders>
          </w:tcPr>
          <w:p>
            <w:pPr>
              <w:pStyle w:val="TableParagraph"/>
              <w:spacing w:before="43"/>
              <w:rPr>
                <w:sz w:val="18"/>
              </w:rPr>
            </w:pPr>
            <w:r>
              <w:rPr>
                <w:sz w:val="18"/>
              </w:rPr>
              <w:t>Zinacantepec</w:t>
            </w:r>
          </w:p>
        </w:tc>
        <w:tc>
          <w:tcPr>
            <w:tcW w:w="867" w:type="dxa"/>
            <w:tcBorders>
              <w:top w:val="nil"/>
              <w:left w:val="nil"/>
              <w:bottom w:val="nil"/>
              <w:right w:val="nil"/>
            </w:tcBorders>
          </w:tcPr>
          <w:p>
            <w:pPr>
              <w:pStyle w:val="TableParagraph"/>
              <w:spacing w:before="43"/>
              <w:ind w:left="70"/>
              <w:rPr>
                <w:sz w:val="18"/>
              </w:rPr>
            </w:pPr>
            <w:r>
              <w:rPr>
                <w:sz w:val="18"/>
              </w:rPr>
              <w:t>3.71</w:t>
            </w:r>
          </w:p>
        </w:tc>
        <w:tc>
          <w:tcPr>
            <w:tcW w:w="1191" w:type="dxa"/>
            <w:tcBorders>
              <w:top w:val="nil"/>
              <w:left w:val="nil"/>
              <w:bottom w:val="nil"/>
              <w:right w:val="nil"/>
            </w:tcBorders>
          </w:tcPr>
          <w:p>
            <w:pPr>
              <w:pStyle w:val="TableParagraph"/>
              <w:spacing w:before="43"/>
              <w:ind w:left="326" w:right="375"/>
              <w:jc w:val="center"/>
              <w:rPr>
                <w:sz w:val="18"/>
              </w:rPr>
            </w:pPr>
            <w:r>
              <w:rPr>
                <w:sz w:val="18"/>
              </w:rPr>
              <w:t>2.92</w:t>
            </w:r>
          </w:p>
        </w:tc>
        <w:tc>
          <w:tcPr>
            <w:tcW w:w="1191" w:type="dxa"/>
            <w:tcBorders>
              <w:top w:val="nil"/>
              <w:left w:val="nil"/>
              <w:bottom w:val="nil"/>
              <w:right w:val="nil"/>
            </w:tcBorders>
          </w:tcPr>
          <w:p>
            <w:pPr>
              <w:pStyle w:val="TableParagraph"/>
              <w:spacing w:before="43"/>
              <w:ind w:left="326" w:right="375"/>
              <w:jc w:val="center"/>
              <w:rPr>
                <w:sz w:val="18"/>
              </w:rPr>
            </w:pPr>
            <w:r>
              <w:rPr>
                <w:sz w:val="18"/>
              </w:rPr>
              <w:t>2.53</w:t>
            </w:r>
          </w:p>
        </w:tc>
        <w:tc>
          <w:tcPr>
            <w:tcW w:w="1191" w:type="dxa"/>
            <w:tcBorders>
              <w:top w:val="nil"/>
              <w:left w:val="nil"/>
              <w:bottom w:val="nil"/>
              <w:right w:val="nil"/>
            </w:tcBorders>
          </w:tcPr>
          <w:p>
            <w:pPr>
              <w:pStyle w:val="TableParagraph"/>
              <w:spacing w:before="43"/>
              <w:ind w:left="393"/>
              <w:rPr>
                <w:sz w:val="18"/>
              </w:rPr>
            </w:pPr>
            <w:r>
              <w:rPr>
                <w:sz w:val="18"/>
              </w:rPr>
              <w:t>2.27</w:t>
            </w:r>
          </w:p>
        </w:tc>
        <w:tc>
          <w:tcPr>
            <w:tcW w:w="1515" w:type="dxa"/>
            <w:tcBorders>
              <w:top w:val="nil"/>
              <w:left w:val="nil"/>
              <w:bottom w:val="nil"/>
              <w:right w:val="nil"/>
            </w:tcBorders>
          </w:tcPr>
          <w:p>
            <w:pPr>
              <w:pStyle w:val="TableParagraph"/>
              <w:spacing w:before="43"/>
              <w:ind w:left="393"/>
              <w:rPr>
                <w:sz w:val="18"/>
              </w:rPr>
            </w:pPr>
            <w:r>
              <w:rPr>
                <w:sz w:val="18"/>
              </w:rPr>
              <w:t>1.84</w:t>
            </w:r>
          </w:p>
        </w:tc>
      </w:tr>
      <w:tr>
        <w:trPr>
          <w:trHeight w:val="310" w:hRule="exact"/>
        </w:trPr>
        <w:tc>
          <w:tcPr>
            <w:tcW w:w="2887" w:type="dxa"/>
            <w:tcBorders>
              <w:top w:val="nil"/>
              <w:left w:val="nil"/>
              <w:bottom w:val="nil"/>
              <w:right w:val="nil"/>
            </w:tcBorders>
          </w:tcPr>
          <w:p>
            <w:pPr>
              <w:pStyle w:val="TableParagraph"/>
              <w:spacing w:before="42"/>
              <w:rPr>
                <w:sz w:val="18"/>
              </w:rPr>
            </w:pPr>
            <w:r>
              <w:rPr>
                <w:sz w:val="18"/>
              </w:rPr>
              <w:t>Almoloya de Juárez</w:t>
            </w:r>
          </w:p>
        </w:tc>
        <w:tc>
          <w:tcPr>
            <w:tcW w:w="867" w:type="dxa"/>
            <w:tcBorders>
              <w:top w:val="nil"/>
              <w:left w:val="nil"/>
              <w:bottom w:val="nil"/>
              <w:right w:val="nil"/>
            </w:tcBorders>
          </w:tcPr>
          <w:p>
            <w:pPr>
              <w:pStyle w:val="TableParagraph"/>
              <w:spacing w:before="42"/>
              <w:ind w:left="70"/>
              <w:rPr>
                <w:sz w:val="18"/>
              </w:rPr>
            </w:pPr>
            <w:r>
              <w:rPr>
                <w:sz w:val="18"/>
              </w:rPr>
              <w:t>5.75</w:t>
            </w:r>
          </w:p>
        </w:tc>
        <w:tc>
          <w:tcPr>
            <w:tcW w:w="1191" w:type="dxa"/>
            <w:tcBorders>
              <w:top w:val="nil"/>
              <w:left w:val="nil"/>
              <w:bottom w:val="nil"/>
              <w:right w:val="nil"/>
            </w:tcBorders>
          </w:tcPr>
          <w:p>
            <w:pPr>
              <w:pStyle w:val="TableParagraph"/>
              <w:spacing w:before="42"/>
              <w:ind w:left="326" w:right="375"/>
              <w:jc w:val="center"/>
              <w:rPr>
                <w:sz w:val="18"/>
              </w:rPr>
            </w:pPr>
            <w:r>
              <w:rPr>
                <w:sz w:val="18"/>
              </w:rPr>
              <w:t>5.01</w:t>
            </w:r>
          </w:p>
        </w:tc>
        <w:tc>
          <w:tcPr>
            <w:tcW w:w="1191" w:type="dxa"/>
            <w:tcBorders>
              <w:top w:val="nil"/>
              <w:left w:val="nil"/>
              <w:bottom w:val="nil"/>
              <w:right w:val="nil"/>
            </w:tcBorders>
          </w:tcPr>
          <w:p>
            <w:pPr>
              <w:pStyle w:val="TableParagraph"/>
              <w:spacing w:before="42"/>
              <w:ind w:left="326" w:right="375"/>
              <w:jc w:val="center"/>
              <w:rPr>
                <w:sz w:val="18"/>
              </w:rPr>
            </w:pPr>
            <w:r>
              <w:rPr>
                <w:sz w:val="18"/>
              </w:rPr>
              <w:t>4.37</w:t>
            </w:r>
          </w:p>
        </w:tc>
        <w:tc>
          <w:tcPr>
            <w:tcW w:w="1191" w:type="dxa"/>
            <w:tcBorders>
              <w:top w:val="nil"/>
              <w:left w:val="nil"/>
              <w:bottom w:val="nil"/>
              <w:right w:val="nil"/>
            </w:tcBorders>
          </w:tcPr>
          <w:p>
            <w:pPr>
              <w:pStyle w:val="TableParagraph"/>
              <w:spacing w:before="42"/>
              <w:ind w:left="393"/>
              <w:rPr>
                <w:sz w:val="18"/>
              </w:rPr>
            </w:pPr>
            <w:r>
              <w:rPr>
                <w:sz w:val="18"/>
              </w:rPr>
              <w:t>3.83</w:t>
            </w:r>
          </w:p>
        </w:tc>
        <w:tc>
          <w:tcPr>
            <w:tcW w:w="1515" w:type="dxa"/>
            <w:tcBorders>
              <w:top w:val="nil"/>
              <w:left w:val="nil"/>
              <w:bottom w:val="nil"/>
              <w:right w:val="nil"/>
            </w:tcBorders>
          </w:tcPr>
          <w:p>
            <w:pPr>
              <w:pStyle w:val="TableParagraph"/>
              <w:spacing w:before="42"/>
              <w:ind w:left="393"/>
              <w:rPr>
                <w:sz w:val="18"/>
              </w:rPr>
            </w:pPr>
            <w:r>
              <w:rPr>
                <w:sz w:val="18"/>
              </w:rPr>
              <w:t>3.28</w:t>
            </w:r>
          </w:p>
        </w:tc>
      </w:tr>
      <w:tr>
        <w:trPr>
          <w:trHeight w:val="311" w:hRule="exact"/>
        </w:trPr>
        <w:tc>
          <w:tcPr>
            <w:tcW w:w="2887" w:type="dxa"/>
            <w:tcBorders>
              <w:top w:val="nil"/>
              <w:left w:val="nil"/>
              <w:bottom w:val="nil"/>
              <w:right w:val="nil"/>
            </w:tcBorders>
          </w:tcPr>
          <w:p>
            <w:pPr>
              <w:pStyle w:val="TableParagraph"/>
              <w:spacing w:before="42"/>
              <w:rPr>
                <w:sz w:val="18"/>
              </w:rPr>
            </w:pPr>
            <w:r>
              <w:rPr>
                <w:sz w:val="18"/>
              </w:rPr>
              <w:t>Calimaya</w:t>
            </w:r>
          </w:p>
        </w:tc>
        <w:tc>
          <w:tcPr>
            <w:tcW w:w="867" w:type="dxa"/>
            <w:tcBorders>
              <w:top w:val="nil"/>
              <w:left w:val="nil"/>
              <w:bottom w:val="nil"/>
              <w:right w:val="nil"/>
            </w:tcBorders>
          </w:tcPr>
          <w:p>
            <w:pPr>
              <w:pStyle w:val="TableParagraph"/>
              <w:spacing w:before="42"/>
              <w:ind w:left="70"/>
              <w:rPr>
                <w:sz w:val="18"/>
              </w:rPr>
            </w:pPr>
            <w:r>
              <w:rPr>
                <w:sz w:val="18"/>
              </w:rPr>
              <w:t>4.14</w:t>
            </w:r>
          </w:p>
        </w:tc>
        <w:tc>
          <w:tcPr>
            <w:tcW w:w="1191" w:type="dxa"/>
            <w:tcBorders>
              <w:top w:val="nil"/>
              <w:left w:val="nil"/>
              <w:bottom w:val="nil"/>
              <w:right w:val="nil"/>
            </w:tcBorders>
          </w:tcPr>
          <w:p>
            <w:pPr>
              <w:pStyle w:val="TableParagraph"/>
              <w:spacing w:before="42"/>
              <w:ind w:left="326" w:right="375"/>
              <w:jc w:val="center"/>
              <w:rPr>
                <w:sz w:val="18"/>
              </w:rPr>
            </w:pPr>
            <w:r>
              <w:rPr>
                <w:sz w:val="18"/>
              </w:rPr>
              <w:t>3.23</w:t>
            </w:r>
          </w:p>
        </w:tc>
        <w:tc>
          <w:tcPr>
            <w:tcW w:w="1191" w:type="dxa"/>
            <w:tcBorders>
              <w:top w:val="nil"/>
              <w:left w:val="nil"/>
              <w:bottom w:val="nil"/>
              <w:right w:val="nil"/>
            </w:tcBorders>
          </w:tcPr>
          <w:p>
            <w:pPr>
              <w:pStyle w:val="TableParagraph"/>
              <w:spacing w:before="42"/>
              <w:ind w:left="326" w:right="375"/>
              <w:jc w:val="center"/>
              <w:rPr>
                <w:sz w:val="18"/>
              </w:rPr>
            </w:pPr>
            <w:r>
              <w:rPr>
                <w:sz w:val="18"/>
              </w:rPr>
              <w:t>2.93</w:t>
            </w:r>
          </w:p>
        </w:tc>
        <w:tc>
          <w:tcPr>
            <w:tcW w:w="1191" w:type="dxa"/>
            <w:tcBorders>
              <w:top w:val="nil"/>
              <w:left w:val="nil"/>
              <w:bottom w:val="nil"/>
              <w:right w:val="nil"/>
            </w:tcBorders>
          </w:tcPr>
          <w:p>
            <w:pPr>
              <w:pStyle w:val="TableParagraph"/>
              <w:spacing w:before="42"/>
              <w:ind w:left="393"/>
              <w:rPr>
                <w:sz w:val="18"/>
              </w:rPr>
            </w:pPr>
            <w:r>
              <w:rPr>
                <w:sz w:val="18"/>
              </w:rPr>
              <w:t>2.66</w:t>
            </w:r>
          </w:p>
        </w:tc>
        <w:tc>
          <w:tcPr>
            <w:tcW w:w="1515" w:type="dxa"/>
            <w:tcBorders>
              <w:top w:val="nil"/>
              <w:left w:val="nil"/>
              <w:bottom w:val="nil"/>
              <w:right w:val="nil"/>
            </w:tcBorders>
          </w:tcPr>
          <w:p>
            <w:pPr>
              <w:pStyle w:val="TableParagraph"/>
              <w:spacing w:before="42"/>
              <w:ind w:left="393"/>
              <w:rPr>
                <w:sz w:val="18"/>
              </w:rPr>
            </w:pPr>
            <w:r>
              <w:rPr>
                <w:sz w:val="18"/>
              </w:rPr>
              <w:t>2.19</w:t>
            </w:r>
          </w:p>
        </w:tc>
      </w:tr>
      <w:tr>
        <w:trPr>
          <w:trHeight w:val="311" w:hRule="exact"/>
        </w:trPr>
        <w:tc>
          <w:tcPr>
            <w:tcW w:w="2887" w:type="dxa"/>
            <w:tcBorders>
              <w:top w:val="nil"/>
              <w:left w:val="nil"/>
              <w:bottom w:val="nil"/>
              <w:right w:val="nil"/>
            </w:tcBorders>
          </w:tcPr>
          <w:p>
            <w:pPr>
              <w:pStyle w:val="TableParagraph"/>
              <w:spacing w:before="43"/>
              <w:rPr>
                <w:sz w:val="18"/>
              </w:rPr>
            </w:pPr>
            <w:r>
              <w:rPr>
                <w:sz w:val="18"/>
              </w:rPr>
              <w:t>Mexicaltzingo</w:t>
            </w:r>
          </w:p>
        </w:tc>
        <w:tc>
          <w:tcPr>
            <w:tcW w:w="867" w:type="dxa"/>
            <w:tcBorders>
              <w:top w:val="nil"/>
              <w:left w:val="nil"/>
              <w:bottom w:val="nil"/>
              <w:right w:val="nil"/>
            </w:tcBorders>
          </w:tcPr>
          <w:p>
            <w:pPr>
              <w:pStyle w:val="TableParagraph"/>
              <w:spacing w:before="43"/>
              <w:ind w:left="70"/>
              <w:rPr>
                <w:sz w:val="18"/>
              </w:rPr>
            </w:pPr>
            <w:r>
              <w:rPr>
                <w:sz w:val="18"/>
              </w:rPr>
              <w:t>1.68</w:t>
            </w:r>
          </w:p>
        </w:tc>
        <w:tc>
          <w:tcPr>
            <w:tcW w:w="1191" w:type="dxa"/>
            <w:tcBorders>
              <w:top w:val="nil"/>
              <w:left w:val="nil"/>
              <w:bottom w:val="nil"/>
              <w:right w:val="nil"/>
            </w:tcBorders>
          </w:tcPr>
          <w:p>
            <w:pPr>
              <w:pStyle w:val="TableParagraph"/>
              <w:spacing w:before="43"/>
              <w:ind w:left="326" w:right="375"/>
              <w:jc w:val="center"/>
              <w:rPr>
                <w:sz w:val="18"/>
              </w:rPr>
            </w:pPr>
            <w:r>
              <w:rPr>
                <w:sz w:val="18"/>
              </w:rPr>
              <w:t>1.41</w:t>
            </w:r>
          </w:p>
        </w:tc>
        <w:tc>
          <w:tcPr>
            <w:tcW w:w="1191" w:type="dxa"/>
            <w:tcBorders>
              <w:top w:val="nil"/>
              <w:left w:val="nil"/>
              <w:bottom w:val="nil"/>
              <w:right w:val="nil"/>
            </w:tcBorders>
          </w:tcPr>
          <w:p>
            <w:pPr>
              <w:pStyle w:val="TableParagraph"/>
              <w:spacing w:before="43"/>
              <w:ind w:left="326" w:right="375"/>
              <w:jc w:val="center"/>
              <w:rPr>
                <w:sz w:val="18"/>
              </w:rPr>
            </w:pPr>
            <w:r>
              <w:rPr>
                <w:sz w:val="18"/>
              </w:rPr>
              <w:t>1.32</w:t>
            </w:r>
          </w:p>
        </w:tc>
        <w:tc>
          <w:tcPr>
            <w:tcW w:w="1191" w:type="dxa"/>
            <w:tcBorders>
              <w:top w:val="nil"/>
              <w:left w:val="nil"/>
              <w:bottom w:val="nil"/>
              <w:right w:val="nil"/>
            </w:tcBorders>
          </w:tcPr>
          <w:p>
            <w:pPr>
              <w:pStyle w:val="TableParagraph"/>
              <w:spacing w:before="43"/>
              <w:ind w:left="393"/>
              <w:rPr>
                <w:sz w:val="18"/>
              </w:rPr>
            </w:pPr>
            <w:r>
              <w:rPr>
                <w:sz w:val="18"/>
              </w:rPr>
              <w:t>1.20</w:t>
            </w:r>
          </w:p>
        </w:tc>
        <w:tc>
          <w:tcPr>
            <w:tcW w:w="1515" w:type="dxa"/>
            <w:tcBorders>
              <w:top w:val="nil"/>
              <w:left w:val="nil"/>
              <w:bottom w:val="nil"/>
              <w:right w:val="nil"/>
            </w:tcBorders>
          </w:tcPr>
          <w:p>
            <w:pPr>
              <w:pStyle w:val="TableParagraph"/>
              <w:spacing w:before="43"/>
              <w:ind w:left="393"/>
              <w:rPr>
                <w:sz w:val="18"/>
              </w:rPr>
            </w:pPr>
            <w:r>
              <w:rPr>
                <w:sz w:val="18"/>
              </w:rPr>
              <w:t>1.04</w:t>
            </w:r>
          </w:p>
        </w:tc>
      </w:tr>
      <w:tr>
        <w:trPr>
          <w:trHeight w:val="357" w:hRule="exact"/>
        </w:trPr>
        <w:tc>
          <w:tcPr>
            <w:tcW w:w="2887" w:type="dxa"/>
            <w:tcBorders>
              <w:top w:val="nil"/>
              <w:left w:val="nil"/>
              <w:bottom w:val="single" w:sz="4" w:space="0" w:color="000000"/>
              <w:right w:val="nil"/>
            </w:tcBorders>
          </w:tcPr>
          <w:p>
            <w:pPr>
              <w:pStyle w:val="TableParagraph"/>
              <w:spacing w:before="42"/>
              <w:rPr>
                <w:sz w:val="18"/>
              </w:rPr>
            </w:pPr>
            <w:r>
              <w:rPr>
                <w:sz w:val="18"/>
              </w:rPr>
              <w:t>Otzolotepec</w:t>
            </w:r>
          </w:p>
        </w:tc>
        <w:tc>
          <w:tcPr>
            <w:tcW w:w="867" w:type="dxa"/>
            <w:tcBorders>
              <w:top w:val="nil"/>
              <w:left w:val="nil"/>
              <w:bottom w:val="single" w:sz="4" w:space="0" w:color="000000"/>
              <w:right w:val="nil"/>
            </w:tcBorders>
          </w:tcPr>
          <w:p>
            <w:pPr>
              <w:pStyle w:val="TableParagraph"/>
              <w:spacing w:before="42"/>
              <w:ind w:left="70"/>
              <w:rPr>
                <w:sz w:val="18"/>
              </w:rPr>
            </w:pPr>
            <w:r>
              <w:rPr>
                <w:sz w:val="18"/>
              </w:rPr>
              <w:t>3.17</w:t>
            </w:r>
          </w:p>
        </w:tc>
        <w:tc>
          <w:tcPr>
            <w:tcW w:w="1191" w:type="dxa"/>
            <w:tcBorders>
              <w:top w:val="nil"/>
              <w:left w:val="nil"/>
              <w:bottom w:val="single" w:sz="4" w:space="0" w:color="000000"/>
              <w:right w:val="nil"/>
            </w:tcBorders>
          </w:tcPr>
          <w:p>
            <w:pPr>
              <w:pStyle w:val="TableParagraph"/>
              <w:spacing w:before="42"/>
              <w:ind w:left="326" w:right="375"/>
              <w:jc w:val="center"/>
              <w:rPr>
                <w:sz w:val="18"/>
              </w:rPr>
            </w:pPr>
            <w:r>
              <w:rPr>
                <w:sz w:val="18"/>
              </w:rPr>
              <w:t>2.60</w:t>
            </w:r>
          </w:p>
        </w:tc>
        <w:tc>
          <w:tcPr>
            <w:tcW w:w="1191" w:type="dxa"/>
            <w:tcBorders>
              <w:top w:val="nil"/>
              <w:left w:val="nil"/>
              <w:bottom w:val="single" w:sz="4" w:space="0" w:color="000000"/>
              <w:right w:val="nil"/>
            </w:tcBorders>
          </w:tcPr>
          <w:p>
            <w:pPr>
              <w:pStyle w:val="TableParagraph"/>
              <w:spacing w:before="42"/>
              <w:ind w:left="326" w:right="375"/>
              <w:jc w:val="center"/>
              <w:rPr>
                <w:sz w:val="18"/>
              </w:rPr>
            </w:pPr>
            <w:r>
              <w:rPr>
                <w:sz w:val="18"/>
              </w:rPr>
              <w:t>2.22</w:t>
            </w:r>
          </w:p>
        </w:tc>
        <w:tc>
          <w:tcPr>
            <w:tcW w:w="1191" w:type="dxa"/>
            <w:tcBorders>
              <w:top w:val="nil"/>
              <w:left w:val="nil"/>
              <w:bottom w:val="single" w:sz="4" w:space="0" w:color="000000"/>
              <w:right w:val="nil"/>
            </w:tcBorders>
          </w:tcPr>
          <w:p>
            <w:pPr>
              <w:pStyle w:val="TableParagraph"/>
              <w:spacing w:before="42"/>
              <w:ind w:left="393"/>
              <w:rPr>
                <w:sz w:val="18"/>
              </w:rPr>
            </w:pPr>
            <w:r>
              <w:rPr>
                <w:sz w:val="18"/>
              </w:rPr>
              <w:t>1.89</w:t>
            </w:r>
          </w:p>
        </w:tc>
        <w:tc>
          <w:tcPr>
            <w:tcW w:w="1515" w:type="dxa"/>
            <w:tcBorders>
              <w:top w:val="nil"/>
              <w:left w:val="nil"/>
              <w:bottom w:val="single" w:sz="4" w:space="0" w:color="000000"/>
              <w:right w:val="nil"/>
            </w:tcBorders>
          </w:tcPr>
          <w:p>
            <w:pPr>
              <w:pStyle w:val="TableParagraph"/>
              <w:spacing w:before="42"/>
              <w:ind w:left="393"/>
              <w:rPr>
                <w:sz w:val="18"/>
              </w:rPr>
            </w:pPr>
            <w:r>
              <w:rPr>
                <w:sz w:val="18"/>
              </w:rPr>
              <w:t>1.64</w:t>
            </w:r>
          </w:p>
        </w:tc>
      </w:tr>
      <w:tr>
        <w:trPr>
          <w:trHeight w:val="322" w:hRule="exact"/>
        </w:trPr>
        <w:tc>
          <w:tcPr>
            <w:tcW w:w="2887" w:type="dxa"/>
            <w:tcBorders>
              <w:top w:val="single" w:sz="4" w:space="0" w:color="000000"/>
              <w:left w:val="nil"/>
              <w:bottom w:val="single" w:sz="4" w:space="0" w:color="000000"/>
              <w:right w:val="nil"/>
            </w:tcBorders>
          </w:tcPr>
          <w:p>
            <w:pPr>
              <w:pStyle w:val="TableParagraph"/>
              <w:spacing w:before="1"/>
              <w:rPr>
                <w:sz w:val="18"/>
              </w:rPr>
            </w:pPr>
            <w:r>
              <w:rPr>
                <w:sz w:val="18"/>
              </w:rPr>
              <w:t>Área urbana continua</w:t>
            </w:r>
          </w:p>
        </w:tc>
        <w:tc>
          <w:tcPr>
            <w:tcW w:w="867" w:type="dxa"/>
            <w:tcBorders>
              <w:top w:val="single" w:sz="4" w:space="0" w:color="000000"/>
              <w:left w:val="nil"/>
              <w:bottom w:val="single" w:sz="4" w:space="0" w:color="000000"/>
              <w:right w:val="nil"/>
            </w:tcBorders>
          </w:tcPr>
          <w:p>
            <w:pPr>
              <w:pStyle w:val="TableParagraph"/>
              <w:spacing w:before="1"/>
              <w:ind w:left="70"/>
              <w:rPr>
                <w:sz w:val="18"/>
              </w:rPr>
            </w:pPr>
            <w:r>
              <w:rPr>
                <w:sz w:val="18"/>
              </w:rPr>
              <w:t>1.81</w:t>
            </w:r>
          </w:p>
        </w:tc>
        <w:tc>
          <w:tcPr>
            <w:tcW w:w="1191" w:type="dxa"/>
            <w:tcBorders>
              <w:top w:val="single" w:sz="4" w:space="0" w:color="000000"/>
              <w:left w:val="nil"/>
              <w:bottom w:val="single" w:sz="4" w:space="0" w:color="000000"/>
              <w:right w:val="nil"/>
            </w:tcBorders>
          </w:tcPr>
          <w:p>
            <w:pPr>
              <w:pStyle w:val="TableParagraph"/>
              <w:spacing w:before="1"/>
              <w:ind w:left="326" w:right="375"/>
              <w:jc w:val="center"/>
              <w:rPr>
                <w:sz w:val="18"/>
              </w:rPr>
            </w:pPr>
            <w:r>
              <w:rPr>
                <w:sz w:val="18"/>
              </w:rPr>
              <w:t>1.51</w:t>
            </w:r>
          </w:p>
        </w:tc>
        <w:tc>
          <w:tcPr>
            <w:tcW w:w="1191" w:type="dxa"/>
            <w:tcBorders>
              <w:top w:val="single" w:sz="4" w:space="0" w:color="000000"/>
              <w:left w:val="nil"/>
              <w:bottom w:val="single" w:sz="4" w:space="0" w:color="000000"/>
              <w:right w:val="nil"/>
            </w:tcBorders>
          </w:tcPr>
          <w:p>
            <w:pPr>
              <w:pStyle w:val="TableParagraph"/>
              <w:spacing w:before="1"/>
              <w:ind w:left="326" w:right="375"/>
              <w:jc w:val="center"/>
              <w:rPr>
                <w:sz w:val="18"/>
              </w:rPr>
            </w:pPr>
            <w:r>
              <w:rPr>
                <w:sz w:val="18"/>
              </w:rPr>
              <w:t>1.30</w:t>
            </w:r>
          </w:p>
        </w:tc>
        <w:tc>
          <w:tcPr>
            <w:tcW w:w="1191" w:type="dxa"/>
            <w:tcBorders>
              <w:top w:val="single" w:sz="4" w:space="0" w:color="000000"/>
              <w:left w:val="nil"/>
              <w:bottom w:val="single" w:sz="4" w:space="0" w:color="000000"/>
              <w:right w:val="nil"/>
            </w:tcBorders>
          </w:tcPr>
          <w:p>
            <w:pPr>
              <w:pStyle w:val="TableParagraph"/>
              <w:spacing w:before="1"/>
              <w:ind w:left="393"/>
              <w:rPr>
                <w:sz w:val="18"/>
              </w:rPr>
            </w:pPr>
            <w:r>
              <w:rPr>
                <w:sz w:val="18"/>
              </w:rPr>
              <w:t>1.17</w:t>
            </w:r>
          </w:p>
        </w:tc>
        <w:tc>
          <w:tcPr>
            <w:tcW w:w="1515" w:type="dxa"/>
            <w:tcBorders>
              <w:top w:val="single" w:sz="4" w:space="0" w:color="000000"/>
              <w:left w:val="nil"/>
              <w:bottom w:val="single" w:sz="4" w:space="0" w:color="000000"/>
              <w:right w:val="nil"/>
            </w:tcBorders>
          </w:tcPr>
          <w:p>
            <w:pPr>
              <w:pStyle w:val="TableParagraph"/>
              <w:spacing w:before="1"/>
              <w:ind w:left="393"/>
              <w:rPr>
                <w:sz w:val="18"/>
              </w:rPr>
            </w:pPr>
            <w:r>
              <w:rPr>
                <w:sz w:val="18"/>
              </w:rPr>
              <w:t>1.04</w:t>
            </w:r>
          </w:p>
        </w:tc>
      </w:tr>
      <w:tr>
        <w:trPr>
          <w:trHeight w:val="272" w:hRule="exact"/>
        </w:trPr>
        <w:tc>
          <w:tcPr>
            <w:tcW w:w="2887" w:type="dxa"/>
            <w:tcBorders>
              <w:top w:val="single" w:sz="4" w:space="0" w:color="000000"/>
              <w:left w:val="nil"/>
              <w:bottom w:val="nil"/>
              <w:right w:val="nil"/>
            </w:tcBorders>
          </w:tcPr>
          <w:p>
            <w:pPr>
              <w:pStyle w:val="TableParagraph"/>
              <w:spacing w:line="206" w:lineRule="exact"/>
              <w:rPr>
                <w:sz w:val="18"/>
              </w:rPr>
            </w:pPr>
            <w:r>
              <w:rPr>
                <w:sz w:val="18"/>
              </w:rPr>
              <w:t>Chapultepec</w:t>
            </w:r>
          </w:p>
        </w:tc>
        <w:tc>
          <w:tcPr>
            <w:tcW w:w="867" w:type="dxa"/>
            <w:tcBorders>
              <w:top w:val="single" w:sz="4" w:space="0" w:color="000000"/>
              <w:left w:val="nil"/>
              <w:bottom w:val="nil"/>
              <w:right w:val="nil"/>
            </w:tcBorders>
          </w:tcPr>
          <w:p>
            <w:pPr>
              <w:pStyle w:val="TableParagraph"/>
              <w:spacing w:line="206" w:lineRule="exact"/>
              <w:ind w:left="70"/>
              <w:rPr>
                <w:sz w:val="18"/>
              </w:rPr>
            </w:pPr>
            <w:r>
              <w:rPr>
                <w:sz w:val="18"/>
              </w:rPr>
              <w:t>3.08</w:t>
            </w:r>
          </w:p>
        </w:tc>
        <w:tc>
          <w:tcPr>
            <w:tcW w:w="1191" w:type="dxa"/>
            <w:tcBorders>
              <w:top w:val="single" w:sz="4" w:space="0" w:color="000000"/>
              <w:left w:val="nil"/>
              <w:bottom w:val="nil"/>
              <w:right w:val="nil"/>
            </w:tcBorders>
          </w:tcPr>
          <w:p>
            <w:pPr>
              <w:pStyle w:val="TableParagraph"/>
              <w:spacing w:line="206" w:lineRule="exact"/>
              <w:ind w:left="326" w:right="375"/>
              <w:jc w:val="center"/>
              <w:rPr>
                <w:sz w:val="18"/>
              </w:rPr>
            </w:pPr>
            <w:r>
              <w:rPr>
                <w:sz w:val="18"/>
              </w:rPr>
              <w:t>2.30</w:t>
            </w:r>
          </w:p>
        </w:tc>
        <w:tc>
          <w:tcPr>
            <w:tcW w:w="1191" w:type="dxa"/>
            <w:tcBorders>
              <w:top w:val="single" w:sz="4" w:space="0" w:color="000000"/>
              <w:left w:val="nil"/>
              <w:bottom w:val="nil"/>
              <w:right w:val="nil"/>
            </w:tcBorders>
          </w:tcPr>
          <w:p>
            <w:pPr>
              <w:pStyle w:val="TableParagraph"/>
              <w:spacing w:line="206" w:lineRule="exact"/>
              <w:ind w:left="326" w:right="375"/>
              <w:jc w:val="center"/>
              <w:rPr>
                <w:sz w:val="18"/>
              </w:rPr>
            </w:pPr>
            <w:r>
              <w:rPr>
                <w:sz w:val="18"/>
              </w:rPr>
              <w:t>2.07</w:t>
            </w:r>
          </w:p>
        </w:tc>
        <w:tc>
          <w:tcPr>
            <w:tcW w:w="1191" w:type="dxa"/>
            <w:tcBorders>
              <w:top w:val="single" w:sz="4" w:space="0" w:color="000000"/>
              <w:left w:val="nil"/>
              <w:bottom w:val="nil"/>
              <w:right w:val="nil"/>
            </w:tcBorders>
          </w:tcPr>
          <w:p>
            <w:pPr>
              <w:pStyle w:val="TableParagraph"/>
              <w:spacing w:line="206" w:lineRule="exact"/>
              <w:ind w:left="393"/>
              <w:rPr>
                <w:sz w:val="18"/>
              </w:rPr>
            </w:pPr>
            <w:r>
              <w:rPr>
                <w:sz w:val="18"/>
              </w:rPr>
              <w:t>1.81</w:t>
            </w:r>
          </w:p>
        </w:tc>
        <w:tc>
          <w:tcPr>
            <w:tcW w:w="1515" w:type="dxa"/>
            <w:tcBorders>
              <w:top w:val="single" w:sz="4" w:space="0" w:color="000000"/>
              <w:left w:val="nil"/>
              <w:bottom w:val="nil"/>
              <w:right w:val="nil"/>
            </w:tcBorders>
          </w:tcPr>
          <w:p>
            <w:pPr>
              <w:pStyle w:val="TableParagraph"/>
              <w:spacing w:line="206" w:lineRule="exact"/>
              <w:ind w:left="393"/>
              <w:rPr>
                <w:sz w:val="18"/>
              </w:rPr>
            </w:pPr>
            <w:r>
              <w:rPr>
                <w:sz w:val="18"/>
              </w:rPr>
              <w:t>1.23</w:t>
            </w:r>
          </w:p>
        </w:tc>
      </w:tr>
      <w:tr>
        <w:trPr>
          <w:trHeight w:val="311" w:hRule="exact"/>
        </w:trPr>
        <w:tc>
          <w:tcPr>
            <w:tcW w:w="2887" w:type="dxa"/>
            <w:tcBorders>
              <w:top w:val="nil"/>
              <w:left w:val="nil"/>
              <w:bottom w:val="nil"/>
              <w:right w:val="nil"/>
            </w:tcBorders>
          </w:tcPr>
          <w:p>
            <w:pPr>
              <w:pStyle w:val="TableParagraph"/>
              <w:spacing w:before="42"/>
              <w:rPr>
                <w:sz w:val="18"/>
              </w:rPr>
            </w:pPr>
            <w:r>
              <w:rPr>
                <w:sz w:val="18"/>
              </w:rPr>
              <w:t>Ocoyoacac</w:t>
            </w:r>
          </w:p>
        </w:tc>
        <w:tc>
          <w:tcPr>
            <w:tcW w:w="867" w:type="dxa"/>
            <w:tcBorders>
              <w:top w:val="nil"/>
              <w:left w:val="nil"/>
              <w:bottom w:val="nil"/>
              <w:right w:val="nil"/>
            </w:tcBorders>
          </w:tcPr>
          <w:p>
            <w:pPr>
              <w:pStyle w:val="TableParagraph"/>
              <w:spacing w:before="42"/>
              <w:ind w:left="70"/>
              <w:rPr>
                <w:sz w:val="18"/>
              </w:rPr>
            </w:pPr>
            <w:r>
              <w:rPr>
                <w:sz w:val="18"/>
              </w:rPr>
              <w:t>3.60</w:t>
            </w:r>
          </w:p>
        </w:tc>
        <w:tc>
          <w:tcPr>
            <w:tcW w:w="1191" w:type="dxa"/>
            <w:tcBorders>
              <w:top w:val="nil"/>
              <w:left w:val="nil"/>
              <w:bottom w:val="nil"/>
              <w:right w:val="nil"/>
            </w:tcBorders>
          </w:tcPr>
          <w:p>
            <w:pPr>
              <w:pStyle w:val="TableParagraph"/>
              <w:spacing w:before="42"/>
              <w:ind w:left="326" w:right="375"/>
              <w:jc w:val="center"/>
              <w:rPr>
                <w:sz w:val="18"/>
              </w:rPr>
            </w:pPr>
            <w:r>
              <w:rPr>
                <w:sz w:val="18"/>
              </w:rPr>
              <w:t>3.09</w:t>
            </w:r>
          </w:p>
        </w:tc>
        <w:tc>
          <w:tcPr>
            <w:tcW w:w="1191" w:type="dxa"/>
            <w:tcBorders>
              <w:top w:val="nil"/>
              <w:left w:val="nil"/>
              <w:bottom w:val="nil"/>
              <w:right w:val="nil"/>
            </w:tcBorders>
          </w:tcPr>
          <w:p>
            <w:pPr>
              <w:pStyle w:val="TableParagraph"/>
              <w:spacing w:before="42"/>
              <w:ind w:left="326" w:right="375"/>
              <w:jc w:val="center"/>
              <w:rPr>
                <w:sz w:val="18"/>
              </w:rPr>
            </w:pPr>
            <w:r>
              <w:rPr>
                <w:sz w:val="18"/>
              </w:rPr>
              <w:t>2.72</w:t>
            </w:r>
          </w:p>
        </w:tc>
        <w:tc>
          <w:tcPr>
            <w:tcW w:w="1191" w:type="dxa"/>
            <w:tcBorders>
              <w:top w:val="nil"/>
              <w:left w:val="nil"/>
              <w:bottom w:val="nil"/>
              <w:right w:val="nil"/>
            </w:tcBorders>
          </w:tcPr>
          <w:p>
            <w:pPr>
              <w:pStyle w:val="TableParagraph"/>
              <w:spacing w:before="42"/>
              <w:ind w:left="393"/>
              <w:rPr>
                <w:sz w:val="18"/>
              </w:rPr>
            </w:pPr>
            <w:r>
              <w:rPr>
                <w:sz w:val="18"/>
              </w:rPr>
              <w:t>2.49</w:t>
            </w:r>
          </w:p>
        </w:tc>
        <w:tc>
          <w:tcPr>
            <w:tcW w:w="1515" w:type="dxa"/>
            <w:tcBorders>
              <w:top w:val="nil"/>
              <w:left w:val="nil"/>
              <w:bottom w:val="nil"/>
              <w:right w:val="nil"/>
            </w:tcBorders>
          </w:tcPr>
          <w:p>
            <w:pPr>
              <w:pStyle w:val="TableParagraph"/>
              <w:spacing w:before="42"/>
              <w:ind w:left="393"/>
              <w:rPr>
                <w:sz w:val="18"/>
              </w:rPr>
            </w:pPr>
            <w:r>
              <w:rPr>
                <w:sz w:val="18"/>
              </w:rPr>
              <w:t>2.18</w:t>
            </w:r>
          </w:p>
        </w:tc>
      </w:tr>
      <w:tr>
        <w:trPr>
          <w:trHeight w:val="311" w:hRule="exact"/>
        </w:trPr>
        <w:tc>
          <w:tcPr>
            <w:tcW w:w="2887" w:type="dxa"/>
            <w:tcBorders>
              <w:top w:val="nil"/>
              <w:left w:val="nil"/>
              <w:bottom w:val="nil"/>
              <w:right w:val="nil"/>
            </w:tcBorders>
          </w:tcPr>
          <w:p>
            <w:pPr>
              <w:pStyle w:val="TableParagraph"/>
              <w:spacing w:before="43"/>
              <w:rPr>
                <w:sz w:val="18"/>
              </w:rPr>
            </w:pPr>
            <w:r>
              <w:rPr>
                <w:sz w:val="18"/>
              </w:rPr>
              <w:t>Rayón</w:t>
            </w:r>
          </w:p>
        </w:tc>
        <w:tc>
          <w:tcPr>
            <w:tcW w:w="867" w:type="dxa"/>
            <w:tcBorders>
              <w:top w:val="nil"/>
              <w:left w:val="nil"/>
              <w:bottom w:val="nil"/>
              <w:right w:val="nil"/>
            </w:tcBorders>
          </w:tcPr>
          <w:p>
            <w:pPr>
              <w:pStyle w:val="TableParagraph"/>
              <w:spacing w:before="43"/>
              <w:ind w:left="70"/>
              <w:rPr>
                <w:sz w:val="18"/>
              </w:rPr>
            </w:pPr>
            <w:r>
              <w:rPr>
                <w:sz w:val="18"/>
              </w:rPr>
              <w:t>2.93</w:t>
            </w:r>
          </w:p>
        </w:tc>
        <w:tc>
          <w:tcPr>
            <w:tcW w:w="1191" w:type="dxa"/>
            <w:tcBorders>
              <w:top w:val="nil"/>
              <w:left w:val="nil"/>
              <w:bottom w:val="nil"/>
              <w:right w:val="nil"/>
            </w:tcBorders>
          </w:tcPr>
          <w:p>
            <w:pPr>
              <w:pStyle w:val="TableParagraph"/>
              <w:spacing w:before="43"/>
              <w:ind w:left="326" w:right="375"/>
              <w:jc w:val="center"/>
              <w:rPr>
                <w:sz w:val="18"/>
              </w:rPr>
            </w:pPr>
            <w:r>
              <w:rPr>
                <w:sz w:val="18"/>
              </w:rPr>
              <w:t>2.48</w:t>
            </w:r>
          </w:p>
        </w:tc>
        <w:tc>
          <w:tcPr>
            <w:tcW w:w="1191" w:type="dxa"/>
            <w:tcBorders>
              <w:top w:val="nil"/>
              <w:left w:val="nil"/>
              <w:bottom w:val="nil"/>
              <w:right w:val="nil"/>
            </w:tcBorders>
          </w:tcPr>
          <w:p>
            <w:pPr>
              <w:pStyle w:val="TableParagraph"/>
              <w:spacing w:before="43"/>
              <w:ind w:left="326" w:right="375"/>
              <w:jc w:val="center"/>
              <w:rPr>
                <w:sz w:val="18"/>
              </w:rPr>
            </w:pPr>
            <w:r>
              <w:rPr>
                <w:sz w:val="18"/>
              </w:rPr>
              <w:t>2.28</w:t>
            </w:r>
          </w:p>
        </w:tc>
        <w:tc>
          <w:tcPr>
            <w:tcW w:w="1191" w:type="dxa"/>
            <w:tcBorders>
              <w:top w:val="nil"/>
              <w:left w:val="nil"/>
              <w:bottom w:val="nil"/>
              <w:right w:val="nil"/>
            </w:tcBorders>
          </w:tcPr>
          <w:p>
            <w:pPr>
              <w:pStyle w:val="TableParagraph"/>
              <w:spacing w:before="43"/>
              <w:ind w:left="393"/>
              <w:rPr>
                <w:sz w:val="18"/>
              </w:rPr>
            </w:pPr>
            <w:r>
              <w:rPr>
                <w:sz w:val="18"/>
              </w:rPr>
              <w:t>1.88</w:t>
            </w:r>
          </w:p>
        </w:tc>
        <w:tc>
          <w:tcPr>
            <w:tcW w:w="1515" w:type="dxa"/>
            <w:tcBorders>
              <w:top w:val="nil"/>
              <w:left w:val="nil"/>
              <w:bottom w:val="nil"/>
              <w:right w:val="nil"/>
            </w:tcBorders>
          </w:tcPr>
          <w:p>
            <w:pPr>
              <w:pStyle w:val="TableParagraph"/>
              <w:spacing w:before="43"/>
              <w:ind w:left="393"/>
              <w:rPr>
                <w:sz w:val="18"/>
              </w:rPr>
            </w:pPr>
            <w:r>
              <w:rPr>
                <w:sz w:val="18"/>
              </w:rPr>
              <w:t>1.62</w:t>
            </w:r>
          </w:p>
        </w:tc>
      </w:tr>
      <w:tr>
        <w:trPr>
          <w:trHeight w:val="311" w:hRule="exact"/>
        </w:trPr>
        <w:tc>
          <w:tcPr>
            <w:tcW w:w="2887" w:type="dxa"/>
            <w:tcBorders>
              <w:top w:val="nil"/>
              <w:left w:val="nil"/>
              <w:bottom w:val="nil"/>
              <w:right w:val="nil"/>
            </w:tcBorders>
          </w:tcPr>
          <w:p>
            <w:pPr>
              <w:pStyle w:val="TableParagraph"/>
              <w:spacing w:before="42"/>
              <w:rPr>
                <w:sz w:val="18"/>
              </w:rPr>
            </w:pPr>
            <w:r>
              <w:rPr>
                <w:sz w:val="18"/>
              </w:rPr>
              <w:t>San Antonio la Isla</w:t>
            </w:r>
          </w:p>
        </w:tc>
        <w:tc>
          <w:tcPr>
            <w:tcW w:w="867" w:type="dxa"/>
            <w:tcBorders>
              <w:top w:val="nil"/>
              <w:left w:val="nil"/>
              <w:bottom w:val="nil"/>
              <w:right w:val="nil"/>
            </w:tcBorders>
          </w:tcPr>
          <w:p>
            <w:pPr>
              <w:pStyle w:val="TableParagraph"/>
              <w:spacing w:before="42"/>
              <w:ind w:left="70"/>
              <w:rPr>
                <w:sz w:val="18"/>
              </w:rPr>
            </w:pPr>
            <w:r>
              <w:rPr>
                <w:sz w:val="18"/>
              </w:rPr>
              <w:t>3.29</w:t>
            </w:r>
          </w:p>
        </w:tc>
        <w:tc>
          <w:tcPr>
            <w:tcW w:w="1191" w:type="dxa"/>
            <w:tcBorders>
              <w:top w:val="nil"/>
              <w:left w:val="nil"/>
              <w:bottom w:val="nil"/>
              <w:right w:val="nil"/>
            </w:tcBorders>
          </w:tcPr>
          <w:p>
            <w:pPr>
              <w:pStyle w:val="TableParagraph"/>
              <w:spacing w:before="42"/>
              <w:ind w:left="326" w:right="375"/>
              <w:jc w:val="center"/>
              <w:rPr>
                <w:sz w:val="18"/>
              </w:rPr>
            </w:pPr>
            <w:r>
              <w:rPr>
                <w:sz w:val="18"/>
              </w:rPr>
              <w:t>2.64</w:t>
            </w:r>
          </w:p>
        </w:tc>
        <w:tc>
          <w:tcPr>
            <w:tcW w:w="1191" w:type="dxa"/>
            <w:tcBorders>
              <w:top w:val="nil"/>
              <w:left w:val="nil"/>
              <w:bottom w:val="nil"/>
              <w:right w:val="nil"/>
            </w:tcBorders>
          </w:tcPr>
          <w:p>
            <w:pPr>
              <w:pStyle w:val="TableParagraph"/>
              <w:spacing w:before="42"/>
              <w:ind w:left="326" w:right="375"/>
              <w:jc w:val="center"/>
              <w:rPr>
                <w:sz w:val="18"/>
              </w:rPr>
            </w:pPr>
            <w:r>
              <w:rPr>
                <w:sz w:val="18"/>
              </w:rPr>
              <w:t>2.34</w:t>
            </w:r>
          </w:p>
        </w:tc>
        <w:tc>
          <w:tcPr>
            <w:tcW w:w="1191" w:type="dxa"/>
            <w:tcBorders>
              <w:top w:val="nil"/>
              <w:left w:val="nil"/>
              <w:bottom w:val="nil"/>
              <w:right w:val="nil"/>
            </w:tcBorders>
          </w:tcPr>
          <w:p>
            <w:pPr>
              <w:pStyle w:val="TableParagraph"/>
              <w:spacing w:before="42"/>
              <w:ind w:left="393"/>
              <w:rPr>
                <w:sz w:val="18"/>
              </w:rPr>
            </w:pPr>
            <w:r>
              <w:rPr>
                <w:sz w:val="18"/>
              </w:rPr>
              <w:t>2.13</w:t>
            </w:r>
          </w:p>
        </w:tc>
        <w:tc>
          <w:tcPr>
            <w:tcW w:w="1515" w:type="dxa"/>
            <w:tcBorders>
              <w:top w:val="nil"/>
              <w:left w:val="nil"/>
              <w:bottom w:val="nil"/>
              <w:right w:val="nil"/>
            </w:tcBorders>
          </w:tcPr>
          <w:p>
            <w:pPr>
              <w:pStyle w:val="TableParagraph"/>
              <w:spacing w:before="42"/>
              <w:ind w:left="393"/>
              <w:rPr>
                <w:sz w:val="18"/>
              </w:rPr>
            </w:pPr>
            <w:r>
              <w:rPr>
                <w:sz w:val="18"/>
              </w:rPr>
              <w:t>1.09</w:t>
            </w:r>
          </w:p>
        </w:tc>
      </w:tr>
      <w:tr>
        <w:trPr>
          <w:trHeight w:val="311" w:hRule="exact"/>
        </w:trPr>
        <w:tc>
          <w:tcPr>
            <w:tcW w:w="2887" w:type="dxa"/>
            <w:tcBorders>
              <w:top w:val="nil"/>
              <w:left w:val="nil"/>
              <w:bottom w:val="nil"/>
              <w:right w:val="nil"/>
            </w:tcBorders>
          </w:tcPr>
          <w:p>
            <w:pPr>
              <w:pStyle w:val="TableParagraph"/>
              <w:spacing w:before="43"/>
              <w:rPr>
                <w:sz w:val="18"/>
              </w:rPr>
            </w:pPr>
            <w:r>
              <w:rPr>
                <w:sz w:val="18"/>
              </w:rPr>
              <w:t>Temoaya</w:t>
            </w:r>
          </w:p>
        </w:tc>
        <w:tc>
          <w:tcPr>
            <w:tcW w:w="867" w:type="dxa"/>
            <w:tcBorders>
              <w:top w:val="nil"/>
              <w:left w:val="nil"/>
              <w:bottom w:val="nil"/>
              <w:right w:val="nil"/>
            </w:tcBorders>
          </w:tcPr>
          <w:p>
            <w:pPr>
              <w:pStyle w:val="TableParagraph"/>
              <w:spacing w:before="43"/>
              <w:ind w:left="70"/>
              <w:rPr>
                <w:sz w:val="18"/>
              </w:rPr>
            </w:pPr>
            <w:r>
              <w:rPr>
                <w:sz w:val="18"/>
              </w:rPr>
              <w:t>4.04</w:t>
            </w:r>
          </w:p>
        </w:tc>
        <w:tc>
          <w:tcPr>
            <w:tcW w:w="1191" w:type="dxa"/>
            <w:tcBorders>
              <w:top w:val="nil"/>
              <w:left w:val="nil"/>
              <w:bottom w:val="nil"/>
              <w:right w:val="nil"/>
            </w:tcBorders>
          </w:tcPr>
          <w:p>
            <w:pPr>
              <w:pStyle w:val="TableParagraph"/>
              <w:spacing w:before="43"/>
              <w:ind w:left="326" w:right="375"/>
              <w:jc w:val="center"/>
              <w:rPr>
                <w:sz w:val="18"/>
              </w:rPr>
            </w:pPr>
            <w:r>
              <w:rPr>
                <w:sz w:val="18"/>
              </w:rPr>
              <w:t>3.28</w:t>
            </w:r>
          </w:p>
        </w:tc>
        <w:tc>
          <w:tcPr>
            <w:tcW w:w="1191" w:type="dxa"/>
            <w:tcBorders>
              <w:top w:val="nil"/>
              <w:left w:val="nil"/>
              <w:bottom w:val="nil"/>
              <w:right w:val="nil"/>
            </w:tcBorders>
          </w:tcPr>
          <w:p>
            <w:pPr>
              <w:pStyle w:val="TableParagraph"/>
              <w:spacing w:before="43"/>
              <w:ind w:left="326" w:right="375"/>
              <w:jc w:val="center"/>
              <w:rPr>
                <w:sz w:val="18"/>
              </w:rPr>
            </w:pPr>
            <w:r>
              <w:rPr>
                <w:sz w:val="18"/>
              </w:rPr>
              <w:t>2.88</w:t>
            </w:r>
          </w:p>
        </w:tc>
        <w:tc>
          <w:tcPr>
            <w:tcW w:w="1191" w:type="dxa"/>
            <w:tcBorders>
              <w:top w:val="nil"/>
              <w:left w:val="nil"/>
              <w:bottom w:val="nil"/>
              <w:right w:val="nil"/>
            </w:tcBorders>
          </w:tcPr>
          <w:p>
            <w:pPr>
              <w:pStyle w:val="TableParagraph"/>
              <w:spacing w:before="43"/>
              <w:ind w:left="393"/>
              <w:rPr>
                <w:sz w:val="18"/>
              </w:rPr>
            </w:pPr>
            <w:r>
              <w:rPr>
                <w:sz w:val="18"/>
              </w:rPr>
              <w:t>2.57</w:t>
            </w:r>
          </w:p>
        </w:tc>
        <w:tc>
          <w:tcPr>
            <w:tcW w:w="1515" w:type="dxa"/>
            <w:tcBorders>
              <w:top w:val="nil"/>
              <w:left w:val="nil"/>
              <w:bottom w:val="nil"/>
              <w:right w:val="nil"/>
            </w:tcBorders>
          </w:tcPr>
          <w:p>
            <w:pPr>
              <w:pStyle w:val="TableParagraph"/>
              <w:spacing w:before="43"/>
              <w:ind w:left="393"/>
              <w:rPr>
                <w:sz w:val="18"/>
              </w:rPr>
            </w:pPr>
            <w:r>
              <w:rPr>
                <w:sz w:val="18"/>
              </w:rPr>
              <w:t>2.22</w:t>
            </w:r>
          </w:p>
        </w:tc>
      </w:tr>
      <w:tr>
        <w:trPr>
          <w:trHeight w:val="357" w:hRule="exact"/>
        </w:trPr>
        <w:tc>
          <w:tcPr>
            <w:tcW w:w="2887" w:type="dxa"/>
            <w:tcBorders>
              <w:top w:val="nil"/>
              <w:left w:val="nil"/>
              <w:bottom w:val="single" w:sz="4" w:space="0" w:color="000000"/>
              <w:right w:val="nil"/>
            </w:tcBorders>
          </w:tcPr>
          <w:p>
            <w:pPr>
              <w:pStyle w:val="TableParagraph"/>
              <w:spacing w:before="42"/>
              <w:rPr>
                <w:sz w:val="18"/>
              </w:rPr>
            </w:pPr>
            <w:r>
              <w:rPr>
                <w:sz w:val="18"/>
              </w:rPr>
              <w:t>Xonacatlán</w:t>
            </w:r>
          </w:p>
        </w:tc>
        <w:tc>
          <w:tcPr>
            <w:tcW w:w="867" w:type="dxa"/>
            <w:tcBorders>
              <w:top w:val="nil"/>
              <w:left w:val="nil"/>
              <w:bottom w:val="single" w:sz="4" w:space="0" w:color="000000"/>
              <w:right w:val="nil"/>
            </w:tcBorders>
          </w:tcPr>
          <w:p>
            <w:pPr>
              <w:pStyle w:val="TableParagraph"/>
              <w:spacing w:before="42"/>
              <w:ind w:left="70"/>
              <w:rPr>
                <w:sz w:val="18"/>
              </w:rPr>
            </w:pPr>
            <w:r>
              <w:rPr>
                <w:sz w:val="18"/>
              </w:rPr>
              <w:t>1.14</w:t>
            </w:r>
          </w:p>
        </w:tc>
        <w:tc>
          <w:tcPr>
            <w:tcW w:w="1191" w:type="dxa"/>
            <w:tcBorders>
              <w:top w:val="nil"/>
              <w:left w:val="nil"/>
              <w:bottom w:val="single" w:sz="4" w:space="0" w:color="000000"/>
              <w:right w:val="nil"/>
            </w:tcBorders>
          </w:tcPr>
          <w:p>
            <w:pPr>
              <w:pStyle w:val="TableParagraph"/>
              <w:spacing w:before="42"/>
              <w:ind w:left="326" w:right="375"/>
              <w:jc w:val="center"/>
              <w:rPr>
                <w:sz w:val="18"/>
              </w:rPr>
            </w:pPr>
            <w:r>
              <w:rPr>
                <w:sz w:val="18"/>
              </w:rPr>
              <w:t>0.91</w:t>
            </w:r>
          </w:p>
        </w:tc>
        <w:tc>
          <w:tcPr>
            <w:tcW w:w="1191" w:type="dxa"/>
            <w:tcBorders>
              <w:top w:val="nil"/>
              <w:left w:val="nil"/>
              <w:bottom w:val="single" w:sz="4" w:space="0" w:color="000000"/>
              <w:right w:val="nil"/>
            </w:tcBorders>
          </w:tcPr>
          <w:p>
            <w:pPr>
              <w:pStyle w:val="TableParagraph"/>
              <w:spacing w:before="42"/>
              <w:ind w:left="326" w:right="375"/>
              <w:jc w:val="center"/>
              <w:rPr>
                <w:sz w:val="18"/>
              </w:rPr>
            </w:pPr>
            <w:r>
              <w:rPr>
                <w:sz w:val="18"/>
              </w:rPr>
              <w:t>0.79</w:t>
            </w:r>
          </w:p>
        </w:tc>
        <w:tc>
          <w:tcPr>
            <w:tcW w:w="1191" w:type="dxa"/>
            <w:tcBorders>
              <w:top w:val="nil"/>
              <w:left w:val="nil"/>
              <w:bottom w:val="single" w:sz="4" w:space="0" w:color="000000"/>
              <w:right w:val="nil"/>
            </w:tcBorders>
          </w:tcPr>
          <w:p>
            <w:pPr>
              <w:pStyle w:val="TableParagraph"/>
              <w:spacing w:before="42"/>
              <w:ind w:left="393"/>
              <w:rPr>
                <w:sz w:val="18"/>
              </w:rPr>
            </w:pPr>
            <w:r>
              <w:rPr>
                <w:sz w:val="18"/>
              </w:rPr>
              <w:t>0.73</w:t>
            </w:r>
          </w:p>
        </w:tc>
        <w:tc>
          <w:tcPr>
            <w:tcW w:w="1515" w:type="dxa"/>
            <w:tcBorders>
              <w:top w:val="nil"/>
              <w:left w:val="nil"/>
              <w:bottom w:val="single" w:sz="4" w:space="0" w:color="000000"/>
              <w:right w:val="nil"/>
            </w:tcBorders>
          </w:tcPr>
          <w:p>
            <w:pPr>
              <w:pStyle w:val="TableParagraph"/>
              <w:spacing w:before="42"/>
              <w:ind w:left="393"/>
              <w:rPr>
                <w:sz w:val="18"/>
              </w:rPr>
            </w:pPr>
            <w:r>
              <w:rPr>
                <w:sz w:val="18"/>
              </w:rPr>
              <w:t>0.71</w:t>
            </w:r>
          </w:p>
        </w:tc>
      </w:tr>
      <w:tr>
        <w:trPr>
          <w:trHeight w:val="322" w:hRule="exact"/>
        </w:trPr>
        <w:tc>
          <w:tcPr>
            <w:tcW w:w="2887" w:type="dxa"/>
            <w:tcBorders>
              <w:top w:val="single" w:sz="4" w:space="0" w:color="000000"/>
              <w:left w:val="nil"/>
              <w:bottom w:val="single" w:sz="4" w:space="0" w:color="000000"/>
              <w:right w:val="nil"/>
            </w:tcBorders>
          </w:tcPr>
          <w:p>
            <w:pPr>
              <w:pStyle w:val="TableParagraph"/>
              <w:spacing w:line="206" w:lineRule="exact"/>
              <w:rPr>
                <w:sz w:val="18"/>
              </w:rPr>
            </w:pPr>
            <w:r>
              <w:rPr>
                <w:sz w:val="18"/>
              </w:rPr>
              <w:t>Interrelación funcional intermedia</w:t>
            </w:r>
          </w:p>
        </w:tc>
        <w:tc>
          <w:tcPr>
            <w:tcW w:w="867" w:type="dxa"/>
            <w:tcBorders>
              <w:top w:val="single" w:sz="4" w:space="0" w:color="000000"/>
              <w:left w:val="nil"/>
              <w:bottom w:val="single" w:sz="4" w:space="0" w:color="000000"/>
              <w:right w:val="nil"/>
            </w:tcBorders>
          </w:tcPr>
          <w:p>
            <w:pPr>
              <w:pStyle w:val="TableParagraph"/>
              <w:spacing w:line="206" w:lineRule="exact"/>
              <w:ind w:left="70"/>
              <w:rPr>
                <w:sz w:val="18"/>
              </w:rPr>
            </w:pPr>
            <w:r>
              <w:rPr>
                <w:sz w:val="18"/>
              </w:rPr>
              <w:t>3.17</w:t>
            </w:r>
          </w:p>
        </w:tc>
        <w:tc>
          <w:tcPr>
            <w:tcW w:w="1191" w:type="dxa"/>
            <w:tcBorders>
              <w:top w:val="single" w:sz="4" w:space="0" w:color="000000"/>
              <w:left w:val="nil"/>
              <w:bottom w:val="single" w:sz="4" w:space="0" w:color="000000"/>
              <w:right w:val="nil"/>
            </w:tcBorders>
          </w:tcPr>
          <w:p>
            <w:pPr>
              <w:pStyle w:val="TableParagraph"/>
              <w:spacing w:line="206" w:lineRule="exact"/>
              <w:ind w:left="326" w:right="375"/>
              <w:jc w:val="center"/>
              <w:rPr>
                <w:sz w:val="18"/>
              </w:rPr>
            </w:pPr>
            <w:r>
              <w:rPr>
                <w:sz w:val="18"/>
              </w:rPr>
              <w:t>2.60</w:t>
            </w:r>
          </w:p>
        </w:tc>
        <w:tc>
          <w:tcPr>
            <w:tcW w:w="1191" w:type="dxa"/>
            <w:tcBorders>
              <w:top w:val="single" w:sz="4" w:space="0" w:color="000000"/>
              <w:left w:val="nil"/>
              <w:bottom w:val="single" w:sz="4" w:space="0" w:color="000000"/>
              <w:right w:val="nil"/>
            </w:tcBorders>
          </w:tcPr>
          <w:p>
            <w:pPr>
              <w:pStyle w:val="TableParagraph"/>
              <w:spacing w:line="206" w:lineRule="exact"/>
              <w:ind w:left="326" w:right="375"/>
              <w:jc w:val="center"/>
              <w:rPr>
                <w:sz w:val="18"/>
              </w:rPr>
            </w:pPr>
            <w:r>
              <w:rPr>
                <w:sz w:val="18"/>
              </w:rPr>
              <w:t>2.29</w:t>
            </w:r>
          </w:p>
        </w:tc>
        <w:tc>
          <w:tcPr>
            <w:tcW w:w="1191" w:type="dxa"/>
            <w:tcBorders>
              <w:top w:val="single" w:sz="4" w:space="0" w:color="000000"/>
              <w:left w:val="nil"/>
              <w:bottom w:val="single" w:sz="4" w:space="0" w:color="000000"/>
              <w:right w:val="nil"/>
            </w:tcBorders>
          </w:tcPr>
          <w:p>
            <w:pPr>
              <w:pStyle w:val="TableParagraph"/>
              <w:spacing w:line="206" w:lineRule="exact"/>
              <w:ind w:left="393"/>
              <w:rPr>
                <w:sz w:val="18"/>
              </w:rPr>
            </w:pPr>
            <w:r>
              <w:rPr>
                <w:sz w:val="18"/>
              </w:rPr>
              <w:t>2.06</w:t>
            </w:r>
          </w:p>
        </w:tc>
        <w:tc>
          <w:tcPr>
            <w:tcW w:w="1515" w:type="dxa"/>
            <w:tcBorders>
              <w:top w:val="single" w:sz="4" w:space="0" w:color="000000"/>
              <w:left w:val="nil"/>
              <w:bottom w:val="single" w:sz="4" w:space="0" w:color="000000"/>
              <w:right w:val="nil"/>
            </w:tcBorders>
          </w:tcPr>
          <w:p>
            <w:pPr>
              <w:pStyle w:val="TableParagraph"/>
              <w:spacing w:line="206" w:lineRule="exact"/>
              <w:ind w:left="393"/>
              <w:rPr>
                <w:sz w:val="18"/>
              </w:rPr>
            </w:pPr>
            <w:r>
              <w:rPr>
                <w:sz w:val="18"/>
              </w:rPr>
              <w:t>1.75</w:t>
            </w:r>
          </w:p>
        </w:tc>
      </w:tr>
      <w:tr>
        <w:trPr>
          <w:trHeight w:val="272" w:hRule="exact"/>
        </w:trPr>
        <w:tc>
          <w:tcPr>
            <w:tcW w:w="2887" w:type="dxa"/>
            <w:tcBorders>
              <w:top w:val="single" w:sz="4" w:space="0" w:color="000000"/>
              <w:left w:val="nil"/>
              <w:bottom w:val="nil"/>
              <w:right w:val="nil"/>
            </w:tcBorders>
          </w:tcPr>
          <w:p>
            <w:pPr>
              <w:pStyle w:val="TableParagraph"/>
              <w:spacing w:line="206" w:lineRule="exact"/>
              <w:rPr>
                <w:sz w:val="18"/>
              </w:rPr>
            </w:pPr>
            <w:r>
              <w:rPr>
                <w:sz w:val="18"/>
              </w:rPr>
              <w:t>Xalatlaco</w:t>
            </w:r>
          </w:p>
        </w:tc>
        <w:tc>
          <w:tcPr>
            <w:tcW w:w="867" w:type="dxa"/>
            <w:tcBorders>
              <w:top w:val="single" w:sz="4" w:space="0" w:color="000000"/>
              <w:left w:val="nil"/>
              <w:bottom w:val="nil"/>
              <w:right w:val="nil"/>
            </w:tcBorders>
          </w:tcPr>
          <w:p>
            <w:pPr>
              <w:pStyle w:val="TableParagraph"/>
              <w:spacing w:line="206" w:lineRule="exact"/>
              <w:ind w:left="70"/>
              <w:rPr>
                <w:sz w:val="18"/>
              </w:rPr>
            </w:pPr>
            <w:r>
              <w:rPr>
                <w:sz w:val="18"/>
              </w:rPr>
              <w:t>6.63</w:t>
            </w:r>
          </w:p>
        </w:tc>
        <w:tc>
          <w:tcPr>
            <w:tcW w:w="1191" w:type="dxa"/>
            <w:tcBorders>
              <w:top w:val="single" w:sz="4" w:space="0" w:color="000000"/>
              <w:left w:val="nil"/>
              <w:bottom w:val="nil"/>
              <w:right w:val="nil"/>
            </w:tcBorders>
          </w:tcPr>
          <w:p>
            <w:pPr>
              <w:pStyle w:val="TableParagraph"/>
              <w:spacing w:line="206" w:lineRule="exact"/>
              <w:ind w:left="326" w:right="375"/>
              <w:jc w:val="center"/>
              <w:rPr>
                <w:sz w:val="18"/>
              </w:rPr>
            </w:pPr>
            <w:r>
              <w:rPr>
                <w:sz w:val="18"/>
              </w:rPr>
              <w:t>5.30</w:t>
            </w:r>
          </w:p>
        </w:tc>
        <w:tc>
          <w:tcPr>
            <w:tcW w:w="1191" w:type="dxa"/>
            <w:tcBorders>
              <w:top w:val="single" w:sz="4" w:space="0" w:color="000000"/>
              <w:left w:val="nil"/>
              <w:bottom w:val="nil"/>
              <w:right w:val="nil"/>
            </w:tcBorders>
          </w:tcPr>
          <w:p>
            <w:pPr>
              <w:pStyle w:val="TableParagraph"/>
              <w:spacing w:line="206" w:lineRule="exact"/>
              <w:ind w:left="326" w:right="375"/>
              <w:jc w:val="center"/>
              <w:rPr>
                <w:sz w:val="18"/>
              </w:rPr>
            </w:pPr>
            <w:r>
              <w:rPr>
                <w:sz w:val="18"/>
              </w:rPr>
              <w:t>4.86</w:t>
            </w:r>
          </w:p>
        </w:tc>
        <w:tc>
          <w:tcPr>
            <w:tcW w:w="1191" w:type="dxa"/>
            <w:tcBorders>
              <w:top w:val="single" w:sz="4" w:space="0" w:color="000000"/>
              <w:left w:val="nil"/>
              <w:bottom w:val="nil"/>
              <w:right w:val="nil"/>
            </w:tcBorders>
          </w:tcPr>
          <w:p>
            <w:pPr>
              <w:pStyle w:val="TableParagraph"/>
              <w:spacing w:line="206" w:lineRule="exact"/>
              <w:ind w:left="393"/>
              <w:rPr>
                <w:sz w:val="18"/>
              </w:rPr>
            </w:pPr>
            <w:r>
              <w:rPr>
                <w:sz w:val="18"/>
              </w:rPr>
              <w:t>4.66</w:t>
            </w:r>
          </w:p>
        </w:tc>
        <w:tc>
          <w:tcPr>
            <w:tcW w:w="1515" w:type="dxa"/>
            <w:tcBorders>
              <w:top w:val="single" w:sz="4" w:space="0" w:color="000000"/>
              <w:left w:val="nil"/>
              <w:bottom w:val="nil"/>
              <w:right w:val="nil"/>
            </w:tcBorders>
          </w:tcPr>
          <w:p>
            <w:pPr>
              <w:pStyle w:val="TableParagraph"/>
              <w:spacing w:line="206" w:lineRule="exact"/>
              <w:ind w:left="393"/>
              <w:rPr>
                <w:sz w:val="18"/>
              </w:rPr>
            </w:pPr>
            <w:r>
              <w:rPr>
                <w:sz w:val="18"/>
              </w:rPr>
              <w:t>3.47</w:t>
            </w:r>
          </w:p>
        </w:tc>
      </w:tr>
      <w:tr>
        <w:trPr>
          <w:trHeight w:val="311" w:hRule="exact"/>
        </w:trPr>
        <w:tc>
          <w:tcPr>
            <w:tcW w:w="2887" w:type="dxa"/>
            <w:tcBorders>
              <w:top w:val="nil"/>
              <w:left w:val="nil"/>
              <w:bottom w:val="nil"/>
              <w:right w:val="nil"/>
            </w:tcBorders>
          </w:tcPr>
          <w:p>
            <w:pPr>
              <w:pStyle w:val="TableParagraph"/>
              <w:spacing w:before="42"/>
              <w:rPr>
                <w:sz w:val="18"/>
              </w:rPr>
            </w:pPr>
            <w:r>
              <w:rPr>
                <w:sz w:val="18"/>
              </w:rPr>
              <w:t>Almoloya del Río</w:t>
            </w:r>
          </w:p>
        </w:tc>
        <w:tc>
          <w:tcPr>
            <w:tcW w:w="867" w:type="dxa"/>
            <w:tcBorders>
              <w:top w:val="nil"/>
              <w:left w:val="nil"/>
              <w:bottom w:val="nil"/>
              <w:right w:val="nil"/>
            </w:tcBorders>
          </w:tcPr>
          <w:p>
            <w:pPr>
              <w:pStyle w:val="TableParagraph"/>
              <w:spacing w:before="42"/>
              <w:ind w:left="70"/>
              <w:rPr>
                <w:sz w:val="18"/>
              </w:rPr>
            </w:pPr>
            <w:r>
              <w:rPr>
                <w:sz w:val="18"/>
              </w:rPr>
              <w:t>0.96</w:t>
            </w:r>
          </w:p>
        </w:tc>
        <w:tc>
          <w:tcPr>
            <w:tcW w:w="1191" w:type="dxa"/>
            <w:tcBorders>
              <w:top w:val="nil"/>
              <w:left w:val="nil"/>
              <w:bottom w:val="nil"/>
              <w:right w:val="nil"/>
            </w:tcBorders>
          </w:tcPr>
          <w:p>
            <w:pPr>
              <w:pStyle w:val="TableParagraph"/>
              <w:spacing w:before="42"/>
              <w:ind w:left="326" w:right="375"/>
              <w:jc w:val="center"/>
              <w:rPr>
                <w:sz w:val="18"/>
              </w:rPr>
            </w:pPr>
            <w:r>
              <w:rPr>
                <w:sz w:val="18"/>
              </w:rPr>
              <w:t>0.84</w:t>
            </w:r>
          </w:p>
        </w:tc>
        <w:tc>
          <w:tcPr>
            <w:tcW w:w="1191" w:type="dxa"/>
            <w:tcBorders>
              <w:top w:val="nil"/>
              <w:left w:val="nil"/>
              <w:bottom w:val="nil"/>
              <w:right w:val="nil"/>
            </w:tcBorders>
          </w:tcPr>
          <w:p>
            <w:pPr>
              <w:pStyle w:val="TableParagraph"/>
              <w:spacing w:before="42"/>
              <w:ind w:left="326" w:right="375"/>
              <w:jc w:val="center"/>
              <w:rPr>
                <w:sz w:val="18"/>
              </w:rPr>
            </w:pPr>
            <w:r>
              <w:rPr>
                <w:sz w:val="18"/>
              </w:rPr>
              <w:t>0.73</w:t>
            </w:r>
          </w:p>
        </w:tc>
        <w:tc>
          <w:tcPr>
            <w:tcW w:w="1191" w:type="dxa"/>
            <w:tcBorders>
              <w:top w:val="nil"/>
              <w:left w:val="nil"/>
              <w:bottom w:val="nil"/>
              <w:right w:val="nil"/>
            </w:tcBorders>
          </w:tcPr>
          <w:p>
            <w:pPr>
              <w:pStyle w:val="TableParagraph"/>
              <w:spacing w:before="42"/>
              <w:ind w:left="393"/>
              <w:rPr>
                <w:sz w:val="18"/>
              </w:rPr>
            </w:pPr>
            <w:r>
              <w:rPr>
                <w:sz w:val="18"/>
              </w:rPr>
              <w:t>0.73</w:t>
            </w:r>
          </w:p>
        </w:tc>
        <w:tc>
          <w:tcPr>
            <w:tcW w:w="1515" w:type="dxa"/>
            <w:tcBorders>
              <w:top w:val="nil"/>
              <w:left w:val="nil"/>
              <w:bottom w:val="nil"/>
              <w:right w:val="nil"/>
            </w:tcBorders>
          </w:tcPr>
          <w:p>
            <w:pPr>
              <w:pStyle w:val="TableParagraph"/>
              <w:spacing w:before="42"/>
              <w:ind w:left="393"/>
              <w:rPr>
                <w:sz w:val="18"/>
              </w:rPr>
            </w:pPr>
            <w:r>
              <w:rPr>
                <w:sz w:val="18"/>
              </w:rPr>
              <w:t>0.60</w:t>
            </w:r>
          </w:p>
        </w:tc>
      </w:tr>
      <w:tr>
        <w:trPr>
          <w:trHeight w:val="311" w:hRule="exact"/>
        </w:trPr>
        <w:tc>
          <w:tcPr>
            <w:tcW w:w="2887" w:type="dxa"/>
            <w:tcBorders>
              <w:top w:val="nil"/>
              <w:left w:val="nil"/>
              <w:bottom w:val="nil"/>
              <w:right w:val="nil"/>
            </w:tcBorders>
          </w:tcPr>
          <w:p>
            <w:pPr>
              <w:pStyle w:val="TableParagraph"/>
              <w:spacing w:before="43"/>
              <w:rPr>
                <w:sz w:val="18"/>
              </w:rPr>
            </w:pPr>
            <w:r>
              <w:rPr>
                <w:sz w:val="18"/>
              </w:rPr>
              <w:t>Atizapán</w:t>
            </w:r>
          </w:p>
        </w:tc>
        <w:tc>
          <w:tcPr>
            <w:tcW w:w="867" w:type="dxa"/>
            <w:tcBorders>
              <w:top w:val="nil"/>
              <w:left w:val="nil"/>
              <w:bottom w:val="nil"/>
              <w:right w:val="nil"/>
            </w:tcBorders>
          </w:tcPr>
          <w:p>
            <w:pPr>
              <w:pStyle w:val="TableParagraph"/>
              <w:spacing w:before="43"/>
              <w:ind w:left="70"/>
              <w:rPr>
                <w:sz w:val="18"/>
              </w:rPr>
            </w:pPr>
            <w:r>
              <w:rPr>
                <w:sz w:val="18"/>
              </w:rPr>
              <w:t>1.57</w:t>
            </w:r>
          </w:p>
        </w:tc>
        <w:tc>
          <w:tcPr>
            <w:tcW w:w="1191" w:type="dxa"/>
            <w:tcBorders>
              <w:top w:val="nil"/>
              <w:left w:val="nil"/>
              <w:bottom w:val="nil"/>
              <w:right w:val="nil"/>
            </w:tcBorders>
          </w:tcPr>
          <w:p>
            <w:pPr>
              <w:pStyle w:val="TableParagraph"/>
              <w:spacing w:before="43"/>
              <w:ind w:left="326" w:right="375"/>
              <w:jc w:val="center"/>
              <w:rPr>
                <w:sz w:val="18"/>
              </w:rPr>
            </w:pPr>
            <w:r>
              <w:rPr>
                <w:sz w:val="18"/>
              </w:rPr>
              <w:t>1.18</w:t>
            </w:r>
          </w:p>
        </w:tc>
        <w:tc>
          <w:tcPr>
            <w:tcW w:w="1191" w:type="dxa"/>
            <w:tcBorders>
              <w:top w:val="nil"/>
              <w:left w:val="nil"/>
              <w:bottom w:val="nil"/>
              <w:right w:val="nil"/>
            </w:tcBorders>
          </w:tcPr>
          <w:p>
            <w:pPr>
              <w:pStyle w:val="TableParagraph"/>
              <w:spacing w:before="43"/>
              <w:ind w:left="326" w:right="375"/>
              <w:jc w:val="center"/>
              <w:rPr>
                <w:sz w:val="18"/>
              </w:rPr>
            </w:pPr>
            <w:r>
              <w:rPr>
                <w:sz w:val="18"/>
              </w:rPr>
              <w:t>1.03</w:t>
            </w:r>
          </w:p>
        </w:tc>
        <w:tc>
          <w:tcPr>
            <w:tcW w:w="1191" w:type="dxa"/>
            <w:tcBorders>
              <w:top w:val="nil"/>
              <w:left w:val="nil"/>
              <w:bottom w:val="nil"/>
              <w:right w:val="nil"/>
            </w:tcBorders>
          </w:tcPr>
          <w:p>
            <w:pPr>
              <w:pStyle w:val="TableParagraph"/>
              <w:spacing w:before="43"/>
              <w:ind w:left="393"/>
              <w:rPr>
                <w:sz w:val="18"/>
              </w:rPr>
            </w:pPr>
            <w:r>
              <w:rPr>
                <w:sz w:val="18"/>
              </w:rPr>
              <w:t>0.94</w:t>
            </w:r>
          </w:p>
        </w:tc>
        <w:tc>
          <w:tcPr>
            <w:tcW w:w="1515" w:type="dxa"/>
            <w:tcBorders>
              <w:top w:val="nil"/>
              <w:left w:val="nil"/>
              <w:bottom w:val="nil"/>
              <w:right w:val="nil"/>
            </w:tcBorders>
          </w:tcPr>
          <w:p>
            <w:pPr>
              <w:pStyle w:val="TableParagraph"/>
              <w:spacing w:before="43"/>
              <w:ind w:left="393"/>
              <w:rPr>
                <w:sz w:val="18"/>
              </w:rPr>
            </w:pPr>
            <w:r>
              <w:rPr>
                <w:sz w:val="18"/>
              </w:rPr>
              <w:t>0.82</w:t>
            </w:r>
          </w:p>
        </w:tc>
      </w:tr>
      <w:tr>
        <w:trPr>
          <w:trHeight w:val="310" w:hRule="exact"/>
        </w:trPr>
        <w:tc>
          <w:tcPr>
            <w:tcW w:w="2887" w:type="dxa"/>
            <w:tcBorders>
              <w:top w:val="nil"/>
              <w:left w:val="nil"/>
              <w:bottom w:val="nil"/>
              <w:right w:val="nil"/>
            </w:tcBorders>
          </w:tcPr>
          <w:p>
            <w:pPr>
              <w:pStyle w:val="TableParagraph"/>
              <w:spacing w:before="42"/>
              <w:rPr>
                <w:sz w:val="18"/>
              </w:rPr>
            </w:pPr>
            <w:r>
              <w:rPr>
                <w:sz w:val="18"/>
              </w:rPr>
              <w:t>Capulhuac</w:t>
            </w:r>
          </w:p>
        </w:tc>
        <w:tc>
          <w:tcPr>
            <w:tcW w:w="867" w:type="dxa"/>
            <w:tcBorders>
              <w:top w:val="nil"/>
              <w:left w:val="nil"/>
              <w:bottom w:val="nil"/>
              <w:right w:val="nil"/>
            </w:tcBorders>
          </w:tcPr>
          <w:p>
            <w:pPr>
              <w:pStyle w:val="TableParagraph"/>
              <w:spacing w:before="42"/>
              <w:ind w:left="70"/>
              <w:rPr>
                <w:sz w:val="18"/>
              </w:rPr>
            </w:pPr>
            <w:r>
              <w:rPr>
                <w:sz w:val="18"/>
              </w:rPr>
              <w:t>1.01</w:t>
            </w:r>
          </w:p>
        </w:tc>
        <w:tc>
          <w:tcPr>
            <w:tcW w:w="1191" w:type="dxa"/>
            <w:tcBorders>
              <w:top w:val="nil"/>
              <w:left w:val="nil"/>
              <w:bottom w:val="nil"/>
              <w:right w:val="nil"/>
            </w:tcBorders>
          </w:tcPr>
          <w:p>
            <w:pPr>
              <w:pStyle w:val="TableParagraph"/>
              <w:spacing w:before="42"/>
              <w:ind w:left="326" w:right="375"/>
              <w:jc w:val="center"/>
              <w:rPr>
                <w:sz w:val="18"/>
              </w:rPr>
            </w:pPr>
            <w:r>
              <w:rPr>
                <w:sz w:val="18"/>
              </w:rPr>
              <w:t>0.83</w:t>
            </w:r>
          </w:p>
        </w:tc>
        <w:tc>
          <w:tcPr>
            <w:tcW w:w="1191" w:type="dxa"/>
            <w:tcBorders>
              <w:top w:val="nil"/>
              <w:left w:val="nil"/>
              <w:bottom w:val="nil"/>
              <w:right w:val="nil"/>
            </w:tcBorders>
          </w:tcPr>
          <w:p>
            <w:pPr>
              <w:pStyle w:val="TableParagraph"/>
              <w:spacing w:before="42"/>
              <w:ind w:left="326" w:right="375"/>
              <w:jc w:val="center"/>
              <w:rPr>
                <w:sz w:val="18"/>
              </w:rPr>
            </w:pPr>
            <w:r>
              <w:rPr>
                <w:sz w:val="18"/>
              </w:rPr>
              <w:t>0.75</w:t>
            </w:r>
          </w:p>
        </w:tc>
        <w:tc>
          <w:tcPr>
            <w:tcW w:w="1191" w:type="dxa"/>
            <w:tcBorders>
              <w:top w:val="nil"/>
              <w:left w:val="nil"/>
              <w:bottom w:val="nil"/>
              <w:right w:val="nil"/>
            </w:tcBorders>
          </w:tcPr>
          <w:p>
            <w:pPr>
              <w:pStyle w:val="TableParagraph"/>
              <w:spacing w:before="42"/>
              <w:ind w:left="393"/>
              <w:rPr>
                <w:sz w:val="18"/>
              </w:rPr>
            </w:pPr>
            <w:r>
              <w:rPr>
                <w:sz w:val="18"/>
              </w:rPr>
              <w:t>0.70</w:t>
            </w:r>
          </w:p>
        </w:tc>
        <w:tc>
          <w:tcPr>
            <w:tcW w:w="1515" w:type="dxa"/>
            <w:tcBorders>
              <w:top w:val="nil"/>
              <w:left w:val="nil"/>
              <w:bottom w:val="nil"/>
              <w:right w:val="nil"/>
            </w:tcBorders>
          </w:tcPr>
          <w:p>
            <w:pPr>
              <w:pStyle w:val="TableParagraph"/>
              <w:spacing w:before="42"/>
              <w:ind w:left="393"/>
              <w:rPr>
                <w:sz w:val="18"/>
              </w:rPr>
            </w:pPr>
            <w:r>
              <w:rPr>
                <w:sz w:val="18"/>
              </w:rPr>
              <w:t>0.63</w:t>
            </w:r>
          </w:p>
        </w:tc>
      </w:tr>
      <w:tr>
        <w:trPr>
          <w:trHeight w:val="311" w:hRule="exact"/>
        </w:trPr>
        <w:tc>
          <w:tcPr>
            <w:tcW w:w="2887" w:type="dxa"/>
            <w:tcBorders>
              <w:top w:val="nil"/>
              <w:left w:val="nil"/>
              <w:bottom w:val="nil"/>
              <w:right w:val="nil"/>
            </w:tcBorders>
          </w:tcPr>
          <w:p>
            <w:pPr>
              <w:pStyle w:val="TableParagraph"/>
              <w:spacing w:before="42"/>
              <w:rPr>
                <w:sz w:val="18"/>
              </w:rPr>
            </w:pPr>
            <w:r>
              <w:rPr>
                <w:sz w:val="18"/>
              </w:rPr>
              <w:t>Tenango del Valle</w:t>
            </w:r>
          </w:p>
        </w:tc>
        <w:tc>
          <w:tcPr>
            <w:tcW w:w="867" w:type="dxa"/>
            <w:tcBorders>
              <w:top w:val="nil"/>
              <w:left w:val="nil"/>
              <w:bottom w:val="nil"/>
              <w:right w:val="nil"/>
            </w:tcBorders>
          </w:tcPr>
          <w:p>
            <w:pPr>
              <w:pStyle w:val="TableParagraph"/>
              <w:spacing w:before="42"/>
              <w:ind w:left="70"/>
              <w:rPr>
                <w:sz w:val="18"/>
              </w:rPr>
            </w:pPr>
            <w:r>
              <w:rPr>
                <w:sz w:val="18"/>
              </w:rPr>
              <w:t>4.55</w:t>
            </w:r>
          </w:p>
        </w:tc>
        <w:tc>
          <w:tcPr>
            <w:tcW w:w="1191" w:type="dxa"/>
            <w:tcBorders>
              <w:top w:val="nil"/>
              <w:left w:val="nil"/>
              <w:bottom w:val="nil"/>
              <w:right w:val="nil"/>
            </w:tcBorders>
          </w:tcPr>
          <w:p>
            <w:pPr>
              <w:pStyle w:val="TableParagraph"/>
              <w:spacing w:before="42"/>
              <w:ind w:left="326" w:right="375"/>
              <w:jc w:val="center"/>
              <w:rPr>
                <w:sz w:val="18"/>
              </w:rPr>
            </w:pPr>
            <w:r>
              <w:rPr>
                <w:sz w:val="18"/>
              </w:rPr>
              <w:t>3.81</w:t>
            </w:r>
          </w:p>
        </w:tc>
        <w:tc>
          <w:tcPr>
            <w:tcW w:w="1191" w:type="dxa"/>
            <w:tcBorders>
              <w:top w:val="nil"/>
              <w:left w:val="nil"/>
              <w:bottom w:val="nil"/>
              <w:right w:val="nil"/>
            </w:tcBorders>
          </w:tcPr>
          <w:p>
            <w:pPr>
              <w:pStyle w:val="TableParagraph"/>
              <w:spacing w:before="42"/>
              <w:ind w:left="326" w:right="375"/>
              <w:jc w:val="center"/>
              <w:rPr>
                <w:sz w:val="18"/>
              </w:rPr>
            </w:pPr>
            <w:r>
              <w:rPr>
                <w:sz w:val="18"/>
              </w:rPr>
              <w:t>3.21</w:t>
            </w:r>
          </w:p>
        </w:tc>
        <w:tc>
          <w:tcPr>
            <w:tcW w:w="1191" w:type="dxa"/>
            <w:tcBorders>
              <w:top w:val="nil"/>
              <w:left w:val="nil"/>
              <w:bottom w:val="nil"/>
              <w:right w:val="nil"/>
            </w:tcBorders>
          </w:tcPr>
          <w:p>
            <w:pPr>
              <w:pStyle w:val="TableParagraph"/>
              <w:spacing w:before="42"/>
              <w:ind w:left="393"/>
              <w:rPr>
                <w:sz w:val="18"/>
              </w:rPr>
            </w:pPr>
            <w:r>
              <w:rPr>
                <w:sz w:val="18"/>
              </w:rPr>
              <w:t>3.04</w:t>
            </w:r>
          </w:p>
        </w:tc>
        <w:tc>
          <w:tcPr>
            <w:tcW w:w="1515" w:type="dxa"/>
            <w:tcBorders>
              <w:top w:val="nil"/>
              <w:left w:val="nil"/>
              <w:bottom w:val="nil"/>
              <w:right w:val="nil"/>
            </w:tcBorders>
          </w:tcPr>
          <w:p>
            <w:pPr>
              <w:pStyle w:val="TableParagraph"/>
              <w:spacing w:before="42"/>
              <w:ind w:left="393"/>
              <w:rPr>
                <w:sz w:val="18"/>
              </w:rPr>
            </w:pPr>
            <w:r>
              <w:rPr>
                <w:sz w:val="18"/>
              </w:rPr>
              <w:t>2.68</w:t>
            </w:r>
          </w:p>
        </w:tc>
      </w:tr>
      <w:tr>
        <w:trPr>
          <w:trHeight w:val="311" w:hRule="exact"/>
        </w:trPr>
        <w:tc>
          <w:tcPr>
            <w:tcW w:w="2887" w:type="dxa"/>
            <w:tcBorders>
              <w:top w:val="nil"/>
              <w:left w:val="nil"/>
              <w:bottom w:val="nil"/>
              <w:right w:val="nil"/>
            </w:tcBorders>
          </w:tcPr>
          <w:p>
            <w:pPr>
              <w:pStyle w:val="TableParagraph"/>
              <w:spacing w:before="43"/>
              <w:rPr>
                <w:sz w:val="18"/>
              </w:rPr>
            </w:pPr>
            <w:r>
              <w:rPr>
                <w:sz w:val="18"/>
              </w:rPr>
              <w:t>Texcalyacac</w:t>
            </w:r>
          </w:p>
        </w:tc>
        <w:tc>
          <w:tcPr>
            <w:tcW w:w="867" w:type="dxa"/>
            <w:tcBorders>
              <w:top w:val="nil"/>
              <w:left w:val="nil"/>
              <w:bottom w:val="nil"/>
              <w:right w:val="nil"/>
            </w:tcBorders>
          </w:tcPr>
          <w:p>
            <w:pPr>
              <w:pStyle w:val="TableParagraph"/>
              <w:spacing w:before="43"/>
              <w:ind w:left="70"/>
              <w:rPr>
                <w:sz w:val="18"/>
              </w:rPr>
            </w:pPr>
            <w:r>
              <w:rPr>
                <w:sz w:val="18"/>
              </w:rPr>
              <w:t>6.05</w:t>
            </w:r>
          </w:p>
        </w:tc>
        <w:tc>
          <w:tcPr>
            <w:tcW w:w="1191" w:type="dxa"/>
            <w:tcBorders>
              <w:top w:val="nil"/>
              <w:left w:val="nil"/>
              <w:bottom w:val="nil"/>
              <w:right w:val="nil"/>
            </w:tcBorders>
          </w:tcPr>
          <w:p>
            <w:pPr>
              <w:pStyle w:val="TableParagraph"/>
              <w:spacing w:before="43"/>
              <w:ind w:left="326" w:right="375"/>
              <w:jc w:val="center"/>
              <w:rPr>
                <w:sz w:val="18"/>
              </w:rPr>
            </w:pPr>
            <w:r>
              <w:rPr>
                <w:sz w:val="18"/>
              </w:rPr>
              <w:t>4.78</w:t>
            </w:r>
          </w:p>
        </w:tc>
        <w:tc>
          <w:tcPr>
            <w:tcW w:w="1191" w:type="dxa"/>
            <w:tcBorders>
              <w:top w:val="nil"/>
              <w:left w:val="nil"/>
              <w:bottom w:val="nil"/>
              <w:right w:val="nil"/>
            </w:tcBorders>
          </w:tcPr>
          <w:p>
            <w:pPr>
              <w:pStyle w:val="TableParagraph"/>
              <w:spacing w:before="43"/>
              <w:ind w:left="326" w:right="375"/>
              <w:jc w:val="center"/>
              <w:rPr>
                <w:sz w:val="18"/>
              </w:rPr>
            </w:pPr>
            <w:r>
              <w:rPr>
                <w:sz w:val="18"/>
              </w:rPr>
              <w:t>4.48</w:t>
            </w:r>
          </w:p>
        </w:tc>
        <w:tc>
          <w:tcPr>
            <w:tcW w:w="1191" w:type="dxa"/>
            <w:tcBorders>
              <w:top w:val="nil"/>
              <w:left w:val="nil"/>
              <w:bottom w:val="nil"/>
              <w:right w:val="nil"/>
            </w:tcBorders>
          </w:tcPr>
          <w:p>
            <w:pPr>
              <w:pStyle w:val="TableParagraph"/>
              <w:spacing w:before="43"/>
              <w:ind w:left="393"/>
              <w:rPr>
                <w:sz w:val="18"/>
              </w:rPr>
            </w:pPr>
            <w:r>
              <w:rPr>
                <w:sz w:val="18"/>
              </w:rPr>
              <w:t>3.97</w:t>
            </w:r>
          </w:p>
        </w:tc>
        <w:tc>
          <w:tcPr>
            <w:tcW w:w="1515" w:type="dxa"/>
            <w:tcBorders>
              <w:top w:val="nil"/>
              <w:left w:val="nil"/>
              <w:bottom w:val="nil"/>
              <w:right w:val="nil"/>
            </w:tcBorders>
          </w:tcPr>
          <w:p>
            <w:pPr>
              <w:pStyle w:val="TableParagraph"/>
              <w:spacing w:before="43"/>
              <w:ind w:left="393"/>
              <w:rPr>
                <w:sz w:val="18"/>
              </w:rPr>
            </w:pPr>
            <w:r>
              <w:rPr>
                <w:sz w:val="18"/>
              </w:rPr>
              <w:t>3.50</w:t>
            </w:r>
          </w:p>
        </w:tc>
      </w:tr>
      <w:tr>
        <w:trPr>
          <w:trHeight w:val="359" w:hRule="exact"/>
        </w:trPr>
        <w:tc>
          <w:tcPr>
            <w:tcW w:w="2887" w:type="dxa"/>
            <w:tcBorders>
              <w:top w:val="nil"/>
              <w:left w:val="nil"/>
              <w:bottom w:val="single" w:sz="4" w:space="0" w:color="000000"/>
              <w:right w:val="nil"/>
            </w:tcBorders>
          </w:tcPr>
          <w:p>
            <w:pPr>
              <w:pStyle w:val="TableParagraph"/>
              <w:spacing w:before="42"/>
              <w:rPr>
                <w:sz w:val="18"/>
              </w:rPr>
            </w:pPr>
            <w:r>
              <w:rPr>
                <w:sz w:val="18"/>
              </w:rPr>
              <w:t>Tianguistenco</w:t>
            </w:r>
          </w:p>
        </w:tc>
        <w:tc>
          <w:tcPr>
            <w:tcW w:w="867" w:type="dxa"/>
            <w:tcBorders>
              <w:top w:val="nil"/>
              <w:left w:val="nil"/>
              <w:bottom w:val="single" w:sz="4" w:space="0" w:color="000000"/>
              <w:right w:val="nil"/>
            </w:tcBorders>
          </w:tcPr>
          <w:p>
            <w:pPr>
              <w:pStyle w:val="TableParagraph"/>
              <w:spacing w:before="42"/>
              <w:ind w:left="70"/>
              <w:rPr>
                <w:sz w:val="18"/>
              </w:rPr>
            </w:pPr>
            <w:r>
              <w:rPr>
                <w:sz w:val="18"/>
              </w:rPr>
              <w:t>2.86</w:t>
            </w:r>
          </w:p>
        </w:tc>
        <w:tc>
          <w:tcPr>
            <w:tcW w:w="1191" w:type="dxa"/>
            <w:tcBorders>
              <w:top w:val="nil"/>
              <w:left w:val="nil"/>
              <w:bottom w:val="single" w:sz="4" w:space="0" w:color="000000"/>
              <w:right w:val="nil"/>
            </w:tcBorders>
          </w:tcPr>
          <w:p>
            <w:pPr>
              <w:pStyle w:val="TableParagraph"/>
              <w:spacing w:before="42"/>
              <w:ind w:left="326" w:right="375"/>
              <w:jc w:val="center"/>
              <w:rPr>
                <w:sz w:val="18"/>
              </w:rPr>
            </w:pPr>
            <w:r>
              <w:rPr>
                <w:sz w:val="18"/>
              </w:rPr>
              <w:t>2.38</w:t>
            </w:r>
          </w:p>
        </w:tc>
        <w:tc>
          <w:tcPr>
            <w:tcW w:w="1191" w:type="dxa"/>
            <w:tcBorders>
              <w:top w:val="nil"/>
              <w:left w:val="nil"/>
              <w:bottom w:val="single" w:sz="4" w:space="0" w:color="000000"/>
              <w:right w:val="nil"/>
            </w:tcBorders>
          </w:tcPr>
          <w:p>
            <w:pPr>
              <w:pStyle w:val="TableParagraph"/>
              <w:spacing w:before="42"/>
              <w:ind w:left="326" w:right="375"/>
              <w:jc w:val="center"/>
              <w:rPr>
                <w:sz w:val="18"/>
              </w:rPr>
            </w:pPr>
            <w:r>
              <w:rPr>
                <w:sz w:val="18"/>
              </w:rPr>
              <w:t>2.08</w:t>
            </w:r>
          </w:p>
        </w:tc>
        <w:tc>
          <w:tcPr>
            <w:tcW w:w="1191" w:type="dxa"/>
            <w:tcBorders>
              <w:top w:val="nil"/>
              <w:left w:val="nil"/>
              <w:bottom w:val="single" w:sz="4" w:space="0" w:color="000000"/>
              <w:right w:val="nil"/>
            </w:tcBorders>
          </w:tcPr>
          <w:p>
            <w:pPr>
              <w:pStyle w:val="TableParagraph"/>
              <w:spacing w:before="42"/>
              <w:ind w:left="393"/>
              <w:rPr>
                <w:sz w:val="18"/>
              </w:rPr>
            </w:pPr>
            <w:r>
              <w:rPr>
                <w:sz w:val="18"/>
              </w:rPr>
              <w:t>1.89</w:t>
            </w:r>
          </w:p>
        </w:tc>
        <w:tc>
          <w:tcPr>
            <w:tcW w:w="1515" w:type="dxa"/>
            <w:tcBorders>
              <w:top w:val="nil"/>
              <w:left w:val="nil"/>
              <w:bottom w:val="single" w:sz="4" w:space="0" w:color="000000"/>
              <w:right w:val="nil"/>
            </w:tcBorders>
          </w:tcPr>
          <w:p>
            <w:pPr>
              <w:pStyle w:val="TableParagraph"/>
              <w:spacing w:before="42"/>
              <w:ind w:left="393"/>
              <w:rPr>
                <w:sz w:val="18"/>
              </w:rPr>
            </w:pPr>
            <w:r>
              <w:rPr>
                <w:sz w:val="18"/>
              </w:rPr>
              <w:t>1.72</w:t>
            </w:r>
          </w:p>
        </w:tc>
      </w:tr>
      <w:tr>
        <w:trPr>
          <w:trHeight w:val="631" w:hRule="exact"/>
        </w:trPr>
        <w:tc>
          <w:tcPr>
            <w:tcW w:w="2887" w:type="dxa"/>
            <w:tcBorders>
              <w:top w:val="single" w:sz="4" w:space="0" w:color="000000"/>
              <w:left w:val="nil"/>
              <w:bottom w:val="single" w:sz="4" w:space="0" w:color="000000"/>
              <w:right w:val="nil"/>
            </w:tcBorders>
          </w:tcPr>
          <w:p>
            <w:pPr>
              <w:pStyle w:val="TableParagraph"/>
              <w:tabs>
                <w:tab w:pos="1052" w:val="left" w:leader="none"/>
                <w:tab w:pos="1934" w:val="left" w:leader="none"/>
                <w:tab w:pos="2616" w:val="left" w:leader="none"/>
              </w:tabs>
              <w:spacing w:line="360" w:lineRule="auto"/>
              <w:ind w:right="68"/>
              <w:rPr>
                <w:sz w:val="18"/>
              </w:rPr>
            </w:pPr>
            <w:r>
              <w:rPr>
                <w:sz w:val="18"/>
              </w:rPr>
              <w:t>Relación</w:t>
              <w:tab/>
              <w:t>externa</w:t>
              <w:tab/>
              <w:t>resto</w:t>
              <w:tab/>
              <w:t>de municipios</w:t>
            </w:r>
          </w:p>
        </w:tc>
        <w:tc>
          <w:tcPr>
            <w:tcW w:w="867" w:type="dxa"/>
            <w:tcBorders>
              <w:top w:val="single" w:sz="4" w:space="0" w:color="000000"/>
              <w:left w:val="nil"/>
              <w:bottom w:val="single" w:sz="4" w:space="0" w:color="000000"/>
              <w:right w:val="nil"/>
            </w:tcBorders>
          </w:tcPr>
          <w:p>
            <w:pPr>
              <w:pStyle w:val="TableParagraph"/>
              <w:spacing w:before="152"/>
              <w:ind w:left="70"/>
              <w:rPr>
                <w:sz w:val="18"/>
              </w:rPr>
            </w:pPr>
            <w:r>
              <w:rPr>
                <w:sz w:val="18"/>
              </w:rPr>
              <w:t>3.44</w:t>
            </w:r>
          </w:p>
        </w:tc>
        <w:tc>
          <w:tcPr>
            <w:tcW w:w="1191" w:type="dxa"/>
            <w:tcBorders>
              <w:top w:val="single" w:sz="4" w:space="0" w:color="000000"/>
              <w:left w:val="nil"/>
              <w:bottom w:val="single" w:sz="4" w:space="0" w:color="000000"/>
              <w:right w:val="nil"/>
            </w:tcBorders>
          </w:tcPr>
          <w:p>
            <w:pPr>
              <w:pStyle w:val="TableParagraph"/>
              <w:spacing w:before="152"/>
              <w:ind w:left="326" w:right="375"/>
              <w:jc w:val="center"/>
              <w:rPr>
                <w:sz w:val="18"/>
              </w:rPr>
            </w:pPr>
            <w:r>
              <w:rPr>
                <w:sz w:val="18"/>
              </w:rPr>
              <w:t>2.84</w:t>
            </w:r>
          </w:p>
        </w:tc>
        <w:tc>
          <w:tcPr>
            <w:tcW w:w="1191" w:type="dxa"/>
            <w:tcBorders>
              <w:top w:val="single" w:sz="4" w:space="0" w:color="000000"/>
              <w:left w:val="nil"/>
              <w:bottom w:val="single" w:sz="4" w:space="0" w:color="000000"/>
              <w:right w:val="nil"/>
            </w:tcBorders>
          </w:tcPr>
          <w:p>
            <w:pPr>
              <w:pStyle w:val="TableParagraph"/>
              <w:spacing w:before="152"/>
              <w:ind w:left="326" w:right="375"/>
              <w:jc w:val="center"/>
              <w:rPr>
                <w:sz w:val="18"/>
              </w:rPr>
            </w:pPr>
            <w:r>
              <w:rPr>
                <w:sz w:val="18"/>
              </w:rPr>
              <w:t>2.48</w:t>
            </w:r>
          </w:p>
        </w:tc>
        <w:tc>
          <w:tcPr>
            <w:tcW w:w="1191" w:type="dxa"/>
            <w:tcBorders>
              <w:top w:val="single" w:sz="4" w:space="0" w:color="000000"/>
              <w:left w:val="nil"/>
              <w:bottom w:val="single" w:sz="4" w:space="0" w:color="000000"/>
              <w:right w:val="nil"/>
            </w:tcBorders>
          </w:tcPr>
          <w:p>
            <w:pPr>
              <w:pStyle w:val="TableParagraph"/>
              <w:spacing w:before="152"/>
              <w:ind w:left="393"/>
              <w:rPr>
                <w:sz w:val="18"/>
              </w:rPr>
            </w:pPr>
            <w:r>
              <w:rPr>
                <w:sz w:val="18"/>
              </w:rPr>
              <w:t>2.32</w:t>
            </w:r>
          </w:p>
        </w:tc>
        <w:tc>
          <w:tcPr>
            <w:tcW w:w="1515" w:type="dxa"/>
            <w:tcBorders>
              <w:top w:val="single" w:sz="4" w:space="0" w:color="000000"/>
              <w:left w:val="nil"/>
              <w:bottom w:val="single" w:sz="4" w:space="0" w:color="000000"/>
              <w:right w:val="nil"/>
            </w:tcBorders>
          </w:tcPr>
          <w:p>
            <w:pPr>
              <w:pStyle w:val="TableParagraph"/>
              <w:spacing w:before="152"/>
              <w:ind w:left="393"/>
              <w:rPr>
                <w:sz w:val="18"/>
              </w:rPr>
            </w:pPr>
            <w:r>
              <w:rPr>
                <w:sz w:val="18"/>
              </w:rPr>
              <w:t>2.03</w:t>
            </w:r>
          </w:p>
        </w:tc>
      </w:tr>
    </w:tbl>
    <w:p>
      <w:pPr>
        <w:spacing w:line="240" w:lineRule="auto" w:before="0"/>
        <w:ind w:left="145" w:right="162" w:hanging="9"/>
        <w:jc w:val="center"/>
        <w:rPr>
          <w:sz w:val="20"/>
        </w:rPr>
      </w:pPr>
      <w:r>
        <w:rPr>
          <w:sz w:val="20"/>
        </w:rPr>
        <w:t>Fuente: Elaboración propia con información del XI Censo General de Población y Vivienda 1990, Conteo de Población y Vivienda 1995, XII Censo General de Población y Vivienda 2000, II Conteo de Población y Vivienda 2005 y Censo de Población y Vivienda 2010 (ITER 1990,1995,2000, 2005 y 2010)</w:t>
      </w:r>
    </w:p>
    <w:p>
      <w:pPr>
        <w:spacing w:after="0" w:line="240" w:lineRule="auto"/>
        <w:jc w:val="center"/>
        <w:rPr>
          <w:sz w:val="20"/>
        </w:rPr>
        <w:sectPr>
          <w:pgSz w:w="12240" w:h="15840"/>
          <w:pgMar w:header="0" w:footer="659" w:top="1360" w:bottom="840" w:left="1600" w:right="1580"/>
        </w:sectPr>
      </w:pPr>
    </w:p>
    <w:p>
      <w:pPr>
        <w:tabs>
          <w:tab w:pos="2264" w:val="left" w:leader="none"/>
          <w:tab w:pos="8544" w:val="left" w:leader="none"/>
        </w:tabs>
        <w:spacing w:before="53"/>
        <w:ind w:left="378" w:right="197" w:firstLine="0"/>
        <w:jc w:val="left"/>
        <w:rPr>
          <w:sz w:val="20"/>
        </w:rPr>
      </w:pPr>
      <w:r>
        <w:rPr>
          <w:w w:val="99"/>
          <w:sz w:val="20"/>
          <w:u w:val="single"/>
        </w:rPr>
        <w:t> </w:t>
      </w:r>
      <w:r>
        <w:rPr>
          <w:sz w:val="20"/>
          <w:u w:val="single"/>
        </w:rPr>
        <w:tab/>
        <w:t>Cuadro A 4.11  Registro de vehículos</w:t>
      </w:r>
      <w:r>
        <w:rPr>
          <w:spacing w:val="-12"/>
          <w:sz w:val="20"/>
          <w:u w:val="single"/>
        </w:rPr>
        <w:t> </w:t>
      </w:r>
      <w:r>
        <w:rPr>
          <w:sz w:val="20"/>
          <w:u w:val="single"/>
        </w:rPr>
        <w:t>1985-2010.</w:t>
        <w:tab/>
      </w:r>
    </w:p>
    <w:p>
      <w:pPr>
        <w:pStyle w:val="BodyText"/>
        <w:rPr>
          <w:sz w:val="11"/>
        </w:rPr>
      </w:pPr>
    </w:p>
    <w:tbl>
      <w:tblPr>
        <w:tblW w:w="0" w:type="auto"/>
        <w:jc w:val="left"/>
        <w:tblInd w:w="363"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953"/>
        <w:gridCol w:w="1512"/>
        <w:gridCol w:w="1528"/>
        <w:gridCol w:w="2187"/>
      </w:tblGrid>
      <w:tr>
        <w:trPr>
          <w:trHeight w:val="244" w:hRule="exact"/>
        </w:trPr>
        <w:tc>
          <w:tcPr>
            <w:tcW w:w="2953" w:type="dxa"/>
          </w:tcPr>
          <w:p>
            <w:pPr>
              <w:pStyle w:val="TableParagraph"/>
              <w:spacing w:line="184" w:lineRule="exact"/>
              <w:ind w:left="83"/>
              <w:rPr>
                <w:sz w:val="18"/>
              </w:rPr>
            </w:pPr>
            <w:r>
              <w:rPr>
                <w:sz w:val="18"/>
              </w:rPr>
              <w:t>MUNICIPIO</w:t>
            </w:r>
          </w:p>
        </w:tc>
        <w:tc>
          <w:tcPr>
            <w:tcW w:w="5227" w:type="dxa"/>
            <w:gridSpan w:val="3"/>
          </w:tcPr>
          <w:p>
            <w:pPr>
              <w:pStyle w:val="TableParagraph"/>
              <w:tabs>
                <w:tab w:pos="1722" w:val="left" w:leader="none"/>
                <w:tab w:pos="5227" w:val="left" w:leader="none"/>
              </w:tabs>
              <w:spacing w:line="184" w:lineRule="exact"/>
              <w:ind w:left="239"/>
              <w:rPr>
                <w:sz w:val="18"/>
              </w:rPr>
            </w:pPr>
            <w:r>
              <w:rPr>
                <w:w w:val="100"/>
                <w:sz w:val="18"/>
                <w:u w:val="single"/>
              </w:rPr>
              <w:t> </w:t>
            </w:r>
            <w:r>
              <w:rPr>
                <w:sz w:val="18"/>
                <w:u w:val="single"/>
              </w:rPr>
              <w:tab/>
              <w:t>TOTAL DE</w:t>
            </w:r>
            <w:r>
              <w:rPr>
                <w:spacing w:val="45"/>
                <w:sz w:val="18"/>
                <w:u w:val="single"/>
              </w:rPr>
              <w:t> </w:t>
            </w:r>
            <w:r>
              <w:rPr>
                <w:sz w:val="18"/>
                <w:u w:val="single"/>
              </w:rPr>
              <w:t>VEHÍCULOS</w:t>
              <w:tab/>
            </w:r>
          </w:p>
        </w:tc>
      </w:tr>
      <w:tr>
        <w:trPr>
          <w:trHeight w:val="253" w:hRule="exact"/>
        </w:trPr>
        <w:tc>
          <w:tcPr>
            <w:tcW w:w="2953" w:type="dxa"/>
            <w:tcBorders>
              <w:bottom w:val="single" w:sz="4" w:space="0" w:color="000000"/>
            </w:tcBorders>
          </w:tcPr>
          <w:p>
            <w:pPr>
              <w:pStyle w:val="TableParagraph"/>
              <w:spacing w:before="40"/>
              <w:ind w:left="83"/>
              <w:rPr>
                <w:sz w:val="18"/>
              </w:rPr>
            </w:pPr>
            <w:r>
              <w:rPr>
                <w:sz w:val="18"/>
              </w:rPr>
              <w:t>AÑO</w:t>
            </w:r>
          </w:p>
        </w:tc>
        <w:tc>
          <w:tcPr>
            <w:tcW w:w="1512" w:type="dxa"/>
            <w:tcBorders>
              <w:bottom w:val="single" w:sz="4" w:space="0" w:color="000000"/>
            </w:tcBorders>
          </w:tcPr>
          <w:p>
            <w:pPr>
              <w:pStyle w:val="TableParagraph"/>
              <w:spacing w:before="40"/>
              <w:ind w:left="308"/>
              <w:rPr>
                <w:sz w:val="18"/>
              </w:rPr>
            </w:pPr>
            <w:r>
              <w:rPr>
                <w:sz w:val="18"/>
              </w:rPr>
              <w:t>1985-1990</w:t>
            </w:r>
          </w:p>
        </w:tc>
        <w:tc>
          <w:tcPr>
            <w:tcW w:w="1528" w:type="dxa"/>
            <w:tcBorders>
              <w:bottom w:val="single" w:sz="4" w:space="0" w:color="000000"/>
            </w:tcBorders>
          </w:tcPr>
          <w:p>
            <w:pPr>
              <w:pStyle w:val="TableParagraph"/>
              <w:spacing w:before="40"/>
              <w:ind w:left="340"/>
              <w:rPr>
                <w:sz w:val="18"/>
              </w:rPr>
            </w:pPr>
            <w:r>
              <w:rPr>
                <w:sz w:val="18"/>
              </w:rPr>
              <w:t>1990-2000</w:t>
            </w:r>
          </w:p>
        </w:tc>
        <w:tc>
          <w:tcPr>
            <w:tcW w:w="2187" w:type="dxa"/>
            <w:tcBorders>
              <w:bottom w:val="single" w:sz="4" w:space="0" w:color="000000"/>
            </w:tcBorders>
          </w:tcPr>
          <w:p>
            <w:pPr>
              <w:pStyle w:val="TableParagraph"/>
              <w:spacing w:before="40"/>
              <w:ind w:left="324"/>
              <w:rPr>
                <w:sz w:val="18"/>
              </w:rPr>
            </w:pPr>
            <w:r>
              <w:rPr>
                <w:sz w:val="18"/>
              </w:rPr>
              <w:t>2000-2010</w:t>
            </w:r>
          </w:p>
        </w:tc>
      </w:tr>
      <w:tr>
        <w:trPr>
          <w:trHeight w:val="357" w:hRule="exact"/>
        </w:trPr>
        <w:tc>
          <w:tcPr>
            <w:tcW w:w="2953" w:type="dxa"/>
            <w:tcBorders>
              <w:top w:val="single" w:sz="4" w:space="0" w:color="000000"/>
            </w:tcBorders>
          </w:tcPr>
          <w:p>
            <w:pPr>
              <w:pStyle w:val="TableParagraph"/>
              <w:spacing w:before="90"/>
              <w:ind w:left="83"/>
              <w:rPr>
                <w:sz w:val="18"/>
              </w:rPr>
            </w:pPr>
            <w:r>
              <w:rPr>
                <w:sz w:val="18"/>
              </w:rPr>
              <w:t>Lerma</w:t>
            </w:r>
          </w:p>
        </w:tc>
        <w:tc>
          <w:tcPr>
            <w:tcW w:w="1512" w:type="dxa"/>
            <w:tcBorders>
              <w:top w:val="single" w:sz="4" w:space="0" w:color="000000"/>
            </w:tcBorders>
          </w:tcPr>
          <w:p>
            <w:pPr>
              <w:pStyle w:val="TableParagraph"/>
              <w:spacing w:before="90"/>
              <w:ind w:left="308"/>
              <w:rPr>
                <w:sz w:val="18"/>
              </w:rPr>
            </w:pPr>
            <w:r>
              <w:rPr>
                <w:sz w:val="18"/>
              </w:rPr>
              <w:t>16,554</w:t>
            </w:r>
          </w:p>
        </w:tc>
        <w:tc>
          <w:tcPr>
            <w:tcW w:w="1528" w:type="dxa"/>
            <w:tcBorders>
              <w:top w:val="single" w:sz="4" w:space="0" w:color="000000"/>
            </w:tcBorders>
          </w:tcPr>
          <w:p>
            <w:pPr>
              <w:pStyle w:val="TableParagraph"/>
              <w:spacing w:before="90"/>
              <w:ind w:left="340"/>
              <w:rPr>
                <w:sz w:val="18"/>
              </w:rPr>
            </w:pPr>
            <w:r>
              <w:rPr>
                <w:sz w:val="18"/>
              </w:rPr>
              <w:t>72,070</w:t>
            </w:r>
          </w:p>
        </w:tc>
        <w:tc>
          <w:tcPr>
            <w:tcW w:w="2187" w:type="dxa"/>
            <w:tcBorders>
              <w:top w:val="single" w:sz="4" w:space="0" w:color="000000"/>
            </w:tcBorders>
          </w:tcPr>
          <w:p>
            <w:pPr>
              <w:pStyle w:val="TableParagraph"/>
              <w:spacing w:before="90"/>
              <w:ind w:left="324"/>
              <w:rPr>
                <w:sz w:val="18"/>
              </w:rPr>
            </w:pPr>
            <w:r>
              <w:rPr>
                <w:sz w:val="18"/>
              </w:rPr>
              <w:t>179,597</w:t>
            </w:r>
          </w:p>
        </w:tc>
      </w:tr>
      <w:tr>
        <w:trPr>
          <w:trHeight w:val="296" w:hRule="exact"/>
        </w:trPr>
        <w:tc>
          <w:tcPr>
            <w:tcW w:w="2953" w:type="dxa"/>
          </w:tcPr>
          <w:p>
            <w:pPr>
              <w:pStyle w:val="TableParagraph"/>
              <w:spacing w:before="36"/>
              <w:ind w:left="83"/>
              <w:rPr>
                <w:sz w:val="18"/>
              </w:rPr>
            </w:pPr>
            <w:r>
              <w:rPr>
                <w:sz w:val="18"/>
              </w:rPr>
              <w:t>Metepec</w:t>
            </w:r>
          </w:p>
        </w:tc>
        <w:tc>
          <w:tcPr>
            <w:tcW w:w="1512" w:type="dxa"/>
          </w:tcPr>
          <w:p>
            <w:pPr>
              <w:pStyle w:val="TableParagraph"/>
              <w:spacing w:before="36"/>
              <w:ind w:left="308"/>
              <w:rPr>
                <w:sz w:val="18"/>
              </w:rPr>
            </w:pPr>
            <w:r>
              <w:rPr>
                <w:sz w:val="18"/>
              </w:rPr>
              <w:t>51,564</w:t>
            </w:r>
          </w:p>
        </w:tc>
        <w:tc>
          <w:tcPr>
            <w:tcW w:w="1528" w:type="dxa"/>
          </w:tcPr>
          <w:p>
            <w:pPr>
              <w:pStyle w:val="TableParagraph"/>
              <w:spacing w:before="36"/>
              <w:ind w:left="340"/>
              <w:rPr>
                <w:sz w:val="18"/>
              </w:rPr>
            </w:pPr>
            <w:r>
              <w:rPr>
                <w:sz w:val="18"/>
              </w:rPr>
              <w:t>271,643</w:t>
            </w:r>
          </w:p>
        </w:tc>
        <w:tc>
          <w:tcPr>
            <w:tcW w:w="2187" w:type="dxa"/>
          </w:tcPr>
          <w:p>
            <w:pPr>
              <w:pStyle w:val="TableParagraph"/>
              <w:spacing w:before="36"/>
              <w:ind w:left="324"/>
              <w:rPr>
                <w:sz w:val="18"/>
              </w:rPr>
            </w:pPr>
            <w:r>
              <w:rPr>
                <w:sz w:val="18"/>
              </w:rPr>
              <w:t>572,400</w:t>
            </w:r>
          </w:p>
        </w:tc>
      </w:tr>
      <w:tr>
        <w:trPr>
          <w:trHeight w:val="296" w:hRule="exact"/>
        </w:trPr>
        <w:tc>
          <w:tcPr>
            <w:tcW w:w="2953" w:type="dxa"/>
          </w:tcPr>
          <w:p>
            <w:pPr>
              <w:pStyle w:val="TableParagraph"/>
              <w:spacing w:before="34"/>
              <w:ind w:left="83"/>
              <w:rPr>
                <w:sz w:val="18"/>
              </w:rPr>
            </w:pPr>
            <w:r>
              <w:rPr>
                <w:sz w:val="18"/>
              </w:rPr>
              <w:t>Toluca</w:t>
            </w:r>
          </w:p>
        </w:tc>
        <w:tc>
          <w:tcPr>
            <w:tcW w:w="1512" w:type="dxa"/>
          </w:tcPr>
          <w:p>
            <w:pPr>
              <w:pStyle w:val="TableParagraph"/>
              <w:spacing w:before="34"/>
              <w:ind w:left="308"/>
              <w:rPr>
                <w:sz w:val="18"/>
              </w:rPr>
            </w:pPr>
            <w:r>
              <w:rPr>
                <w:sz w:val="18"/>
              </w:rPr>
              <w:t>636,480</w:t>
            </w:r>
          </w:p>
        </w:tc>
        <w:tc>
          <w:tcPr>
            <w:tcW w:w="1528" w:type="dxa"/>
          </w:tcPr>
          <w:p>
            <w:pPr>
              <w:pStyle w:val="TableParagraph"/>
              <w:spacing w:before="34"/>
              <w:ind w:left="340"/>
              <w:rPr>
                <w:sz w:val="18"/>
              </w:rPr>
            </w:pPr>
            <w:r>
              <w:rPr>
                <w:sz w:val="18"/>
              </w:rPr>
              <w:t>1,555,405</w:t>
            </w:r>
          </w:p>
        </w:tc>
        <w:tc>
          <w:tcPr>
            <w:tcW w:w="2187" w:type="dxa"/>
          </w:tcPr>
          <w:p>
            <w:pPr>
              <w:pStyle w:val="TableParagraph"/>
              <w:spacing w:before="34"/>
              <w:ind w:left="324"/>
              <w:rPr>
                <w:sz w:val="18"/>
              </w:rPr>
            </w:pPr>
            <w:r>
              <w:rPr>
                <w:sz w:val="18"/>
              </w:rPr>
              <w:t>1,981,795</w:t>
            </w:r>
          </w:p>
        </w:tc>
      </w:tr>
      <w:tr>
        <w:trPr>
          <w:trHeight w:val="298" w:hRule="exact"/>
        </w:trPr>
        <w:tc>
          <w:tcPr>
            <w:tcW w:w="2953" w:type="dxa"/>
          </w:tcPr>
          <w:p>
            <w:pPr>
              <w:pStyle w:val="TableParagraph"/>
              <w:spacing w:before="36"/>
              <w:ind w:left="83"/>
              <w:rPr>
                <w:sz w:val="18"/>
              </w:rPr>
            </w:pPr>
            <w:r>
              <w:rPr>
                <w:sz w:val="18"/>
              </w:rPr>
              <w:t>San Mateo Atenco</w:t>
            </w:r>
          </w:p>
        </w:tc>
        <w:tc>
          <w:tcPr>
            <w:tcW w:w="1512" w:type="dxa"/>
          </w:tcPr>
          <w:p>
            <w:pPr>
              <w:pStyle w:val="TableParagraph"/>
              <w:spacing w:before="36"/>
              <w:ind w:left="308"/>
              <w:rPr>
                <w:sz w:val="18"/>
              </w:rPr>
            </w:pPr>
            <w:r>
              <w:rPr>
                <w:sz w:val="18"/>
              </w:rPr>
              <w:t>13,675</w:t>
            </w:r>
          </w:p>
        </w:tc>
        <w:tc>
          <w:tcPr>
            <w:tcW w:w="1528" w:type="dxa"/>
          </w:tcPr>
          <w:p>
            <w:pPr>
              <w:pStyle w:val="TableParagraph"/>
              <w:spacing w:before="36"/>
              <w:ind w:left="340"/>
              <w:rPr>
                <w:sz w:val="18"/>
              </w:rPr>
            </w:pPr>
            <w:r>
              <w:rPr>
                <w:sz w:val="18"/>
              </w:rPr>
              <w:t>48,011</w:t>
            </w:r>
          </w:p>
        </w:tc>
        <w:tc>
          <w:tcPr>
            <w:tcW w:w="2187" w:type="dxa"/>
          </w:tcPr>
          <w:p>
            <w:pPr>
              <w:pStyle w:val="TableParagraph"/>
              <w:spacing w:before="36"/>
              <w:ind w:left="324"/>
              <w:rPr>
                <w:sz w:val="18"/>
              </w:rPr>
            </w:pPr>
            <w:r>
              <w:rPr>
                <w:sz w:val="18"/>
              </w:rPr>
              <w:t>93,133</w:t>
            </w:r>
          </w:p>
        </w:tc>
      </w:tr>
      <w:tr>
        <w:trPr>
          <w:trHeight w:val="298" w:hRule="exact"/>
        </w:trPr>
        <w:tc>
          <w:tcPr>
            <w:tcW w:w="2953" w:type="dxa"/>
          </w:tcPr>
          <w:p>
            <w:pPr>
              <w:pStyle w:val="TableParagraph"/>
              <w:spacing w:before="36"/>
              <w:ind w:left="83"/>
              <w:rPr>
                <w:sz w:val="18"/>
              </w:rPr>
            </w:pPr>
            <w:r>
              <w:rPr>
                <w:sz w:val="18"/>
              </w:rPr>
              <w:t>Zinacantepec</w:t>
            </w:r>
          </w:p>
        </w:tc>
        <w:tc>
          <w:tcPr>
            <w:tcW w:w="1512" w:type="dxa"/>
          </w:tcPr>
          <w:p>
            <w:pPr>
              <w:pStyle w:val="TableParagraph"/>
              <w:spacing w:before="36"/>
              <w:ind w:left="308"/>
              <w:rPr>
                <w:sz w:val="18"/>
              </w:rPr>
            </w:pPr>
            <w:r>
              <w:rPr>
                <w:sz w:val="18"/>
              </w:rPr>
              <w:t>17,197</w:t>
            </w:r>
          </w:p>
        </w:tc>
        <w:tc>
          <w:tcPr>
            <w:tcW w:w="1528" w:type="dxa"/>
          </w:tcPr>
          <w:p>
            <w:pPr>
              <w:pStyle w:val="TableParagraph"/>
              <w:spacing w:before="36"/>
              <w:ind w:left="340"/>
              <w:rPr>
                <w:sz w:val="18"/>
              </w:rPr>
            </w:pPr>
            <w:r>
              <w:rPr>
                <w:sz w:val="18"/>
              </w:rPr>
              <w:t>71,936</w:t>
            </w:r>
          </w:p>
        </w:tc>
        <w:tc>
          <w:tcPr>
            <w:tcW w:w="2187" w:type="dxa"/>
          </w:tcPr>
          <w:p>
            <w:pPr>
              <w:pStyle w:val="TableParagraph"/>
              <w:spacing w:before="36"/>
              <w:ind w:left="324"/>
              <w:rPr>
                <w:sz w:val="18"/>
              </w:rPr>
            </w:pPr>
            <w:r>
              <w:rPr>
                <w:sz w:val="18"/>
              </w:rPr>
              <w:t>166,590</w:t>
            </w:r>
          </w:p>
        </w:tc>
      </w:tr>
      <w:tr>
        <w:trPr>
          <w:trHeight w:val="296" w:hRule="exact"/>
        </w:trPr>
        <w:tc>
          <w:tcPr>
            <w:tcW w:w="2953" w:type="dxa"/>
          </w:tcPr>
          <w:p>
            <w:pPr>
              <w:pStyle w:val="TableParagraph"/>
              <w:spacing w:before="36"/>
              <w:ind w:left="83"/>
              <w:rPr>
                <w:sz w:val="18"/>
              </w:rPr>
            </w:pPr>
            <w:r>
              <w:rPr>
                <w:sz w:val="18"/>
              </w:rPr>
              <w:t>Almoloya de Juárez</w:t>
            </w:r>
          </w:p>
        </w:tc>
        <w:tc>
          <w:tcPr>
            <w:tcW w:w="1512" w:type="dxa"/>
          </w:tcPr>
          <w:p>
            <w:pPr>
              <w:pStyle w:val="TableParagraph"/>
              <w:spacing w:before="36"/>
              <w:ind w:left="308"/>
              <w:rPr>
                <w:sz w:val="18"/>
              </w:rPr>
            </w:pPr>
            <w:r>
              <w:rPr>
                <w:sz w:val="18"/>
              </w:rPr>
              <w:t>5,279</w:t>
            </w:r>
          </w:p>
        </w:tc>
        <w:tc>
          <w:tcPr>
            <w:tcW w:w="1528" w:type="dxa"/>
          </w:tcPr>
          <w:p>
            <w:pPr>
              <w:pStyle w:val="TableParagraph"/>
              <w:spacing w:before="36"/>
              <w:ind w:left="340"/>
              <w:rPr>
                <w:sz w:val="18"/>
              </w:rPr>
            </w:pPr>
            <w:r>
              <w:rPr>
                <w:sz w:val="18"/>
              </w:rPr>
              <w:t>48,542</w:t>
            </w:r>
          </w:p>
        </w:tc>
        <w:tc>
          <w:tcPr>
            <w:tcW w:w="2187" w:type="dxa"/>
          </w:tcPr>
          <w:p>
            <w:pPr>
              <w:pStyle w:val="TableParagraph"/>
              <w:spacing w:before="36"/>
              <w:ind w:left="324"/>
              <w:rPr>
                <w:sz w:val="18"/>
              </w:rPr>
            </w:pPr>
            <w:r>
              <w:rPr>
                <w:sz w:val="18"/>
              </w:rPr>
              <w:t>101,098</w:t>
            </w:r>
          </w:p>
        </w:tc>
      </w:tr>
      <w:tr>
        <w:trPr>
          <w:trHeight w:val="296" w:hRule="exact"/>
        </w:trPr>
        <w:tc>
          <w:tcPr>
            <w:tcW w:w="2953" w:type="dxa"/>
          </w:tcPr>
          <w:p>
            <w:pPr>
              <w:pStyle w:val="TableParagraph"/>
              <w:spacing w:before="34"/>
              <w:ind w:left="83"/>
              <w:rPr>
                <w:sz w:val="18"/>
              </w:rPr>
            </w:pPr>
            <w:r>
              <w:rPr>
                <w:sz w:val="18"/>
              </w:rPr>
              <w:t>Calimaya</w:t>
            </w:r>
          </w:p>
        </w:tc>
        <w:tc>
          <w:tcPr>
            <w:tcW w:w="1512" w:type="dxa"/>
          </w:tcPr>
          <w:p>
            <w:pPr>
              <w:pStyle w:val="TableParagraph"/>
              <w:spacing w:before="34"/>
              <w:ind w:left="308"/>
              <w:rPr>
                <w:sz w:val="18"/>
              </w:rPr>
            </w:pPr>
            <w:r>
              <w:rPr>
                <w:w w:val="99"/>
                <w:sz w:val="18"/>
              </w:rPr>
              <w:t>0</w:t>
            </w:r>
          </w:p>
        </w:tc>
        <w:tc>
          <w:tcPr>
            <w:tcW w:w="1528" w:type="dxa"/>
          </w:tcPr>
          <w:p>
            <w:pPr>
              <w:pStyle w:val="TableParagraph"/>
              <w:spacing w:before="34"/>
              <w:ind w:left="340"/>
              <w:rPr>
                <w:sz w:val="18"/>
              </w:rPr>
            </w:pPr>
            <w:r>
              <w:rPr>
                <w:sz w:val="18"/>
              </w:rPr>
              <w:t>15,444</w:t>
            </w:r>
          </w:p>
        </w:tc>
        <w:tc>
          <w:tcPr>
            <w:tcW w:w="2187" w:type="dxa"/>
          </w:tcPr>
          <w:p>
            <w:pPr>
              <w:pStyle w:val="TableParagraph"/>
              <w:spacing w:before="34"/>
              <w:ind w:left="324"/>
              <w:rPr>
                <w:sz w:val="18"/>
              </w:rPr>
            </w:pPr>
            <w:r>
              <w:rPr>
                <w:sz w:val="18"/>
              </w:rPr>
              <w:t>40,221</w:t>
            </w:r>
          </w:p>
        </w:tc>
      </w:tr>
      <w:tr>
        <w:trPr>
          <w:trHeight w:val="298" w:hRule="exact"/>
        </w:trPr>
        <w:tc>
          <w:tcPr>
            <w:tcW w:w="2953" w:type="dxa"/>
          </w:tcPr>
          <w:p>
            <w:pPr>
              <w:pStyle w:val="TableParagraph"/>
              <w:spacing w:before="36"/>
              <w:ind w:left="83"/>
              <w:rPr>
                <w:sz w:val="18"/>
              </w:rPr>
            </w:pPr>
            <w:r>
              <w:rPr>
                <w:sz w:val="18"/>
              </w:rPr>
              <w:t>Mexicaltzingo</w:t>
            </w:r>
          </w:p>
        </w:tc>
        <w:tc>
          <w:tcPr>
            <w:tcW w:w="1512" w:type="dxa"/>
          </w:tcPr>
          <w:p>
            <w:pPr>
              <w:pStyle w:val="TableParagraph"/>
              <w:spacing w:before="36"/>
              <w:ind w:left="308"/>
              <w:rPr>
                <w:sz w:val="18"/>
              </w:rPr>
            </w:pPr>
            <w:r>
              <w:rPr>
                <w:w w:val="99"/>
                <w:sz w:val="18"/>
              </w:rPr>
              <w:t>0</w:t>
            </w:r>
          </w:p>
        </w:tc>
        <w:tc>
          <w:tcPr>
            <w:tcW w:w="1528" w:type="dxa"/>
          </w:tcPr>
          <w:p>
            <w:pPr>
              <w:pStyle w:val="TableParagraph"/>
              <w:spacing w:before="36"/>
              <w:ind w:left="340"/>
              <w:rPr>
                <w:sz w:val="18"/>
              </w:rPr>
            </w:pPr>
            <w:r>
              <w:rPr>
                <w:sz w:val="18"/>
              </w:rPr>
              <w:t>5,370</w:t>
            </w:r>
          </w:p>
        </w:tc>
        <w:tc>
          <w:tcPr>
            <w:tcW w:w="2187" w:type="dxa"/>
          </w:tcPr>
          <w:p>
            <w:pPr>
              <w:pStyle w:val="TableParagraph"/>
              <w:spacing w:before="36"/>
              <w:ind w:left="324"/>
              <w:rPr>
                <w:sz w:val="18"/>
              </w:rPr>
            </w:pPr>
            <w:r>
              <w:rPr>
                <w:sz w:val="18"/>
              </w:rPr>
              <w:t>21,850</w:t>
            </w:r>
          </w:p>
        </w:tc>
      </w:tr>
      <w:tr>
        <w:trPr>
          <w:trHeight w:val="248" w:hRule="exact"/>
        </w:trPr>
        <w:tc>
          <w:tcPr>
            <w:tcW w:w="2953" w:type="dxa"/>
            <w:tcBorders>
              <w:bottom w:val="single" w:sz="4" w:space="0" w:color="000000"/>
            </w:tcBorders>
          </w:tcPr>
          <w:p>
            <w:pPr>
              <w:pStyle w:val="TableParagraph"/>
              <w:spacing w:before="36"/>
              <w:ind w:left="83"/>
              <w:rPr>
                <w:sz w:val="18"/>
              </w:rPr>
            </w:pPr>
            <w:r>
              <w:rPr>
                <w:sz w:val="18"/>
              </w:rPr>
              <w:t>Otzolotepec</w:t>
            </w:r>
          </w:p>
        </w:tc>
        <w:tc>
          <w:tcPr>
            <w:tcW w:w="1512" w:type="dxa"/>
            <w:tcBorders>
              <w:bottom w:val="single" w:sz="4" w:space="0" w:color="000000"/>
            </w:tcBorders>
          </w:tcPr>
          <w:p>
            <w:pPr>
              <w:pStyle w:val="TableParagraph"/>
              <w:spacing w:before="36"/>
              <w:ind w:left="308"/>
              <w:rPr>
                <w:sz w:val="18"/>
              </w:rPr>
            </w:pPr>
            <w:r>
              <w:rPr>
                <w:w w:val="99"/>
                <w:sz w:val="18"/>
              </w:rPr>
              <w:t>0</w:t>
            </w:r>
          </w:p>
        </w:tc>
        <w:tc>
          <w:tcPr>
            <w:tcW w:w="1528" w:type="dxa"/>
            <w:tcBorders>
              <w:bottom w:val="single" w:sz="4" w:space="0" w:color="000000"/>
            </w:tcBorders>
          </w:tcPr>
          <w:p>
            <w:pPr>
              <w:pStyle w:val="TableParagraph"/>
              <w:spacing w:before="36"/>
              <w:ind w:left="340"/>
              <w:rPr>
                <w:sz w:val="18"/>
              </w:rPr>
            </w:pPr>
            <w:r>
              <w:rPr>
                <w:sz w:val="18"/>
              </w:rPr>
              <w:t>15,354</w:t>
            </w:r>
          </w:p>
        </w:tc>
        <w:tc>
          <w:tcPr>
            <w:tcW w:w="2187" w:type="dxa"/>
            <w:tcBorders>
              <w:bottom w:val="single" w:sz="4" w:space="0" w:color="000000"/>
            </w:tcBorders>
          </w:tcPr>
          <w:p>
            <w:pPr>
              <w:pStyle w:val="TableParagraph"/>
              <w:spacing w:before="36"/>
              <w:ind w:left="324"/>
              <w:rPr>
                <w:sz w:val="18"/>
              </w:rPr>
            </w:pPr>
            <w:r>
              <w:rPr>
                <w:sz w:val="18"/>
              </w:rPr>
              <w:t>50,972</w:t>
            </w:r>
          </w:p>
        </w:tc>
      </w:tr>
      <w:tr>
        <w:trPr>
          <w:trHeight w:val="308" w:hRule="exact"/>
        </w:trPr>
        <w:tc>
          <w:tcPr>
            <w:tcW w:w="2953" w:type="dxa"/>
            <w:tcBorders>
              <w:top w:val="single" w:sz="4" w:space="0" w:color="000000"/>
              <w:bottom w:val="single" w:sz="4" w:space="0" w:color="000000"/>
            </w:tcBorders>
          </w:tcPr>
          <w:p>
            <w:pPr>
              <w:pStyle w:val="TableParagraph"/>
              <w:spacing w:before="91"/>
              <w:ind w:left="83"/>
              <w:rPr>
                <w:sz w:val="18"/>
              </w:rPr>
            </w:pPr>
            <w:r>
              <w:rPr>
                <w:sz w:val="18"/>
              </w:rPr>
              <w:t>Área urbana continua de Toluca</w:t>
            </w:r>
          </w:p>
        </w:tc>
        <w:tc>
          <w:tcPr>
            <w:tcW w:w="1512" w:type="dxa"/>
            <w:tcBorders>
              <w:top w:val="single" w:sz="4" w:space="0" w:color="000000"/>
              <w:bottom w:val="single" w:sz="4" w:space="0" w:color="000000"/>
            </w:tcBorders>
          </w:tcPr>
          <w:p>
            <w:pPr>
              <w:pStyle w:val="TableParagraph"/>
              <w:spacing w:before="91"/>
              <w:ind w:left="308"/>
              <w:rPr>
                <w:sz w:val="18"/>
              </w:rPr>
            </w:pPr>
            <w:r>
              <w:rPr>
                <w:sz w:val="18"/>
              </w:rPr>
              <w:t>740,749</w:t>
            </w:r>
          </w:p>
        </w:tc>
        <w:tc>
          <w:tcPr>
            <w:tcW w:w="1528" w:type="dxa"/>
            <w:tcBorders>
              <w:top w:val="single" w:sz="4" w:space="0" w:color="000000"/>
              <w:bottom w:val="single" w:sz="4" w:space="0" w:color="000000"/>
            </w:tcBorders>
          </w:tcPr>
          <w:p>
            <w:pPr>
              <w:pStyle w:val="TableParagraph"/>
              <w:spacing w:before="91"/>
              <w:ind w:left="340"/>
              <w:rPr>
                <w:sz w:val="18"/>
              </w:rPr>
            </w:pPr>
            <w:r>
              <w:rPr>
                <w:sz w:val="18"/>
              </w:rPr>
              <w:t>2,103,775</w:t>
            </w:r>
          </w:p>
        </w:tc>
        <w:tc>
          <w:tcPr>
            <w:tcW w:w="2187" w:type="dxa"/>
            <w:tcBorders>
              <w:top w:val="single" w:sz="4" w:space="0" w:color="000000"/>
              <w:bottom w:val="single" w:sz="4" w:space="0" w:color="000000"/>
            </w:tcBorders>
          </w:tcPr>
          <w:p>
            <w:pPr>
              <w:pStyle w:val="TableParagraph"/>
              <w:spacing w:before="91"/>
              <w:ind w:left="324"/>
              <w:rPr>
                <w:sz w:val="18"/>
              </w:rPr>
            </w:pPr>
            <w:r>
              <w:rPr>
                <w:sz w:val="18"/>
              </w:rPr>
              <w:t>3,207,656</w:t>
            </w:r>
          </w:p>
        </w:tc>
      </w:tr>
      <w:tr>
        <w:trPr>
          <w:trHeight w:val="356" w:hRule="exact"/>
        </w:trPr>
        <w:tc>
          <w:tcPr>
            <w:tcW w:w="2953" w:type="dxa"/>
            <w:tcBorders>
              <w:top w:val="single" w:sz="4" w:space="0" w:color="000000"/>
            </w:tcBorders>
          </w:tcPr>
          <w:p>
            <w:pPr>
              <w:pStyle w:val="TableParagraph"/>
              <w:spacing w:before="90"/>
              <w:ind w:left="83"/>
              <w:rPr>
                <w:sz w:val="18"/>
              </w:rPr>
            </w:pPr>
            <w:r>
              <w:rPr>
                <w:sz w:val="18"/>
              </w:rPr>
              <w:t>Chapultepec</w:t>
            </w:r>
          </w:p>
        </w:tc>
        <w:tc>
          <w:tcPr>
            <w:tcW w:w="1512" w:type="dxa"/>
            <w:tcBorders>
              <w:top w:val="single" w:sz="4" w:space="0" w:color="000000"/>
            </w:tcBorders>
          </w:tcPr>
          <w:p>
            <w:pPr>
              <w:pStyle w:val="TableParagraph"/>
              <w:spacing w:before="90"/>
              <w:ind w:left="308"/>
              <w:rPr>
                <w:sz w:val="18"/>
              </w:rPr>
            </w:pPr>
            <w:r>
              <w:rPr>
                <w:w w:val="99"/>
                <w:sz w:val="18"/>
              </w:rPr>
              <w:t>0</w:t>
            </w:r>
          </w:p>
        </w:tc>
        <w:tc>
          <w:tcPr>
            <w:tcW w:w="1528" w:type="dxa"/>
            <w:tcBorders>
              <w:top w:val="single" w:sz="4" w:space="0" w:color="000000"/>
            </w:tcBorders>
          </w:tcPr>
          <w:p>
            <w:pPr>
              <w:pStyle w:val="TableParagraph"/>
              <w:spacing w:before="90"/>
              <w:ind w:left="340"/>
              <w:rPr>
                <w:sz w:val="18"/>
              </w:rPr>
            </w:pPr>
            <w:r>
              <w:rPr>
                <w:sz w:val="18"/>
              </w:rPr>
              <w:t>1160</w:t>
            </w:r>
          </w:p>
        </w:tc>
        <w:tc>
          <w:tcPr>
            <w:tcW w:w="2187" w:type="dxa"/>
            <w:tcBorders>
              <w:top w:val="single" w:sz="4" w:space="0" w:color="000000"/>
            </w:tcBorders>
          </w:tcPr>
          <w:p>
            <w:pPr>
              <w:pStyle w:val="TableParagraph"/>
              <w:spacing w:before="90"/>
              <w:ind w:left="324"/>
              <w:rPr>
                <w:sz w:val="18"/>
              </w:rPr>
            </w:pPr>
            <w:r>
              <w:rPr>
                <w:sz w:val="18"/>
              </w:rPr>
              <w:t>6458</w:t>
            </w:r>
          </w:p>
        </w:tc>
      </w:tr>
      <w:tr>
        <w:trPr>
          <w:trHeight w:val="296" w:hRule="exact"/>
        </w:trPr>
        <w:tc>
          <w:tcPr>
            <w:tcW w:w="2953" w:type="dxa"/>
          </w:tcPr>
          <w:p>
            <w:pPr>
              <w:pStyle w:val="TableParagraph"/>
              <w:spacing w:before="34"/>
              <w:ind w:left="83"/>
              <w:rPr>
                <w:sz w:val="18"/>
              </w:rPr>
            </w:pPr>
            <w:r>
              <w:rPr>
                <w:sz w:val="18"/>
              </w:rPr>
              <w:t>Ocoyoacac</w:t>
            </w:r>
          </w:p>
        </w:tc>
        <w:tc>
          <w:tcPr>
            <w:tcW w:w="1512" w:type="dxa"/>
          </w:tcPr>
          <w:p>
            <w:pPr>
              <w:pStyle w:val="TableParagraph"/>
              <w:spacing w:before="34"/>
              <w:ind w:left="308"/>
              <w:rPr>
                <w:sz w:val="18"/>
              </w:rPr>
            </w:pPr>
            <w:r>
              <w:rPr>
                <w:w w:val="99"/>
                <w:sz w:val="18"/>
              </w:rPr>
              <w:t>0</w:t>
            </w:r>
          </w:p>
        </w:tc>
        <w:tc>
          <w:tcPr>
            <w:tcW w:w="1528" w:type="dxa"/>
          </w:tcPr>
          <w:p>
            <w:pPr>
              <w:pStyle w:val="TableParagraph"/>
              <w:spacing w:before="34"/>
              <w:ind w:left="340"/>
              <w:rPr>
                <w:sz w:val="18"/>
              </w:rPr>
            </w:pPr>
            <w:r>
              <w:rPr>
                <w:sz w:val="18"/>
              </w:rPr>
              <w:t>24,032</w:t>
            </w:r>
          </w:p>
        </w:tc>
        <w:tc>
          <w:tcPr>
            <w:tcW w:w="2187" w:type="dxa"/>
          </w:tcPr>
          <w:p>
            <w:pPr>
              <w:pStyle w:val="TableParagraph"/>
              <w:spacing w:before="34"/>
              <w:ind w:left="324"/>
              <w:rPr>
                <w:sz w:val="18"/>
              </w:rPr>
            </w:pPr>
            <w:r>
              <w:rPr>
                <w:sz w:val="18"/>
              </w:rPr>
              <w:t>66,840</w:t>
            </w:r>
          </w:p>
        </w:tc>
      </w:tr>
      <w:tr>
        <w:trPr>
          <w:trHeight w:val="298" w:hRule="exact"/>
        </w:trPr>
        <w:tc>
          <w:tcPr>
            <w:tcW w:w="2953" w:type="dxa"/>
          </w:tcPr>
          <w:p>
            <w:pPr>
              <w:pStyle w:val="TableParagraph"/>
              <w:spacing w:before="36"/>
              <w:ind w:left="83"/>
              <w:rPr>
                <w:sz w:val="18"/>
              </w:rPr>
            </w:pPr>
            <w:r>
              <w:rPr>
                <w:sz w:val="18"/>
              </w:rPr>
              <w:t>Rayón</w:t>
            </w:r>
          </w:p>
        </w:tc>
        <w:tc>
          <w:tcPr>
            <w:tcW w:w="1512" w:type="dxa"/>
          </w:tcPr>
          <w:p>
            <w:pPr>
              <w:pStyle w:val="TableParagraph"/>
              <w:spacing w:before="36"/>
              <w:ind w:left="308"/>
              <w:rPr>
                <w:sz w:val="18"/>
              </w:rPr>
            </w:pPr>
            <w:r>
              <w:rPr>
                <w:w w:val="99"/>
                <w:sz w:val="18"/>
              </w:rPr>
              <w:t>0</w:t>
            </w:r>
          </w:p>
        </w:tc>
        <w:tc>
          <w:tcPr>
            <w:tcW w:w="1528" w:type="dxa"/>
          </w:tcPr>
          <w:p>
            <w:pPr>
              <w:pStyle w:val="TableParagraph"/>
              <w:spacing w:before="36"/>
              <w:ind w:left="340"/>
              <w:rPr>
                <w:sz w:val="18"/>
              </w:rPr>
            </w:pPr>
            <w:r>
              <w:rPr>
                <w:sz w:val="18"/>
              </w:rPr>
              <w:t>1960</w:t>
            </w:r>
          </w:p>
        </w:tc>
        <w:tc>
          <w:tcPr>
            <w:tcW w:w="2187" w:type="dxa"/>
          </w:tcPr>
          <w:p>
            <w:pPr>
              <w:pStyle w:val="TableParagraph"/>
              <w:spacing w:before="36"/>
              <w:ind w:left="324"/>
              <w:rPr>
                <w:sz w:val="18"/>
              </w:rPr>
            </w:pPr>
            <w:r>
              <w:rPr>
                <w:sz w:val="18"/>
              </w:rPr>
              <w:t>8,510</w:t>
            </w:r>
          </w:p>
        </w:tc>
      </w:tr>
      <w:tr>
        <w:trPr>
          <w:trHeight w:val="298" w:hRule="exact"/>
        </w:trPr>
        <w:tc>
          <w:tcPr>
            <w:tcW w:w="2953" w:type="dxa"/>
          </w:tcPr>
          <w:p>
            <w:pPr>
              <w:pStyle w:val="TableParagraph"/>
              <w:spacing w:before="36"/>
              <w:ind w:left="83"/>
              <w:rPr>
                <w:sz w:val="18"/>
              </w:rPr>
            </w:pPr>
            <w:r>
              <w:rPr>
                <w:sz w:val="18"/>
              </w:rPr>
              <w:t>San Antonio la Isla</w:t>
            </w:r>
          </w:p>
        </w:tc>
        <w:tc>
          <w:tcPr>
            <w:tcW w:w="1512" w:type="dxa"/>
          </w:tcPr>
          <w:p>
            <w:pPr>
              <w:pStyle w:val="TableParagraph"/>
              <w:spacing w:before="36"/>
              <w:ind w:left="308"/>
              <w:rPr>
                <w:sz w:val="18"/>
              </w:rPr>
            </w:pPr>
            <w:r>
              <w:rPr>
                <w:w w:val="99"/>
                <w:sz w:val="18"/>
              </w:rPr>
              <w:t>0</w:t>
            </w:r>
          </w:p>
        </w:tc>
        <w:tc>
          <w:tcPr>
            <w:tcW w:w="1528" w:type="dxa"/>
          </w:tcPr>
          <w:p>
            <w:pPr>
              <w:pStyle w:val="TableParagraph"/>
              <w:spacing w:before="36"/>
              <w:ind w:left="340"/>
              <w:rPr>
                <w:sz w:val="18"/>
              </w:rPr>
            </w:pPr>
            <w:r>
              <w:rPr>
                <w:sz w:val="18"/>
              </w:rPr>
              <w:t>2931</w:t>
            </w:r>
          </w:p>
        </w:tc>
        <w:tc>
          <w:tcPr>
            <w:tcW w:w="2187" w:type="dxa"/>
          </w:tcPr>
          <w:p>
            <w:pPr>
              <w:pStyle w:val="TableParagraph"/>
              <w:spacing w:before="36"/>
              <w:ind w:left="324"/>
              <w:rPr>
                <w:sz w:val="18"/>
              </w:rPr>
            </w:pPr>
            <w:r>
              <w:rPr>
                <w:sz w:val="18"/>
              </w:rPr>
              <w:t>11,490</w:t>
            </w:r>
          </w:p>
        </w:tc>
      </w:tr>
      <w:tr>
        <w:trPr>
          <w:trHeight w:val="296" w:hRule="exact"/>
        </w:trPr>
        <w:tc>
          <w:tcPr>
            <w:tcW w:w="2953" w:type="dxa"/>
          </w:tcPr>
          <w:p>
            <w:pPr>
              <w:pStyle w:val="TableParagraph"/>
              <w:spacing w:before="36"/>
              <w:ind w:left="83"/>
              <w:rPr>
                <w:sz w:val="18"/>
              </w:rPr>
            </w:pPr>
            <w:r>
              <w:rPr>
                <w:sz w:val="18"/>
              </w:rPr>
              <w:t>Temoaya</w:t>
            </w:r>
          </w:p>
        </w:tc>
        <w:tc>
          <w:tcPr>
            <w:tcW w:w="1512" w:type="dxa"/>
          </w:tcPr>
          <w:p>
            <w:pPr>
              <w:pStyle w:val="TableParagraph"/>
              <w:spacing w:before="36"/>
              <w:ind w:left="308"/>
              <w:rPr>
                <w:sz w:val="18"/>
              </w:rPr>
            </w:pPr>
            <w:r>
              <w:rPr>
                <w:w w:val="99"/>
                <w:sz w:val="18"/>
              </w:rPr>
              <w:t>0</w:t>
            </w:r>
          </w:p>
        </w:tc>
        <w:tc>
          <w:tcPr>
            <w:tcW w:w="1528" w:type="dxa"/>
          </w:tcPr>
          <w:p>
            <w:pPr>
              <w:pStyle w:val="TableParagraph"/>
              <w:spacing w:before="36"/>
              <w:ind w:left="340"/>
              <w:rPr>
                <w:sz w:val="18"/>
              </w:rPr>
            </w:pPr>
            <w:r>
              <w:rPr>
                <w:sz w:val="18"/>
              </w:rPr>
              <w:t>27,425</w:t>
            </w:r>
          </w:p>
        </w:tc>
        <w:tc>
          <w:tcPr>
            <w:tcW w:w="2187" w:type="dxa"/>
          </w:tcPr>
          <w:p>
            <w:pPr>
              <w:pStyle w:val="TableParagraph"/>
              <w:spacing w:before="36"/>
              <w:ind w:left="324"/>
              <w:rPr>
                <w:sz w:val="18"/>
              </w:rPr>
            </w:pPr>
            <w:r>
              <w:rPr>
                <w:sz w:val="18"/>
              </w:rPr>
              <w:t>67,005</w:t>
            </w:r>
          </w:p>
        </w:tc>
      </w:tr>
      <w:tr>
        <w:trPr>
          <w:trHeight w:val="249" w:hRule="exact"/>
        </w:trPr>
        <w:tc>
          <w:tcPr>
            <w:tcW w:w="2953" w:type="dxa"/>
            <w:tcBorders>
              <w:bottom w:val="single" w:sz="4" w:space="0" w:color="000000"/>
            </w:tcBorders>
          </w:tcPr>
          <w:p>
            <w:pPr>
              <w:pStyle w:val="TableParagraph"/>
              <w:spacing w:before="34"/>
              <w:ind w:left="83"/>
              <w:rPr>
                <w:sz w:val="18"/>
              </w:rPr>
            </w:pPr>
            <w:r>
              <w:rPr>
                <w:sz w:val="18"/>
              </w:rPr>
              <w:t>Xonacatlán</w:t>
            </w:r>
          </w:p>
        </w:tc>
        <w:tc>
          <w:tcPr>
            <w:tcW w:w="1512" w:type="dxa"/>
            <w:tcBorders>
              <w:bottom w:val="single" w:sz="4" w:space="0" w:color="000000"/>
            </w:tcBorders>
          </w:tcPr>
          <w:p>
            <w:pPr>
              <w:pStyle w:val="TableParagraph"/>
              <w:spacing w:before="34"/>
              <w:ind w:left="308"/>
              <w:rPr>
                <w:sz w:val="18"/>
              </w:rPr>
            </w:pPr>
            <w:r>
              <w:rPr>
                <w:w w:val="99"/>
                <w:sz w:val="18"/>
              </w:rPr>
              <w:t>0</w:t>
            </w:r>
          </w:p>
        </w:tc>
        <w:tc>
          <w:tcPr>
            <w:tcW w:w="1528" w:type="dxa"/>
            <w:tcBorders>
              <w:bottom w:val="single" w:sz="4" w:space="0" w:color="000000"/>
            </w:tcBorders>
          </w:tcPr>
          <w:p>
            <w:pPr>
              <w:pStyle w:val="TableParagraph"/>
              <w:spacing w:before="34"/>
              <w:ind w:left="340"/>
              <w:rPr>
                <w:sz w:val="18"/>
              </w:rPr>
            </w:pPr>
            <w:r>
              <w:rPr>
                <w:sz w:val="18"/>
              </w:rPr>
              <w:t>16,512</w:t>
            </w:r>
          </w:p>
        </w:tc>
        <w:tc>
          <w:tcPr>
            <w:tcW w:w="2187" w:type="dxa"/>
            <w:tcBorders>
              <w:bottom w:val="single" w:sz="4" w:space="0" w:color="000000"/>
            </w:tcBorders>
          </w:tcPr>
          <w:p>
            <w:pPr>
              <w:pStyle w:val="TableParagraph"/>
              <w:spacing w:before="34"/>
              <w:ind w:left="324"/>
              <w:rPr>
                <w:sz w:val="18"/>
              </w:rPr>
            </w:pPr>
            <w:r>
              <w:rPr>
                <w:sz w:val="18"/>
              </w:rPr>
              <w:t>46,080</w:t>
            </w:r>
          </w:p>
        </w:tc>
      </w:tr>
      <w:tr>
        <w:trPr>
          <w:trHeight w:val="307" w:hRule="exact"/>
        </w:trPr>
        <w:tc>
          <w:tcPr>
            <w:tcW w:w="2953" w:type="dxa"/>
            <w:tcBorders>
              <w:top w:val="single" w:sz="4" w:space="0" w:color="000000"/>
              <w:bottom w:val="single" w:sz="4" w:space="0" w:color="000000"/>
            </w:tcBorders>
          </w:tcPr>
          <w:p>
            <w:pPr>
              <w:pStyle w:val="TableParagraph"/>
              <w:spacing w:before="88"/>
              <w:ind w:left="83"/>
              <w:rPr>
                <w:sz w:val="18"/>
              </w:rPr>
            </w:pPr>
            <w:r>
              <w:rPr>
                <w:sz w:val="18"/>
              </w:rPr>
              <w:t>Integración funcional ZMT</w:t>
            </w:r>
          </w:p>
        </w:tc>
        <w:tc>
          <w:tcPr>
            <w:tcW w:w="1512" w:type="dxa"/>
            <w:tcBorders>
              <w:top w:val="single" w:sz="4" w:space="0" w:color="000000"/>
              <w:bottom w:val="single" w:sz="4" w:space="0" w:color="000000"/>
            </w:tcBorders>
          </w:tcPr>
          <w:p>
            <w:pPr>
              <w:pStyle w:val="TableParagraph"/>
              <w:spacing w:before="88"/>
              <w:ind w:left="308"/>
              <w:rPr>
                <w:sz w:val="18"/>
              </w:rPr>
            </w:pPr>
            <w:r>
              <w:rPr>
                <w:w w:val="99"/>
                <w:sz w:val="18"/>
              </w:rPr>
              <w:t>0</w:t>
            </w:r>
          </w:p>
        </w:tc>
        <w:tc>
          <w:tcPr>
            <w:tcW w:w="1528" w:type="dxa"/>
            <w:tcBorders>
              <w:top w:val="single" w:sz="4" w:space="0" w:color="000000"/>
              <w:bottom w:val="single" w:sz="4" w:space="0" w:color="000000"/>
            </w:tcBorders>
          </w:tcPr>
          <w:p>
            <w:pPr>
              <w:pStyle w:val="TableParagraph"/>
              <w:spacing w:before="88"/>
              <w:ind w:left="340"/>
              <w:rPr>
                <w:sz w:val="18"/>
              </w:rPr>
            </w:pPr>
            <w:r>
              <w:rPr>
                <w:sz w:val="18"/>
              </w:rPr>
              <w:t>74,020</w:t>
            </w:r>
          </w:p>
        </w:tc>
        <w:tc>
          <w:tcPr>
            <w:tcW w:w="2187" w:type="dxa"/>
            <w:tcBorders>
              <w:top w:val="single" w:sz="4" w:space="0" w:color="000000"/>
              <w:bottom w:val="single" w:sz="4" w:space="0" w:color="000000"/>
            </w:tcBorders>
          </w:tcPr>
          <w:p>
            <w:pPr>
              <w:pStyle w:val="TableParagraph"/>
              <w:spacing w:before="88"/>
              <w:ind w:left="324"/>
              <w:rPr>
                <w:sz w:val="18"/>
              </w:rPr>
            </w:pPr>
            <w:r>
              <w:rPr>
                <w:sz w:val="18"/>
              </w:rPr>
              <w:t>206,383</w:t>
            </w:r>
          </w:p>
        </w:tc>
      </w:tr>
      <w:tr>
        <w:trPr>
          <w:trHeight w:val="355" w:hRule="exact"/>
        </w:trPr>
        <w:tc>
          <w:tcPr>
            <w:tcW w:w="2953" w:type="dxa"/>
            <w:tcBorders>
              <w:top w:val="single" w:sz="4" w:space="0" w:color="000000"/>
            </w:tcBorders>
          </w:tcPr>
          <w:p>
            <w:pPr>
              <w:pStyle w:val="TableParagraph"/>
              <w:spacing w:before="88"/>
              <w:ind w:left="83"/>
              <w:rPr>
                <w:sz w:val="18"/>
              </w:rPr>
            </w:pPr>
            <w:r>
              <w:rPr>
                <w:sz w:val="18"/>
              </w:rPr>
              <w:t>Xalatlaco</w:t>
            </w:r>
          </w:p>
        </w:tc>
        <w:tc>
          <w:tcPr>
            <w:tcW w:w="1512" w:type="dxa"/>
            <w:tcBorders>
              <w:top w:val="single" w:sz="4" w:space="0" w:color="000000"/>
            </w:tcBorders>
          </w:tcPr>
          <w:p>
            <w:pPr>
              <w:pStyle w:val="TableParagraph"/>
              <w:spacing w:before="88"/>
              <w:ind w:left="308"/>
              <w:rPr>
                <w:sz w:val="18"/>
              </w:rPr>
            </w:pPr>
            <w:r>
              <w:rPr>
                <w:w w:val="99"/>
                <w:sz w:val="18"/>
              </w:rPr>
              <w:t>0</w:t>
            </w:r>
          </w:p>
        </w:tc>
        <w:tc>
          <w:tcPr>
            <w:tcW w:w="1528" w:type="dxa"/>
            <w:tcBorders>
              <w:top w:val="single" w:sz="4" w:space="0" w:color="000000"/>
            </w:tcBorders>
          </w:tcPr>
          <w:p>
            <w:pPr>
              <w:pStyle w:val="TableParagraph"/>
              <w:spacing w:before="88"/>
              <w:ind w:left="340"/>
              <w:rPr>
                <w:sz w:val="18"/>
              </w:rPr>
            </w:pPr>
            <w:r>
              <w:rPr>
                <w:sz w:val="18"/>
              </w:rPr>
              <w:t>4,501</w:t>
            </w:r>
          </w:p>
        </w:tc>
        <w:tc>
          <w:tcPr>
            <w:tcW w:w="2187" w:type="dxa"/>
            <w:tcBorders>
              <w:top w:val="single" w:sz="4" w:space="0" w:color="000000"/>
            </w:tcBorders>
          </w:tcPr>
          <w:p>
            <w:pPr>
              <w:pStyle w:val="TableParagraph"/>
              <w:spacing w:before="88"/>
              <w:ind w:left="324"/>
              <w:rPr>
                <w:sz w:val="18"/>
              </w:rPr>
            </w:pPr>
            <w:r>
              <w:rPr>
                <w:sz w:val="18"/>
              </w:rPr>
              <w:t>23,755</w:t>
            </w:r>
          </w:p>
        </w:tc>
      </w:tr>
      <w:tr>
        <w:trPr>
          <w:trHeight w:val="298" w:hRule="exact"/>
        </w:trPr>
        <w:tc>
          <w:tcPr>
            <w:tcW w:w="2953" w:type="dxa"/>
          </w:tcPr>
          <w:p>
            <w:pPr>
              <w:pStyle w:val="TableParagraph"/>
              <w:spacing w:before="36"/>
              <w:ind w:left="83"/>
              <w:rPr>
                <w:sz w:val="18"/>
              </w:rPr>
            </w:pPr>
            <w:r>
              <w:rPr>
                <w:sz w:val="18"/>
              </w:rPr>
              <w:t>Almoloya del Río</w:t>
            </w:r>
          </w:p>
        </w:tc>
        <w:tc>
          <w:tcPr>
            <w:tcW w:w="1512" w:type="dxa"/>
          </w:tcPr>
          <w:p>
            <w:pPr>
              <w:pStyle w:val="TableParagraph"/>
              <w:spacing w:before="36"/>
              <w:ind w:left="308"/>
              <w:rPr>
                <w:sz w:val="18"/>
              </w:rPr>
            </w:pPr>
            <w:r>
              <w:rPr>
                <w:w w:val="99"/>
                <w:sz w:val="18"/>
              </w:rPr>
              <w:t>0</w:t>
            </w:r>
          </w:p>
        </w:tc>
        <w:tc>
          <w:tcPr>
            <w:tcW w:w="1528" w:type="dxa"/>
          </w:tcPr>
          <w:p>
            <w:pPr>
              <w:pStyle w:val="TableParagraph"/>
              <w:spacing w:before="36"/>
              <w:ind w:left="340"/>
              <w:rPr>
                <w:sz w:val="18"/>
              </w:rPr>
            </w:pPr>
            <w:r>
              <w:rPr>
                <w:sz w:val="18"/>
              </w:rPr>
              <w:t>2931</w:t>
            </w:r>
          </w:p>
        </w:tc>
        <w:tc>
          <w:tcPr>
            <w:tcW w:w="2187" w:type="dxa"/>
          </w:tcPr>
          <w:p>
            <w:pPr>
              <w:pStyle w:val="TableParagraph"/>
              <w:spacing w:before="36"/>
              <w:ind w:left="324"/>
              <w:rPr>
                <w:sz w:val="18"/>
              </w:rPr>
            </w:pPr>
            <w:r>
              <w:rPr>
                <w:sz w:val="18"/>
              </w:rPr>
              <w:t>11365</w:t>
            </w:r>
          </w:p>
        </w:tc>
      </w:tr>
      <w:tr>
        <w:trPr>
          <w:trHeight w:val="296" w:hRule="exact"/>
        </w:trPr>
        <w:tc>
          <w:tcPr>
            <w:tcW w:w="2953" w:type="dxa"/>
          </w:tcPr>
          <w:p>
            <w:pPr>
              <w:pStyle w:val="TableParagraph"/>
              <w:spacing w:before="36"/>
              <w:ind w:left="83"/>
              <w:rPr>
                <w:sz w:val="18"/>
              </w:rPr>
            </w:pPr>
            <w:r>
              <w:rPr>
                <w:sz w:val="18"/>
              </w:rPr>
              <w:t>Atizapán</w:t>
            </w:r>
          </w:p>
        </w:tc>
        <w:tc>
          <w:tcPr>
            <w:tcW w:w="1512" w:type="dxa"/>
          </w:tcPr>
          <w:p>
            <w:pPr>
              <w:pStyle w:val="TableParagraph"/>
              <w:spacing w:before="36"/>
              <w:ind w:left="308"/>
              <w:rPr>
                <w:sz w:val="18"/>
              </w:rPr>
            </w:pPr>
            <w:r>
              <w:rPr>
                <w:w w:val="99"/>
                <w:sz w:val="18"/>
              </w:rPr>
              <w:t>0</w:t>
            </w:r>
          </w:p>
        </w:tc>
        <w:tc>
          <w:tcPr>
            <w:tcW w:w="1528" w:type="dxa"/>
          </w:tcPr>
          <w:p>
            <w:pPr>
              <w:pStyle w:val="TableParagraph"/>
              <w:spacing w:before="36"/>
              <w:ind w:left="340"/>
              <w:rPr>
                <w:sz w:val="18"/>
              </w:rPr>
            </w:pPr>
            <w:r>
              <w:rPr>
                <w:sz w:val="18"/>
              </w:rPr>
              <w:t>43,827</w:t>
            </w:r>
          </w:p>
        </w:tc>
        <w:tc>
          <w:tcPr>
            <w:tcW w:w="2187" w:type="dxa"/>
          </w:tcPr>
          <w:p>
            <w:pPr>
              <w:pStyle w:val="TableParagraph"/>
              <w:spacing w:before="36"/>
              <w:ind w:left="324"/>
              <w:rPr>
                <w:sz w:val="18"/>
              </w:rPr>
            </w:pPr>
            <w:r>
              <w:rPr>
                <w:sz w:val="18"/>
              </w:rPr>
              <w:t>113,485</w:t>
            </w:r>
          </w:p>
        </w:tc>
      </w:tr>
      <w:tr>
        <w:trPr>
          <w:trHeight w:val="297" w:hRule="exact"/>
        </w:trPr>
        <w:tc>
          <w:tcPr>
            <w:tcW w:w="2953" w:type="dxa"/>
          </w:tcPr>
          <w:p>
            <w:pPr>
              <w:pStyle w:val="TableParagraph"/>
              <w:spacing w:before="34"/>
              <w:ind w:left="83"/>
              <w:rPr>
                <w:sz w:val="18"/>
              </w:rPr>
            </w:pPr>
            <w:r>
              <w:rPr>
                <w:sz w:val="18"/>
              </w:rPr>
              <w:t>Capulhuac</w:t>
            </w:r>
          </w:p>
        </w:tc>
        <w:tc>
          <w:tcPr>
            <w:tcW w:w="1512" w:type="dxa"/>
          </w:tcPr>
          <w:p>
            <w:pPr>
              <w:pStyle w:val="TableParagraph"/>
              <w:spacing w:before="34"/>
              <w:ind w:left="308"/>
              <w:rPr>
                <w:sz w:val="18"/>
              </w:rPr>
            </w:pPr>
            <w:r>
              <w:rPr>
                <w:w w:val="99"/>
                <w:sz w:val="18"/>
              </w:rPr>
              <w:t>0</w:t>
            </w:r>
          </w:p>
        </w:tc>
        <w:tc>
          <w:tcPr>
            <w:tcW w:w="1528" w:type="dxa"/>
          </w:tcPr>
          <w:p>
            <w:pPr>
              <w:pStyle w:val="TableParagraph"/>
              <w:spacing w:before="34"/>
              <w:ind w:left="340"/>
              <w:rPr>
                <w:sz w:val="18"/>
              </w:rPr>
            </w:pPr>
            <w:r>
              <w:rPr>
                <w:sz w:val="18"/>
              </w:rPr>
              <w:t>24,557</w:t>
            </w:r>
          </w:p>
        </w:tc>
        <w:tc>
          <w:tcPr>
            <w:tcW w:w="2187" w:type="dxa"/>
          </w:tcPr>
          <w:p>
            <w:pPr>
              <w:pStyle w:val="TableParagraph"/>
              <w:spacing w:before="34"/>
              <w:ind w:left="324"/>
              <w:rPr>
                <w:sz w:val="18"/>
              </w:rPr>
            </w:pPr>
            <w:r>
              <w:rPr>
                <w:sz w:val="18"/>
              </w:rPr>
              <w:t>54,817</w:t>
            </w:r>
          </w:p>
        </w:tc>
      </w:tr>
      <w:tr>
        <w:trPr>
          <w:trHeight w:val="298" w:hRule="exact"/>
        </w:trPr>
        <w:tc>
          <w:tcPr>
            <w:tcW w:w="2953" w:type="dxa"/>
          </w:tcPr>
          <w:p>
            <w:pPr>
              <w:pStyle w:val="TableParagraph"/>
              <w:spacing w:before="36"/>
              <w:ind w:left="83"/>
              <w:rPr>
                <w:sz w:val="18"/>
              </w:rPr>
            </w:pPr>
            <w:r>
              <w:rPr>
                <w:sz w:val="18"/>
              </w:rPr>
              <w:t>Tenango del Valle</w:t>
            </w:r>
          </w:p>
        </w:tc>
        <w:tc>
          <w:tcPr>
            <w:tcW w:w="1512" w:type="dxa"/>
          </w:tcPr>
          <w:p>
            <w:pPr>
              <w:pStyle w:val="TableParagraph"/>
              <w:spacing w:before="36"/>
              <w:ind w:left="308"/>
              <w:rPr>
                <w:sz w:val="18"/>
              </w:rPr>
            </w:pPr>
            <w:r>
              <w:rPr>
                <w:w w:val="99"/>
                <w:sz w:val="18"/>
              </w:rPr>
              <w:t>0</w:t>
            </w:r>
          </w:p>
        </w:tc>
        <w:tc>
          <w:tcPr>
            <w:tcW w:w="1528" w:type="dxa"/>
          </w:tcPr>
          <w:p>
            <w:pPr>
              <w:pStyle w:val="TableParagraph"/>
              <w:spacing w:before="36"/>
              <w:ind w:left="340"/>
              <w:rPr>
                <w:sz w:val="18"/>
              </w:rPr>
            </w:pPr>
            <w:r>
              <w:rPr>
                <w:sz w:val="18"/>
              </w:rPr>
              <w:t>34,637</w:t>
            </w:r>
          </w:p>
        </w:tc>
        <w:tc>
          <w:tcPr>
            <w:tcW w:w="2187" w:type="dxa"/>
          </w:tcPr>
          <w:p>
            <w:pPr>
              <w:pStyle w:val="TableParagraph"/>
              <w:spacing w:before="36"/>
              <w:ind w:left="324"/>
              <w:rPr>
                <w:sz w:val="18"/>
              </w:rPr>
            </w:pPr>
            <w:r>
              <w:rPr>
                <w:sz w:val="18"/>
              </w:rPr>
              <w:t>82,197</w:t>
            </w:r>
          </w:p>
        </w:tc>
      </w:tr>
      <w:tr>
        <w:trPr>
          <w:trHeight w:val="298" w:hRule="exact"/>
        </w:trPr>
        <w:tc>
          <w:tcPr>
            <w:tcW w:w="2953" w:type="dxa"/>
          </w:tcPr>
          <w:p>
            <w:pPr>
              <w:pStyle w:val="TableParagraph"/>
              <w:spacing w:before="36"/>
              <w:ind w:left="83"/>
              <w:rPr>
                <w:sz w:val="18"/>
              </w:rPr>
            </w:pPr>
            <w:r>
              <w:rPr>
                <w:sz w:val="18"/>
              </w:rPr>
              <w:t>Texcalyacac</w:t>
            </w:r>
          </w:p>
        </w:tc>
        <w:tc>
          <w:tcPr>
            <w:tcW w:w="1512" w:type="dxa"/>
          </w:tcPr>
          <w:p>
            <w:pPr>
              <w:pStyle w:val="TableParagraph"/>
              <w:spacing w:before="36"/>
              <w:ind w:left="308"/>
              <w:rPr>
                <w:sz w:val="18"/>
              </w:rPr>
            </w:pPr>
            <w:r>
              <w:rPr>
                <w:w w:val="99"/>
                <w:sz w:val="18"/>
              </w:rPr>
              <w:t>0</w:t>
            </w:r>
          </w:p>
        </w:tc>
        <w:tc>
          <w:tcPr>
            <w:tcW w:w="1528" w:type="dxa"/>
          </w:tcPr>
          <w:p>
            <w:pPr>
              <w:pStyle w:val="TableParagraph"/>
              <w:spacing w:before="36"/>
              <w:ind w:left="340"/>
              <w:rPr>
                <w:sz w:val="18"/>
              </w:rPr>
            </w:pPr>
            <w:r>
              <w:rPr>
                <w:sz w:val="18"/>
              </w:rPr>
              <w:t>822</w:t>
            </w:r>
          </w:p>
        </w:tc>
        <w:tc>
          <w:tcPr>
            <w:tcW w:w="2187" w:type="dxa"/>
          </w:tcPr>
          <w:p>
            <w:pPr>
              <w:pStyle w:val="TableParagraph"/>
              <w:spacing w:before="36"/>
              <w:ind w:left="324"/>
              <w:rPr>
                <w:sz w:val="18"/>
              </w:rPr>
            </w:pPr>
            <w:r>
              <w:rPr>
                <w:sz w:val="18"/>
              </w:rPr>
              <w:t>5560</w:t>
            </w:r>
          </w:p>
        </w:tc>
      </w:tr>
      <w:tr>
        <w:trPr>
          <w:trHeight w:val="248" w:hRule="exact"/>
        </w:trPr>
        <w:tc>
          <w:tcPr>
            <w:tcW w:w="2953" w:type="dxa"/>
            <w:tcBorders>
              <w:bottom w:val="single" w:sz="4" w:space="0" w:color="000000"/>
            </w:tcBorders>
          </w:tcPr>
          <w:p>
            <w:pPr>
              <w:pStyle w:val="TableParagraph"/>
              <w:spacing w:before="36"/>
              <w:ind w:left="83"/>
              <w:rPr>
                <w:sz w:val="18"/>
              </w:rPr>
            </w:pPr>
            <w:r>
              <w:rPr>
                <w:sz w:val="18"/>
              </w:rPr>
              <w:t>Tianguistenco</w:t>
            </w:r>
          </w:p>
        </w:tc>
        <w:tc>
          <w:tcPr>
            <w:tcW w:w="1512" w:type="dxa"/>
            <w:tcBorders>
              <w:bottom w:val="single" w:sz="4" w:space="0" w:color="000000"/>
            </w:tcBorders>
          </w:tcPr>
          <w:p>
            <w:pPr>
              <w:pStyle w:val="TableParagraph"/>
              <w:spacing w:before="36"/>
              <w:ind w:left="308"/>
              <w:rPr>
                <w:sz w:val="18"/>
              </w:rPr>
            </w:pPr>
            <w:r>
              <w:rPr>
                <w:w w:val="99"/>
                <w:sz w:val="18"/>
              </w:rPr>
              <w:t>0</w:t>
            </w:r>
          </w:p>
        </w:tc>
        <w:tc>
          <w:tcPr>
            <w:tcW w:w="1528" w:type="dxa"/>
            <w:tcBorders>
              <w:bottom w:val="single" w:sz="4" w:space="0" w:color="000000"/>
            </w:tcBorders>
          </w:tcPr>
          <w:p>
            <w:pPr>
              <w:pStyle w:val="TableParagraph"/>
              <w:spacing w:before="36"/>
              <w:ind w:left="340"/>
              <w:rPr>
                <w:sz w:val="18"/>
              </w:rPr>
            </w:pPr>
            <w:r>
              <w:rPr>
                <w:sz w:val="18"/>
              </w:rPr>
              <w:t>30,937</w:t>
            </w:r>
          </w:p>
        </w:tc>
        <w:tc>
          <w:tcPr>
            <w:tcW w:w="2187" w:type="dxa"/>
            <w:tcBorders>
              <w:bottom w:val="single" w:sz="4" w:space="0" w:color="000000"/>
            </w:tcBorders>
          </w:tcPr>
          <w:p>
            <w:pPr>
              <w:pStyle w:val="TableParagraph"/>
              <w:spacing w:before="36"/>
              <w:ind w:left="324"/>
              <w:rPr>
                <w:sz w:val="18"/>
              </w:rPr>
            </w:pPr>
            <w:r>
              <w:rPr>
                <w:sz w:val="18"/>
              </w:rPr>
              <w:t>79,233</w:t>
            </w:r>
          </w:p>
        </w:tc>
      </w:tr>
      <w:tr>
        <w:trPr>
          <w:trHeight w:val="307" w:hRule="exact"/>
        </w:trPr>
        <w:tc>
          <w:tcPr>
            <w:tcW w:w="2953" w:type="dxa"/>
            <w:tcBorders>
              <w:top w:val="single" w:sz="4" w:space="0" w:color="000000"/>
              <w:bottom w:val="single" w:sz="4" w:space="0" w:color="000000"/>
            </w:tcBorders>
          </w:tcPr>
          <w:p>
            <w:pPr>
              <w:pStyle w:val="TableParagraph"/>
              <w:spacing w:before="90"/>
              <w:ind w:left="83"/>
              <w:rPr>
                <w:sz w:val="18"/>
              </w:rPr>
            </w:pPr>
            <w:r>
              <w:rPr>
                <w:sz w:val="18"/>
              </w:rPr>
              <w:t>Resto de la región Toluca</w:t>
            </w:r>
          </w:p>
        </w:tc>
        <w:tc>
          <w:tcPr>
            <w:tcW w:w="1512" w:type="dxa"/>
            <w:tcBorders>
              <w:top w:val="single" w:sz="4" w:space="0" w:color="000000"/>
              <w:bottom w:val="single" w:sz="4" w:space="0" w:color="000000"/>
            </w:tcBorders>
          </w:tcPr>
          <w:p>
            <w:pPr>
              <w:pStyle w:val="TableParagraph"/>
              <w:spacing w:before="90"/>
              <w:ind w:left="308"/>
              <w:rPr>
                <w:sz w:val="18"/>
              </w:rPr>
            </w:pPr>
            <w:r>
              <w:rPr>
                <w:w w:val="99"/>
                <w:sz w:val="18"/>
              </w:rPr>
              <w:t>0</w:t>
            </w:r>
          </w:p>
        </w:tc>
        <w:tc>
          <w:tcPr>
            <w:tcW w:w="1528" w:type="dxa"/>
            <w:tcBorders>
              <w:top w:val="single" w:sz="4" w:space="0" w:color="000000"/>
              <w:bottom w:val="single" w:sz="4" w:space="0" w:color="000000"/>
            </w:tcBorders>
          </w:tcPr>
          <w:p>
            <w:pPr>
              <w:pStyle w:val="TableParagraph"/>
              <w:spacing w:before="90"/>
              <w:ind w:left="340"/>
              <w:rPr>
                <w:sz w:val="18"/>
              </w:rPr>
            </w:pPr>
            <w:r>
              <w:rPr>
                <w:sz w:val="18"/>
              </w:rPr>
              <w:t>142,212</w:t>
            </w:r>
          </w:p>
        </w:tc>
        <w:tc>
          <w:tcPr>
            <w:tcW w:w="2187" w:type="dxa"/>
            <w:tcBorders>
              <w:top w:val="single" w:sz="4" w:space="0" w:color="000000"/>
              <w:bottom w:val="single" w:sz="4" w:space="0" w:color="000000"/>
            </w:tcBorders>
          </w:tcPr>
          <w:p>
            <w:pPr>
              <w:pStyle w:val="TableParagraph"/>
              <w:spacing w:before="90"/>
              <w:ind w:left="324"/>
              <w:rPr>
                <w:sz w:val="18"/>
              </w:rPr>
            </w:pPr>
            <w:r>
              <w:rPr>
                <w:sz w:val="18"/>
              </w:rPr>
              <w:t>370,412</w:t>
            </w:r>
          </w:p>
        </w:tc>
      </w:tr>
    </w:tbl>
    <w:p>
      <w:pPr>
        <w:spacing w:after="0"/>
        <w:rPr>
          <w:sz w:val="18"/>
        </w:rPr>
        <w:sectPr>
          <w:pgSz w:w="12240" w:h="15840"/>
          <w:pgMar w:header="0" w:footer="659" w:top="1360" w:bottom="840" w:left="1660" w:right="1660"/>
        </w:sectPr>
      </w:pPr>
    </w:p>
    <w:p>
      <w:pPr>
        <w:pStyle w:val="Heading4"/>
        <w:spacing w:before="53"/>
        <w:ind w:left="161" w:right="159"/>
        <w:jc w:val="center"/>
      </w:pPr>
      <w:r>
        <w:rPr/>
        <w:t>Anexos de Relaciones funcionales del capítulo IV</w:t>
      </w:r>
    </w:p>
    <w:p>
      <w:pPr>
        <w:spacing w:before="230" w:after="3"/>
        <w:ind w:left="161" w:right="157" w:firstLine="0"/>
        <w:jc w:val="center"/>
        <w:rPr>
          <w:sz w:val="20"/>
        </w:rPr>
      </w:pPr>
      <w:r>
        <w:rPr>
          <w:sz w:val="20"/>
        </w:rPr>
        <w:t>Cuadro A 4.12 Desplazamientos por empleo en la zona metropolitana de Toluca de la Población ocupada residente en el municipio 2000 (%)</w:t>
      </w:r>
    </w:p>
    <w:tbl>
      <w:tblPr>
        <w:tblW w:w="0" w:type="auto"/>
        <w:jc w:val="left"/>
        <w:tblInd w:w="82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397"/>
        <w:gridCol w:w="1459"/>
        <w:gridCol w:w="1616"/>
        <w:gridCol w:w="1796"/>
      </w:tblGrid>
      <w:tr>
        <w:trPr>
          <w:trHeight w:val="1253" w:hRule="exact"/>
        </w:trPr>
        <w:tc>
          <w:tcPr>
            <w:tcW w:w="2397" w:type="dxa"/>
            <w:tcBorders>
              <w:left w:val="nil"/>
              <w:right w:val="nil"/>
            </w:tcBorders>
          </w:tcPr>
          <w:p>
            <w:pPr>
              <w:pStyle w:val="TableParagraph"/>
              <w:spacing w:line="206" w:lineRule="exact"/>
              <w:ind w:left="108"/>
              <w:rPr>
                <w:sz w:val="18"/>
              </w:rPr>
            </w:pPr>
            <w:r>
              <w:rPr>
                <w:sz w:val="18"/>
              </w:rPr>
              <w:t>MUNICIPIOS (ZMT 2000)</w:t>
            </w:r>
          </w:p>
        </w:tc>
        <w:tc>
          <w:tcPr>
            <w:tcW w:w="1459" w:type="dxa"/>
            <w:tcBorders>
              <w:left w:val="nil"/>
              <w:right w:val="nil"/>
            </w:tcBorders>
          </w:tcPr>
          <w:p>
            <w:pPr>
              <w:pStyle w:val="TableParagraph"/>
              <w:spacing w:line="360" w:lineRule="auto"/>
              <w:ind w:left="228" w:right="100"/>
              <w:rPr>
                <w:sz w:val="18"/>
              </w:rPr>
            </w:pPr>
            <w:r>
              <w:rPr>
                <w:sz w:val="18"/>
              </w:rPr>
              <w:t>TRABAJA EN EL MUNICIPIO</w:t>
            </w:r>
          </w:p>
          <w:p>
            <w:pPr>
              <w:pStyle w:val="TableParagraph"/>
              <w:spacing w:before="2"/>
              <w:ind w:left="133"/>
              <w:jc w:val="center"/>
              <w:rPr>
                <w:sz w:val="18"/>
              </w:rPr>
            </w:pPr>
            <w:r>
              <w:rPr>
                <w:w w:val="99"/>
                <w:sz w:val="18"/>
              </w:rPr>
              <w:t>%</w:t>
            </w:r>
          </w:p>
        </w:tc>
        <w:tc>
          <w:tcPr>
            <w:tcW w:w="1616" w:type="dxa"/>
            <w:tcBorders>
              <w:left w:val="nil"/>
              <w:right w:val="nil"/>
            </w:tcBorders>
          </w:tcPr>
          <w:p>
            <w:pPr>
              <w:pStyle w:val="TableParagraph"/>
              <w:spacing w:line="360" w:lineRule="auto"/>
              <w:ind w:left="121"/>
              <w:rPr>
                <w:sz w:val="18"/>
              </w:rPr>
            </w:pPr>
            <w:r>
              <w:rPr>
                <w:sz w:val="18"/>
              </w:rPr>
              <w:t>TRABAJA EN MUNICIPIOS CENTRALES %</w:t>
            </w:r>
          </w:p>
        </w:tc>
        <w:tc>
          <w:tcPr>
            <w:tcW w:w="1796" w:type="dxa"/>
            <w:tcBorders>
              <w:left w:val="nil"/>
              <w:right w:val="nil"/>
            </w:tcBorders>
          </w:tcPr>
          <w:p>
            <w:pPr>
              <w:pStyle w:val="TableParagraph"/>
              <w:spacing w:line="360" w:lineRule="auto"/>
              <w:ind w:left="207" w:right="289"/>
              <w:rPr>
                <w:sz w:val="18"/>
              </w:rPr>
            </w:pPr>
            <w:r>
              <w:rPr>
                <w:sz w:val="18"/>
              </w:rPr>
              <w:t>TRABAJA EN OTROS MUNICIPIOS %</w:t>
            </w:r>
          </w:p>
        </w:tc>
      </w:tr>
      <w:tr>
        <w:trPr>
          <w:trHeight w:val="272" w:hRule="exact"/>
        </w:trPr>
        <w:tc>
          <w:tcPr>
            <w:tcW w:w="2397" w:type="dxa"/>
            <w:tcBorders>
              <w:left w:val="nil"/>
              <w:bottom w:val="nil"/>
              <w:right w:val="nil"/>
            </w:tcBorders>
          </w:tcPr>
          <w:p>
            <w:pPr>
              <w:pStyle w:val="TableParagraph"/>
              <w:spacing w:line="206" w:lineRule="exact"/>
              <w:ind w:left="108"/>
              <w:rPr>
                <w:sz w:val="18"/>
              </w:rPr>
            </w:pPr>
            <w:r>
              <w:rPr>
                <w:sz w:val="18"/>
              </w:rPr>
              <w:t>Toluca</w:t>
            </w:r>
          </w:p>
        </w:tc>
        <w:tc>
          <w:tcPr>
            <w:tcW w:w="1459" w:type="dxa"/>
            <w:tcBorders>
              <w:left w:val="nil"/>
              <w:bottom w:val="nil"/>
              <w:right w:val="nil"/>
            </w:tcBorders>
          </w:tcPr>
          <w:p>
            <w:pPr>
              <w:pStyle w:val="TableParagraph"/>
              <w:spacing w:line="206" w:lineRule="exact"/>
              <w:ind w:left="228" w:right="100"/>
              <w:rPr>
                <w:sz w:val="18"/>
              </w:rPr>
            </w:pPr>
            <w:r>
              <w:rPr>
                <w:sz w:val="18"/>
              </w:rPr>
              <w:t>91.6</w:t>
            </w:r>
          </w:p>
        </w:tc>
        <w:tc>
          <w:tcPr>
            <w:tcW w:w="1616" w:type="dxa"/>
            <w:tcBorders>
              <w:left w:val="nil"/>
              <w:bottom w:val="nil"/>
              <w:right w:val="nil"/>
            </w:tcBorders>
          </w:tcPr>
          <w:p>
            <w:pPr>
              <w:pStyle w:val="TableParagraph"/>
              <w:spacing w:line="206" w:lineRule="exact"/>
              <w:ind w:left="121"/>
              <w:rPr>
                <w:sz w:val="18"/>
              </w:rPr>
            </w:pPr>
            <w:r>
              <w:rPr>
                <w:sz w:val="18"/>
              </w:rPr>
              <w:t>5.4</w:t>
            </w:r>
          </w:p>
        </w:tc>
        <w:tc>
          <w:tcPr>
            <w:tcW w:w="1796" w:type="dxa"/>
            <w:tcBorders>
              <w:left w:val="nil"/>
              <w:bottom w:val="nil"/>
              <w:right w:val="nil"/>
            </w:tcBorders>
          </w:tcPr>
          <w:p>
            <w:pPr>
              <w:pStyle w:val="TableParagraph"/>
              <w:spacing w:line="206" w:lineRule="exact"/>
              <w:ind w:left="207"/>
              <w:rPr>
                <w:sz w:val="18"/>
              </w:rPr>
            </w:pPr>
            <w:r>
              <w:rPr>
                <w:w w:val="99"/>
                <w:sz w:val="18"/>
              </w:rPr>
              <w:t>3</w:t>
            </w:r>
          </w:p>
        </w:tc>
      </w:tr>
      <w:tr>
        <w:trPr>
          <w:trHeight w:val="311" w:hRule="exact"/>
        </w:trPr>
        <w:tc>
          <w:tcPr>
            <w:tcW w:w="2397" w:type="dxa"/>
            <w:tcBorders>
              <w:top w:val="nil"/>
              <w:left w:val="nil"/>
              <w:bottom w:val="nil"/>
              <w:right w:val="nil"/>
            </w:tcBorders>
          </w:tcPr>
          <w:p>
            <w:pPr>
              <w:pStyle w:val="TableParagraph"/>
              <w:spacing w:before="42"/>
              <w:ind w:left="108"/>
              <w:rPr>
                <w:sz w:val="18"/>
              </w:rPr>
            </w:pPr>
            <w:r>
              <w:rPr>
                <w:sz w:val="18"/>
              </w:rPr>
              <w:t>San Mateo Atenco</w:t>
            </w:r>
          </w:p>
        </w:tc>
        <w:tc>
          <w:tcPr>
            <w:tcW w:w="1459" w:type="dxa"/>
            <w:tcBorders>
              <w:top w:val="nil"/>
              <w:left w:val="nil"/>
              <w:bottom w:val="nil"/>
              <w:right w:val="nil"/>
            </w:tcBorders>
          </w:tcPr>
          <w:p>
            <w:pPr>
              <w:pStyle w:val="TableParagraph"/>
              <w:spacing w:before="42"/>
              <w:ind w:left="228" w:right="100"/>
              <w:rPr>
                <w:sz w:val="18"/>
              </w:rPr>
            </w:pPr>
            <w:r>
              <w:rPr>
                <w:sz w:val="18"/>
              </w:rPr>
              <w:t>81.5</w:t>
            </w:r>
          </w:p>
        </w:tc>
        <w:tc>
          <w:tcPr>
            <w:tcW w:w="1616" w:type="dxa"/>
            <w:tcBorders>
              <w:top w:val="nil"/>
              <w:left w:val="nil"/>
              <w:bottom w:val="nil"/>
              <w:right w:val="nil"/>
            </w:tcBorders>
          </w:tcPr>
          <w:p>
            <w:pPr>
              <w:pStyle w:val="TableParagraph"/>
              <w:spacing w:before="42"/>
              <w:ind w:left="121"/>
              <w:rPr>
                <w:sz w:val="18"/>
              </w:rPr>
            </w:pPr>
            <w:r>
              <w:rPr>
                <w:sz w:val="18"/>
              </w:rPr>
              <w:t>15.1</w:t>
            </w:r>
          </w:p>
        </w:tc>
        <w:tc>
          <w:tcPr>
            <w:tcW w:w="1796" w:type="dxa"/>
            <w:tcBorders>
              <w:top w:val="nil"/>
              <w:left w:val="nil"/>
              <w:bottom w:val="nil"/>
              <w:right w:val="nil"/>
            </w:tcBorders>
          </w:tcPr>
          <w:p>
            <w:pPr>
              <w:pStyle w:val="TableParagraph"/>
              <w:spacing w:before="42"/>
              <w:ind w:left="207" w:right="289"/>
              <w:rPr>
                <w:sz w:val="18"/>
              </w:rPr>
            </w:pPr>
            <w:r>
              <w:rPr>
                <w:sz w:val="18"/>
              </w:rPr>
              <w:t>3.4</w:t>
            </w:r>
          </w:p>
        </w:tc>
      </w:tr>
      <w:tr>
        <w:trPr>
          <w:trHeight w:val="311" w:hRule="exact"/>
        </w:trPr>
        <w:tc>
          <w:tcPr>
            <w:tcW w:w="2397" w:type="dxa"/>
            <w:tcBorders>
              <w:top w:val="nil"/>
              <w:left w:val="nil"/>
              <w:bottom w:val="nil"/>
              <w:right w:val="nil"/>
            </w:tcBorders>
          </w:tcPr>
          <w:p>
            <w:pPr>
              <w:pStyle w:val="TableParagraph"/>
              <w:spacing w:before="43"/>
              <w:ind w:left="108"/>
              <w:rPr>
                <w:sz w:val="18"/>
              </w:rPr>
            </w:pPr>
            <w:r>
              <w:rPr>
                <w:sz w:val="18"/>
              </w:rPr>
              <w:t>Almoloya de Juárez</w:t>
            </w:r>
          </w:p>
        </w:tc>
        <w:tc>
          <w:tcPr>
            <w:tcW w:w="1459" w:type="dxa"/>
            <w:tcBorders>
              <w:top w:val="nil"/>
              <w:left w:val="nil"/>
              <w:bottom w:val="nil"/>
              <w:right w:val="nil"/>
            </w:tcBorders>
          </w:tcPr>
          <w:p>
            <w:pPr>
              <w:pStyle w:val="TableParagraph"/>
              <w:spacing w:before="43"/>
              <w:ind w:left="228" w:right="100"/>
              <w:rPr>
                <w:sz w:val="18"/>
              </w:rPr>
            </w:pPr>
            <w:r>
              <w:rPr>
                <w:sz w:val="18"/>
              </w:rPr>
              <w:t>79.3</w:t>
            </w:r>
          </w:p>
        </w:tc>
        <w:tc>
          <w:tcPr>
            <w:tcW w:w="1616" w:type="dxa"/>
            <w:tcBorders>
              <w:top w:val="nil"/>
              <w:left w:val="nil"/>
              <w:bottom w:val="nil"/>
              <w:right w:val="nil"/>
            </w:tcBorders>
          </w:tcPr>
          <w:p>
            <w:pPr>
              <w:pStyle w:val="TableParagraph"/>
              <w:spacing w:before="43"/>
              <w:ind w:left="121"/>
              <w:rPr>
                <w:sz w:val="18"/>
              </w:rPr>
            </w:pPr>
            <w:r>
              <w:rPr>
                <w:sz w:val="18"/>
              </w:rPr>
              <w:t>17.3</w:t>
            </w:r>
          </w:p>
        </w:tc>
        <w:tc>
          <w:tcPr>
            <w:tcW w:w="1796" w:type="dxa"/>
            <w:tcBorders>
              <w:top w:val="nil"/>
              <w:left w:val="nil"/>
              <w:bottom w:val="nil"/>
              <w:right w:val="nil"/>
            </w:tcBorders>
          </w:tcPr>
          <w:p>
            <w:pPr>
              <w:pStyle w:val="TableParagraph"/>
              <w:spacing w:before="43"/>
              <w:ind w:left="207" w:right="289"/>
              <w:rPr>
                <w:sz w:val="18"/>
              </w:rPr>
            </w:pPr>
            <w:r>
              <w:rPr>
                <w:sz w:val="18"/>
              </w:rPr>
              <w:t>3.4</w:t>
            </w:r>
          </w:p>
        </w:tc>
      </w:tr>
      <w:tr>
        <w:trPr>
          <w:trHeight w:val="310" w:hRule="exact"/>
        </w:trPr>
        <w:tc>
          <w:tcPr>
            <w:tcW w:w="2397" w:type="dxa"/>
            <w:tcBorders>
              <w:top w:val="nil"/>
              <w:left w:val="nil"/>
              <w:bottom w:val="nil"/>
              <w:right w:val="nil"/>
            </w:tcBorders>
          </w:tcPr>
          <w:p>
            <w:pPr>
              <w:pStyle w:val="TableParagraph"/>
              <w:spacing w:before="42"/>
              <w:ind w:left="108"/>
              <w:rPr>
                <w:sz w:val="18"/>
              </w:rPr>
            </w:pPr>
            <w:r>
              <w:rPr>
                <w:sz w:val="18"/>
              </w:rPr>
              <w:t>Lerma</w:t>
            </w:r>
          </w:p>
        </w:tc>
        <w:tc>
          <w:tcPr>
            <w:tcW w:w="1459" w:type="dxa"/>
            <w:tcBorders>
              <w:top w:val="nil"/>
              <w:left w:val="nil"/>
              <w:bottom w:val="nil"/>
              <w:right w:val="nil"/>
            </w:tcBorders>
          </w:tcPr>
          <w:p>
            <w:pPr>
              <w:pStyle w:val="TableParagraph"/>
              <w:spacing w:before="42"/>
              <w:ind w:left="228" w:right="100"/>
              <w:rPr>
                <w:sz w:val="18"/>
              </w:rPr>
            </w:pPr>
            <w:r>
              <w:rPr>
                <w:sz w:val="18"/>
              </w:rPr>
              <w:t>77.7</w:t>
            </w:r>
          </w:p>
        </w:tc>
        <w:tc>
          <w:tcPr>
            <w:tcW w:w="1616" w:type="dxa"/>
            <w:tcBorders>
              <w:top w:val="nil"/>
              <w:left w:val="nil"/>
              <w:bottom w:val="nil"/>
              <w:right w:val="nil"/>
            </w:tcBorders>
          </w:tcPr>
          <w:p>
            <w:pPr>
              <w:pStyle w:val="TableParagraph"/>
              <w:spacing w:before="42"/>
              <w:ind w:left="121"/>
              <w:rPr>
                <w:sz w:val="18"/>
              </w:rPr>
            </w:pPr>
            <w:r>
              <w:rPr>
                <w:sz w:val="18"/>
              </w:rPr>
              <w:t>14.2</w:t>
            </w:r>
          </w:p>
        </w:tc>
        <w:tc>
          <w:tcPr>
            <w:tcW w:w="1796" w:type="dxa"/>
            <w:tcBorders>
              <w:top w:val="nil"/>
              <w:left w:val="nil"/>
              <w:bottom w:val="nil"/>
              <w:right w:val="nil"/>
            </w:tcBorders>
          </w:tcPr>
          <w:p>
            <w:pPr>
              <w:pStyle w:val="TableParagraph"/>
              <w:spacing w:before="42"/>
              <w:ind w:left="207" w:right="289"/>
              <w:rPr>
                <w:sz w:val="18"/>
              </w:rPr>
            </w:pPr>
            <w:r>
              <w:rPr>
                <w:sz w:val="18"/>
              </w:rPr>
              <w:t>8.1</w:t>
            </w:r>
          </w:p>
        </w:tc>
      </w:tr>
      <w:tr>
        <w:trPr>
          <w:trHeight w:val="311" w:hRule="exact"/>
        </w:trPr>
        <w:tc>
          <w:tcPr>
            <w:tcW w:w="2397" w:type="dxa"/>
            <w:tcBorders>
              <w:top w:val="nil"/>
              <w:left w:val="nil"/>
              <w:bottom w:val="nil"/>
              <w:right w:val="nil"/>
            </w:tcBorders>
          </w:tcPr>
          <w:p>
            <w:pPr>
              <w:pStyle w:val="TableParagraph"/>
              <w:spacing w:before="42"/>
              <w:ind w:left="108"/>
              <w:rPr>
                <w:sz w:val="18"/>
              </w:rPr>
            </w:pPr>
            <w:r>
              <w:rPr>
                <w:sz w:val="18"/>
              </w:rPr>
              <w:t>Calimaya</w:t>
            </w:r>
          </w:p>
        </w:tc>
        <w:tc>
          <w:tcPr>
            <w:tcW w:w="1459" w:type="dxa"/>
            <w:tcBorders>
              <w:top w:val="nil"/>
              <w:left w:val="nil"/>
              <w:bottom w:val="nil"/>
              <w:right w:val="nil"/>
            </w:tcBorders>
          </w:tcPr>
          <w:p>
            <w:pPr>
              <w:pStyle w:val="TableParagraph"/>
              <w:spacing w:before="42"/>
              <w:ind w:left="228" w:right="100"/>
              <w:rPr>
                <w:sz w:val="18"/>
              </w:rPr>
            </w:pPr>
            <w:r>
              <w:rPr>
                <w:sz w:val="18"/>
              </w:rPr>
              <w:t>61.6</w:t>
            </w:r>
          </w:p>
        </w:tc>
        <w:tc>
          <w:tcPr>
            <w:tcW w:w="1616" w:type="dxa"/>
            <w:tcBorders>
              <w:top w:val="nil"/>
              <w:left w:val="nil"/>
              <w:bottom w:val="nil"/>
              <w:right w:val="nil"/>
            </w:tcBorders>
          </w:tcPr>
          <w:p>
            <w:pPr>
              <w:pStyle w:val="TableParagraph"/>
              <w:spacing w:before="42"/>
              <w:ind w:left="121"/>
              <w:rPr>
                <w:sz w:val="18"/>
              </w:rPr>
            </w:pPr>
            <w:r>
              <w:rPr>
                <w:sz w:val="18"/>
              </w:rPr>
              <w:t>33.5</w:t>
            </w:r>
          </w:p>
        </w:tc>
        <w:tc>
          <w:tcPr>
            <w:tcW w:w="1796" w:type="dxa"/>
            <w:tcBorders>
              <w:top w:val="nil"/>
              <w:left w:val="nil"/>
              <w:bottom w:val="nil"/>
              <w:right w:val="nil"/>
            </w:tcBorders>
          </w:tcPr>
          <w:p>
            <w:pPr>
              <w:pStyle w:val="TableParagraph"/>
              <w:spacing w:before="42"/>
              <w:ind w:left="207" w:right="289"/>
              <w:rPr>
                <w:sz w:val="18"/>
              </w:rPr>
            </w:pPr>
            <w:r>
              <w:rPr>
                <w:sz w:val="18"/>
              </w:rPr>
              <w:t>4.9</w:t>
            </w:r>
          </w:p>
        </w:tc>
      </w:tr>
      <w:tr>
        <w:trPr>
          <w:trHeight w:val="311" w:hRule="exact"/>
        </w:trPr>
        <w:tc>
          <w:tcPr>
            <w:tcW w:w="2397" w:type="dxa"/>
            <w:tcBorders>
              <w:top w:val="nil"/>
              <w:left w:val="nil"/>
              <w:bottom w:val="nil"/>
              <w:right w:val="nil"/>
            </w:tcBorders>
          </w:tcPr>
          <w:p>
            <w:pPr>
              <w:pStyle w:val="TableParagraph"/>
              <w:spacing w:before="43"/>
              <w:ind w:left="108"/>
              <w:rPr>
                <w:sz w:val="18"/>
              </w:rPr>
            </w:pPr>
            <w:r>
              <w:rPr>
                <w:sz w:val="18"/>
              </w:rPr>
              <w:t>Mexicaltzingo</w:t>
            </w:r>
          </w:p>
        </w:tc>
        <w:tc>
          <w:tcPr>
            <w:tcW w:w="1459" w:type="dxa"/>
            <w:tcBorders>
              <w:top w:val="nil"/>
              <w:left w:val="nil"/>
              <w:bottom w:val="nil"/>
              <w:right w:val="nil"/>
            </w:tcBorders>
          </w:tcPr>
          <w:p>
            <w:pPr>
              <w:pStyle w:val="TableParagraph"/>
              <w:spacing w:before="43"/>
              <w:ind w:left="228" w:right="100"/>
              <w:rPr>
                <w:sz w:val="18"/>
              </w:rPr>
            </w:pPr>
            <w:r>
              <w:rPr>
                <w:sz w:val="18"/>
              </w:rPr>
              <w:t>61.5</w:t>
            </w:r>
          </w:p>
        </w:tc>
        <w:tc>
          <w:tcPr>
            <w:tcW w:w="1616" w:type="dxa"/>
            <w:tcBorders>
              <w:top w:val="nil"/>
              <w:left w:val="nil"/>
              <w:bottom w:val="nil"/>
              <w:right w:val="nil"/>
            </w:tcBorders>
          </w:tcPr>
          <w:p>
            <w:pPr>
              <w:pStyle w:val="TableParagraph"/>
              <w:spacing w:before="43"/>
              <w:ind w:left="121"/>
              <w:rPr>
                <w:sz w:val="18"/>
              </w:rPr>
            </w:pPr>
            <w:r>
              <w:rPr>
                <w:sz w:val="18"/>
              </w:rPr>
              <w:t>25.3</w:t>
            </w:r>
          </w:p>
        </w:tc>
        <w:tc>
          <w:tcPr>
            <w:tcW w:w="1796" w:type="dxa"/>
            <w:tcBorders>
              <w:top w:val="nil"/>
              <w:left w:val="nil"/>
              <w:bottom w:val="nil"/>
              <w:right w:val="nil"/>
            </w:tcBorders>
          </w:tcPr>
          <w:p>
            <w:pPr>
              <w:pStyle w:val="TableParagraph"/>
              <w:spacing w:before="43"/>
              <w:ind w:left="207" w:right="289"/>
              <w:rPr>
                <w:sz w:val="18"/>
              </w:rPr>
            </w:pPr>
            <w:r>
              <w:rPr>
                <w:sz w:val="18"/>
              </w:rPr>
              <w:t>13.3</w:t>
            </w:r>
          </w:p>
        </w:tc>
      </w:tr>
      <w:tr>
        <w:trPr>
          <w:trHeight w:val="310" w:hRule="exact"/>
        </w:trPr>
        <w:tc>
          <w:tcPr>
            <w:tcW w:w="2397" w:type="dxa"/>
            <w:tcBorders>
              <w:top w:val="nil"/>
              <w:left w:val="nil"/>
              <w:bottom w:val="nil"/>
              <w:right w:val="nil"/>
            </w:tcBorders>
          </w:tcPr>
          <w:p>
            <w:pPr>
              <w:pStyle w:val="TableParagraph"/>
              <w:spacing w:before="42"/>
              <w:ind w:left="108"/>
              <w:rPr>
                <w:sz w:val="18"/>
              </w:rPr>
            </w:pPr>
            <w:r>
              <w:rPr>
                <w:sz w:val="18"/>
              </w:rPr>
              <w:t>Metepec</w:t>
            </w:r>
          </w:p>
        </w:tc>
        <w:tc>
          <w:tcPr>
            <w:tcW w:w="1459" w:type="dxa"/>
            <w:tcBorders>
              <w:top w:val="nil"/>
              <w:left w:val="nil"/>
              <w:bottom w:val="nil"/>
              <w:right w:val="nil"/>
            </w:tcBorders>
          </w:tcPr>
          <w:p>
            <w:pPr>
              <w:pStyle w:val="TableParagraph"/>
              <w:spacing w:before="42"/>
              <w:ind w:left="228" w:right="100"/>
              <w:rPr>
                <w:sz w:val="18"/>
              </w:rPr>
            </w:pPr>
            <w:r>
              <w:rPr>
                <w:sz w:val="18"/>
              </w:rPr>
              <w:t>51.3</w:t>
            </w:r>
          </w:p>
        </w:tc>
        <w:tc>
          <w:tcPr>
            <w:tcW w:w="1616" w:type="dxa"/>
            <w:tcBorders>
              <w:top w:val="nil"/>
              <w:left w:val="nil"/>
              <w:bottom w:val="nil"/>
              <w:right w:val="nil"/>
            </w:tcBorders>
          </w:tcPr>
          <w:p>
            <w:pPr>
              <w:pStyle w:val="TableParagraph"/>
              <w:spacing w:before="42"/>
              <w:ind w:left="121"/>
              <w:rPr>
                <w:sz w:val="18"/>
              </w:rPr>
            </w:pPr>
            <w:r>
              <w:rPr>
                <w:sz w:val="18"/>
              </w:rPr>
              <w:t>41.8</w:t>
            </w:r>
          </w:p>
        </w:tc>
        <w:tc>
          <w:tcPr>
            <w:tcW w:w="1796" w:type="dxa"/>
            <w:tcBorders>
              <w:top w:val="nil"/>
              <w:left w:val="nil"/>
              <w:bottom w:val="nil"/>
              <w:right w:val="nil"/>
            </w:tcBorders>
          </w:tcPr>
          <w:p>
            <w:pPr>
              <w:pStyle w:val="TableParagraph"/>
              <w:spacing w:before="42"/>
              <w:ind w:left="207" w:right="289"/>
              <w:rPr>
                <w:sz w:val="18"/>
              </w:rPr>
            </w:pPr>
            <w:r>
              <w:rPr>
                <w:sz w:val="18"/>
              </w:rPr>
              <w:t>6.9</w:t>
            </w:r>
          </w:p>
        </w:tc>
      </w:tr>
      <w:tr>
        <w:trPr>
          <w:trHeight w:val="311" w:hRule="exact"/>
        </w:trPr>
        <w:tc>
          <w:tcPr>
            <w:tcW w:w="2397" w:type="dxa"/>
            <w:tcBorders>
              <w:top w:val="nil"/>
              <w:left w:val="nil"/>
              <w:bottom w:val="nil"/>
              <w:right w:val="nil"/>
            </w:tcBorders>
          </w:tcPr>
          <w:p>
            <w:pPr>
              <w:pStyle w:val="TableParagraph"/>
              <w:spacing w:before="42"/>
              <w:ind w:left="108"/>
              <w:rPr>
                <w:sz w:val="18"/>
              </w:rPr>
            </w:pPr>
            <w:r>
              <w:rPr>
                <w:sz w:val="18"/>
              </w:rPr>
              <w:t>Otzolotepec</w:t>
            </w:r>
          </w:p>
        </w:tc>
        <w:tc>
          <w:tcPr>
            <w:tcW w:w="1459" w:type="dxa"/>
            <w:tcBorders>
              <w:top w:val="nil"/>
              <w:left w:val="nil"/>
              <w:bottom w:val="nil"/>
              <w:right w:val="nil"/>
            </w:tcBorders>
          </w:tcPr>
          <w:p>
            <w:pPr>
              <w:pStyle w:val="TableParagraph"/>
              <w:spacing w:before="42"/>
              <w:ind w:left="228" w:right="100"/>
              <w:rPr>
                <w:sz w:val="18"/>
              </w:rPr>
            </w:pPr>
            <w:r>
              <w:rPr>
                <w:sz w:val="18"/>
              </w:rPr>
              <w:t>50.7</w:t>
            </w:r>
          </w:p>
        </w:tc>
        <w:tc>
          <w:tcPr>
            <w:tcW w:w="1616" w:type="dxa"/>
            <w:tcBorders>
              <w:top w:val="nil"/>
              <w:left w:val="nil"/>
              <w:bottom w:val="nil"/>
              <w:right w:val="nil"/>
            </w:tcBorders>
          </w:tcPr>
          <w:p>
            <w:pPr>
              <w:pStyle w:val="TableParagraph"/>
              <w:spacing w:before="42"/>
              <w:ind w:left="121"/>
              <w:rPr>
                <w:sz w:val="18"/>
              </w:rPr>
            </w:pPr>
            <w:r>
              <w:rPr>
                <w:sz w:val="18"/>
              </w:rPr>
              <w:t>38</w:t>
            </w:r>
          </w:p>
        </w:tc>
        <w:tc>
          <w:tcPr>
            <w:tcW w:w="1796" w:type="dxa"/>
            <w:tcBorders>
              <w:top w:val="nil"/>
              <w:left w:val="nil"/>
              <w:bottom w:val="nil"/>
              <w:right w:val="nil"/>
            </w:tcBorders>
          </w:tcPr>
          <w:p>
            <w:pPr>
              <w:pStyle w:val="TableParagraph"/>
              <w:spacing w:before="42"/>
              <w:ind w:left="207" w:right="289"/>
              <w:rPr>
                <w:sz w:val="18"/>
              </w:rPr>
            </w:pPr>
            <w:r>
              <w:rPr>
                <w:sz w:val="18"/>
              </w:rPr>
              <w:t>11.3</w:t>
            </w:r>
          </w:p>
        </w:tc>
      </w:tr>
      <w:tr>
        <w:trPr>
          <w:trHeight w:val="358" w:hRule="exact"/>
        </w:trPr>
        <w:tc>
          <w:tcPr>
            <w:tcW w:w="2397" w:type="dxa"/>
            <w:tcBorders>
              <w:top w:val="nil"/>
              <w:left w:val="nil"/>
              <w:right w:val="nil"/>
            </w:tcBorders>
          </w:tcPr>
          <w:p>
            <w:pPr>
              <w:pStyle w:val="TableParagraph"/>
              <w:spacing w:before="43"/>
              <w:ind w:left="108"/>
              <w:rPr>
                <w:sz w:val="18"/>
              </w:rPr>
            </w:pPr>
            <w:r>
              <w:rPr>
                <w:sz w:val="18"/>
              </w:rPr>
              <w:t>Zinacantepec</w:t>
            </w:r>
          </w:p>
        </w:tc>
        <w:tc>
          <w:tcPr>
            <w:tcW w:w="1459" w:type="dxa"/>
            <w:tcBorders>
              <w:top w:val="nil"/>
              <w:left w:val="nil"/>
              <w:right w:val="nil"/>
            </w:tcBorders>
          </w:tcPr>
          <w:p>
            <w:pPr>
              <w:pStyle w:val="TableParagraph"/>
              <w:spacing w:before="43"/>
              <w:ind w:left="228" w:right="100"/>
              <w:rPr>
                <w:sz w:val="18"/>
              </w:rPr>
            </w:pPr>
            <w:r>
              <w:rPr>
                <w:sz w:val="18"/>
              </w:rPr>
              <w:t>47.4</w:t>
            </w:r>
          </w:p>
        </w:tc>
        <w:tc>
          <w:tcPr>
            <w:tcW w:w="1616" w:type="dxa"/>
            <w:tcBorders>
              <w:top w:val="nil"/>
              <w:left w:val="nil"/>
              <w:right w:val="nil"/>
            </w:tcBorders>
          </w:tcPr>
          <w:p>
            <w:pPr>
              <w:pStyle w:val="TableParagraph"/>
              <w:spacing w:before="43"/>
              <w:ind w:left="121"/>
              <w:rPr>
                <w:sz w:val="18"/>
              </w:rPr>
            </w:pPr>
            <w:r>
              <w:rPr>
                <w:sz w:val="18"/>
              </w:rPr>
              <w:t>49.6</w:t>
            </w:r>
          </w:p>
        </w:tc>
        <w:tc>
          <w:tcPr>
            <w:tcW w:w="1796" w:type="dxa"/>
            <w:tcBorders>
              <w:top w:val="nil"/>
              <w:left w:val="nil"/>
              <w:right w:val="nil"/>
            </w:tcBorders>
          </w:tcPr>
          <w:p>
            <w:pPr>
              <w:pStyle w:val="TableParagraph"/>
              <w:spacing w:before="43"/>
              <w:ind w:left="207"/>
              <w:rPr>
                <w:sz w:val="18"/>
              </w:rPr>
            </w:pPr>
            <w:r>
              <w:rPr>
                <w:w w:val="99"/>
                <w:sz w:val="18"/>
              </w:rPr>
              <w:t>3</w:t>
            </w:r>
          </w:p>
        </w:tc>
      </w:tr>
      <w:tr>
        <w:trPr>
          <w:trHeight w:val="631" w:hRule="exact"/>
        </w:trPr>
        <w:tc>
          <w:tcPr>
            <w:tcW w:w="2397" w:type="dxa"/>
            <w:tcBorders>
              <w:left w:val="nil"/>
              <w:right w:val="nil"/>
            </w:tcBorders>
          </w:tcPr>
          <w:p>
            <w:pPr>
              <w:pStyle w:val="TableParagraph"/>
              <w:spacing w:line="362" w:lineRule="auto"/>
              <w:ind w:left="108" w:right="297"/>
              <w:rPr>
                <w:sz w:val="18"/>
              </w:rPr>
            </w:pPr>
            <w:r>
              <w:rPr>
                <w:sz w:val="18"/>
              </w:rPr>
              <w:t>Área urbana continua de Toluca</w:t>
            </w:r>
          </w:p>
        </w:tc>
        <w:tc>
          <w:tcPr>
            <w:tcW w:w="1459" w:type="dxa"/>
            <w:tcBorders>
              <w:left w:val="nil"/>
              <w:right w:val="nil"/>
            </w:tcBorders>
          </w:tcPr>
          <w:p>
            <w:pPr>
              <w:pStyle w:val="TableParagraph"/>
              <w:spacing w:line="206" w:lineRule="exact"/>
              <w:ind w:left="228" w:right="100"/>
              <w:rPr>
                <w:sz w:val="18"/>
              </w:rPr>
            </w:pPr>
            <w:r>
              <w:rPr>
                <w:sz w:val="18"/>
              </w:rPr>
              <w:t>66.96</w:t>
            </w:r>
          </w:p>
        </w:tc>
        <w:tc>
          <w:tcPr>
            <w:tcW w:w="1616" w:type="dxa"/>
            <w:tcBorders>
              <w:left w:val="nil"/>
              <w:right w:val="nil"/>
            </w:tcBorders>
          </w:tcPr>
          <w:p>
            <w:pPr>
              <w:pStyle w:val="TableParagraph"/>
              <w:spacing w:line="206" w:lineRule="exact"/>
              <w:ind w:left="121"/>
              <w:rPr>
                <w:sz w:val="18"/>
              </w:rPr>
            </w:pPr>
            <w:r>
              <w:rPr>
                <w:sz w:val="18"/>
              </w:rPr>
              <w:t>26.69</w:t>
            </w:r>
          </w:p>
        </w:tc>
        <w:tc>
          <w:tcPr>
            <w:tcW w:w="1796" w:type="dxa"/>
            <w:tcBorders>
              <w:left w:val="nil"/>
              <w:right w:val="nil"/>
            </w:tcBorders>
          </w:tcPr>
          <w:p>
            <w:pPr>
              <w:pStyle w:val="TableParagraph"/>
              <w:spacing w:line="206" w:lineRule="exact"/>
              <w:ind w:left="207" w:right="289"/>
              <w:rPr>
                <w:sz w:val="18"/>
              </w:rPr>
            </w:pPr>
            <w:r>
              <w:rPr>
                <w:sz w:val="18"/>
              </w:rPr>
              <w:t>6.37</w:t>
            </w:r>
          </w:p>
        </w:tc>
      </w:tr>
      <w:tr>
        <w:trPr>
          <w:trHeight w:val="273" w:hRule="exact"/>
        </w:trPr>
        <w:tc>
          <w:tcPr>
            <w:tcW w:w="2397" w:type="dxa"/>
            <w:tcBorders>
              <w:left w:val="nil"/>
              <w:bottom w:val="nil"/>
              <w:right w:val="nil"/>
            </w:tcBorders>
          </w:tcPr>
          <w:p>
            <w:pPr>
              <w:pStyle w:val="TableParagraph"/>
              <w:spacing w:line="206" w:lineRule="exact"/>
              <w:ind w:left="108"/>
              <w:rPr>
                <w:sz w:val="18"/>
              </w:rPr>
            </w:pPr>
            <w:r>
              <w:rPr>
                <w:sz w:val="18"/>
              </w:rPr>
              <w:t>Chapultepec</w:t>
            </w:r>
          </w:p>
        </w:tc>
        <w:tc>
          <w:tcPr>
            <w:tcW w:w="1459" w:type="dxa"/>
            <w:tcBorders>
              <w:left w:val="nil"/>
              <w:bottom w:val="nil"/>
              <w:right w:val="nil"/>
            </w:tcBorders>
          </w:tcPr>
          <w:p>
            <w:pPr>
              <w:pStyle w:val="TableParagraph"/>
              <w:spacing w:line="206" w:lineRule="exact"/>
              <w:ind w:left="228" w:right="100"/>
              <w:rPr>
                <w:sz w:val="18"/>
              </w:rPr>
            </w:pPr>
            <w:r>
              <w:rPr>
                <w:sz w:val="18"/>
              </w:rPr>
              <w:t>51.9</w:t>
            </w:r>
          </w:p>
        </w:tc>
        <w:tc>
          <w:tcPr>
            <w:tcW w:w="1616" w:type="dxa"/>
            <w:tcBorders>
              <w:left w:val="nil"/>
              <w:bottom w:val="nil"/>
              <w:right w:val="nil"/>
            </w:tcBorders>
          </w:tcPr>
          <w:p>
            <w:pPr>
              <w:pStyle w:val="TableParagraph"/>
              <w:spacing w:line="206" w:lineRule="exact"/>
              <w:ind w:left="121"/>
              <w:rPr>
                <w:sz w:val="18"/>
              </w:rPr>
            </w:pPr>
            <w:r>
              <w:rPr>
                <w:sz w:val="18"/>
              </w:rPr>
              <w:t>32.4</w:t>
            </w:r>
          </w:p>
        </w:tc>
        <w:tc>
          <w:tcPr>
            <w:tcW w:w="1796" w:type="dxa"/>
            <w:tcBorders>
              <w:left w:val="nil"/>
              <w:bottom w:val="nil"/>
              <w:right w:val="nil"/>
            </w:tcBorders>
          </w:tcPr>
          <w:p>
            <w:pPr>
              <w:pStyle w:val="TableParagraph"/>
              <w:spacing w:line="206" w:lineRule="exact"/>
              <w:ind w:left="207" w:right="289"/>
              <w:rPr>
                <w:sz w:val="18"/>
              </w:rPr>
            </w:pPr>
            <w:r>
              <w:rPr>
                <w:sz w:val="18"/>
              </w:rPr>
              <w:t>15.7</w:t>
            </w:r>
          </w:p>
        </w:tc>
      </w:tr>
      <w:tr>
        <w:trPr>
          <w:trHeight w:val="311" w:hRule="exact"/>
        </w:trPr>
        <w:tc>
          <w:tcPr>
            <w:tcW w:w="2397" w:type="dxa"/>
            <w:tcBorders>
              <w:top w:val="nil"/>
              <w:left w:val="nil"/>
              <w:bottom w:val="nil"/>
              <w:right w:val="nil"/>
            </w:tcBorders>
          </w:tcPr>
          <w:p>
            <w:pPr>
              <w:pStyle w:val="TableParagraph"/>
              <w:spacing w:before="43"/>
              <w:ind w:left="108"/>
              <w:rPr>
                <w:sz w:val="18"/>
              </w:rPr>
            </w:pPr>
            <w:r>
              <w:rPr>
                <w:sz w:val="18"/>
              </w:rPr>
              <w:t>Ocoyoacac</w:t>
            </w:r>
          </w:p>
        </w:tc>
        <w:tc>
          <w:tcPr>
            <w:tcW w:w="1459" w:type="dxa"/>
            <w:tcBorders>
              <w:top w:val="nil"/>
              <w:left w:val="nil"/>
              <w:bottom w:val="nil"/>
              <w:right w:val="nil"/>
            </w:tcBorders>
          </w:tcPr>
          <w:p>
            <w:pPr>
              <w:pStyle w:val="TableParagraph"/>
              <w:spacing w:before="43"/>
              <w:ind w:left="228" w:right="100"/>
              <w:rPr>
                <w:sz w:val="18"/>
              </w:rPr>
            </w:pPr>
            <w:r>
              <w:rPr>
                <w:sz w:val="18"/>
              </w:rPr>
              <w:t>68.9</w:t>
            </w:r>
          </w:p>
        </w:tc>
        <w:tc>
          <w:tcPr>
            <w:tcW w:w="1616" w:type="dxa"/>
            <w:tcBorders>
              <w:top w:val="nil"/>
              <w:left w:val="nil"/>
              <w:bottom w:val="nil"/>
              <w:right w:val="nil"/>
            </w:tcBorders>
          </w:tcPr>
          <w:p>
            <w:pPr>
              <w:pStyle w:val="TableParagraph"/>
              <w:spacing w:before="43"/>
              <w:ind w:left="121"/>
              <w:rPr>
                <w:sz w:val="18"/>
              </w:rPr>
            </w:pPr>
            <w:r>
              <w:rPr>
                <w:sz w:val="18"/>
              </w:rPr>
              <w:t>18</w:t>
            </w:r>
          </w:p>
        </w:tc>
        <w:tc>
          <w:tcPr>
            <w:tcW w:w="1796" w:type="dxa"/>
            <w:tcBorders>
              <w:top w:val="nil"/>
              <w:left w:val="nil"/>
              <w:bottom w:val="nil"/>
              <w:right w:val="nil"/>
            </w:tcBorders>
          </w:tcPr>
          <w:p>
            <w:pPr>
              <w:pStyle w:val="TableParagraph"/>
              <w:spacing w:before="43"/>
              <w:ind w:left="207" w:right="289"/>
              <w:rPr>
                <w:sz w:val="18"/>
              </w:rPr>
            </w:pPr>
            <w:r>
              <w:rPr>
                <w:sz w:val="18"/>
              </w:rPr>
              <w:t>13.1</w:t>
            </w:r>
          </w:p>
        </w:tc>
      </w:tr>
      <w:tr>
        <w:trPr>
          <w:trHeight w:val="357" w:hRule="exact"/>
        </w:trPr>
        <w:tc>
          <w:tcPr>
            <w:tcW w:w="2397" w:type="dxa"/>
            <w:tcBorders>
              <w:top w:val="nil"/>
              <w:left w:val="nil"/>
              <w:right w:val="nil"/>
            </w:tcBorders>
          </w:tcPr>
          <w:p>
            <w:pPr>
              <w:pStyle w:val="TableParagraph"/>
              <w:spacing w:before="42"/>
              <w:ind w:left="108"/>
              <w:rPr>
                <w:sz w:val="18"/>
              </w:rPr>
            </w:pPr>
            <w:r>
              <w:rPr>
                <w:sz w:val="18"/>
              </w:rPr>
              <w:t>Xonacatlán</w:t>
            </w:r>
          </w:p>
        </w:tc>
        <w:tc>
          <w:tcPr>
            <w:tcW w:w="1459" w:type="dxa"/>
            <w:tcBorders>
              <w:top w:val="nil"/>
              <w:left w:val="nil"/>
              <w:right w:val="nil"/>
            </w:tcBorders>
          </w:tcPr>
          <w:p>
            <w:pPr>
              <w:pStyle w:val="TableParagraph"/>
              <w:spacing w:before="42"/>
              <w:ind w:left="228" w:right="100"/>
              <w:rPr>
                <w:sz w:val="18"/>
              </w:rPr>
            </w:pPr>
            <w:r>
              <w:rPr>
                <w:sz w:val="18"/>
              </w:rPr>
              <w:t>65.3</w:t>
            </w:r>
          </w:p>
        </w:tc>
        <w:tc>
          <w:tcPr>
            <w:tcW w:w="1616" w:type="dxa"/>
            <w:tcBorders>
              <w:top w:val="nil"/>
              <w:left w:val="nil"/>
              <w:right w:val="nil"/>
            </w:tcBorders>
          </w:tcPr>
          <w:p>
            <w:pPr>
              <w:pStyle w:val="TableParagraph"/>
              <w:spacing w:before="42"/>
              <w:ind w:left="121"/>
              <w:rPr>
                <w:sz w:val="18"/>
              </w:rPr>
            </w:pPr>
            <w:r>
              <w:rPr>
                <w:sz w:val="18"/>
              </w:rPr>
              <w:t>25.7</w:t>
            </w:r>
          </w:p>
        </w:tc>
        <w:tc>
          <w:tcPr>
            <w:tcW w:w="1796" w:type="dxa"/>
            <w:tcBorders>
              <w:top w:val="nil"/>
              <w:left w:val="nil"/>
              <w:right w:val="nil"/>
            </w:tcBorders>
          </w:tcPr>
          <w:p>
            <w:pPr>
              <w:pStyle w:val="TableParagraph"/>
              <w:spacing w:before="42"/>
              <w:ind w:left="207"/>
              <w:rPr>
                <w:sz w:val="18"/>
              </w:rPr>
            </w:pPr>
            <w:r>
              <w:rPr>
                <w:w w:val="99"/>
                <w:sz w:val="18"/>
              </w:rPr>
              <w:t>9</w:t>
            </w:r>
          </w:p>
        </w:tc>
      </w:tr>
      <w:tr>
        <w:trPr>
          <w:trHeight w:val="632" w:hRule="exact"/>
        </w:trPr>
        <w:tc>
          <w:tcPr>
            <w:tcW w:w="2397" w:type="dxa"/>
            <w:tcBorders>
              <w:left w:val="nil"/>
              <w:right w:val="nil"/>
            </w:tcBorders>
          </w:tcPr>
          <w:p>
            <w:pPr>
              <w:pStyle w:val="TableParagraph"/>
              <w:spacing w:line="362" w:lineRule="auto"/>
              <w:ind w:left="108" w:right="508"/>
              <w:rPr>
                <w:sz w:val="18"/>
              </w:rPr>
            </w:pPr>
            <w:r>
              <w:rPr>
                <w:sz w:val="18"/>
              </w:rPr>
              <w:t>Interrelación funcional intermedia</w:t>
            </w:r>
          </w:p>
        </w:tc>
        <w:tc>
          <w:tcPr>
            <w:tcW w:w="1459" w:type="dxa"/>
            <w:tcBorders>
              <w:left w:val="nil"/>
              <w:right w:val="nil"/>
            </w:tcBorders>
          </w:tcPr>
          <w:p>
            <w:pPr>
              <w:pStyle w:val="TableParagraph"/>
              <w:spacing w:line="206" w:lineRule="exact"/>
              <w:ind w:left="228" w:right="100"/>
              <w:rPr>
                <w:sz w:val="18"/>
              </w:rPr>
            </w:pPr>
            <w:r>
              <w:rPr>
                <w:sz w:val="18"/>
              </w:rPr>
              <w:t>62.03</w:t>
            </w:r>
          </w:p>
        </w:tc>
        <w:tc>
          <w:tcPr>
            <w:tcW w:w="1616" w:type="dxa"/>
            <w:tcBorders>
              <w:left w:val="nil"/>
              <w:right w:val="nil"/>
            </w:tcBorders>
          </w:tcPr>
          <w:p>
            <w:pPr>
              <w:pStyle w:val="TableParagraph"/>
              <w:spacing w:line="206" w:lineRule="exact"/>
              <w:ind w:left="121"/>
              <w:rPr>
                <w:sz w:val="18"/>
              </w:rPr>
            </w:pPr>
            <w:r>
              <w:rPr>
                <w:sz w:val="18"/>
              </w:rPr>
              <w:t>25.37</w:t>
            </w:r>
          </w:p>
        </w:tc>
        <w:tc>
          <w:tcPr>
            <w:tcW w:w="1796" w:type="dxa"/>
            <w:tcBorders>
              <w:left w:val="nil"/>
              <w:right w:val="nil"/>
            </w:tcBorders>
          </w:tcPr>
          <w:p>
            <w:pPr>
              <w:pStyle w:val="TableParagraph"/>
              <w:spacing w:line="206" w:lineRule="exact"/>
              <w:ind w:left="207" w:right="289"/>
              <w:rPr>
                <w:sz w:val="18"/>
              </w:rPr>
            </w:pPr>
            <w:r>
              <w:rPr>
                <w:sz w:val="18"/>
              </w:rPr>
              <w:t>12.60</w:t>
            </w:r>
          </w:p>
        </w:tc>
      </w:tr>
    </w:tbl>
    <w:p>
      <w:pPr>
        <w:spacing w:line="227" w:lineRule="exact" w:before="0"/>
        <w:ind w:left="2459" w:right="1241" w:firstLine="0"/>
        <w:jc w:val="left"/>
        <w:rPr>
          <w:sz w:val="20"/>
        </w:rPr>
      </w:pPr>
      <w:r>
        <w:rPr>
          <w:sz w:val="20"/>
        </w:rPr>
        <w:t>Fuente SEDESOL, CONAPO e INEGI (2004)</w:t>
      </w:r>
    </w:p>
    <w:p>
      <w:pPr>
        <w:spacing w:after="0" w:line="227" w:lineRule="exact"/>
        <w:jc w:val="left"/>
        <w:rPr>
          <w:sz w:val="20"/>
        </w:rPr>
        <w:sectPr>
          <w:pgSz w:w="12240" w:h="15840"/>
          <w:pgMar w:header="0" w:footer="659" w:top="1360" w:bottom="840" w:left="1660" w:right="1660"/>
        </w:sectPr>
      </w:pPr>
    </w:p>
    <w:p>
      <w:pPr>
        <w:spacing w:before="53" w:after="27"/>
        <w:ind w:left="1218" w:right="462" w:firstLine="0"/>
        <w:jc w:val="left"/>
        <w:rPr>
          <w:sz w:val="20"/>
        </w:rPr>
      </w:pPr>
      <w:r>
        <w:rPr>
          <w:sz w:val="20"/>
        </w:rPr>
        <w:t>Cuadro A 4.13 Desplazamientos por empleo en las zonas metropolitanas</w:t>
      </w:r>
    </w:p>
    <w:tbl>
      <w:tblPr>
        <w:tblW w:w="0" w:type="auto"/>
        <w:jc w:val="left"/>
        <w:tblInd w:w="522"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3386"/>
        <w:gridCol w:w="1694"/>
        <w:gridCol w:w="1266"/>
        <w:gridCol w:w="1518"/>
      </w:tblGrid>
      <w:tr>
        <w:trPr>
          <w:trHeight w:val="375" w:hRule="exact"/>
        </w:trPr>
        <w:tc>
          <w:tcPr>
            <w:tcW w:w="3386" w:type="dxa"/>
            <w:tcBorders>
              <w:bottom w:val="single" w:sz="4" w:space="0" w:color="000000"/>
            </w:tcBorders>
          </w:tcPr>
          <w:p>
            <w:pPr/>
          </w:p>
        </w:tc>
        <w:tc>
          <w:tcPr>
            <w:tcW w:w="1694" w:type="dxa"/>
            <w:tcBorders>
              <w:bottom w:val="single" w:sz="4" w:space="0" w:color="000000"/>
            </w:tcBorders>
          </w:tcPr>
          <w:p>
            <w:pPr/>
          </w:p>
        </w:tc>
        <w:tc>
          <w:tcPr>
            <w:tcW w:w="1266" w:type="dxa"/>
            <w:tcBorders>
              <w:bottom w:val="single" w:sz="4" w:space="0" w:color="000000"/>
            </w:tcBorders>
          </w:tcPr>
          <w:p>
            <w:pPr>
              <w:pStyle w:val="TableParagraph"/>
              <w:spacing w:line="204" w:lineRule="exact"/>
              <w:ind w:left="268"/>
              <w:rPr>
                <w:sz w:val="20"/>
              </w:rPr>
            </w:pPr>
            <w:r>
              <w:rPr>
                <w:sz w:val="20"/>
              </w:rPr>
              <w:t>Trabaja en</w:t>
            </w:r>
          </w:p>
        </w:tc>
        <w:tc>
          <w:tcPr>
            <w:tcW w:w="1518" w:type="dxa"/>
            <w:tcBorders>
              <w:bottom w:val="single" w:sz="4" w:space="0" w:color="000000"/>
            </w:tcBorders>
          </w:tcPr>
          <w:p>
            <w:pPr/>
          </w:p>
        </w:tc>
      </w:tr>
      <w:tr>
        <w:trPr>
          <w:trHeight w:val="960" w:hRule="exact"/>
        </w:trPr>
        <w:tc>
          <w:tcPr>
            <w:tcW w:w="3386" w:type="dxa"/>
            <w:tcBorders>
              <w:top w:val="single" w:sz="4" w:space="0" w:color="000000"/>
              <w:bottom w:val="single" w:sz="4" w:space="0" w:color="000000"/>
            </w:tcBorders>
          </w:tcPr>
          <w:p>
            <w:pPr>
              <w:pStyle w:val="TableParagraph"/>
              <w:spacing w:line="206" w:lineRule="exact"/>
              <w:ind w:left="122"/>
              <w:rPr>
                <w:sz w:val="18"/>
              </w:rPr>
            </w:pPr>
            <w:r>
              <w:rPr>
                <w:sz w:val="18"/>
              </w:rPr>
              <w:t>Municipios / ámbitos</w:t>
            </w:r>
          </w:p>
        </w:tc>
        <w:tc>
          <w:tcPr>
            <w:tcW w:w="1694" w:type="dxa"/>
            <w:tcBorders>
              <w:top w:val="single" w:sz="4" w:space="0" w:color="000000"/>
              <w:bottom w:val="single" w:sz="4" w:space="0" w:color="000000"/>
            </w:tcBorders>
          </w:tcPr>
          <w:p>
            <w:pPr>
              <w:pStyle w:val="TableParagraph"/>
              <w:spacing w:line="360" w:lineRule="auto"/>
              <w:ind w:left="512" w:right="191"/>
              <w:rPr>
                <w:sz w:val="18"/>
              </w:rPr>
            </w:pPr>
            <w:r>
              <w:rPr>
                <w:sz w:val="18"/>
              </w:rPr>
              <w:t>El municipio (%)</w:t>
            </w:r>
          </w:p>
        </w:tc>
        <w:tc>
          <w:tcPr>
            <w:tcW w:w="1266" w:type="dxa"/>
            <w:tcBorders>
              <w:top w:val="single" w:sz="4" w:space="0" w:color="000000"/>
              <w:bottom w:val="single" w:sz="4" w:space="0" w:color="000000"/>
            </w:tcBorders>
          </w:tcPr>
          <w:p>
            <w:pPr>
              <w:pStyle w:val="TableParagraph"/>
              <w:spacing w:line="338" w:lineRule="auto"/>
              <w:ind w:left="211" w:right="203"/>
              <w:jc w:val="both"/>
              <w:rPr>
                <w:sz w:val="18"/>
              </w:rPr>
            </w:pPr>
            <w:r>
              <w:rPr>
                <w:sz w:val="18"/>
              </w:rPr>
              <w:t>Municipios centrales</w:t>
            </w:r>
            <w:r>
              <w:rPr>
                <w:position w:val="9"/>
                <w:sz w:val="12"/>
              </w:rPr>
              <w:t>2 </w:t>
            </w:r>
            <w:r>
              <w:rPr>
                <w:sz w:val="18"/>
              </w:rPr>
              <w:t>(%)</w:t>
            </w:r>
          </w:p>
        </w:tc>
        <w:tc>
          <w:tcPr>
            <w:tcW w:w="1518" w:type="dxa"/>
            <w:tcBorders>
              <w:top w:val="single" w:sz="4" w:space="0" w:color="000000"/>
              <w:bottom w:val="single" w:sz="4" w:space="0" w:color="000000"/>
            </w:tcBorders>
          </w:tcPr>
          <w:p>
            <w:pPr>
              <w:pStyle w:val="TableParagraph"/>
              <w:spacing w:line="360" w:lineRule="auto"/>
              <w:ind w:left="205" w:right="113"/>
              <w:rPr>
                <w:sz w:val="18"/>
              </w:rPr>
            </w:pPr>
            <w:r>
              <w:rPr>
                <w:sz w:val="18"/>
              </w:rPr>
              <w:t>Otros municipios (%)</w:t>
            </w:r>
          </w:p>
        </w:tc>
      </w:tr>
      <w:tr>
        <w:trPr>
          <w:trHeight w:val="293" w:hRule="exact"/>
        </w:trPr>
        <w:tc>
          <w:tcPr>
            <w:tcW w:w="3386" w:type="dxa"/>
            <w:tcBorders>
              <w:top w:val="single" w:sz="4" w:space="0" w:color="000000"/>
            </w:tcBorders>
          </w:tcPr>
          <w:p>
            <w:pPr>
              <w:pStyle w:val="TableParagraph"/>
              <w:spacing w:line="206" w:lineRule="exact"/>
              <w:ind w:left="122"/>
              <w:rPr>
                <w:sz w:val="18"/>
              </w:rPr>
            </w:pPr>
            <w:r>
              <w:rPr>
                <w:sz w:val="18"/>
              </w:rPr>
              <w:t>Mexicaltzingo</w:t>
            </w:r>
          </w:p>
        </w:tc>
        <w:tc>
          <w:tcPr>
            <w:tcW w:w="1694" w:type="dxa"/>
            <w:tcBorders>
              <w:top w:val="single" w:sz="4" w:space="0" w:color="000000"/>
            </w:tcBorders>
          </w:tcPr>
          <w:p>
            <w:pPr>
              <w:pStyle w:val="TableParagraph"/>
              <w:spacing w:line="206" w:lineRule="exact"/>
              <w:ind w:left="512" w:right="191"/>
              <w:rPr>
                <w:sz w:val="18"/>
              </w:rPr>
            </w:pPr>
            <w:r>
              <w:rPr>
                <w:sz w:val="18"/>
              </w:rPr>
              <w:t>59.5</w:t>
            </w:r>
          </w:p>
        </w:tc>
        <w:tc>
          <w:tcPr>
            <w:tcW w:w="1266" w:type="dxa"/>
            <w:tcBorders>
              <w:top w:val="single" w:sz="4" w:space="0" w:color="000000"/>
            </w:tcBorders>
          </w:tcPr>
          <w:p>
            <w:pPr>
              <w:pStyle w:val="TableParagraph"/>
              <w:spacing w:line="206" w:lineRule="exact"/>
              <w:ind w:left="211"/>
              <w:rPr>
                <w:sz w:val="18"/>
              </w:rPr>
            </w:pPr>
            <w:r>
              <w:rPr>
                <w:sz w:val="18"/>
              </w:rPr>
              <w:t>29.7</w:t>
            </w:r>
          </w:p>
        </w:tc>
        <w:tc>
          <w:tcPr>
            <w:tcW w:w="1518" w:type="dxa"/>
            <w:tcBorders>
              <w:top w:val="single" w:sz="4" w:space="0" w:color="000000"/>
            </w:tcBorders>
          </w:tcPr>
          <w:p>
            <w:pPr>
              <w:pStyle w:val="TableParagraph"/>
              <w:spacing w:line="206" w:lineRule="exact"/>
              <w:ind w:left="205" w:right="113"/>
              <w:rPr>
                <w:sz w:val="18"/>
              </w:rPr>
            </w:pPr>
            <w:r>
              <w:rPr>
                <w:sz w:val="18"/>
              </w:rPr>
              <w:t>10.8</w:t>
            </w:r>
          </w:p>
        </w:tc>
      </w:tr>
      <w:tr>
        <w:trPr>
          <w:trHeight w:val="353" w:hRule="exact"/>
        </w:trPr>
        <w:tc>
          <w:tcPr>
            <w:tcW w:w="3386" w:type="dxa"/>
          </w:tcPr>
          <w:p>
            <w:pPr>
              <w:pStyle w:val="TableParagraph"/>
              <w:spacing w:before="63"/>
              <w:ind w:left="122"/>
              <w:rPr>
                <w:sz w:val="18"/>
              </w:rPr>
            </w:pPr>
            <w:r>
              <w:rPr>
                <w:sz w:val="18"/>
              </w:rPr>
              <w:t>Calimaya</w:t>
            </w:r>
          </w:p>
        </w:tc>
        <w:tc>
          <w:tcPr>
            <w:tcW w:w="1694" w:type="dxa"/>
          </w:tcPr>
          <w:p>
            <w:pPr>
              <w:pStyle w:val="TableParagraph"/>
              <w:spacing w:before="63"/>
              <w:ind w:left="512" w:right="191"/>
              <w:rPr>
                <w:sz w:val="18"/>
              </w:rPr>
            </w:pPr>
            <w:r>
              <w:rPr>
                <w:sz w:val="18"/>
              </w:rPr>
              <w:t>57.2</w:t>
            </w:r>
          </w:p>
        </w:tc>
        <w:tc>
          <w:tcPr>
            <w:tcW w:w="1266" w:type="dxa"/>
          </w:tcPr>
          <w:p>
            <w:pPr>
              <w:pStyle w:val="TableParagraph"/>
              <w:spacing w:before="63"/>
              <w:ind w:left="211"/>
              <w:rPr>
                <w:sz w:val="18"/>
              </w:rPr>
            </w:pPr>
            <w:r>
              <w:rPr>
                <w:sz w:val="18"/>
              </w:rPr>
              <w:t>33.4</w:t>
            </w:r>
          </w:p>
        </w:tc>
        <w:tc>
          <w:tcPr>
            <w:tcW w:w="1518" w:type="dxa"/>
          </w:tcPr>
          <w:p>
            <w:pPr>
              <w:pStyle w:val="TableParagraph"/>
              <w:spacing w:before="63"/>
              <w:ind w:left="205" w:right="113"/>
              <w:rPr>
                <w:sz w:val="18"/>
              </w:rPr>
            </w:pPr>
            <w:r>
              <w:rPr>
                <w:sz w:val="18"/>
              </w:rPr>
              <w:t>9.4</w:t>
            </w:r>
          </w:p>
        </w:tc>
      </w:tr>
      <w:tr>
        <w:trPr>
          <w:trHeight w:val="353" w:hRule="exact"/>
        </w:trPr>
        <w:tc>
          <w:tcPr>
            <w:tcW w:w="3386" w:type="dxa"/>
          </w:tcPr>
          <w:p>
            <w:pPr>
              <w:pStyle w:val="TableParagraph"/>
              <w:spacing w:before="63"/>
              <w:ind w:left="122"/>
              <w:rPr>
                <w:sz w:val="18"/>
              </w:rPr>
            </w:pPr>
            <w:r>
              <w:rPr>
                <w:sz w:val="18"/>
              </w:rPr>
              <w:t>Otzolotepec</w:t>
            </w:r>
          </w:p>
        </w:tc>
        <w:tc>
          <w:tcPr>
            <w:tcW w:w="1694" w:type="dxa"/>
          </w:tcPr>
          <w:p>
            <w:pPr>
              <w:pStyle w:val="TableParagraph"/>
              <w:spacing w:before="63"/>
              <w:ind w:left="512" w:right="191"/>
              <w:rPr>
                <w:sz w:val="18"/>
              </w:rPr>
            </w:pPr>
            <w:r>
              <w:rPr>
                <w:sz w:val="18"/>
              </w:rPr>
              <w:t>48.8</w:t>
            </w:r>
          </w:p>
        </w:tc>
        <w:tc>
          <w:tcPr>
            <w:tcW w:w="1266" w:type="dxa"/>
          </w:tcPr>
          <w:p>
            <w:pPr>
              <w:pStyle w:val="TableParagraph"/>
              <w:spacing w:before="63"/>
              <w:ind w:left="211"/>
              <w:rPr>
                <w:sz w:val="18"/>
              </w:rPr>
            </w:pPr>
            <w:r>
              <w:rPr>
                <w:sz w:val="18"/>
              </w:rPr>
              <w:t>40.2</w:t>
            </w:r>
          </w:p>
        </w:tc>
        <w:tc>
          <w:tcPr>
            <w:tcW w:w="1518" w:type="dxa"/>
          </w:tcPr>
          <w:p>
            <w:pPr>
              <w:pStyle w:val="TableParagraph"/>
              <w:spacing w:before="63"/>
              <w:ind w:left="205" w:right="113"/>
              <w:rPr>
                <w:sz w:val="18"/>
              </w:rPr>
            </w:pPr>
            <w:r>
              <w:rPr>
                <w:sz w:val="18"/>
              </w:rPr>
              <w:t>11</w:t>
            </w:r>
          </w:p>
        </w:tc>
      </w:tr>
      <w:tr>
        <w:trPr>
          <w:trHeight w:val="353" w:hRule="exact"/>
        </w:trPr>
        <w:tc>
          <w:tcPr>
            <w:tcW w:w="3386" w:type="dxa"/>
          </w:tcPr>
          <w:p>
            <w:pPr>
              <w:pStyle w:val="TableParagraph"/>
              <w:spacing w:before="63"/>
              <w:ind w:left="122"/>
              <w:rPr>
                <w:sz w:val="18"/>
              </w:rPr>
            </w:pPr>
            <w:r>
              <w:rPr>
                <w:sz w:val="18"/>
              </w:rPr>
              <w:t>San Mateo Atenco</w:t>
            </w:r>
          </w:p>
        </w:tc>
        <w:tc>
          <w:tcPr>
            <w:tcW w:w="1694" w:type="dxa"/>
          </w:tcPr>
          <w:p>
            <w:pPr>
              <w:pStyle w:val="TableParagraph"/>
              <w:spacing w:before="63"/>
              <w:ind w:left="512" w:right="191"/>
              <w:rPr>
                <w:sz w:val="18"/>
              </w:rPr>
            </w:pPr>
            <w:r>
              <w:rPr>
                <w:sz w:val="18"/>
              </w:rPr>
              <w:t>62.8</w:t>
            </w:r>
          </w:p>
        </w:tc>
        <w:tc>
          <w:tcPr>
            <w:tcW w:w="1266" w:type="dxa"/>
          </w:tcPr>
          <w:p>
            <w:pPr>
              <w:pStyle w:val="TableParagraph"/>
              <w:spacing w:before="63"/>
              <w:ind w:left="211"/>
              <w:rPr>
                <w:sz w:val="18"/>
              </w:rPr>
            </w:pPr>
            <w:r>
              <w:rPr>
                <w:sz w:val="18"/>
              </w:rPr>
              <w:t>32.4</w:t>
            </w:r>
          </w:p>
        </w:tc>
        <w:tc>
          <w:tcPr>
            <w:tcW w:w="1518" w:type="dxa"/>
          </w:tcPr>
          <w:p>
            <w:pPr>
              <w:pStyle w:val="TableParagraph"/>
              <w:spacing w:before="63"/>
              <w:ind w:left="205" w:right="113"/>
              <w:rPr>
                <w:sz w:val="18"/>
              </w:rPr>
            </w:pPr>
            <w:r>
              <w:rPr>
                <w:sz w:val="18"/>
              </w:rPr>
              <w:t>4.8</w:t>
            </w:r>
          </w:p>
        </w:tc>
      </w:tr>
      <w:tr>
        <w:trPr>
          <w:trHeight w:val="354" w:hRule="exact"/>
        </w:trPr>
        <w:tc>
          <w:tcPr>
            <w:tcW w:w="3386" w:type="dxa"/>
          </w:tcPr>
          <w:p>
            <w:pPr>
              <w:pStyle w:val="TableParagraph"/>
              <w:spacing w:before="63"/>
              <w:ind w:left="122"/>
              <w:rPr>
                <w:sz w:val="18"/>
              </w:rPr>
            </w:pPr>
            <w:r>
              <w:rPr>
                <w:sz w:val="18"/>
              </w:rPr>
              <w:t>Lerma</w:t>
            </w:r>
          </w:p>
        </w:tc>
        <w:tc>
          <w:tcPr>
            <w:tcW w:w="1694" w:type="dxa"/>
          </w:tcPr>
          <w:p>
            <w:pPr>
              <w:pStyle w:val="TableParagraph"/>
              <w:spacing w:before="63"/>
              <w:ind w:left="512" w:right="191"/>
              <w:rPr>
                <w:sz w:val="18"/>
              </w:rPr>
            </w:pPr>
            <w:r>
              <w:rPr>
                <w:sz w:val="18"/>
              </w:rPr>
              <w:t>64.6</w:t>
            </w:r>
          </w:p>
        </w:tc>
        <w:tc>
          <w:tcPr>
            <w:tcW w:w="1266" w:type="dxa"/>
          </w:tcPr>
          <w:p>
            <w:pPr>
              <w:pStyle w:val="TableParagraph"/>
              <w:spacing w:before="63"/>
              <w:ind w:left="211"/>
              <w:rPr>
                <w:sz w:val="18"/>
              </w:rPr>
            </w:pPr>
            <w:r>
              <w:rPr>
                <w:sz w:val="18"/>
              </w:rPr>
              <w:t>19.3</w:t>
            </w:r>
          </w:p>
        </w:tc>
        <w:tc>
          <w:tcPr>
            <w:tcW w:w="1518" w:type="dxa"/>
          </w:tcPr>
          <w:p>
            <w:pPr>
              <w:pStyle w:val="TableParagraph"/>
              <w:spacing w:before="63"/>
              <w:ind w:left="205" w:right="113"/>
              <w:rPr>
                <w:sz w:val="18"/>
              </w:rPr>
            </w:pPr>
            <w:r>
              <w:rPr>
                <w:sz w:val="18"/>
              </w:rPr>
              <w:t>16.1</w:t>
            </w:r>
          </w:p>
        </w:tc>
      </w:tr>
      <w:tr>
        <w:trPr>
          <w:trHeight w:val="354" w:hRule="exact"/>
        </w:trPr>
        <w:tc>
          <w:tcPr>
            <w:tcW w:w="3386" w:type="dxa"/>
          </w:tcPr>
          <w:p>
            <w:pPr>
              <w:pStyle w:val="TableParagraph"/>
              <w:spacing w:before="64"/>
              <w:ind w:left="122"/>
              <w:rPr>
                <w:sz w:val="18"/>
              </w:rPr>
            </w:pPr>
            <w:r>
              <w:rPr>
                <w:sz w:val="18"/>
              </w:rPr>
              <w:t>Almoloya de Juárez</w:t>
            </w:r>
          </w:p>
        </w:tc>
        <w:tc>
          <w:tcPr>
            <w:tcW w:w="1694" w:type="dxa"/>
          </w:tcPr>
          <w:p>
            <w:pPr>
              <w:pStyle w:val="TableParagraph"/>
              <w:spacing w:before="64"/>
              <w:ind w:left="512" w:right="191"/>
              <w:rPr>
                <w:sz w:val="18"/>
              </w:rPr>
            </w:pPr>
            <w:r>
              <w:rPr>
                <w:sz w:val="18"/>
              </w:rPr>
              <w:t>58.3</w:t>
            </w:r>
          </w:p>
        </w:tc>
        <w:tc>
          <w:tcPr>
            <w:tcW w:w="1266" w:type="dxa"/>
          </w:tcPr>
          <w:p>
            <w:pPr>
              <w:pStyle w:val="TableParagraph"/>
              <w:spacing w:before="64"/>
              <w:ind w:left="211"/>
              <w:rPr>
                <w:sz w:val="18"/>
              </w:rPr>
            </w:pPr>
            <w:r>
              <w:rPr>
                <w:sz w:val="18"/>
              </w:rPr>
              <w:t>36.5</w:t>
            </w:r>
          </w:p>
        </w:tc>
        <w:tc>
          <w:tcPr>
            <w:tcW w:w="1518" w:type="dxa"/>
          </w:tcPr>
          <w:p>
            <w:pPr>
              <w:pStyle w:val="TableParagraph"/>
              <w:spacing w:before="64"/>
              <w:ind w:left="205" w:right="113"/>
              <w:rPr>
                <w:sz w:val="18"/>
              </w:rPr>
            </w:pPr>
            <w:r>
              <w:rPr>
                <w:sz w:val="18"/>
              </w:rPr>
              <w:t>5.2</w:t>
            </w:r>
          </w:p>
        </w:tc>
      </w:tr>
      <w:tr>
        <w:trPr>
          <w:trHeight w:val="353" w:hRule="exact"/>
        </w:trPr>
        <w:tc>
          <w:tcPr>
            <w:tcW w:w="3386" w:type="dxa"/>
          </w:tcPr>
          <w:p>
            <w:pPr>
              <w:pStyle w:val="TableParagraph"/>
              <w:spacing w:before="63"/>
              <w:ind w:left="122"/>
              <w:rPr>
                <w:sz w:val="18"/>
              </w:rPr>
            </w:pPr>
            <w:r>
              <w:rPr>
                <w:sz w:val="18"/>
              </w:rPr>
              <w:t>Zinacantepec</w:t>
            </w:r>
          </w:p>
        </w:tc>
        <w:tc>
          <w:tcPr>
            <w:tcW w:w="1694" w:type="dxa"/>
          </w:tcPr>
          <w:p>
            <w:pPr>
              <w:pStyle w:val="TableParagraph"/>
              <w:spacing w:before="63"/>
              <w:ind w:left="512" w:right="191"/>
              <w:rPr>
                <w:sz w:val="18"/>
              </w:rPr>
            </w:pPr>
            <w:r>
              <w:rPr>
                <w:sz w:val="18"/>
              </w:rPr>
              <w:t>52.1</w:t>
            </w:r>
          </w:p>
        </w:tc>
        <w:tc>
          <w:tcPr>
            <w:tcW w:w="1266" w:type="dxa"/>
          </w:tcPr>
          <w:p>
            <w:pPr>
              <w:pStyle w:val="TableParagraph"/>
              <w:spacing w:before="63"/>
              <w:ind w:left="211"/>
              <w:rPr>
                <w:sz w:val="18"/>
              </w:rPr>
            </w:pPr>
            <w:r>
              <w:rPr>
                <w:sz w:val="18"/>
              </w:rPr>
              <w:t>43.4</w:t>
            </w:r>
          </w:p>
        </w:tc>
        <w:tc>
          <w:tcPr>
            <w:tcW w:w="1518" w:type="dxa"/>
          </w:tcPr>
          <w:p>
            <w:pPr>
              <w:pStyle w:val="TableParagraph"/>
              <w:spacing w:before="63"/>
              <w:ind w:left="205" w:right="113"/>
              <w:rPr>
                <w:sz w:val="18"/>
              </w:rPr>
            </w:pPr>
            <w:r>
              <w:rPr>
                <w:sz w:val="18"/>
              </w:rPr>
              <w:t>4.5</w:t>
            </w:r>
          </w:p>
        </w:tc>
      </w:tr>
      <w:tr>
        <w:trPr>
          <w:trHeight w:val="353" w:hRule="exact"/>
        </w:trPr>
        <w:tc>
          <w:tcPr>
            <w:tcW w:w="3386" w:type="dxa"/>
          </w:tcPr>
          <w:p>
            <w:pPr>
              <w:pStyle w:val="TableParagraph"/>
              <w:spacing w:before="63"/>
              <w:ind w:left="122"/>
              <w:rPr>
                <w:sz w:val="18"/>
              </w:rPr>
            </w:pPr>
            <w:r>
              <w:rPr>
                <w:sz w:val="18"/>
              </w:rPr>
              <w:t>Toluca</w:t>
            </w:r>
          </w:p>
        </w:tc>
        <w:tc>
          <w:tcPr>
            <w:tcW w:w="1694" w:type="dxa"/>
          </w:tcPr>
          <w:p>
            <w:pPr>
              <w:pStyle w:val="TableParagraph"/>
              <w:spacing w:before="63"/>
              <w:ind w:left="512" w:right="191"/>
              <w:rPr>
                <w:sz w:val="18"/>
              </w:rPr>
            </w:pPr>
            <w:r>
              <w:rPr>
                <w:sz w:val="18"/>
              </w:rPr>
              <w:t>86.3</w:t>
            </w:r>
          </w:p>
        </w:tc>
        <w:tc>
          <w:tcPr>
            <w:tcW w:w="1266" w:type="dxa"/>
          </w:tcPr>
          <w:p>
            <w:pPr>
              <w:pStyle w:val="TableParagraph"/>
              <w:spacing w:before="63"/>
              <w:ind w:left="211"/>
              <w:rPr>
                <w:sz w:val="18"/>
              </w:rPr>
            </w:pPr>
            <w:r>
              <w:rPr>
                <w:sz w:val="18"/>
              </w:rPr>
              <w:t>7.3</w:t>
            </w:r>
          </w:p>
        </w:tc>
        <w:tc>
          <w:tcPr>
            <w:tcW w:w="1518" w:type="dxa"/>
          </w:tcPr>
          <w:p>
            <w:pPr>
              <w:pStyle w:val="TableParagraph"/>
              <w:spacing w:before="63"/>
              <w:ind w:left="205" w:right="113"/>
              <w:rPr>
                <w:sz w:val="18"/>
              </w:rPr>
            </w:pPr>
            <w:r>
              <w:rPr>
                <w:sz w:val="18"/>
              </w:rPr>
              <w:t>6.4</w:t>
            </w:r>
          </w:p>
        </w:tc>
      </w:tr>
      <w:tr>
        <w:trPr>
          <w:trHeight w:val="422" w:hRule="exact"/>
        </w:trPr>
        <w:tc>
          <w:tcPr>
            <w:tcW w:w="3386" w:type="dxa"/>
            <w:tcBorders>
              <w:bottom w:val="single" w:sz="4" w:space="0" w:color="000000"/>
            </w:tcBorders>
          </w:tcPr>
          <w:p>
            <w:pPr>
              <w:pStyle w:val="TableParagraph"/>
              <w:spacing w:before="63"/>
              <w:ind w:left="122"/>
              <w:rPr>
                <w:sz w:val="18"/>
              </w:rPr>
            </w:pPr>
            <w:r>
              <w:rPr>
                <w:sz w:val="18"/>
              </w:rPr>
              <w:t>Metepec</w:t>
            </w:r>
          </w:p>
        </w:tc>
        <w:tc>
          <w:tcPr>
            <w:tcW w:w="1694" w:type="dxa"/>
            <w:tcBorders>
              <w:bottom w:val="single" w:sz="4" w:space="0" w:color="000000"/>
            </w:tcBorders>
          </w:tcPr>
          <w:p>
            <w:pPr>
              <w:pStyle w:val="TableParagraph"/>
              <w:spacing w:before="63"/>
              <w:ind w:left="512" w:right="191"/>
              <w:rPr>
                <w:sz w:val="18"/>
              </w:rPr>
            </w:pPr>
            <w:r>
              <w:rPr>
                <w:sz w:val="18"/>
              </w:rPr>
              <w:t>59.2</w:t>
            </w:r>
          </w:p>
        </w:tc>
        <w:tc>
          <w:tcPr>
            <w:tcW w:w="1266" w:type="dxa"/>
            <w:tcBorders>
              <w:bottom w:val="single" w:sz="4" w:space="0" w:color="000000"/>
            </w:tcBorders>
          </w:tcPr>
          <w:p>
            <w:pPr>
              <w:pStyle w:val="TableParagraph"/>
              <w:spacing w:before="63"/>
              <w:ind w:left="211"/>
              <w:rPr>
                <w:sz w:val="18"/>
              </w:rPr>
            </w:pPr>
            <w:r>
              <w:rPr>
                <w:sz w:val="18"/>
              </w:rPr>
              <w:t>34</w:t>
            </w:r>
          </w:p>
        </w:tc>
        <w:tc>
          <w:tcPr>
            <w:tcW w:w="1518" w:type="dxa"/>
            <w:tcBorders>
              <w:bottom w:val="single" w:sz="4" w:space="0" w:color="000000"/>
            </w:tcBorders>
          </w:tcPr>
          <w:p>
            <w:pPr>
              <w:pStyle w:val="TableParagraph"/>
              <w:spacing w:before="63"/>
              <w:ind w:left="205" w:right="113"/>
              <w:rPr>
                <w:sz w:val="18"/>
              </w:rPr>
            </w:pPr>
            <w:r>
              <w:rPr>
                <w:sz w:val="18"/>
              </w:rPr>
              <w:t>6.7</w:t>
            </w:r>
          </w:p>
        </w:tc>
      </w:tr>
      <w:tr>
        <w:trPr>
          <w:trHeight w:val="401" w:hRule="exact"/>
        </w:trPr>
        <w:tc>
          <w:tcPr>
            <w:tcW w:w="3386" w:type="dxa"/>
            <w:tcBorders>
              <w:top w:val="single" w:sz="4" w:space="0" w:color="000000"/>
              <w:bottom w:val="single" w:sz="4" w:space="0" w:color="000000"/>
            </w:tcBorders>
          </w:tcPr>
          <w:p>
            <w:pPr>
              <w:pStyle w:val="TableParagraph"/>
              <w:spacing w:line="206" w:lineRule="exact"/>
              <w:ind w:left="122"/>
              <w:rPr>
                <w:sz w:val="18"/>
              </w:rPr>
            </w:pPr>
            <w:r>
              <w:rPr>
                <w:sz w:val="18"/>
              </w:rPr>
              <w:t>Área urbana continua de Toluca</w:t>
            </w:r>
          </w:p>
        </w:tc>
        <w:tc>
          <w:tcPr>
            <w:tcW w:w="1694" w:type="dxa"/>
            <w:tcBorders>
              <w:top w:val="single" w:sz="4" w:space="0" w:color="000000"/>
              <w:bottom w:val="single" w:sz="4" w:space="0" w:color="000000"/>
            </w:tcBorders>
          </w:tcPr>
          <w:p>
            <w:pPr>
              <w:pStyle w:val="TableParagraph"/>
              <w:spacing w:line="206" w:lineRule="exact"/>
              <w:ind w:left="512" w:right="191"/>
              <w:rPr>
                <w:sz w:val="18"/>
              </w:rPr>
            </w:pPr>
            <w:r>
              <w:rPr>
                <w:sz w:val="18"/>
              </w:rPr>
              <w:t>60.98</w:t>
            </w:r>
          </w:p>
        </w:tc>
        <w:tc>
          <w:tcPr>
            <w:tcW w:w="1266" w:type="dxa"/>
            <w:tcBorders>
              <w:top w:val="single" w:sz="4" w:space="0" w:color="000000"/>
              <w:bottom w:val="single" w:sz="4" w:space="0" w:color="000000"/>
            </w:tcBorders>
          </w:tcPr>
          <w:p>
            <w:pPr>
              <w:pStyle w:val="TableParagraph"/>
              <w:spacing w:line="206" w:lineRule="exact"/>
              <w:ind w:left="211"/>
              <w:rPr>
                <w:sz w:val="18"/>
              </w:rPr>
            </w:pPr>
            <w:r>
              <w:rPr>
                <w:sz w:val="18"/>
              </w:rPr>
              <w:t>30.69</w:t>
            </w:r>
          </w:p>
        </w:tc>
        <w:tc>
          <w:tcPr>
            <w:tcW w:w="1518" w:type="dxa"/>
            <w:tcBorders>
              <w:top w:val="single" w:sz="4" w:space="0" w:color="000000"/>
              <w:bottom w:val="single" w:sz="4" w:space="0" w:color="000000"/>
            </w:tcBorders>
          </w:tcPr>
          <w:p>
            <w:pPr>
              <w:pStyle w:val="TableParagraph"/>
              <w:spacing w:line="206" w:lineRule="exact"/>
              <w:ind w:left="205" w:right="113"/>
              <w:rPr>
                <w:sz w:val="18"/>
              </w:rPr>
            </w:pPr>
            <w:r>
              <w:rPr>
                <w:sz w:val="18"/>
              </w:rPr>
              <w:t>8.32</w:t>
            </w:r>
          </w:p>
        </w:tc>
      </w:tr>
      <w:tr>
        <w:trPr>
          <w:trHeight w:val="305" w:hRule="exact"/>
        </w:trPr>
        <w:tc>
          <w:tcPr>
            <w:tcW w:w="3386" w:type="dxa"/>
            <w:tcBorders>
              <w:top w:val="single" w:sz="4" w:space="0" w:color="000000"/>
            </w:tcBorders>
          </w:tcPr>
          <w:p>
            <w:pPr>
              <w:pStyle w:val="TableParagraph"/>
              <w:spacing w:before="1"/>
              <w:ind w:left="122"/>
              <w:rPr>
                <w:sz w:val="18"/>
              </w:rPr>
            </w:pPr>
            <w:r>
              <w:rPr>
                <w:sz w:val="18"/>
              </w:rPr>
              <w:t>Chapultepec</w:t>
            </w:r>
          </w:p>
        </w:tc>
        <w:tc>
          <w:tcPr>
            <w:tcW w:w="1694" w:type="dxa"/>
            <w:tcBorders>
              <w:top w:val="single" w:sz="4" w:space="0" w:color="000000"/>
            </w:tcBorders>
          </w:tcPr>
          <w:p>
            <w:pPr>
              <w:pStyle w:val="TableParagraph"/>
              <w:spacing w:before="1"/>
              <w:ind w:left="512" w:right="191"/>
              <w:rPr>
                <w:sz w:val="18"/>
              </w:rPr>
            </w:pPr>
            <w:r>
              <w:rPr>
                <w:sz w:val="18"/>
              </w:rPr>
              <w:t>56.1</w:t>
            </w:r>
          </w:p>
        </w:tc>
        <w:tc>
          <w:tcPr>
            <w:tcW w:w="1266" w:type="dxa"/>
            <w:tcBorders>
              <w:top w:val="single" w:sz="4" w:space="0" w:color="000000"/>
            </w:tcBorders>
          </w:tcPr>
          <w:p>
            <w:pPr>
              <w:pStyle w:val="TableParagraph"/>
              <w:spacing w:before="1"/>
              <w:ind w:left="211"/>
              <w:rPr>
                <w:sz w:val="18"/>
              </w:rPr>
            </w:pPr>
            <w:r>
              <w:rPr>
                <w:sz w:val="18"/>
              </w:rPr>
              <w:t>35</w:t>
            </w:r>
          </w:p>
        </w:tc>
        <w:tc>
          <w:tcPr>
            <w:tcW w:w="1518" w:type="dxa"/>
            <w:tcBorders>
              <w:top w:val="single" w:sz="4" w:space="0" w:color="000000"/>
            </w:tcBorders>
          </w:tcPr>
          <w:p>
            <w:pPr>
              <w:pStyle w:val="TableParagraph"/>
              <w:spacing w:before="1"/>
              <w:ind w:left="205" w:right="113"/>
              <w:rPr>
                <w:sz w:val="18"/>
              </w:rPr>
            </w:pPr>
            <w:r>
              <w:rPr>
                <w:sz w:val="18"/>
              </w:rPr>
              <w:t>8.9</w:t>
            </w:r>
          </w:p>
        </w:tc>
      </w:tr>
      <w:tr>
        <w:trPr>
          <w:trHeight w:val="372" w:hRule="exact"/>
        </w:trPr>
        <w:tc>
          <w:tcPr>
            <w:tcW w:w="3386" w:type="dxa"/>
          </w:tcPr>
          <w:p>
            <w:pPr>
              <w:pStyle w:val="TableParagraph"/>
              <w:spacing w:before="73"/>
              <w:ind w:left="122"/>
              <w:rPr>
                <w:sz w:val="18"/>
              </w:rPr>
            </w:pPr>
            <w:r>
              <w:rPr>
                <w:sz w:val="18"/>
              </w:rPr>
              <w:t>Ocoyoacac</w:t>
            </w:r>
          </w:p>
        </w:tc>
        <w:tc>
          <w:tcPr>
            <w:tcW w:w="1694" w:type="dxa"/>
          </w:tcPr>
          <w:p>
            <w:pPr>
              <w:pStyle w:val="TableParagraph"/>
              <w:spacing w:before="73"/>
              <w:ind w:left="512" w:right="191"/>
              <w:rPr>
                <w:sz w:val="18"/>
              </w:rPr>
            </w:pPr>
            <w:r>
              <w:rPr>
                <w:sz w:val="18"/>
              </w:rPr>
              <w:t>52.8</w:t>
            </w:r>
          </w:p>
        </w:tc>
        <w:tc>
          <w:tcPr>
            <w:tcW w:w="1266" w:type="dxa"/>
          </w:tcPr>
          <w:p>
            <w:pPr>
              <w:pStyle w:val="TableParagraph"/>
              <w:spacing w:before="73"/>
              <w:ind w:left="211"/>
              <w:rPr>
                <w:sz w:val="18"/>
              </w:rPr>
            </w:pPr>
            <w:r>
              <w:rPr>
                <w:sz w:val="18"/>
              </w:rPr>
              <w:t>40.2</w:t>
            </w:r>
          </w:p>
        </w:tc>
        <w:tc>
          <w:tcPr>
            <w:tcW w:w="1518" w:type="dxa"/>
          </w:tcPr>
          <w:p>
            <w:pPr>
              <w:pStyle w:val="TableParagraph"/>
              <w:spacing w:before="73"/>
              <w:ind w:left="205" w:right="113"/>
              <w:rPr>
                <w:sz w:val="18"/>
              </w:rPr>
            </w:pPr>
            <w:r>
              <w:rPr>
                <w:sz w:val="18"/>
              </w:rPr>
              <w:t>7.1</w:t>
            </w:r>
          </w:p>
        </w:tc>
      </w:tr>
      <w:tr>
        <w:trPr>
          <w:trHeight w:val="373" w:hRule="exact"/>
        </w:trPr>
        <w:tc>
          <w:tcPr>
            <w:tcW w:w="3386" w:type="dxa"/>
          </w:tcPr>
          <w:p>
            <w:pPr>
              <w:pStyle w:val="TableParagraph"/>
              <w:spacing w:before="73"/>
              <w:ind w:left="122"/>
              <w:rPr>
                <w:sz w:val="18"/>
              </w:rPr>
            </w:pPr>
            <w:r>
              <w:rPr>
                <w:sz w:val="18"/>
              </w:rPr>
              <w:t>Rayón</w:t>
            </w:r>
          </w:p>
        </w:tc>
        <w:tc>
          <w:tcPr>
            <w:tcW w:w="1694" w:type="dxa"/>
          </w:tcPr>
          <w:p>
            <w:pPr>
              <w:pStyle w:val="TableParagraph"/>
              <w:spacing w:before="73"/>
              <w:ind w:left="512" w:right="191"/>
              <w:rPr>
                <w:sz w:val="18"/>
              </w:rPr>
            </w:pPr>
            <w:r>
              <w:rPr>
                <w:sz w:val="18"/>
              </w:rPr>
              <w:t>51.8</w:t>
            </w:r>
          </w:p>
        </w:tc>
        <w:tc>
          <w:tcPr>
            <w:tcW w:w="1266" w:type="dxa"/>
          </w:tcPr>
          <w:p>
            <w:pPr>
              <w:pStyle w:val="TableParagraph"/>
              <w:spacing w:before="73"/>
              <w:ind w:left="211"/>
              <w:rPr>
                <w:sz w:val="18"/>
              </w:rPr>
            </w:pPr>
            <w:r>
              <w:rPr>
                <w:sz w:val="18"/>
              </w:rPr>
              <w:t>27.1</w:t>
            </w:r>
          </w:p>
        </w:tc>
        <w:tc>
          <w:tcPr>
            <w:tcW w:w="1518" w:type="dxa"/>
          </w:tcPr>
          <w:p>
            <w:pPr>
              <w:pStyle w:val="TableParagraph"/>
              <w:spacing w:before="73"/>
              <w:ind w:left="205" w:right="113"/>
              <w:rPr>
                <w:sz w:val="18"/>
              </w:rPr>
            </w:pPr>
            <w:r>
              <w:rPr>
                <w:sz w:val="18"/>
              </w:rPr>
              <w:t>21.2</w:t>
            </w:r>
          </w:p>
        </w:tc>
      </w:tr>
      <w:tr>
        <w:trPr>
          <w:trHeight w:val="373" w:hRule="exact"/>
        </w:trPr>
        <w:tc>
          <w:tcPr>
            <w:tcW w:w="3386" w:type="dxa"/>
          </w:tcPr>
          <w:p>
            <w:pPr>
              <w:pStyle w:val="TableParagraph"/>
              <w:spacing w:before="74"/>
              <w:ind w:left="122"/>
              <w:rPr>
                <w:sz w:val="18"/>
              </w:rPr>
            </w:pPr>
            <w:r>
              <w:rPr>
                <w:sz w:val="18"/>
              </w:rPr>
              <w:t>San Antonio la Isla</w:t>
            </w:r>
          </w:p>
        </w:tc>
        <w:tc>
          <w:tcPr>
            <w:tcW w:w="1694" w:type="dxa"/>
          </w:tcPr>
          <w:p>
            <w:pPr>
              <w:pStyle w:val="TableParagraph"/>
              <w:spacing w:before="74"/>
              <w:ind w:left="512" w:right="191"/>
              <w:rPr>
                <w:sz w:val="18"/>
              </w:rPr>
            </w:pPr>
            <w:r>
              <w:rPr>
                <w:sz w:val="18"/>
              </w:rPr>
              <w:t>60.5</w:t>
            </w:r>
          </w:p>
        </w:tc>
        <w:tc>
          <w:tcPr>
            <w:tcW w:w="1266" w:type="dxa"/>
          </w:tcPr>
          <w:p>
            <w:pPr>
              <w:pStyle w:val="TableParagraph"/>
              <w:spacing w:before="74"/>
              <w:ind w:left="211"/>
              <w:rPr>
                <w:sz w:val="18"/>
              </w:rPr>
            </w:pPr>
            <w:r>
              <w:rPr>
                <w:sz w:val="18"/>
              </w:rPr>
              <w:t>24.2</w:t>
            </w:r>
          </w:p>
        </w:tc>
        <w:tc>
          <w:tcPr>
            <w:tcW w:w="1518" w:type="dxa"/>
          </w:tcPr>
          <w:p>
            <w:pPr>
              <w:pStyle w:val="TableParagraph"/>
              <w:spacing w:before="74"/>
              <w:ind w:left="205" w:right="113"/>
              <w:rPr>
                <w:sz w:val="18"/>
              </w:rPr>
            </w:pPr>
            <w:r>
              <w:rPr>
                <w:sz w:val="18"/>
              </w:rPr>
              <w:t>15.3</w:t>
            </w:r>
          </w:p>
        </w:tc>
      </w:tr>
      <w:tr>
        <w:trPr>
          <w:trHeight w:val="373" w:hRule="exact"/>
        </w:trPr>
        <w:tc>
          <w:tcPr>
            <w:tcW w:w="3386" w:type="dxa"/>
          </w:tcPr>
          <w:p>
            <w:pPr>
              <w:pStyle w:val="TableParagraph"/>
              <w:spacing w:before="73"/>
              <w:ind w:left="122"/>
              <w:rPr>
                <w:sz w:val="18"/>
              </w:rPr>
            </w:pPr>
            <w:r>
              <w:rPr>
                <w:sz w:val="18"/>
              </w:rPr>
              <w:t>Temoaya</w:t>
            </w:r>
          </w:p>
        </w:tc>
        <w:tc>
          <w:tcPr>
            <w:tcW w:w="1694" w:type="dxa"/>
          </w:tcPr>
          <w:p>
            <w:pPr>
              <w:pStyle w:val="TableParagraph"/>
              <w:spacing w:before="73"/>
              <w:ind w:left="512" w:right="191"/>
              <w:rPr>
                <w:sz w:val="18"/>
              </w:rPr>
            </w:pPr>
            <w:r>
              <w:rPr>
                <w:sz w:val="18"/>
              </w:rPr>
              <w:t>44.5</w:t>
            </w:r>
          </w:p>
        </w:tc>
        <w:tc>
          <w:tcPr>
            <w:tcW w:w="1266" w:type="dxa"/>
          </w:tcPr>
          <w:p>
            <w:pPr>
              <w:pStyle w:val="TableParagraph"/>
              <w:spacing w:before="73"/>
              <w:ind w:left="211"/>
              <w:rPr>
                <w:sz w:val="18"/>
              </w:rPr>
            </w:pPr>
            <w:r>
              <w:rPr>
                <w:sz w:val="18"/>
              </w:rPr>
              <w:t>41.8</w:t>
            </w:r>
          </w:p>
        </w:tc>
        <w:tc>
          <w:tcPr>
            <w:tcW w:w="1518" w:type="dxa"/>
          </w:tcPr>
          <w:p>
            <w:pPr>
              <w:pStyle w:val="TableParagraph"/>
              <w:spacing w:before="73"/>
              <w:ind w:left="205" w:right="113"/>
              <w:rPr>
                <w:sz w:val="18"/>
              </w:rPr>
            </w:pPr>
            <w:r>
              <w:rPr>
                <w:sz w:val="18"/>
              </w:rPr>
              <w:t>13.7</w:t>
            </w:r>
          </w:p>
        </w:tc>
      </w:tr>
      <w:tr>
        <w:trPr>
          <w:trHeight w:val="452" w:hRule="exact"/>
        </w:trPr>
        <w:tc>
          <w:tcPr>
            <w:tcW w:w="3386" w:type="dxa"/>
            <w:tcBorders>
              <w:bottom w:val="single" w:sz="4" w:space="0" w:color="000000"/>
            </w:tcBorders>
          </w:tcPr>
          <w:p>
            <w:pPr>
              <w:pStyle w:val="TableParagraph"/>
              <w:spacing w:before="74"/>
              <w:ind w:left="122"/>
              <w:rPr>
                <w:sz w:val="18"/>
              </w:rPr>
            </w:pPr>
            <w:r>
              <w:rPr>
                <w:sz w:val="18"/>
              </w:rPr>
              <w:t>Xonacatlán</w:t>
            </w:r>
          </w:p>
        </w:tc>
        <w:tc>
          <w:tcPr>
            <w:tcW w:w="1694" w:type="dxa"/>
            <w:tcBorders>
              <w:bottom w:val="single" w:sz="4" w:space="0" w:color="000000"/>
            </w:tcBorders>
          </w:tcPr>
          <w:p>
            <w:pPr>
              <w:pStyle w:val="TableParagraph"/>
              <w:spacing w:before="74"/>
              <w:ind w:left="512" w:right="191"/>
              <w:rPr>
                <w:sz w:val="18"/>
              </w:rPr>
            </w:pPr>
            <w:r>
              <w:rPr>
                <w:sz w:val="18"/>
              </w:rPr>
              <w:t>69.6</w:t>
            </w:r>
          </w:p>
        </w:tc>
        <w:tc>
          <w:tcPr>
            <w:tcW w:w="1266" w:type="dxa"/>
            <w:tcBorders>
              <w:bottom w:val="single" w:sz="4" w:space="0" w:color="000000"/>
            </w:tcBorders>
          </w:tcPr>
          <w:p>
            <w:pPr>
              <w:pStyle w:val="TableParagraph"/>
              <w:spacing w:before="74"/>
              <w:ind w:left="211"/>
              <w:rPr>
                <w:sz w:val="18"/>
              </w:rPr>
            </w:pPr>
            <w:r>
              <w:rPr>
                <w:sz w:val="18"/>
              </w:rPr>
              <w:t>20.9</w:t>
            </w:r>
          </w:p>
        </w:tc>
        <w:tc>
          <w:tcPr>
            <w:tcW w:w="1518" w:type="dxa"/>
            <w:tcBorders>
              <w:bottom w:val="single" w:sz="4" w:space="0" w:color="000000"/>
            </w:tcBorders>
          </w:tcPr>
          <w:p>
            <w:pPr>
              <w:pStyle w:val="TableParagraph"/>
              <w:spacing w:before="74"/>
              <w:ind w:left="205" w:right="113"/>
              <w:rPr>
                <w:sz w:val="18"/>
              </w:rPr>
            </w:pPr>
            <w:r>
              <w:rPr>
                <w:sz w:val="18"/>
              </w:rPr>
              <w:t>9.4</w:t>
            </w:r>
          </w:p>
        </w:tc>
      </w:tr>
      <w:tr>
        <w:trPr>
          <w:trHeight w:val="384" w:hRule="exact"/>
        </w:trPr>
        <w:tc>
          <w:tcPr>
            <w:tcW w:w="3386" w:type="dxa"/>
            <w:tcBorders>
              <w:top w:val="single" w:sz="4" w:space="0" w:color="000000"/>
              <w:bottom w:val="single" w:sz="4" w:space="0" w:color="000000"/>
            </w:tcBorders>
          </w:tcPr>
          <w:p>
            <w:pPr>
              <w:pStyle w:val="TableParagraph"/>
              <w:spacing w:line="206" w:lineRule="exact"/>
              <w:ind w:left="122"/>
              <w:rPr>
                <w:sz w:val="18"/>
              </w:rPr>
            </w:pPr>
            <w:r>
              <w:rPr>
                <w:sz w:val="18"/>
              </w:rPr>
              <w:t>Interrelación funcional intermedia</w:t>
            </w:r>
          </w:p>
        </w:tc>
        <w:tc>
          <w:tcPr>
            <w:tcW w:w="1694" w:type="dxa"/>
            <w:tcBorders>
              <w:top w:val="single" w:sz="4" w:space="0" w:color="000000"/>
              <w:bottom w:val="single" w:sz="4" w:space="0" w:color="000000"/>
            </w:tcBorders>
          </w:tcPr>
          <w:p>
            <w:pPr>
              <w:pStyle w:val="TableParagraph"/>
              <w:spacing w:line="206" w:lineRule="exact"/>
              <w:ind w:left="512" w:right="191"/>
              <w:rPr>
                <w:sz w:val="18"/>
              </w:rPr>
            </w:pPr>
            <w:r>
              <w:rPr>
                <w:sz w:val="18"/>
              </w:rPr>
              <w:t>55.88</w:t>
            </w:r>
          </w:p>
        </w:tc>
        <w:tc>
          <w:tcPr>
            <w:tcW w:w="1266" w:type="dxa"/>
            <w:tcBorders>
              <w:top w:val="single" w:sz="4" w:space="0" w:color="000000"/>
              <w:bottom w:val="single" w:sz="4" w:space="0" w:color="000000"/>
            </w:tcBorders>
          </w:tcPr>
          <w:p>
            <w:pPr>
              <w:pStyle w:val="TableParagraph"/>
              <w:spacing w:line="206" w:lineRule="exact"/>
              <w:ind w:left="211"/>
              <w:rPr>
                <w:sz w:val="18"/>
              </w:rPr>
            </w:pPr>
            <w:r>
              <w:rPr>
                <w:sz w:val="18"/>
              </w:rPr>
              <w:t>31.53</w:t>
            </w:r>
          </w:p>
        </w:tc>
        <w:tc>
          <w:tcPr>
            <w:tcW w:w="1518" w:type="dxa"/>
            <w:tcBorders>
              <w:top w:val="single" w:sz="4" w:space="0" w:color="000000"/>
              <w:bottom w:val="single" w:sz="4" w:space="0" w:color="000000"/>
            </w:tcBorders>
          </w:tcPr>
          <w:p>
            <w:pPr>
              <w:pStyle w:val="TableParagraph"/>
              <w:spacing w:line="206" w:lineRule="exact"/>
              <w:ind w:left="205" w:right="113"/>
              <w:rPr>
                <w:sz w:val="18"/>
              </w:rPr>
            </w:pPr>
            <w:r>
              <w:rPr>
                <w:sz w:val="18"/>
              </w:rPr>
              <w:t>12.60</w:t>
            </w:r>
          </w:p>
        </w:tc>
      </w:tr>
      <w:tr>
        <w:trPr>
          <w:trHeight w:val="272" w:hRule="exact"/>
        </w:trPr>
        <w:tc>
          <w:tcPr>
            <w:tcW w:w="3386" w:type="dxa"/>
            <w:tcBorders>
              <w:top w:val="single" w:sz="4" w:space="0" w:color="000000"/>
            </w:tcBorders>
          </w:tcPr>
          <w:p>
            <w:pPr>
              <w:pStyle w:val="TableParagraph"/>
              <w:spacing w:line="206" w:lineRule="exact"/>
              <w:ind w:left="122"/>
              <w:rPr>
                <w:sz w:val="18"/>
              </w:rPr>
            </w:pPr>
            <w:r>
              <w:rPr>
                <w:sz w:val="18"/>
              </w:rPr>
              <w:t>Xalatlaco</w:t>
            </w:r>
          </w:p>
        </w:tc>
        <w:tc>
          <w:tcPr>
            <w:tcW w:w="1694" w:type="dxa"/>
            <w:tcBorders>
              <w:top w:val="single" w:sz="4" w:space="0" w:color="000000"/>
            </w:tcBorders>
          </w:tcPr>
          <w:p>
            <w:pPr>
              <w:pStyle w:val="TableParagraph"/>
              <w:spacing w:line="206" w:lineRule="exact"/>
              <w:ind w:left="512" w:right="191"/>
              <w:rPr>
                <w:sz w:val="18"/>
              </w:rPr>
            </w:pPr>
            <w:r>
              <w:rPr>
                <w:sz w:val="18"/>
              </w:rPr>
              <w:t>76.4</w:t>
            </w:r>
          </w:p>
        </w:tc>
        <w:tc>
          <w:tcPr>
            <w:tcW w:w="1266" w:type="dxa"/>
            <w:tcBorders>
              <w:top w:val="single" w:sz="4" w:space="0" w:color="000000"/>
            </w:tcBorders>
          </w:tcPr>
          <w:p>
            <w:pPr>
              <w:pStyle w:val="TableParagraph"/>
              <w:spacing w:line="206" w:lineRule="exact"/>
              <w:ind w:left="211"/>
              <w:rPr>
                <w:sz w:val="18"/>
              </w:rPr>
            </w:pPr>
            <w:r>
              <w:rPr>
                <w:sz w:val="18"/>
              </w:rPr>
              <w:t>10.2</w:t>
            </w:r>
          </w:p>
        </w:tc>
        <w:tc>
          <w:tcPr>
            <w:tcW w:w="1518" w:type="dxa"/>
            <w:tcBorders>
              <w:top w:val="single" w:sz="4" w:space="0" w:color="000000"/>
            </w:tcBorders>
          </w:tcPr>
          <w:p>
            <w:pPr>
              <w:pStyle w:val="TableParagraph"/>
              <w:spacing w:line="206" w:lineRule="exact"/>
              <w:ind w:left="205" w:right="113"/>
              <w:rPr>
                <w:sz w:val="18"/>
              </w:rPr>
            </w:pPr>
            <w:r>
              <w:rPr>
                <w:sz w:val="18"/>
              </w:rPr>
              <w:t>13.5</w:t>
            </w:r>
          </w:p>
        </w:tc>
      </w:tr>
      <w:tr>
        <w:trPr>
          <w:trHeight w:val="342" w:hRule="exact"/>
        </w:trPr>
        <w:tc>
          <w:tcPr>
            <w:tcW w:w="3386" w:type="dxa"/>
          </w:tcPr>
          <w:p>
            <w:pPr>
              <w:pStyle w:val="TableParagraph"/>
              <w:spacing w:before="42"/>
              <w:ind w:left="122"/>
              <w:rPr>
                <w:sz w:val="18"/>
              </w:rPr>
            </w:pPr>
            <w:r>
              <w:rPr>
                <w:sz w:val="18"/>
              </w:rPr>
              <w:t>Almoloya del Río</w:t>
            </w:r>
          </w:p>
        </w:tc>
        <w:tc>
          <w:tcPr>
            <w:tcW w:w="1694" w:type="dxa"/>
          </w:tcPr>
          <w:p>
            <w:pPr>
              <w:pStyle w:val="TableParagraph"/>
              <w:spacing w:before="42"/>
              <w:ind w:left="512" w:right="191"/>
              <w:rPr>
                <w:sz w:val="18"/>
              </w:rPr>
            </w:pPr>
            <w:r>
              <w:rPr>
                <w:sz w:val="18"/>
              </w:rPr>
              <w:t>68</w:t>
            </w:r>
          </w:p>
        </w:tc>
        <w:tc>
          <w:tcPr>
            <w:tcW w:w="1266" w:type="dxa"/>
          </w:tcPr>
          <w:p>
            <w:pPr>
              <w:pStyle w:val="TableParagraph"/>
              <w:spacing w:before="42"/>
              <w:ind w:left="211"/>
              <w:rPr>
                <w:sz w:val="18"/>
              </w:rPr>
            </w:pPr>
            <w:r>
              <w:rPr>
                <w:sz w:val="18"/>
              </w:rPr>
              <w:t>17.9</w:t>
            </w:r>
          </w:p>
        </w:tc>
        <w:tc>
          <w:tcPr>
            <w:tcW w:w="1518" w:type="dxa"/>
          </w:tcPr>
          <w:p>
            <w:pPr>
              <w:pStyle w:val="TableParagraph"/>
              <w:spacing w:before="42"/>
              <w:ind w:left="205" w:right="113"/>
              <w:rPr>
                <w:sz w:val="18"/>
              </w:rPr>
            </w:pPr>
            <w:r>
              <w:rPr>
                <w:sz w:val="18"/>
              </w:rPr>
              <w:t>14.1</w:t>
            </w:r>
          </w:p>
        </w:tc>
      </w:tr>
      <w:tr>
        <w:trPr>
          <w:trHeight w:val="373" w:hRule="exact"/>
        </w:trPr>
        <w:tc>
          <w:tcPr>
            <w:tcW w:w="3386" w:type="dxa"/>
          </w:tcPr>
          <w:p>
            <w:pPr>
              <w:pStyle w:val="TableParagraph"/>
              <w:spacing w:before="74"/>
              <w:ind w:left="122"/>
              <w:rPr>
                <w:sz w:val="18"/>
              </w:rPr>
            </w:pPr>
            <w:r>
              <w:rPr>
                <w:sz w:val="18"/>
              </w:rPr>
              <w:t>Atizapán</w:t>
            </w:r>
          </w:p>
        </w:tc>
        <w:tc>
          <w:tcPr>
            <w:tcW w:w="1694" w:type="dxa"/>
          </w:tcPr>
          <w:p>
            <w:pPr>
              <w:pStyle w:val="TableParagraph"/>
              <w:spacing w:before="74"/>
              <w:ind w:left="512" w:right="191"/>
              <w:rPr>
                <w:sz w:val="18"/>
              </w:rPr>
            </w:pPr>
            <w:r>
              <w:rPr>
                <w:sz w:val="18"/>
              </w:rPr>
              <w:t>79.4</w:t>
            </w:r>
          </w:p>
        </w:tc>
        <w:tc>
          <w:tcPr>
            <w:tcW w:w="1266" w:type="dxa"/>
          </w:tcPr>
          <w:p>
            <w:pPr>
              <w:pStyle w:val="TableParagraph"/>
              <w:spacing w:before="74"/>
              <w:ind w:left="211"/>
              <w:rPr>
                <w:sz w:val="18"/>
              </w:rPr>
            </w:pPr>
            <w:r>
              <w:rPr>
                <w:sz w:val="18"/>
              </w:rPr>
              <w:t>10.4</w:t>
            </w:r>
          </w:p>
        </w:tc>
        <w:tc>
          <w:tcPr>
            <w:tcW w:w="1518" w:type="dxa"/>
          </w:tcPr>
          <w:p>
            <w:pPr>
              <w:pStyle w:val="TableParagraph"/>
              <w:spacing w:before="74"/>
              <w:ind w:left="205" w:right="113"/>
              <w:rPr>
                <w:sz w:val="18"/>
              </w:rPr>
            </w:pPr>
            <w:r>
              <w:rPr>
                <w:sz w:val="18"/>
              </w:rPr>
              <w:t>10.2</w:t>
            </w:r>
          </w:p>
        </w:tc>
      </w:tr>
      <w:tr>
        <w:trPr>
          <w:trHeight w:val="372" w:hRule="exact"/>
        </w:trPr>
        <w:tc>
          <w:tcPr>
            <w:tcW w:w="3386" w:type="dxa"/>
          </w:tcPr>
          <w:p>
            <w:pPr>
              <w:pStyle w:val="TableParagraph"/>
              <w:spacing w:before="73"/>
              <w:ind w:left="122"/>
              <w:rPr>
                <w:sz w:val="18"/>
              </w:rPr>
            </w:pPr>
            <w:r>
              <w:rPr>
                <w:sz w:val="18"/>
              </w:rPr>
              <w:t>Capulhuac</w:t>
            </w:r>
          </w:p>
        </w:tc>
        <w:tc>
          <w:tcPr>
            <w:tcW w:w="1694" w:type="dxa"/>
          </w:tcPr>
          <w:p>
            <w:pPr>
              <w:pStyle w:val="TableParagraph"/>
              <w:spacing w:before="73"/>
              <w:ind w:left="512" w:right="191"/>
              <w:rPr>
                <w:sz w:val="18"/>
              </w:rPr>
            </w:pPr>
            <w:r>
              <w:rPr>
                <w:sz w:val="18"/>
              </w:rPr>
              <w:t>52.1</w:t>
            </w:r>
          </w:p>
        </w:tc>
        <w:tc>
          <w:tcPr>
            <w:tcW w:w="1266" w:type="dxa"/>
          </w:tcPr>
          <w:p>
            <w:pPr>
              <w:pStyle w:val="TableParagraph"/>
              <w:spacing w:before="73"/>
              <w:ind w:left="211"/>
              <w:rPr>
                <w:sz w:val="18"/>
              </w:rPr>
            </w:pPr>
            <w:r>
              <w:rPr>
                <w:sz w:val="18"/>
              </w:rPr>
              <w:t>14</w:t>
            </w:r>
          </w:p>
        </w:tc>
        <w:tc>
          <w:tcPr>
            <w:tcW w:w="1518" w:type="dxa"/>
          </w:tcPr>
          <w:p>
            <w:pPr>
              <w:pStyle w:val="TableParagraph"/>
              <w:spacing w:before="73"/>
              <w:ind w:left="205" w:right="113"/>
              <w:rPr>
                <w:sz w:val="18"/>
              </w:rPr>
            </w:pPr>
            <w:r>
              <w:rPr>
                <w:sz w:val="18"/>
              </w:rPr>
              <w:t>33.9</w:t>
            </w:r>
          </w:p>
        </w:tc>
      </w:tr>
      <w:tr>
        <w:trPr>
          <w:trHeight w:val="373" w:hRule="exact"/>
        </w:trPr>
        <w:tc>
          <w:tcPr>
            <w:tcW w:w="3386" w:type="dxa"/>
          </w:tcPr>
          <w:p>
            <w:pPr>
              <w:pStyle w:val="TableParagraph"/>
              <w:spacing w:before="73"/>
              <w:ind w:left="122"/>
              <w:rPr>
                <w:sz w:val="18"/>
              </w:rPr>
            </w:pPr>
            <w:r>
              <w:rPr>
                <w:sz w:val="18"/>
              </w:rPr>
              <w:t>Tenango del Valle</w:t>
            </w:r>
          </w:p>
        </w:tc>
        <w:tc>
          <w:tcPr>
            <w:tcW w:w="1694" w:type="dxa"/>
          </w:tcPr>
          <w:p>
            <w:pPr/>
          </w:p>
        </w:tc>
        <w:tc>
          <w:tcPr>
            <w:tcW w:w="1266" w:type="dxa"/>
          </w:tcPr>
          <w:p>
            <w:pPr/>
          </w:p>
        </w:tc>
        <w:tc>
          <w:tcPr>
            <w:tcW w:w="1518" w:type="dxa"/>
          </w:tcPr>
          <w:p>
            <w:pPr/>
          </w:p>
        </w:tc>
      </w:tr>
      <w:tr>
        <w:trPr>
          <w:trHeight w:val="373" w:hRule="exact"/>
        </w:trPr>
        <w:tc>
          <w:tcPr>
            <w:tcW w:w="3386" w:type="dxa"/>
          </w:tcPr>
          <w:p>
            <w:pPr>
              <w:pStyle w:val="TableParagraph"/>
              <w:spacing w:before="74"/>
              <w:ind w:left="122"/>
              <w:rPr>
                <w:sz w:val="18"/>
              </w:rPr>
            </w:pPr>
            <w:r>
              <w:rPr>
                <w:sz w:val="18"/>
              </w:rPr>
              <w:t>Texcalyacac</w:t>
            </w:r>
          </w:p>
        </w:tc>
        <w:tc>
          <w:tcPr>
            <w:tcW w:w="1694" w:type="dxa"/>
          </w:tcPr>
          <w:p>
            <w:pPr>
              <w:pStyle w:val="TableParagraph"/>
              <w:spacing w:before="74"/>
              <w:ind w:left="512" w:right="191"/>
              <w:rPr>
                <w:sz w:val="18"/>
              </w:rPr>
            </w:pPr>
            <w:r>
              <w:rPr>
                <w:sz w:val="18"/>
              </w:rPr>
              <w:t>49.5</w:t>
            </w:r>
          </w:p>
        </w:tc>
        <w:tc>
          <w:tcPr>
            <w:tcW w:w="1266" w:type="dxa"/>
          </w:tcPr>
          <w:p>
            <w:pPr>
              <w:pStyle w:val="TableParagraph"/>
              <w:spacing w:before="74"/>
              <w:ind w:left="211"/>
              <w:rPr>
                <w:sz w:val="18"/>
              </w:rPr>
            </w:pPr>
            <w:r>
              <w:rPr>
                <w:sz w:val="18"/>
              </w:rPr>
              <w:t>26.7</w:t>
            </w:r>
          </w:p>
        </w:tc>
        <w:tc>
          <w:tcPr>
            <w:tcW w:w="1518" w:type="dxa"/>
          </w:tcPr>
          <w:p>
            <w:pPr>
              <w:pStyle w:val="TableParagraph"/>
              <w:spacing w:before="74"/>
              <w:ind w:left="205" w:right="113"/>
              <w:rPr>
                <w:sz w:val="18"/>
              </w:rPr>
            </w:pPr>
            <w:r>
              <w:rPr>
                <w:sz w:val="18"/>
              </w:rPr>
              <w:t>23.8</w:t>
            </w:r>
          </w:p>
        </w:tc>
      </w:tr>
      <w:tr>
        <w:trPr>
          <w:trHeight w:val="472" w:hRule="exact"/>
        </w:trPr>
        <w:tc>
          <w:tcPr>
            <w:tcW w:w="3386" w:type="dxa"/>
            <w:tcBorders>
              <w:bottom w:val="single" w:sz="4" w:space="0" w:color="000000"/>
            </w:tcBorders>
          </w:tcPr>
          <w:p>
            <w:pPr>
              <w:pStyle w:val="TableParagraph"/>
              <w:spacing w:before="73"/>
              <w:ind w:left="122"/>
              <w:rPr>
                <w:sz w:val="18"/>
              </w:rPr>
            </w:pPr>
            <w:r>
              <w:rPr>
                <w:sz w:val="18"/>
              </w:rPr>
              <w:t>Tianguistenco</w:t>
            </w:r>
          </w:p>
        </w:tc>
        <w:tc>
          <w:tcPr>
            <w:tcW w:w="1694" w:type="dxa"/>
            <w:tcBorders>
              <w:bottom w:val="single" w:sz="4" w:space="0" w:color="000000"/>
            </w:tcBorders>
          </w:tcPr>
          <w:p>
            <w:pPr>
              <w:pStyle w:val="TableParagraph"/>
              <w:spacing w:before="73"/>
              <w:ind w:left="512" w:right="191"/>
              <w:rPr>
                <w:sz w:val="18"/>
              </w:rPr>
            </w:pPr>
            <w:r>
              <w:rPr>
                <w:sz w:val="18"/>
              </w:rPr>
              <w:t>75.2</w:t>
            </w:r>
          </w:p>
        </w:tc>
        <w:tc>
          <w:tcPr>
            <w:tcW w:w="1266" w:type="dxa"/>
            <w:tcBorders>
              <w:bottom w:val="single" w:sz="4" w:space="0" w:color="000000"/>
            </w:tcBorders>
          </w:tcPr>
          <w:p>
            <w:pPr>
              <w:pStyle w:val="TableParagraph"/>
              <w:spacing w:before="73"/>
              <w:ind w:left="211"/>
              <w:rPr>
                <w:sz w:val="18"/>
              </w:rPr>
            </w:pPr>
            <w:r>
              <w:rPr>
                <w:sz w:val="18"/>
              </w:rPr>
              <w:t>7.1</w:t>
            </w:r>
          </w:p>
        </w:tc>
        <w:tc>
          <w:tcPr>
            <w:tcW w:w="1518" w:type="dxa"/>
            <w:tcBorders>
              <w:bottom w:val="single" w:sz="4" w:space="0" w:color="000000"/>
            </w:tcBorders>
          </w:tcPr>
          <w:p>
            <w:pPr>
              <w:pStyle w:val="TableParagraph"/>
              <w:spacing w:before="73"/>
              <w:ind w:left="205" w:right="113"/>
              <w:rPr>
                <w:sz w:val="18"/>
              </w:rPr>
            </w:pPr>
            <w:r>
              <w:rPr>
                <w:sz w:val="18"/>
              </w:rPr>
              <w:t>17.7</w:t>
            </w:r>
          </w:p>
        </w:tc>
      </w:tr>
      <w:tr>
        <w:trPr>
          <w:trHeight w:val="382" w:hRule="exact"/>
        </w:trPr>
        <w:tc>
          <w:tcPr>
            <w:tcW w:w="3386" w:type="dxa"/>
            <w:tcBorders>
              <w:top w:val="single" w:sz="4" w:space="0" w:color="000000"/>
              <w:bottom w:val="single" w:sz="4" w:space="0" w:color="000000"/>
            </w:tcBorders>
          </w:tcPr>
          <w:p>
            <w:pPr>
              <w:pStyle w:val="TableParagraph"/>
              <w:spacing w:line="206" w:lineRule="exact"/>
              <w:ind w:left="122"/>
              <w:rPr>
                <w:sz w:val="18"/>
              </w:rPr>
            </w:pPr>
            <w:r>
              <w:rPr>
                <w:sz w:val="18"/>
              </w:rPr>
              <w:t>Relación externa, resto municipios</w:t>
            </w:r>
          </w:p>
        </w:tc>
        <w:tc>
          <w:tcPr>
            <w:tcW w:w="1694" w:type="dxa"/>
            <w:tcBorders>
              <w:top w:val="single" w:sz="4" w:space="0" w:color="000000"/>
              <w:bottom w:val="single" w:sz="4" w:space="0" w:color="000000"/>
            </w:tcBorders>
          </w:tcPr>
          <w:p>
            <w:pPr>
              <w:pStyle w:val="TableParagraph"/>
              <w:spacing w:line="206" w:lineRule="exact"/>
              <w:ind w:left="512" w:right="191"/>
              <w:rPr>
                <w:sz w:val="18"/>
              </w:rPr>
            </w:pPr>
            <w:r>
              <w:rPr>
                <w:sz w:val="18"/>
              </w:rPr>
              <w:t>66.77</w:t>
            </w:r>
          </w:p>
        </w:tc>
        <w:tc>
          <w:tcPr>
            <w:tcW w:w="1266" w:type="dxa"/>
            <w:tcBorders>
              <w:top w:val="single" w:sz="4" w:space="0" w:color="000000"/>
              <w:bottom w:val="single" w:sz="4" w:space="0" w:color="000000"/>
            </w:tcBorders>
          </w:tcPr>
          <w:p>
            <w:pPr>
              <w:pStyle w:val="TableParagraph"/>
              <w:spacing w:line="206" w:lineRule="exact"/>
              <w:ind w:left="211"/>
              <w:rPr>
                <w:sz w:val="18"/>
              </w:rPr>
            </w:pPr>
            <w:r>
              <w:rPr>
                <w:sz w:val="18"/>
              </w:rPr>
              <w:t>14.38</w:t>
            </w:r>
          </w:p>
        </w:tc>
        <w:tc>
          <w:tcPr>
            <w:tcW w:w="1518" w:type="dxa"/>
            <w:tcBorders>
              <w:top w:val="single" w:sz="4" w:space="0" w:color="000000"/>
              <w:bottom w:val="single" w:sz="4" w:space="0" w:color="000000"/>
            </w:tcBorders>
          </w:tcPr>
          <w:p>
            <w:pPr>
              <w:pStyle w:val="TableParagraph"/>
              <w:spacing w:line="206" w:lineRule="exact"/>
              <w:ind w:left="205" w:right="113"/>
              <w:rPr>
                <w:sz w:val="18"/>
              </w:rPr>
            </w:pPr>
            <w:r>
              <w:rPr>
                <w:sz w:val="18"/>
              </w:rPr>
              <w:t>18.87</w:t>
            </w:r>
          </w:p>
        </w:tc>
      </w:tr>
    </w:tbl>
    <w:p>
      <w:pPr>
        <w:spacing w:line="206" w:lineRule="exact" w:before="0"/>
        <w:ind w:left="2661" w:right="1241" w:firstLine="0"/>
        <w:jc w:val="left"/>
        <w:rPr>
          <w:sz w:val="18"/>
        </w:rPr>
      </w:pPr>
      <w:r>
        <w:rPr>
          <w:sz w:val="18"/>
        </w:rPr>
        <w:t>Fuente SEDESOL, CONAPO e INEGI (2012)</w:t>
      </w:r>
    </w:p>
    <w:p>
      <w:pPr>
        <w:spacing w:after="0" w:line="206" w:lineRule="exact"/>
        <w:jc w:val="left"/>
        <w:rPr>
          <w:sz w:val="18"/>
        </w:rPr>
        <w:sectPr>
          <w:pgSz w:w="12240" w:h="15840"/>
          <w:pgMar w:header="0" w:footer="659" w:top="1360" w:bottom="840" w:left="1660" w:right="1660"/>
        </w:sectPr>
      </w:pPr>
    </w:p>
    <w:p>
      <w:pPr>
        <w:spacing w:before="53"/>
        <w:ind w:left="1492" w:right="0" w:firstLine="0"/>
        <w:jc w:val="left"/>
        <w:rPr>
          <w:sz w:val="20"/>
        </w:rPr>
      </w:pPr>
      <w:r>
        <w:rPr/>
        <w:pict>
          <v:rect style="position:absolute;margin-left:84.384003pt;margin-top:293.599915pt;width:36.120pt;height:13.08pt;mso-position-horizontal-relative:page;mso-position-vertical-relative:paragraph;z-index:7912;mso-wrap-distance-left:0;mso-wrap-distance-right:0" filled="true" fillcolor="#9bba58" stroked="false">
            <v:fill type="solid"/>
            <w10:wrap type="topAndBottom"/>
          </v:rect>
        </w:pict>
      </w:r>
      <w:r>
        <w:rPr/>
        <w:pict>
          <v:shape style="position:absolute;margin-left:128.619995pt;margin-top:18.797073pt;width:323.650pt;height:286.25pt;mso-position-horizontal-relative:page;mso-position-vertical-relative:paragraph;z-index:0;mso-wrap-distance-left:0;mso-wrap-distance-right:0"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401"/>
                    <w:gridCol w:w="1101"/>
                    <w:gridCol w:w="870"/>
                    <w:gridCol w:w="776"/>
                    <w:gridCol w:w="775"/>
                    <w:gridCol w:w="771"/>
                    <w:gridCol w:w="779"/>
                  </w:tblGrid>
                  <w:tr>
                    <w:trPr>
                      <w:trHeight w:val="212" w:hRule="exact"/>
                    </w:trPr>
                    <w:tc>
                      <w:tcPr>
                        <w:tcW w:w="6472" w:type="dxa"/>
                        <w:gridSpan w:val="7"/>
                      </w:tcPr>
                      <w:p>
                        <w:pPr>
                          <w:pStyle w:val="TableParagraph"/>
                          <w:tabs>
                            <w:tab w:pos="1844" w:val="left" w:leader="none"/>
                            <w:tab w:pos="6472" w:val="left" w:leader="none"/>
                          </w:tabs>
                          <w:spacing w:line="184" w:lineRule="exact"/>
                          <w:ind w:left="624"/>
                          <w:rPr>
                            <w:sz w:val="18"/>
                          </w:rPr>
                        </w:pPr>
                        <w:r>
                          <w:rPr>
                            <w:w w:val="100"/>
                            <w:sz w:val="18"/>
                            <w:u w:val="single"/>
                          </w:rPr>
                          <w:t> </w:t>
                        </w:r>
                        <w:r>
                          <w:rPr>
                            <w:sz w:val="18"/>
                            <w:u w:val="single"/>
                          </w:rPr>
                          <w:tab/>
                          <w:t>Febrero</w:t>
                        </w:r>
                        <w:r>
                          <w:rPr>
                            <w:spacing w:val="-4"/>
                            <w:sz w:val="18"/>
                            <w:u w:val="single"/>
                          </w:rPr>
                          <w:t> </w:t>
                        </w:r>
                        <w:r>
                          <w:rPr>
                            <w:sz w:val="18"/>
                            <w:u w:val="single"/>
                          </w:rPr>
                          <w:t>2007</w:t>
                          <w:tab/>
                        </w:r>
                      </w:p>
                    </w:tc>
                  </w:tr>
                  <w:tr>
                    <w:trPr>
                      <w:trHeight w:val="254" w:hRule="exact"/>
                    </w:trPr>
                    <w:tc>
                      <w:tcPr>
                        <w:tcW w:w="1401" w:type="dxa"/>
                      </w:tcPr>
                      <w:p>
                        <w:pPr>
                          <w:pStyle w:val="TableParagraph"/>
                          <w:spacing w:before="9"/>
                          <w:ind w:left="0" w:right="284"/>
                          <w:jc w:val="right"/>
                          <w:rPr>
                            <w:sz w:val="18"/>
                          </w:rPr>
                        </w:pPr>
                        <w:r>
                          <w:rPr>
                            <w:sz w:val="18"/>
                          </w:rPr>
                          <w:t>Lu</w:t>
                        </w:r>
                      </w:p>
                    </w:tc>
                    <w:tc>
                      <w:tcPr>
                        <w:tcW w:w="1101" w:type="dxa"/>
                      </w:tcPr>
                      <w:p>
                        <w:pPr>
                          <w:pStyle w:val="TableParagraph"/>
                          <w:spacing w:before="9"/>
                          <w:ind w:left="164" w:right="77"/>
                          <w:jc w:val="center"/>
                          <w:rPr>
                            <w:sz w:val="18"/>
                          </w:rPr>
                        </w:pPr>
                        <w:r>
                          <w:rPr>
                            <w:sz w:val="18"/>
                          </w:rPr>
                          <w:t>Ma</w:t>
                        </w:r>
                      </w:p>
                    </w:tc>
                    <w:tc>
                      <w:tcPr>
                        <w:tcW w:w="870" w:type="dxa"/>
                      </w:tcPr>
                      <w:p>
                        <w:pPr>
                          <w:pStyle w:val="TableParagraph"/>
                          <w:spacing w:before="9"/>
                          <w:ind w:left="0" w:right="295"/>
                          <w:jc w:val="right"/>
                          <w:rPr>
                            <w:sz w:val="18"/>
                          </w:rPr>
                        </w:pPr>
                        <w:r>
                          <w:rPr>
                            <w:w w:val="95"/>
                            <w:sz w:val="18"/>
                          </w:rPr>
                          <w:t>Mi</w:t>
                        </w:r>
                      </w:p>
                    </w:tc>
                    <w:tc>
                      <w:tcPr>
                        <w:tcW w:w="776" w:type="dxa"/>
                      </w:tcPr>
                      <w:p>
                        <w:pPr>
                          <w:pStyle w:val="TableParagraph"/>
                          <w:spacing w:before="9"/>
                          <w:ind w:left="268" w:right="266"/>
                          <w:jc w:val="center"/>
                          <w:rPr>
                            <w:sz w:val="18"/>
                          </w:rPr>
                        </w:pPr>
                        <w:r>
                          <w:rPr>
                            <w:sz w:val="18"/>
                          </w:rPr>
                          <w:t>Ju</w:t>
                        </w:r>
                      </w:p>
                    </w:tc>
                    <w:tc>
                      <w:tcPr>
                        <w:tcW w:w="775" w:type="dxa"/>
                      </w:tcPr>
                      <w:p>
                        <w:pPr>
                          <w:pStyle w:val="TableParagraph"/>
                          <w:spacing w:before="9"/>
                          <w:ind w:left="0"/>
                          <w:jc w:val="center"/>
                          <w:rPr>
                            <w:sz w:val="18"/>
                          </w:rPr>
                        </w:pPr>
                        <w:r>
                          <w:rPr>
                            <w:sz w:val="18"/>
                          </w:rPr>
                          <w:t>Vi</w:t>
                        </w:r>
                      </w:p>
                    </w:tc>
                    <w:tc>
                      <w:tcPr>
                        <w:tcW w:w="771" w:type="dxa"/>
                      </w:tcPr>
                      <w:p>
                        <w:pPr>
                          <w:pStyle w:val="TableParagraph"/>
                          <w:spacing w:before="9"/>
                          <w:ind w:left="276"/>
                          <w:rPr>
                            <w:sz w:val="18"/>
                          </w:rPr>
                        </w:pPr>
                        <w:r>
                          <w:rPr>
                            <w:sz w:val="18"/>
                          </w:rPr>
                          <w:t>Sá</w:t>
                        </w:r>
                      </w:p>
                    </w:tc>
                    <w:tc>
                      <w:tcPr>
                        <w:tcW w:w="779" w:type="dxa"/>
                      </w:tcPr>
                      <w:p>
                        <w:pPr>
                          <w:pStyle w:val="TableParagraph"/>
                          <w:spacing w:before="9"/>
                          <w:ind w:left="254" w:right="254"/>
                          <w:jc w:val="center"/>
                          <w:rPr>
                            <w:sz w:val="18"/>
                          </w:rPr>
                        </w:pPr>
                        <w:r>
                          <w:rPr>
                            <w:sz w:val="18"/>
                          </w:rPr>
                          <w:t>Do</w:t>
                        </w:r>
                      </w:p>
                    </w:tc>
                  </w:tr>
                  <w:tr>
                    <w:trPr>
                      <w:trHeight w:val="264" w:hRule="exact"/>
                    </w:trPr>
                    <w:tc>
                      <w:tcPr>
                        <w:tcW w:w="1401" w:type="dxa"/>
                      </w:tcPr>
                      <w:p>
                        <w:pPr>
                          <w:pStyle w:val="TableParagraph"/>
                          <w:spacing w:before="11"/>
                          <w:ind w:left="0"/>
                          <w:rPr>
                            <w:sz w:val="22"/>
                          </w:rPr>
                        </w:pPr>
                      </w:p>
                    </w:tc>
                    <w:tc>
                      <w:tcPr>
                        <w:tcW w:w="1101" w:type="dxa"/>
                      </w:tcPr>
                      <w:p>
                        <w:pPr/>
                      </w:p>
                    </w:tc>
                    <w:tc>
                      <w:tcPr>
                        <w:tcW w:w="870" w:type="dxa"/>
                      </w:tcPr>
                      <w:p>
                        <w:pPr/>
                      </w:p>
                    </w:tc>
                    <w:tc>
                      <w:tcPr>
                        <w:tcW w:w="776" w:type="dxa"/>
                      </w:tcPr>
                      <w:p>
                        <w:pPr>
                          <w:pStyle w:val="TableParagraph"/>
                          <w:spacing w:before="19"/>
                          <w:ind w:left="0" w:right="1"/>
                          <w:jc w:val="center"/>
                          <w:rPr>
                            <w:sz w:val="18"/>
                          </w:rPr>
                        </w:pPr>
                        <w:r>
                          <w:rPr>
                            <w:w w:val="99"/>
                            <w:sz w:val="18"/>
                          </w:rPr>
                          <w:t>1</w:t>
                        </w:r>
                      </w:p>
                    </w:tc>
                    <w:tc>
                      <w:tcPr>
                        <w:tcW w:w="775" w:type="dxa"/>
                      </w:tcPr>
                      <w:p>
                        <w:pPr>
                          <w:pStyle w:val="TableParagraph"/>
                          <w:spacing w:before="19"/>
                          <w:ind w:left="0" w:right="1"/>
                          <w:jc w:val="center"/>
                          <w:rPr>
                            <w:sz w:val="18"/>
                          </w:rPr>
                        </w:pPr>
                        <w:r>
                          <w:rPr>
                            <w:w w:val="99"/>
                            <w:sz w:val="18"/>
                          </w:rPr>
                          <w:t>2</w:t>
                        </w:r>
                      </w:p>
                    </w:tc>
                    <w:tc>
                      <w:tcPr>
                        <w:tcW w:w="771" w:type="dxa"/>
                      </w:tcPr>
                      <w:p>
                        <w:pPr>
                          <w:pStyle w:val="TableParagraph"/>
                          <w:spacing w:before="19"/>
                          <w:ind w:left="336"/>
                          <w:rPr>
                            <w:sz w:val="18"/>
                          </w:rPr>
                        </w:pPr>
                        <w:r>
                          <w:rPr>
                            <w:w w:val="99"/>
                            <w:sz w:val="18"/>
                          </w:rPr>
                          <w:t>3</w:t>
                        </w:r>
                      </w:p>
                    </w:tc>
                    <w:tc>
                      <w:tcPr>
                        <w:tcW w:w="779" w:type="dxa"/>
                      </w:tcPr>
                      <w:p>
                        <w:pPr>
                          <w:pStyle w:val="TableParagraph"/>
                          <w:spacing w:before="19"/>
                          <w:ind w:left="0"/>
                          <w:jc w:val="center"/>
                          <w:rPr>
                            <w:sz w:val="18"/>
                          </w:rPr>
                        </w:pPr>
                        <w:r>
                          <w:rPr>
                            <w:w w:val="99"/>
                            <w:sz w:val="18"/>
                          </w:rPr>
                          <w:t>4</w:t>
                        </w:r>
                      </w:p>
                    </w:tc>
                  </w:tr>
                  <w:tr>
                    <w:trPr>
                      <w:trHeight w:val="264" w:hRule="exact"/>
                    </w:trPr>
                    <w:tc>
                      <w:tcPr>
                        <w:tcW w:w="1401" w:type="dxa"/>
                      </w:tcPr>
                      <w:p>
                        <w:pPr>
                          <w:pStyle w:val="TableParagraph"/>
                          <w:spacing w:before="19"/>
                          <w:ind w:left="0" w:right="337"/>
                          <w:jc w:val="right"/>
                          <w:rPr>
                            <w:sz w:val="18"/>
                          </w:rPr>
                        </w:pPr>
                        <w:r>
                          <w:rPr>
                            <w:w w:val="99"/>
                            <w:sz w:val="18"/>
                          </w:rPr>
                          <w:t>5</w:t>
                        </w:r>
                      </w:p>
                    </w:tc>
                    <w:tc>
                      <w:tcPr>
                        <w:tcW w:w="1101" w:type="dxa"/>
                      </w:tcPr>
                      <w:p>
                        <w:pPr>
                          <w:pStyle w:val="TableParagraph"/>
                          <w:spacing w:before="19"/>
                          <w:ind w:left="93"/>
                          <w:jc w:val="center"/>
                          <w:rPr>
                            <w:sz w:val="18"/>
                          </w:rPr>
                        </w:pPr>
                        <w:r>
                          <w:rPr>
                            <w:w w:val="99"/>
                            <w:sz w:val="18"/>
                          </w:rPr>
                          <w:t>6</w:t>
                        </w:r>
                      </w:p>
                    </w:tc>
                    <w:tc>
                      <w:tcPr>
                        <w:tcW w:w="870" w:type="dxa"/>
                      </w:tcPr>
                      <w:p>
                        <w:pPr>
                          <w:pStyle w:val="TableParagraph"/>
                          <w:spacing w:before="19"/>
                          <w:ind w:left="0" w:right="334"/>
                          <w:jc w:val="right"/>
                          <w:rPr>
                            <w:sz w:val="18"/>
                          </w:rPr>
                        </w:pPr>
                        <w:r>
                          <w:rPr>
                            <w:w w:val="99"/>
                            <w:sz w:val="18"/>
                          </w:rPr>
                          <w:t>7</w:t>
                        </w:r>
                      </w:p>
                    </w:tc>
                    <w:tc>
                      <w:tcPr>
                        <w:tcW w:w="776" w:type="dxa"/>
                      </w:tcPr>
                      <w:p>
                        <w:pPr>
                          <w:pStyle w:val="TableParagraph"/>
                          <w:spacing w:before="19"/>
                          <w:ind w:left="0" w:right="1"/>
                          <w:jc w:val="center"/>
                          <w:rPr>
                            <w:sz w:val="18"/>
                          </w:rPr>
                        </w:pPr>
                        <w:r>
                          <w:rPr>
                            <w:w w:val="99"/>
                            <w:sz w:val="18"/>
                          </w:rPr>
                          <w:t>8</w:t>
                        </w:r>
                      </w:p>
                    </w:tc>
                    <w:tc>
                      <w:tcPr>
                        <w:tcW w:w="775" w:type="dxa"/>
                      </w:tcPr>
                      <w:p>
                        <w:pPr>
                          <w:pStyle w:val="TableParagraph"/>
                          <w:spacing w:before="19"/>
                          <w:ind w:left="0" w:right="1"/>
                          <w:jc w:val="center"/>
                          <w:rPr>
                            <w:sz w:val="18"/>
                          </w:rPr>
                        </w:pPr>
                        <w:r>
                          <w:rPr>
                            <w:w w:val="99"/>
                            <w:sz w:val="18"/>
                          </w:rPr>
                          <w:t>9</w:t>
                        </w:r>
                      </w:p>
                    </w:tc>
                    <w:tc>
                      <w:tcPr>
                        <w:tcW w:w="771" w:type="dxa"/>
                      </w:tcPr>
                      <w:p>
                        <w:pPr>
                          <w:pStyle w:val="TableParagraph"/>
                          <w:spacing w:before="19"/>
                          <w:ind w:left="288"/>
                          <w:rPr>
                            <w:sz w:val="18"/>
                          </w:rPr>
                        </w:pPr>
                        <w:r>
                          <w:rPr>
                            <w:sz w:val="18"/>
                          </w:rPr>
                          <w:t>10</w:t>
                        </w:r>
                      </w:p>
                    </w:tc>
                    <w:tc>
                      <w:tcPr>
                        <w:tcW w:w="779" w:type="dxa"/>
                      </w:tcPr>
                      <w:p>
                        <w:pPr>
                          <w:pStyle w:val="TableParagraph"/>
                          <w:spacing w:before="19"/>
                          <w:ind w:left="254" w:right="248"/>
                          <w:jc w:val="center"/>
                          <w:rPr>
                            <w:sz w:val="18"/>
                          </w:rPr>
                        </w:pPr>
                        <w:r>
                          <w:rPr>
                            <w:sz w:val="18"/>
                          </w:rPr>
                          <w:t>11</w:t>
                        </w:r>
                      </w:p>
                    </w:tc>
                  </w:tr>
                  <w:tr>
                    <w:trPr>
                      <w:trHeight w:val="257" w:hRule="exact"/>
                    </w:trPr>
                    <w:tc>
                      <w:tcPr>
                        <w:tcW w:w="1401" w:type="dxa"/>
                      </w:tcPr>
                      <w:p>
                        <w:pPr>
                          <w:pStyle w:val="TableParagraph"/>
                          <w:spacing w:before="19"/>
                          <w:ind w:left="0" w:right="284"/>
                          <w:jc w:val="right"/>
                          <w:rPr>
                            <w:sz w:val="18"/>
                          </w:rPr>
                        </w:pPr>
                        <w:r>
                          <w:rPr>
                            <w:sz w:val="18"/>
                          </w:rPr>
                          <w:t>12</w:t>
                        </w:r>
                      </w:p>
                    </w:tc>
                    <w:tc>
                      <w:tcPr>
                        <w:tcW w:w="1101" w:type="dxa"/>
                      </w:tcPr>
                      <w:p>
                        <w:pPr>
                          <w:pStyle w:val="TableParagraph"/>
                          <w:spacing w:before="19"/>
                          <w:ind w:left="171" w:right="77"/>
                          <w:jc w:val="center"/>
                          <w:rPr>
                            <w:sz w:val="18"/>
                          </w:rPr>
                        </w:pPr>
                        <w:r>
                          <w:rPr>
                            <w:sz w:val="18"/>
                          </w:rPr>
                          <w:t>13</w:t>
                        </w:r>
                      </w:p>
                    </w:tc>
                    <w:tc>
                      <w:tcPr>
                        <w:tcW w:w="870" w:type="dxa"/>
                      </w:tcPr>
                      <w:p>
                        <w:pPr>
                          <w:pStyle w:val="TableParagraph"/>
                          <w:spacing w:before="19"/>
                          <w:ind w:left="0" w:right="281"/>
                          <w:jc w:val="right"/>
                          <w:rPr>
                            <w:sz w:val="18"/>
                          </w:rPr>
                        </w:pPr>
                        <w:r>
                          <w:rPr>
                            <w:w w:val="95"/>
                            <w:sz w:val="18"/>
                          </w:rPr>
                          <w:t>14</w:t>
                        </w:r>
                      </w:p>
                    </w:tc>
                    <w:tc>
                      <w:tcPr>
                        <w:tcW w:w="776" w:type="dxa"/>
                      </w:tcPr>
                      <w:p>
                        <w:pPr>
                          <w:pStyle w:val="TableParagraph"/>
                          <w:spacing w:before="19"/>
                          <w:ind w:left="268" w:right="267"/>
                          <w:jc w:val="center"/>
                          <w:rPr>
                            <w:sz w:val="18"/>
                          </w:rPr>
                        </w:pPr>
                        <w:r>
                          <w:rPr>
                            <w:sz w:val="18"/>
                          </w:rPr>
                          <w:t>15</w:t>
                        </w:r>
                      </w:p>
                    </w:tc>
                    <w:tc>
                      <w:tcPr>
                        <w:tcW w:w="775" w:type="dxa"/>
                      </w:tcPr>
                      <w:p>
                        <w:pPr>
                          <w:pStyle w:val="TableParagraph"/>
                          <w:spacing w:before="19"/>
                          <w:ind w:left="2"/>
                          <w:jc w:val="center"/>
                          <w:rPr>
                            <w:sz w:val="18"/>
                          </w:rPr>
                        </w:pPr>
                        <w:r>
                          <w:rPr>
                            <w:sz w:val="18"/>
                          </w:rPr>
                          <w:t>16</w:t>
                        </w:r>
                      </w:p>
                    </w:tc>
                    <w:tc>
                      <w:tcPr>
                        <w:tcW w:w="771" w:type="dxa"/>
                      </w:tcPr>
                      <w:p>
                        <w:pPr>
                          <w:pStyle w:val="TableParagraph"/>
                          <w:spacing w:before="19"/>
                          <w:ind w:left="288"/>
                          <w:rPr>
                            <w:sz w:val="18"/>
                          </w:rPr>
                        </w:pPr>
                        <w:r>
                          <w:rPr>
                            <w:sz w:val="18"/>
                          </w:rPr>
                          <w:t>17</w:t>
                        </w:r>
                      </w:p>
                    </w:tc>
                    <w:tc>
                      <w:tcPr>
                        <w:tcW w:w="779" w:type="dxa"/>
                      </w:tcPr>
                      <w:p>
                        <w:pPr>
                          <w:pStyle w:val="TableParagraph"/>
                          <w:spacing w:before="19"/>
                          <w:ind w:left="254" w:right="248"/>
                          <w:jc w:val="center"/>
                          <w:rPr>
                            <w:sz w:val="18"/>
                          </w:rPr>
                        </w:pPr>
                        <w:r>
                          <w:rPr>
                            <w:sz w:val="18"/>
                          </w:rPr>
                          <w:t>18</w:t>
                        </w:r>
                      </w:p>
                    </w:tc>
                  </w:tr>
                  <w:tr>
                    <w:trPr>
                      <w:trHeight w:val="264" w:hRule="exact"/>
                    </w:trPr>
                    <w:tc>
                      <w:tcPr>
                        <w:tcW w:w="1401" w:type="dxa"/>
                      </w:tcPr>
                      <w:p>
                        <w:pPr>
                          <w:pStyle w:val="TableParagraph"/>
                          <w:spacing w:before="25"/>
                          <w:ind w:left="0" w:right="284"/>
                          <w:jc w:val="right"/>
                          <w:rPr>
                            <w:sz w:val="18"/>
                          </w:rPr>
                        </w:pPr>
                        <w:r>
                          <w:rPr>
                            <w:sz w:val="18"/>
                          </w:rPr>
                          <w:t>19</w:t>
                        </w:r>
                      </w:p>
                    </w:tc>
                    <w:tc>
                      <w:tcPr>
                        <w:tcW w:w="1101" w:type="dxa"/>
                        <w:shd w:val="clear" w:color="auto" w:fill="9BBA58"/>
                      </w:tcPr>
                      <w:p>
                        <w:pPr>
                          <w:pStyle w:val="TableParagraph"/>
                          <w:spacing w:before="25"/>
                          <w:ind w:left="171" w:right="77"/>
                          <w:jc w:val="center"/>
                          <w:rPr>
                            <w:sz w:val="18"/>
                          </w:rPr>
                        </w:pPr>
                        <w:r>
                          <w:rPr>
                            <w:sz w:val="18"/>
                          </w:rPr>
                          <w:t>20</w:t>
                        </w:r>
                      </w:p>
                    </w:tc>
                    <w:tc>
                      <w:tcPr>
                        <w:tcW w:w="870" w:type="dxa"/>
                        <w:shd w:val="clear" w:color="auto" w:fill="9BBA58"/>
                      </w:tcPr>
                      <w:p>
                        <w:pPr>
                          <w:pStyle w:val="TableParagraph"/>
                          <w:spacing w:before="25"/>
                          <w:ind w:left="0" w:right="281"/>
                          <w:jc w:val="right"/>
                          <w:rPr>
                            <w:sz w:val="18"/>
                          </w:rPr>
                        </w:pPr>
                        <w:r>
                          <w:rPr>
                            <w:w w:val="95"/>
                            <w:sz w:val="18"/>
                          </w:rPr>
                          <w:t>21</w:t>
                        </w:r>
                      </w:p>
                    </w:tc>
                    <w:tc>
                      <w:tcPr>
                        <w:tcW w:w="776" w:type="dxa"/>
                        <w:shd w:val="clear" w:color="auto" w:fill="9BBA58"/>
                      </w:tcPr>
                      <w:p>
                        <w:pPr>
                          <w:pStyle w:val="TableParagraph"/>
                          <w:spacing w:before="25"/>
                          <w:ind w:left="268" w:right="267"/>
                          <w:jc w:val="center"/>
                          <w:rPr>
                            <w:sz w:val="18"/>
                          </w:rPr>
                        </w:pPr>
                        <w:r>
                          <w:rPr>
                            <w:sz w:val="18"/>
                          </w:rPr>
                          <w:t>22</w:t>
                        </w:r>
                      </w:p>
                    </w:tc>
                    <w:tc>
                      <w:tcPr>
                        <w:tcW w:w="775" w:type="dxa"/>
                      </w:tcPr>
                      <w:p>
                        <w:pPr>
                          <w:pStyle w:val="TableParagraph"/>
                          <w:spacing w:before="25"/>
                          <w:ind w:left="2"/>
                          <w:jc w:val="center"/>
                          <w:rPr>
                            <w:sz w:val="18"/>
                          </w:rPr>
                        </w:pPr>
                        <w:r>
                          <w:rPr>
                            <w:sz w:val="18"/>
                          </w:rPr>
                          <w:t>23</w:t>
                        </w:r>
                      </w:p>
                    </w:tc>
                    <w:tc>
                      <w:tcPr>
                        <w:tcW w:w="771" w:type="dxa"/>
                      </w:tcPr>
                      <w:p>
                        <w:pPr>
                          <w:pStyle w:val="TableParagraph"/>
                          <w:spacing w:before="25"/>
                          <w:ind w:left="288"/>
                          <w:rPr>
                            <w:sz w:val="18"/>
                          </w:rPr>
                        </w:pPr>
                        <w:r>
                          <w:rPr>
                            <w:sz w:val="18"/>
                          </w:rPr>
                          <w:t>24</w:t>
                        </w:r>
                      </w:p>
                    </w:tc>
                    <w:tc>
                      <w:tcPr>
                        <w:tcW w:w="779" w:type="dxa"/>
                      </w:tcPr>
                      <w:p>
                        <w:pPr>
                          <w:pStyle w:val="TableParagraph"/>
                          <w:spacing w:before="25"/>
                          <w:ind w:left="254" w:right="248"/>
                          <w:jc w:val="center"/>
                          <w:rPr>
                            <w:sz w:val="18"/>
                          </w:rPr>
                        </w:pPr>
                        <w:r>
                          <w:rPr>
                            <w:sz w:val="18"/>
                          </w:rPr>
                          <w:t>25</w:t>
                        </w:r>
                      </w:p>
                    </w:tc>
                  </w:tr>
                  <w:tr>
                    <w:trPr>
                      <w:trHeight w:val="269" w:hRule="exact"/>
                    </w:trPr>
                    <w:tc>
                      <w:tcPr>
                        <w:tcW w:w="1401" w:type="dxa"/>
                      </w:tcPr>
                      <w:p>
                        <w:pPr>
                          <w:pStyle w:val="TableParagraph"/>
                          <w:spacing w:before="25"/>
                          <w:ind w:left="0" w:right="284"/>
                          <w:jc w:val="right"/>
                          <w:rPr>
                            <w:sz w:val="18"/>
                          </w:rPr>
                        </w:pPr>
                        <w:r>
                          <w:rPr>
                            <w:sz w:val="18"/>
                          </w:rPr>
                          <w:t>26</w:t>
                        </w:r>
                      </w:p>
                    </w:tc>
                    <w:tc>
                      <w:tcPr>
                        <w:tcW w:w="1101" w:type="dxa"/>
                        <w:shd w:val="clear" w:color="auto" w:fill="9BBA58"/>
                      </w:tcPr>
                      <w:p>
                        <w:pPr>
                          <w:pStyle w:val="TableParagraph"/>
                          <w:spacing w:before="25"/>
                          <w:ind w:left="171" w:right="77"/>
                          <w:jc w:val="center"/>
                          <w:rPr>
                            <w:sz w:val="18"/>
                          </w:rPr>
                        </w:pPr>
                        <w:r>
                          <w:rPr>
                            <w:sz w:val="18"/>
                          </w:rPr>
                          <w:t>27</w:t>
                        </w:r>
                      </w:p>
                    </w:tc>
                    <w:tc>
                      <w:tcPr>
                        <w:tcW w:w="870" w:type="dxa"/>
                        <w:shd w:val="clear" w:color="auto" w:fill="9BBA58"/>
                      </w:tcPr>
                      <w:p>
                        <w:pPr>
                          <w:pStyle w:val="TableParagraph"/>
                          <w:spacing w:before="25"/>
                          <w:ind w:left="0" w:right="281"/>
                          <w:jc w:val="right"/>
                          <w:rPr>
                            <w:sz w:val="18"/>
                          </w:rPr>
                        </w:pPr>
                        <w:r>
                          <w:rPr>
                            <w:w w:val="95"/>
                            <w:sz w:val="18"/>
                          </w:rPr>
                          <w:t>28</w:t>
                        </w:r>
                      </w:p>
                    </w:tc>
                    <w:tc>
                      <w:tcPr>
                        <w:tcW w:w="776" w:type="dxa"/>
                      </w:tcPr>
                      <w:p>
                        <w:pPr/>
                      </w:p>
                    </w:tc>
                    <w:tc>
                      <w:tcPr>
                        <w:tcW w:w="775" w:type="dxa"/>
                      </w:tcPr>
                      <w:p>
                        <w:pPr/>
                      </w:p>
                    </w:tc>
                    <w:tc>
                      <w:tcPr>
                        <w:tcW w:w="771" w:type="dxa"/>
                      </w:tcPr>
                      <w:p>
                        <w:pPr/>
                      </w:p>
                    </w:tc>
                    <w:tc>
                      <w:tcPr>
                        <w:tcW w:w="779" w:type="dxa"/>
                      </w:tcPr>
                      <w:p>
                        <w:pPr/>
                      </w:p>
                    </w:tc>
                  </w:tr>
                  <w:tr>
                    <w:trPr>
                      <w:trHeight w:val="296" w:hRule="exact"/>
                    </w:trPr>
                    <w:tc>
                      <w:tcPr>
                        <w:tcW w:w="6472" w:type="dxa"/>
                        <w:gridSpan w:val="7"/>
                      </w:tcPr>
                      <w:p>
                        <w:pPr>
                          <w:pStyle w:val="TableParagraph"/>
                          <w:tabs>
                            <w:tab w:pos="1522" w:val="left" w:leader="none"/>
                            <w:tab w:pos="6472" w:val="left" w:leader="none"/>
                          </w:tabs>
                          <w:spacing w:before="59"/>
                          <w:ind w:left="624"/>
                          <w:rPr>
                            <w:sz w:val="18"/>
                          </w:rPr>
                        </w:pPr>
                        <w:r>
                          <w:rPr>
                            <w:w w:val="100"/>
                            <w:sz w:val="18"/>
                            <w:u w:val="single"/>
                          </w:rPr>
                          <w:t> </w:t>
                        </w:r>
                        <w:r>
                          <w:rPr>
                            <w:sz w:val="18"/>
                            <w:u w:val="single"/>
                          </w:rPr>
                          <w:tab/>
                          <w:t>Marzo</w:t>
                        </w:r>
                        <w:r>
                          <w:rPr>
                            <w:spacing w:val="-4"/>
                            <w:sz w:val="18"/>
                            <w:u w:val="single"/>
                          </w:rPr>
                          <w:t> </w:t>
                        </w:r>
                        <w:r>
                          <w:rPr>
                            <w:sz w:val="18"/>
                            <w:u w:val="single"/>
                          </w:rPr>
                          <w:t>2007</w:t>
                          <w:tab/>
                        </w:r>
                      </w:p>
                    </w:tc>
                  </w:tr>
                  <w:tr>
                    <w:trPr>
                      <w:trHeight w:val="247" w:hRule="exact"/>
                    </w:trPr>
                    <w:tc>
                      <w:tcPr>
                        <w:tcW w:w="1401" w:type="dxa"/>
                      </w:tcPr>
                      <w:p>
                        <w:pPr>
                          <w:pStyle w:val="TableParagraph"/>
                          <w:spacing w:before="10"/>
                          <w:ind w:left="0" w:right="284"/>
                          <w:jc w:val="right"/>
                          <w:rPr>
                            <w:sz w:val="18"/>
                          </w:rPr>
                        </w:pPr>
                        <w:r>
                          <w:rPr>
                            <w:sz w:val="18"/>
                          </w:rPr>
                          <w:t>Lu</w:t>
                        </w:r>
                      </w:p>
                    </w:tc>
                    <w:tc>
                      <w:tcPr>
                        <w:tcW w:w="1101" w:type="dxa"/>
                      </w:tcPr>
                      <w:p>
                        <w:pPr>
                          <w:pStyle w:val="TableParagraph"/>
                          <w:spacing w:before="10"/>
                          <w:ind w:left="164" w:right="77"/>
                          <w:jc w:val="center"/>
                          <w:rPr>
                            <w:sz w:val="18"/>
                          </w:rPr>
                        </w:pPr>
                        <w:r>
                          <w:rPr>
                            <w:sz w:val="18"/>
                          </w:rPr>
                          <w:t>Ma</w:t>
                        </w:r>
                      </w:p>
                    </w:tc>
                    <w:tc>
                      <w:tcPr>
                        <w:tcW w:w="870" w:type="dxa"/>
                      </w:tcPr>
                      <w:p>
                        <w:pPr>
                          <w:pStyle w:val="TableParagraph"/>
                          <w:spacing w:before="10"/>
                          <w:ind w:left="0" w:right="295"/>
                          <w:jc w:val="right"/>
                          <w:rPr>
                            <w:sz w:val="18"/>
                          </w:rPr>
                        </w:pPr>
                        <w:r>
                          <w:rPr>
                            <w:w w:val="95"/>
                            <w:sz w:val="18"/>
                          </w:rPr>
                          <w:t>Mi</w:t>
                        </w:r>
                      </w:p>
                    </w:tc>
                    <w:tc>
                      <w:tcPr>
                        <w:tcW w:w="776" w:type="dxa"/>
                      </w:tcPr>
                      <w:p>
                        <w:pPr>
                          <w:pStyle w:val="TableParagraph"/>
                          <w:spacing w:before="10"/>
                          <w:ind w:left="268" w:right="266"/>
                          <w:jc w:val="center"/>
                          <w:rPr>
                            <w:sz w:val="18"/>
                          </w:rPr>
                        </w:pPr>
                        <w:r>
                          <w:rPr>
                            <w:sz w:val="18"/>
                          </w:rPr>
                          <w:t>Ju</w:t>
                        </w:r>
                      </w:p>
                    </w:tc>
                    <w:tc>
                      <w:tcPr>
                        <w:tcW w:w="775" w:type="dxa"/>
                      </w:tcPr>
                      <w:p>
                        <w:pPr>
                          <w:pStyle w:val="TableParagraph"/>
                          <w:spacing w:before="10"/>
                          <w:ind w:left="0"/>
                          <w:jc w:val="center"/>
                          <w:rPr>
                            <w:sz w:val="18"/>
                          </w:rPr>
                        </w:pPr>
                        <w:r>
                          <w:rPr>
                            <w:sz w:val="18"/>
                          </w:rPr>
                          <w:t>Vi</w:t>
                        </w:r>
                      </w:p>
                    </w:tc>
                    <w:tc>
                      <w:tcPr>
                        <w:tcW w:w="771" w:type="dxa"/>
                      </w:tcPr>
                      <w:p>
                        <w:pPr>
                          <w:pStyle w:val="TableParagraph"/>
                          <w:spacing w:before="10"/>
                          <w:ind w:left="276"/>
                          <w:rPr>
                            <w:sz w:val="18"/>
                          </w:rPr>
                        </w:pPr>
                        <w:r>
                          <w:rPr>
                            <w:sz w:val="18"/>
                          </w:rPr>
                          <w:t>Sá</w:t>
                        </w:r>
                      </w:p>
                    </w:tc>
                    <w:tc>
                      <w:tcPr>
                        <w:tcW w:w="779" w:type="dxa"/>
                      </w:tcPr>
                      <w:p>
                        <w:pPr>
                          <w:pStyle w:val="TableParagraph"/>
                          <w:spacing w:before="10"/>
                          <w:ind w:left="254" w:right="254"/>
                          <w:jc w:val="center"/>
                          <w:rPr>
                            <w:sz w:val="18"/>
                          </w:rPr>
                        </w:pPr>
                        <w:r>
                          <w:rPr>
                            <w:sz w:val="18"/>
                          </w:rPr>
                          <w:t>Do</w:t>
                        </w:r>
                      </w:p>
                    </w:tc>
                  </w:tr>
                  <w:tr>
                    <w:trPr>
                      <w:trHeight w:val="264" w:hRule="exact"/>
                    </w:trPr>
                    <w:tc>
                      <w:tcPr>
                        <w:tcW w:w="1401" w:type="dxa"/>
                      </w:tcPr>
                      <w:p>
                        <w:pPr>
                          <w:pStyle w:val="TableParagraph"/>
                          <w:spacing w:before="11"/>
                          <w:ind w:left="0"/>
                          <w:rPr>
                            <w:sz w:val="22"/>
                          </w:rPr>
                        </w:pPr>
                      </w:p>
                    </w:tc>
                    <w:tc>
                      <w:tcPr>
                        <w:tcW w:w="1101" w:type="dxa"/>
                      </w:tcPr>
                      <w:p>
                        <w:pPr/>
                      </w:p>
                    </w:tc>
                    <w:tc>
                      <w:tcPr>
                        <w:tcW w:w="870" w:type="dxa"/>
                      </w:tcPr>
                      <w:p>
                        <w:pPr/>
                      </w:p>
                    </w:tc>
                    <w:tc>
                      <w:tcPr>
                        <w:tcW w:w="776" w:type="dxa"/>
                      </w:tcPr>
                      <w:p>
                        <w:pPr>
                          <w:pStyle w:val="TableParagraph"/>
                          <w:spacing w:before="28"/>
                          <w:ind w:left="0" w:right="1"/>
                          <w:jc w:val="center"/>
                          <w:rPr>
                            <w:sz w:val="18"/>
                          </w:rPr>
                        </w:pPr>
                        <w:r>
                          <w:rPr>
                            <w:w w:val="99"/>
                            <w:sz w:val="18"/>
                          </w:rPr>
                          <w:t>1</w:t>
                        </w:r>
                      </w:p>
                    </w:tc>
                    <w:tc>
                      <w:tcPr>
                        <w:tcW w:w="775" w:type="dxa"/>
                      </w:tcPr>
                      <w:p>
                        <w:pPr>
                          <w:pStyle w:val="TableParagraph"/>
                          <w:tabs>
                            <w:tab w:pos="335" w:val="left" w:leader="none"/>
                            <w:tab w:pos="775" w:val="left" w:leader="none"/>
                          </w:tabs>
                          <w:spacing w:before="28"/>
                          <w:ind w:left="-1"/>
                          <w:jc w:val="center"/>
                          <w:rPr>
                            <w:sz w:val="18"/>
                          </w:rPr>
                        </w:pPr>
                        <w:r>
                          <w:rPr>
                            <w:w w:val="100"/>
                            <w:sz w:val="18"/>
                            <w:shd w:fill="00CC66" w:color="auto" w:val="clear"/>
                          </w:rPr>
                          <w:t> </w:t>
                        </w:r>
                        <w:r>
                          <w:rPr>
                            <w:sz w:val="18"/>
                            <w:shd w:fill="00CC66" w:color="auto" w:val="clear"/>
                          </w:rPr>
                          <w:tab/>
                          <w:t>2</w:t>
                          <w:tab/>
                        </w:r>
                      </w:p>
                    </w:tc>
                    <w:tc>
                      <w:tcPr>
                        <w:tcW w:w="771" w:type="dxa"/>
                        <w:shd w:val="clear" w:color="auto" w:fill="9BBA58"/>
                      </w:tcPr>
                      <w:p>
                        <w:pPr>
                          <w:pStyle w:val="TableParagraph"/>
                          <w:spacing w:before="28"/>
                          <w:ind w:left="336"/>
                          <w:rPr>
                            <w:sz w:val="18"/>
                          </w:rPr>
                        </w:pPr>
                        <w:r>
                          <w:rPr>
                            <w:w w:val="99"/>
                            <w:sz w:val="18"/>
                          </w:rPr>
                          <w:t>3</w:t>
                        </w:r>
                      </w:p>
                    </w:tc>
                    <w:tc>
                      <w:tcPr>
                        <w:tcW w:w="779" w:type="dxa"/>
                        <w:shd w:val="clear" w:color="auto" w:fill="9BBA58"/>
                      </w:tcPr>
                      <w:p>
                        <w:pPr>
                          <w:pStyle w:val="TableParagraph"/>
                          <w:spacing w:before="28"/>
                          <w:ind w:left="0"/>
                          <w:jc w:val="center"/>
                          <w:rPr>
                            <w:sz w:val="18"/>
                          </w:rPr>
                        </w:pPr>
                        <w:r>
                          <w:rPr>
                            <w:w w:val="99"/>
                            <w:sz w:val="18"/>
                          </w:rPr>
                          <w:t>4</w:t>
                        </w:r>
                      </w:p>
                    </w:tc>
                  </w:tr>
                  <w:tr>
                    <w:trPr>
                      <w:trHeight w:val="264" w:hRule="exact"/>
                    </w:trPr>
                    <w:tc>
                      <w:tcPr>
                        <w:tcW w:w="1401" w:type="dxa"/>
                      </w:tcPr>
                      <w:p>
                        <w:pPr>
                          <w:pStyle w:val="TableParagraph"/>
                          <w:spacing w:before="28"/>
                          <w:ind w:left="0" w:right="337"/>
                          <w:jc w:val="right"/>
                          <w:rPr>
                            <w:sz w:val="18"/>
                          </w:rPr>
                        </w:pPr>
                        <w:r>
                          <w:rPr>
                            <w:w w:val="99"/>
                            <w:sz w:val="18"/>
                          </w:rPr>
                          <w:t>5</w:t>
                        </w:r>
                      </w:p>
                    </w:tc>
                    <w:tc>
                      <w:tcPr>
                        <w:tcW w:w="1101" w:type="dxa"/>
                        <w:shd w:val="clear" w:color="auto" w:fill="9BBA58"/>
                      </w:tcPr>
                      <w:p>
                        <w:pPr>
                          <w:pStyle w:val="TableParagraph"/>
                          <w:spacing w:before="28"/>
                          <w:ind w:left="93"/>
                          <w:jc w:val="center"/>
                          <w:rPr>
                            <w:sz w:val="18"/>
                          </w:rPr>
                        </w:pPr>
                        <w:r>
                          <w:rPr>
                            <w:w w:val="99"/>
                            <w:sz w:val="18"/>
                          </w:rPr>
                          <w:t>6</w:t>
                        </w:r>
                      </w:p>
                    </w:tc>
                    <w:tc>
                      <w:tcPr>
                        <w:tcW w:w="870" w:type="dxa"/>
                        <w:shd w:val="clear" w:color="auto" w:fill="9BBA58"/>
                      </w:tcPr>
                      <w:p>
                        <w:pPr>
                          <w:pStyle w:val="TableParagraph"/>
                          <w:spacing w:before="28"/>
                          <w:ind w:left="0" w:right="334"/>
                          <w:jc w:val="right"/>
                          <w:rPr>
                            <w:sz w:val="18"/>
                          </w:rPr>
                        </w:pPr>
                        <w:r>
                          <w:rPr>
                            <w:w w:val="99"/>
                            <w:sz w:val="18"/>
                          </w:rPr>
                          <w:t>7</w:t>
                        </w:r>
                      </w:p>
                    </w:tc>
                    <w:tc>
                      <w:tcPr>
                        <w:tcW w:w="776" w:type="dxa"/>
                        <w:shd w:val="clear" w:color="auto" w:fill="9BBA58"/>
                      </w:tcPr>
                      <w:p>
                        <w:pPr>
                          <w:pStyle w:val="TableParagraph"/>
                          <w:spacing w:before="28"/>
                          <w:ind w:left="0" w:right="1"/>
                          <w:jc w:val="center"/>
                          <w:rPr>
                            <w:sz w:val="18"/>
                          </w:rPr>
                        </w:pPr>
                        <w:r>
                          <w:rPr>
                            <w:w w:val="99"/>
                            <w:sz w:val="18"/>
                          </w:rPr>
                          <w:t>8</w:t>
                        </w:r>
                      </w:p>
                    </w:tc>
                    <w:tc>
                      <w:tcPr>
                        <w:tcW w:w="775" w:type="dxa"/>
                      </w:tcPr>
                      <w:p>
                        <w:pPr>
                          <w:pStyle w:val="TableParagraph"/>
                          <w:spacing w:before="28"/>
                          <w:ind w:left="0" w:right="1"/>
                          <w:jc w:val="center"/>
                          <w:rPr>
                            <w:sz w:val="18"/>
                          </w:rPr>
                        </w:pPr>
                        <w:r>
                          <w:rPr>
                            <w:w w:val="99"/>
                            <w:sz w:val="18"/>
                          </w:rPr>
                          <w:t>9</w:t>
                        </w:r>
                      </w:p>
                    </w:tc>
                    <w:tc>
                      <w:tcPr>
                        <w:tcW w:w="771" w:type="dxa"/>
                        <w:shd w:val="clear" w:color="auto" w:fill="9BBA58"/>
                      </w:tcPr>
                      <w:p>
                        <w:pPr>
                          <w:pStyle w:val="TableParagraph"/>
                          <w:spacing w:before="28"/>
                          <w:ind w:left="288"/>
                          <w:rPr>
                            <w:sz w:val="18"/>
                          </w:rPr>
                        </w:pPr>
                        <w:r>
                          <w:rPr>
                            <w:sz w:val="18"/>
                          </w:rPr>
                          <w:t>10</w:t>
                        </w:r>
                      </w:p>
                    </w:tc>
                    <w:tc>
                      <w:tcPr>
                        <w:tcW w:w="779" w:type="dxa"/>
                        <w:shd w:val="clear" w:color="auto" w:fill="9BBA58"/>
                      </w:tcPr>
                      <w:p>
                        <w:pPr>
                          <w:pStyle w:val="TableParagraph"/>
                          <w:spacing w:before="28"/>
                          <w:ind w:left="254" w:right="248"/>
                          <w:jc w:val="center"/>
                          <w:rPr>
                            <w:sz w:val="18"/>
                          </w:rPr>
                        </w:pPr>
                        <w:r>
                          <w:rPr>
                            <w:sz w:val="18"/>
                          </w:rPr>
                          <w:t>11</w:t>
                        </w:r>
                      </w:p>
                    </w:tc>
                  </w:tr>
                  <w:tr>
                    <w:trPr>
                      <w:trHeight w:val="273" w:hRule="exact"/>
                    </w:trPr>
                    <w:tc>
                      <w:tcPr>
                        <w:tcW w:w="1401" w:type="dxa"/>
                      </w:tcPr>
                      <w:p>
                        <w:pPr>
                          <w:pStyle w:val="TableParagraph"/>
                          <w:spacing w:before="28"/>
                          <w:ind w:left="0" w:right="284"/>
                          <w:jc w:val="right"/>
                          <w:rPr>
                            <w:sz w:val="18"/>
                          </w:rPr>
                        </w:pPr>
                        <w:r>
                          <w:rPr>
                            <w:sz w:val="18"/>
                          </w:rPr>
                          <w:t>12</w:t>
                        </w:r>
                      </w:p>
                    </w:tc>
                    <w:tc>
                      <w:tcPr>
                        <w:tcW w:w="1101" w:type="dxa"/>
                      </w:tcPr>
                      <w:p>
                        <w:pPr>
                          <w:pStyle w:val="TableParagraph"/>
                          <w:spacing w:before="28"/>
                          <w:ind w:left="171" w:right="77"/>
                          <w:jc w:val="center"/>
                          <w:rPr>
                            <w:sz w:val="18"/>
                          </w:rPr>
                        </w:pPr>
                        <w:r>
                          <w:rPr>
                            <w:sz w:val="18"/>
                          </w:rPr>
                          <w:t>13</w:t>
                        </w:r>
                      </w:p>
                    </w:tc>
                    <w:tc>
                      <w:tcPr>
                        <w:tcW w:w="870" w:type="dxa"/>
                      </w:tcPr>
                      <w:p>
                        <w:pPr>
                          <w:pStyle w:val="TableParagraph"/>
                          <w:spacing w:before="28"/>
                          <w:ind w:left="0" w:right="281"/>
                          <w:jc w:val="right"/>
                          <w:rPr>
                            <w:sz w:val="18"/>
                          </w:rPr>
                        </w:pPr>
                        <w:r>
                          <w:rPr>
                            <w:w w:val="95"/>
                            <w:sz w:val="18"/>
                          </w:rPr>
                          <w:t>14</w:t>
                        </w:r>
                      </w:p>
                    </w:tc>
                    <w:tc>
                      <w:tcPr>
                        <w:tcW w:w="776" w:type="dxa"/>
                      </w:tcPr>
                      <w:p>
                        <w:pPr>
                          <w:pStyle w:val="TableParagraph"/>
                          <w:spacing w:before="28"/>
                          <w:ind w:left="268" w:right="267"/>
                          <w:jc w:val="center"/>
                          <w:rPr>
                            <w:sz w:val="18"/>
                          </w:rPr>
                        </w:pPr>
                        <w:r>
                          <w:rPr>
                            <w:sz w:val="18"/>
                          </w:rPr>
                          <w:t>15</w:t>
                        </w:r>
                      </w:p>
                    </w:tc>
                    <w:tc>
                      <w:tcPr>
                        <w:tcW w:w="775" w:type="dxa"/>
                      </w:tcPr>
                      <w:p>
                        <w:pPr>
                          <w:pStyle w:val="TableParagraph"/>
                          <w:spacing w:before="28"/>
                          <w:ind w:left="2"/>
                          <w:jc w:val="center"/>
                          <w:rPr>
                            <w:sz w:val="18"/>
                          </w:rPr>
                        </w:pPr>
                        <w:r>
                          <w:rPr>
                            <w:sz w:val="18"/>
                          </w:rPr>
                          <w:t>16</w:t>
                        </w:r>
                      </w:p>
                    </w:tc>
                    <w:tc>
                      <w:tcPr>
                        <w:tcW w:w="771" w:type="dxa"/>
                      </w:tcPr>
                      <w:p>
                        <w:pPr>
                          <w:pStyle w:val="TableParagraph"/>
                          <w:spacing w:before="28"/>
                          <w:ind w:left="288"/>
                          <w:rPr>
                            <w:sz w:val="18"/>
                          </w:rPr>
                        </w:pPr>
                        <w:r>
                          <w:rPr>
                            <w:sz w:val="18"/>
                          </w:rPr>
                          <w:t>17</w:t>
                        </w:r>
                      </w:p>
                    </w:tc>
                    <w:tc>
                      <w:tcPr>
                        <w:tcW w:w="779" w:type="dxa"/>
                      </w:tcPr>
                      <w:p>
                        <w:pPr>
                          <w:pStyle w:val="TableParagraph"/>
                          <w:spacing w:before="28"/>
                          <w:ind w:left="254" w:right="248"/>
                          <w:jc w:val="center"/>
                          <w:rPr>
                            <w:sz w:val="18"/>
                          </w:rPr>
                        </w:pPr>
                        <w:r>
                          <w:rPr>
                            <w:sz w:val="18"/>
                          </w:rPr>
                          <w:t>18</w:t>
                        </w:r>
                      </w:p>
                    </w:tc>
                  </w:tr>
                  <w:tr>
                    <w:trPr>
                      <w:trHeight w:val="264" w:hRule="exact"/>
                    </w:trPr>
                    <w:tc>
                      <w:tcPr>
                        <w:tcW w:w="1401" w:type="dxa"/>
                      </w:tcPr>
                      <w:p>
                        <w:pPr>
                          <w:pStyle w:val="TableParagraph"/>
                          <w:spacing w:before="19"/>
                          <w:ind w:left="0" w:right="284"/>
                          <w:jc w:val="right"/>
                          <w:rPr>
                            <w:sz w:val="18"/>
                          </w:rPr>
                        </w:pPr>
                        <w:r>
                          <w:rPr>
                            <w:sz w:val="18"/>
                          </w:rPr>
                          <w:t>19</w:t>
                        </w:r>
                      </w:p>
                    </w:tc>
                    <w:tc>
                      <w:tcPr>
                        <w:tcW w:w="1101" w:type="dxa"/>
                      </w:tcPr>
                      <w:p>
                        <w:pPr>
                          <w:pStyle w:val="TableParagraph"/>
                          <w:spacing w:before="19"/>
                          <w:ind w:left="171" w:right="77"/>
                          <w:jc w:val="center"/>
                          <w:rPr>
                            <w:sz w:val="18"/>
                          </w:rPr>
                        </w:pPr>
                        <w:r>
                          <w:rPr>
                            <w:sz w:val="18"/>
                          </w:rPr>
                          <w:t>20</w:t>
                        </w:r>
                      </w:p>
                    </w:tc>
                    <w:tc>
                      <w:tcPr>
                        <w:tcW w:w="870" w:type="dxa"/>
                      </w:tcPr>
                      <w:p>
                        <w:pPr>
                          <w:pStyle w:val="TableParagraph"/>
                          <w:spacing w:before="19"/>
                          <w:ind w:left="0" w:right="281"/>
                          <w:jc w:val="right"/>
                          <w:rPr>
                            <w:sz w:val="18"/>
                          </w:rPr>
                        </w:pPr>
                        <w:r>
                          <w:rPr>
                            <w:w w:val="95"/>
                            <w:sz w:val="18"/>
                          </w:rPr>
                          <w:t>21</w:t>
                        </w:r>
                      </w:p>
                    </w:tc>
                    <w:tc>
                      <w:tcPr>
                        <w:tcW w:w="776" w:type="dxa"/>
                      </w:tcPr>
                      <w:p>
                        <w:pPr>
                          <w:pStyle w:val="TableParagraph"/>
                          <w:spacing w:before="19"/>
                          <w:ind w:left="268" w:right="267"/>
                          <w:jc w:val="center"/>
                          <w:rPr>
                            <w:sz w:val="18"/>
                          </w:rPr>
                        </w:pPr>
                        <w:r>
                          <w:rPr>
                            <w:sz w:val="18"/>
                          </w:rPr>
                          <w:t>22</w:t>
                        </w:r>
                      </w:p>
                    </w:tc>
                    <w:tc>
                      <w:tcPr>
                        <w:tcW w:w="775" w:type="dxa"/>
                      </w:tcPr>
                      <w:p>
                        <w:pPr>
                          <w:pStyle w:val="TableParagraph"/>
                          <w:spacing w:before="19"/>
                          <w:ind w:left="2"/>
                          <w:jc w:val="center"/>
                          <w:rPr>
                            <w:sz w:val="18"/>
                          </w:rPr>
                        </w:pPr>
                        <w:r>
                          <w:rPr>
                            <w:sz w:val="18"/>
                          </w:rPr>
                          <w:t>23</w:t>
                        </w:r>
                      </w:p>
                    </w:tc>
                    <w:tc>
                      <w:tcPr>
                        <w:tcW w:w="771" w:type="dxa"/>
                      </w:tcPr>
                      <w:p>
                        <w:pPr>
                          <w:pStyle w:val="TableParagraph"/>
                          <w:spacing w:before="19"/>
                          <w:ind w:left="288"/>
                          <w:rPr>
                            <w:sz w:val="18"/>
                          </w:rPr>
                        </w:pPr>
                        <w:r>
                          <w:rPr>
                            <w:sz w:val="18"/>
                          </w:rPr>
                          <w:t>24</w:t>
                        </w:r>
                      </w:p>
                    </w:tc>
                    <w:tc>
                      <w:tcPr>
                        <w:tcW w:w="779" w:type="dxa"/>
                      </w:tcPr>
                      <w:p>
                        <w:pPr>
                          <w:pStyle w:val="TableParagraph"/>
                          <w:spacing w:before="19"/>
                          <w:ind w:left="254" w:right="248"/>
                          <w:jc w:val="center"/>
                          <w:rPr>
                            <w:sz w:val="18"/>
                          </w:rPr>
                        </w:pPr>
                        <w:r>
                          <w:rPr>
                            <w:sz w:val="18"/>
                          </w:rPr>
                          <w:t>25</w:t>
                        </w:r>
                      </w:p>
                    </w:tc>
                  </w:tr>
                  <w:tr>
                    <w:trPr>
                      <w:trHeight w:val="279" w:hRule="exact"/>
                    </w:trPr>
                    <w:tc>
                      <w:tcPr>
                        <w:tcW w:w="1401" w:type="dxa"/>
                      </w:tcPr>
                      <w:p>
                        <w:pPr>
                          <w:pStyle w:val="TableParagraph"/>
                          <w:spacing w:before="19"/>
                          <w:ind w:left="0" w:right="284"/>
                          <w:jc w:val="right"/>
                          <w:rPr>
                            <w:sz w:val="18"/>
                          </w:rPr>
                        </w:pPr>
                        <w:r>
                          <w:rPr>
                            <w:sz w:val="18"/>
                          </w:rPr>
                          <w:t>26</w:t>
                        </w:r>
                      </w:p>
                    </w:tc>
                    <w:tc>
                      <w:tcPr>
                        <w:tcW w:w="1101" w:type="dxa"/>
                      </w:tcPr>
                      <w:p>
                        <w:pPr>
                          <w:pStyle w:val="TableParagraph"/>
                          <w:spacing w:before="19"/>
                          <w:ind w:left="171" w:right="77"/>
                          <w:jc w:val="center"/>
                          <w:rPr>
                            <w:sz w:val="18"/>
                          </w:rPr>
                        </w:pPr>
                        <w:r>
                          <w:rPr>
                            <w:sz w:val="18"/>
                          </w:rPr>
                          <w:t>27</w:t>
                        </w:r>
                      </w:p>
                    </w:tc>
                    <w:tc>
                      <w:tcPr>
                        <w:tcW w:w="870" w:type="dxa"/>
                      </w:tcPr>
                      <w:p>
                        <w:pPr>
                          <w:pStyle w:val="TableParagraph"/>
                          <w:spacing w:before="19"/>
                          <w:ind w:left="0" w:right="281"/>
                          <w:jc w:val="right"/>
                          <w:rPr>
                            <w:sz w:val="18"/>
                          </w:rPr>
                        </w:pPr>
                        <w:r>
                          <w:rPr>
                            <w:w w:val="95"/>
                            <w:sz w:val="18"/>
                          </w:rPr>
                          <w:t>28</w:t>
                        </w:r>
                      </w:p>
                    </w:tc>
                    <w:tc>
                      <w:tcPr>
                        <w:tcW w:w="776" w:type="dxa"/>
                      </w:tcPr>
                      <w:p>
                        <w:pPr>
                          <w:pStyle w:val="TableParagraph"/>
                          <w:spacing w:before="19"/>
                          <w:ind w:left="268" w:right="267"/>
                          <w:jc w:val="center"/>
                          <w:rPr>
                            <w:sz w:val="18"/>
                          </w:rPr>
                        </w:pPr>
                        <w:r>
                          <w:rPr>
                            <w:sz w:val="18"/>
                          </w:rPr>
                          <w:t>29</w:t>
                        </w:r>
                      </w:p>
                    </w:tc>
                    <w:tc>
                      <w:tcPr>
                        <w:tcW w:w="775" w:type="dxa"/>
                      </w:tcPr>
                      <w:p>
                        <w:pPr>
                          <w:pStyle w:val="TableParagraph"/>
                          <w:spacing w:before="19"/>
                          <w:ind w:left="2"/>
                          <w:jc w:val="center"/>
                          <w:rPr>
                            <w:sz w:val="18"/>
                          </w:rPr>
                        </w:pPr>
                        <w:r>
                          <w:rPr>
                            <w:sz w:val="18"/>
                          </w:rPr>
                          <w:t>30</w:t>
                        </w:r>
                      </w:p>
                    </w:tc>
                    <w:tc>
                      <w:tcPr>
                        <w:tcW w:w="771" w:type="dxa"/>
                      </w:tcPr>
                      <w:p>
                        <w:pPr>
                          <w:pStyle w:val="TableParagraph"/>
                          <w:spacing w:before="19"/>
                          <w:ind w:left="288"/>
                          <w:rPr>
                            <w:sz w:val="18"/>
                          </w:rPr>
                        </w:pPr>
                        <w:r>
                          <w:rPr>
                            <w:sz w:val="18"/>
                          </w:rPr>
                          <w:t>31</w:t>
                        </w:r>
                      </w:p>
                    </w:tc>
                    <w:tc>
                      <w:tcPr>
                        <w:tcW w:w="779" w:type="dxa"/>
                      </w:tcPr>
                      <w:p>
                        <w:pPr/>
                      </w:p>
                    </w:tc>
                  </w:tr>
                  <w:tr>
                    <w:trPr>
                      <w:trHeight w:val="264" w:hRule="exact"/>
                    </w:trPr>
                    <w:tc>
                      <w:tcPr>
                        <w:tcW w:w="1401" w:type="dxa"/>
                      </w:tcPr>
                      <w:p>
                        <w:pPr/>
                      </w:p>
                    </w:tc>
                    <w:tc>
                      <w:tcPr>
                        <w:tcW w:w="1101" w:type="dxa"/>
                      </w:tcPr>
                      <w:p>
                        <w:pPr>
                          <w:pStyle w:val="TableParagraph"/>
                          <w:spacing w:before="33"/>
                          <w:ind w:left="172" w:right="77"/>
                          <w:jc w:val="center"/>
                          <w:rPr>
                            <w:sz w:val="18"/>
                          </w:rPr>
                        </w:pPr>
                        <w:r>
                          <w:rPr>
                            <w:sz w:val="18"/>
                          </w:rPr>
                          <w:t>Abril 2007</w:t>
                        </w:r>
                      </w:p>
                    </w:tc>
                    <w:tc>
                      <w:tcPr>
                        <w:tcW w:w="870" w:type="dxa"/>
                      </w:tcPr>
                      <w:p>
                        <w:pPr/>
                      </w:p>
                    </w:tc>
                    <w:tc>
                      <w:tcPr>
                        <w:tcW w:w="776" w:type="dxa"/>
                      </w:tcPr>
                      <w:p>
                        <w:pPr/>
                      </w:p>
                    </w:tc>
                    <w:tc>
                      <w:tcPr>
                        <w:tcW w:w="775" w:type="dxa"/>
                      </w:tcPr>
                      <w:p>
                        <w:pPr/>
                      </w:p>
                    </w:tc>
                    <w:tc>
                      <w:tcPr>
                        <w:tcW w:w="771" w:type="dxa"/>
                      </w:tcPr>
                      <w:p>
                        <w:pPr/>
                      </w:p>
                    </w:tc>
                    <w:tc>
                      <w:tcPr>
                        <w:tcW w:w="779" w:type="dxa"/>
                      </w:tcPr>
                      <w:p>
                        <w:pPr/>
                      </w:p>
                    </w:tc>
                  </w:tr>
                  <w:tr>
                    <w:trPr>
                      <w:trHeight w:val="241" w:hRule="exact"/>
                    </w:trPr>
                    <w:tc>
                      <w:tcPr>
                        <w:tcW w:w="1401" w:type="dxa"/>
                      </w:tcPr>
                      <w:p>
                        <w:pPr>
                          <w:pStyle w:val="TableParagraph"/>
                          <w:spacing w:before="4"/>
                          <w:ind w:left="0" w:right="284"/>
                          <w:jc w:val="right"/>
                          <w:rPr>
                            <w:sz w:val="18"/>
                          </w:rPr>
                        </w:pPr>
                        <w:r>
                          <w:rPr>
                            <w:sz w:val="18"/>
                          </w:rPr>
                          <w:t>Lu</w:t>
                        </w:r>
                      </w:p>
                    </w:tc>
                    <w:tc>
                      <w:tcPr>
                        <w:tcW w:w="1101" w:type="dxa"/>
                      </w:tcPr>
                      <w:p>
                        <w:pPr>
                          <w:pStyle w:val="TableParagraph"/>
                          <w:spacing w:before="4"/>
                          <w:ind w:left="164" w:right="77"/>
                          <w:jc w:val="center"/>
                          <w:rPr>
                            <w:sz w:val="18"/>
                          </w:rPr>
                        </w:pPr>
                        <w:r>
                          <w:rPr>
                            <w:sz w:val="18"/>
                          </w:rPr>
                          <w:t>Ma</w:t>
                        </w:r>
                      </w:p>
                    </w:tc>
                    <w:tc>
                      <w:tcPr>
                        <w:tcW w:w="870" w:type="dxa"/>
                      </w:tcPr>
                      <w:p>
                        <w:pPr>
                          <w:pStyle w:val="TableParagraph"/>
                          <w:spacing w:before="4"/>
                          <w:ind w:left="0" w:right="295"/>
                          <w:jc w:val="right"/>
                          <w:rPr>
                            <w:sz w:val="18"/>
                          </w:rPr>
                        </w:pPr>
                        <w:r>
                          <w:rPr>
                            <w:w w:val="95"/>
                            <w:sz w:val="18"/>
                          </w:rPr>
                          <w:t>Mi</w:t>
                        </w:r>
                      </w:p>
                    </w:tc>
                    <w:tc>
                      <w:tcPr>
                        <w:tcW w:w="776" w:type="dxa"/>
                      </w:tcPr>
                      <w:p>
                        <w:pPr>
                          <w:pStyle w:val="TableParagraph"/>
                          <w:spacing w:before="4"/>
                          <w:ind w:left="268" w:right="266"/>
                          <w:jc w:val="center"/>
                          <w:rPr>
                            <w:sz w:val="18"/>
                          </w:rPr>
                        </w:pPr>
                        <w:r>
                          <w:rPr>
                            <w:sz w:val="18"/>
                          </w:rPr>
                          <w:t>Ju</w:t>
                        </w:r>
                      </w:p>
                    </w:tc>
                    <w:tc>
                      <w:tcPr>
                        <w:tcW w:w="775" w:type="dxa"/>
                      </w:tcPr>
                      <w:p>
                        <w:pPr>
                          <w:pStyle w:val="TableParagraph"/>
                          <w:spacing w:before="4"/>
                          <w:ind w:left="0"/>
                          <w:jc w:val="center"/>
                          <w:rPr>
                            <w:sz w:val="18"/>
                          </w:rPr>
                        </w:pPr>
                        <w:r>
                          <w:rPr>
                            <w:sz w:val="18"/>
                          </w:rPr>
                          <w:t>Vi</w:t>
                        </w:r>
                      </w:p>
                    </w:tc>
                    <w:tc>
                      <w:tcPr>
                        <w:tcW w:w="771" w:type="dxa"/>
                      </w:tcPr>
                      <w:p>
                        <w:pPr>
                          <w:pStyle w:val="TableParagraph"/>
                          <w:spacing w:before="4"/>
                          <w:ind w:left="276"/>
                          <w:rPr>
                            <w:sz w:val="18"/>
                          </w:rPr>
                        </w:pPr>
                        <w:r>
                          <w:rPr>
                            <w:sz w:val="18"/>
                          </w:rPr>
                          <w:t>Sá</w:t>
                        </w:r>
                      </w:p>
                    </w:tc>
                    <w:tc>
                      <w:tcPr>
                        <w:tcW w:w="779" w:type="dxa"/>
                      </w:tcPr>
                      <w:p>
                        <w:pPr>
                          <w:pStyle w:val="TableParagraph"/>
                          <w:spacing w:before="4"/>
                          <w:ind w:left="254" w:right="254"/>
                          <w:jc w:val="center"/>
                          <w:rPr>
                            <w:sz w:val="18"/>
                          </w:rPr>
                        </w:pPr>
                        <w:r>
                          <w:rPr>
                            <w:sz w:val="18"/>
                          </w:rPr>
                          <w:t>Do</w:t>
                        </w:r>
                      </w:p>
                    </w:tc>
                  </w:tr>
                  <w:tr>
                    <w:trPr>
                      <w:trHeight w:val="264" w:hRule="exact"/>
                    </w:trPr>
                    <w:tc>
                      <w:tcPr>
                        <w:tcW w:w="1401" w:type="dxa"/>
                      </w:tcPr>
                      <w:p>
                        <w:pPr/>
                      </w:p>
                    </w:tc>
                    <w:tc>
                      <w:tcPr>
                        <w:tcW w:w="1101" w:type="dxa"/>
                      </w:tcPr>
                      <w:p>
                        <w:pPr/>
                      </w:p>
                    </w:tc>
                    <w:tc>
                      <w:tcPr>
                        <w:tcW w:w="870" w:type="dxa"/>
                      </w:tcPr>
                      <w:p>
                        <w:pPr/>
                      </w:p>
                    </w:tc>
                    <w:tc>
                      <w:tcPr>
                        <w:tcW w:w="776" w:type="dxa"/>
                      </w:tcPr>
                      <w:p>
                        <w:pPr/>
                      </w:p>
                    </w:tc>
                    <w:tc>
                      <w:tcPr>
                        <w:tcW w:w="775" w:type="dxa"/>
                      </w:tcPr>
                      <w:p>
                        <w:pPr/>
                      </w:p>
                    </w:tc>
                    <w:tc>
                      <w:tcPr>
                        <w:tcW w:w="771" w:type="dxa"/>
                      </w:tcPr>
                      <w:p>
                        <w:pPr/>
                      </w:p>
                    </w:tc>
                    <w:tc>
                      <w:tcPr>
                        <w:tcW w:w="779" w:type="dxa"/>
                      </w:tcPr>
                      <w:p>
                        <w:pPr>
                          <w:pStyle w:val="TableParagraph"/>
                          <w:spacing w:before="28"/>
                          <w:ind w:left="0"/>
                          <w:jc w:val="center"/>
                          <w:rPr>
                            <w:sz w:val="18"/>
                          </w:rPr>
                        </w:pPr>
                        <w:r>
                          <w:rPr>
                            <w:w w:val="99"/>
                            <w:sz w:val="18"/>
                          </w:rPr>
                          <w:t>1</w:t>
                        </w:r>
                      </w:p>
                    </w:tc>
                  </w:tr>
                  <w:tr>
                    <w:trPr>
                      <w:trHeight w:val="264" w:hRule="exact"/>
                    </w:trPr>
                    <w:tc>
                      <w:tcPr>
                        <w:tcW w:w="1401" w:type="dxa"/>
                      </w:tcPr>
                      <w:p>
                        <w:pPr>
                          <w:pStyle w:val="TableParagraph"/>
                          <w:spacing w:before="28"/>
                          <w:ind w:left="0" w:right="337"/>
                          <w:jc w:val="right"/>
                          <w:rPr>
                            <w:sz w:val="18"/>
                          </w:rPr>
                        </w:pPr>
                        <w:r>
                          <w:rPr>
                            <w:w w:val="99"/>
                            <w:sz w:val="18"/>
                          </w:rPr>
                          <w:t>2</w:t>
                        </w:r>
                      </w:p>
                    </w:tc>
                    <w:tc>
                      <w:tcPr>
                        <w:tcW w:w="1101" w:type="dxa"/>
                        <w:shd w:val="clear" w:color="auto" w:fill="9BBA58"/>
                      </w:tcPr>
                      <w:p>
                        <w:pPr>
                          <w:pStyle w:val="TableParagraph"/>
                          <w:spacing w:before="28"/>
                          <w:ind w:left="93"/>
                          <w:jc w:val="center"/>
                          <w:rPr>
                            <w:sz w:val="18"/>
                          </w:rPr>
                        </w:pPr>
                        <w:r>
                          <w:rPr>
                            <w:w w:val="99"/>
                            <w:sz w:val="18"/>
                          </w:rPr>
                          <w:t>3</w:t>
                        </w:r>
                      </w:p>
                    </w:tc>
                    <w:tc>
                      <w:tcPr>
                        <w:tcW w:w="870" w:type="dxa"/>
                        <w:shd w:val="clear" w:color="auto" w:fill="9BBA58"/>
                      </w:tcPr>
                      <w:p>
                        <w:pPr>
                          <w:pStyle w:val="TableParagraph"/>
                          <w:spacing w:before="28"/>
                          <w:ind w:left="0" w:right="334"/>
                          <w:jc w:val="right"/>
                          <w:rPr>
                            <w:sz w:val="18"/>
                          </w:rPr>
                        </w:pPr>
                        <w:r>
                          <w:rPr>
                            <w:w w:val="99"/>
                            <w:sz w:val="18"/>
                          </w:rPr>
                          <w:t>4</w:t>
                        </w:r>
                      </w:p>
                    </w:tc>
                    <w:tc>
                      <w:tcPr>
                        <w:tcW w:w="776" w:type="dxa"/>
                        <w:shd w:val="clear" w:color="auto" w:fill="9BBA58"/>
                      </w:tcPr>
                      <w:p>
                        <w:pPr>
                          <w:pStyle w:val="TableParagraph"/>
                          <w:spacing w:before="28"/>
                          <w:ind w:left="0" w:right="1"/>
                          <w:jc w:val="center"/>
                          <w:rPr>
                            <w:sz w:val="18"/>
                          </w:rPr>
                        </w:pPr>
                        <w:r>
                          <w:rPr>
                            <w:w w:val="99"/>
                            <w:sz w:val="18"/>
                          </w:rPr>
                          <w:t>5</w:t>
                        </w:r>
                      </w:p>
                    </w:tc>
                    <w:tc>
                      <w:tcPr>
                        <w:tcW w:w="775" w:type="dxa"/>
                        <w:shd w:val="clear" w:color="auto" w:fill="9BBA58"/>
                      </w:tcPr>
                      <w:p>
                        <w:pPr>
                          <w:pStyle w:val="TableParagraph"/>
                          <w:spacing w:before="56"/>
                          <w:ind w:left="0" w:right="1"/>
                          <w:jc w:val="center"/>
                          <w:rPr>
                            <w:sz w:val="18"/>
                          </w:rPr>
                        </w:pPr>
                        <w:r>
                          <w:rPr>
                            <w:w w:val="99"/>
                            <w:sz w:val="18"/>
                          </w:rPr>
                          <w:t>6</w:t>
                        </w:r>
                      </w:p>
                    </w:tc>
                    <w:tc>
                      <w:tcPr>
                        <w:tcW w:w="771" w:type="dxa"/>
                      </w:tcPr>
                      <w:p>
                        <w:pPr>
                          <w:pStyle w:val="TableParagraph"/>
                          <w:spacing w:before="28"/>
                          <w:ind w:left="336"/>
                          <w:rPr>
                            <w:sz w:val="18"/>
                          </w:rPr>
                        </w:pPr>
                        <w:r>
                          <w:rPr>
                            <w:w w:val="99"/>
                            <w:sz w:val="18"/>
                          </w:rPr>
                          <w:t>7</w:t>
                        </w:r>
                      </w:p>
                    </w:tc>
                    <w:tc>
                      <w:tcPr>
                        <w:tcW w:w="779" w:type="dxa"/>
                      </w:tcPr>
                      <w:p>
                        <w:pPr>
                          <w:pStyle w:val="TableParagraph"/>
                          <w:spacing w:before="28"/>
                          <w:ind w:left="0"/>
                          <w:jc w:val="center"/>
                          <w:rPr>
                            <w:sz w:val="18"/>
                          </w:rPr>
                        </w:pPr>
                        <w:r>
                          <w:rPr>
                            <w:w w:val="99"/>
                            <w:sz w:val="18"/>
                          </w:rPr>
                          <w:t>8</w:t>
                        </w:r>
                      </w:p>
                    </w:tc>
                  </w:tr>
                  <w:tr>
                    <w:trPr>
                      <w:trHeight w:val="273" w:hRule="exact"/>
                    </w:trPr>
                    <w:tc>
                      <w:tcPr>
                        <w:tcW w:w="1401" w:type="dxa"/>
                      </w:tcPr>
                      <w:p>
                        <w:pPr>
                          <w:pStyle w:val="TableParagraph"/>
                          <w:spacing w:before="28"/>
                          <w:ind w:left="0" w:right="337"/>
                          <w:jc w:val="right"/>
                          <w:rPr>
                            <w:sz w:val="18"/>
                          </w:rPr>
                        </w:pPr>
                        <w:r>
                          <w:rPr>
                            <w:w w:val="99"/>
                            <w:sz w:val="18"/>
                          </w:rPr>
                          <w:t>9</w:t>
                        </w:r>
                      </w:p>
                    </w:tc>
                    <w:tc>
                      <w:tcPr>
                        <w:tcW w:w="1101" w:type="dxa"/>
                      </w:tcPr>
                      <w:p>
                        <w:pPr>
                          <w:pStyle w:val="TableParagraph"/>
                          <w:spacing w:before="28"/>
                          <w:ind w:left="171" w:right="77"/>
                          <w:jc w:val="center"/>
                          <w:rPr>
                            <w:sz w:val="18"/>
                          </w:rPr>
                        </w:pPr>
                        <w:r>
                          <w:rPr>
                            <w:sz w:val="18"/>
                          </w:rPr>
                          <w:t>10</w:t>
                        </w:r>
                      </w:p>
                    </w:tc>
                    <w:tc>
                      <w:tcPr>
                        <w:tcW w:w="870" w:type="dxa"/>
                      </w:tcPr>
                      <w:p>
                        <w:pPr>
                          <w:pStyle w:val="TableParagraph"/>
                          <w:spacing w:before="28"/>
                          <w:ind w:left="0" w:right="281"/>
                          <w:jc w:val="right"/>
                          <w:rPr>
                            <w:sz w:val="18"/>
                          </w:rPr>
                        </w:pPr>
                        <w:r>
                          <w:rPr>
                            <w:w w:val="95"/>
                            <w:sz w:val="18"/>
                          </w:rPr>
                          <w:t>11</w:t>
                        </w:r>
                      </w:p>
                    </w:tc>
                    <w:tc>
                      <w:tcPr>
                        <w:tcW w:w="776" w:type="dxa"/>
                      </w:tcPr>
                      <w:p>
                        <w:pPr>
                          <w:pStyle w:val="TableParagraph"/>
                          <w:spacing w:before="28"/>
                          <w:ind w:left="268" w:right="267"/>
                          <w:jc w:val="center"/>
                          <w:rPr>
                            <w:sz w:val="18"/>
                          </w:rPr>
                        </w:pPr>
                        <w:r>
                          <w:rPr>
                            <w:sz w:val="18"/>
                          </w:rPr>
                          <w:t>12</w:t>
                        </w:r>
                      </w:p>
                    </w:tc>
                    <w:tc>
                      <w:tcPr>
                        <w:tcW w:w="775" w:type="dxa"/>
                      </w:tcPr>
                      <w:p>
                        <w:pPr>
                          <w:pStyle w:val="TableParagraph"/>
                          <w:spacing w:before="28"/>
                          <w:ind w:left="2"/>
                          <w:jc w:val="center"/>
                          <w:rPr>
                            <w:sz w:val="18"/>
                          </w:rPr>
                        </w:pPr>
                        <w:r>
                          <w:rPr>
                            <w:sz w:val="18"/>
                          </w:rPr>
                          <w:t>13</w:t>
                        </w:r>
                      </w:p>
                    </w:tc>
                    <w:tc>
                      <w:tcPr>
                        <w:tcW w:w="771" w:type="dxa"/>
                      </w:tcPr>
                      <w:p>
                        <w:pPr>
                          <w:pStyle w:val="TableParagraph"/>
                          <w:spacing w:before="28"/>
                          <w:ind w:left="288"/>
                          <w:rPr>
                            <w:sz w:val="18"/>
                          </w:rPr>
                        </w:pPr>
                        <w:r>
                          <w:rPr>
                            <w:sz w:val="18"/>
                          </w:rPr>
                          <w:t>14</w:t>
                        </w:r>
                      </w:p>
                    </w:tc>
                    <w:tc>
                      <w:tcPr>
                        <w:tcW w:w="779" w:type="dxa"/>
                      </w:tcPr>
                      <w:p>
                        <w:pPr>
                          <w:pStyle w:val="TableParagraph"/>
                          <w:spacing w:before="28"/>
                          <w:ind w:left="254" w:right="248"/>
                          <w:jc w:val="center"/>
                          <w:rPr>
                            <w:sz w:val="18"/>
                          </w:rPr>
                        </w:pPr>
                        <w:r>
                          <w:rPr>
                            <w:sz w:val="18"/>
                          </w:rPr>
                          <w:t>15</w:t>
                        </w:r>
                      </w:p>
                    </w:tc>
                  </w:tr>
                  <w:tr>
                    <w:trPr>
                      <w:trHeight w:val="264" w:hRule="exact"/>
                    </w:trPr>
                    <w:tc>
                      <w:tcPr>
                        <w:tcW w:w="1401" w:type="dxa"/>
                      </w:tcPr>
                      <w:p>
                        <w:pPr>
                          <w:pStyle w:val="TableParagraph"/>
                          <w:spacing w:before="19"/>
                          <w:ind w:left="0" w:right="284"/>
                          <w:jc w:val="right"/>
                          <w:rPr>
                            <w:sz w:val="18"/>
                          </w:rPr>
                        </w:pPr>
                        <w:r>
                          <w:rPr>
                            <w:sz w:val="18"/>
                          </w:rPr>
                          <w:t>16</w:t>
                        </w:r>
                      </w:p>
                    </w:tc>
                    <w:tc>
                      <w:tcPr>
                        <w:tcW w:w="1101" w:type="dxa"/>
                      </w:tcPr>
                      <w:p>
                        <w:pPr>
                          <w:pStyle w:val="TableParagraph"/>
                          <w:spacing w:before="19"/>
                          <w:ind w:left="171" w:right="77"/>
                          <w:jc w:val="center"/>
                          <w:rPr>
                            <w:sz w:val="18"/>
                          </w:rPr>
                        </w:pPr>
                        <w:r>
                          <w:rPr>
                            <w:sz w:val="18"/>
                          </w:rPr>
                          <w:t>17</w:t>
                        </w:r>
                      </w:p>
                    </w:tc>
                    <w:tc>
                      <w:tcPr>
                        <w:tcW w:w="870" w:type="dxa"/>
                      </w:tcPr>
                      <w:p>
                        <w:pPr>
                          <w:pStyle w:val="TableParagraph"/>
                          <w:spacing w:before="19"/>
                          <w:ind w:left="0" w:right="281"/>
                          <w:jc w:val="right"/>
                          <w:rPr>
                            <w:sz w:val="18"/>
                          </w:rPr>
                        </w:pPr>
                        <w:r>
                          <w:rPr>
                            <w:w w:val="95"/>
                            <w:sz w:val="18"/>
                          </w:rPr>
                          <w:t>18</w:t>
                        </w:r>
                      </w:p>
                    </w:tc>
                    <w:tc>
                      <w:tcPr>
                        <w:tcW w:w="776" w:type="dxa"/>
                      </w:tcPr>
                      <w:p>
                        <w:pPr>
                          <w:pStyle w:val="TableParagraph"/>
                          <w:spacing w:before="19"/>
                          <w:ind w:left="268" w:right="267"/>
                          <w:jc w:val="center"/>
                          <w:rPr>
                            <w:sz w:val="18"/>
                          </w:rPr>
                        </w:pPr>
                        <w:r>
                          <w:rPr>
                            <w:sz w:val="18"/>
                          </w:rPr>
                          <w:t>19</w:t>
                        </w:r>
                      </w:p>
                    </w:tc>
                    <w:tc>
                      <w:tcPr>
                        <w:tcW w:w="775" w:type="dxa"/>
                      </w:tcPr>
                      <w:p>
                        <w:pPr>
                          <w:pStyle w:val="TableParagraph"/>
                          <w:spacing w:before="19"/>
                          <w:ind w:left="2"/>
                          <w:jc w:val="center"/>
                          <w:rPr>
                            <w:sz w:val="18"/>
                          </w:rPr>
                        </w:pPr>
                        <w:r>
                          <w:rPr>
                            <w:sz w:val="18"/>
                          </w:rPr>
                          <w:t>20</w:t>
                        </w:r>
                      </w:p>
                    </w:tc>
                    <w:tc>
                      <w:tcPr>
                        <w:tcW w:w="771" w:type="dxa"/>
                      </w:tcPr>
                      <w:p>
                        <w:pPr>
                          <w:pStyle w:val="TableParagraph"/>
                          <w:spacing w:before="19"/>
                          <w:ind w:left="288"/>
                          <w:rPr>
                            <w:sz w:val="18"/>
                          </w:rPr>
                        </w:pPr>
                        <w:r>
                          <w:rPr>
                            <w:sz w:val="18"/>
                          </w:rPr>
                          <w:t>21</w:t>
                        </w:r>
                      </w:p>
                    </w:tc>
                    <w:tc>
                      <w:tcPr>
                        <w:tcW w:w="779" w:type="dxa"/>
                      </w:tcPr>
                      <w:p>
                        <w:pPr>
                          <w:pStyle w:val="TableParagraph"/>
                          <w:spacing w:before="19"/>
                          <w:ind w:left="254" w:right="248"/>
                          <w:jc w:val="center"/>
                          <w:rPr>
                            <w:sz w:val="18"/>
                          </w:rPr>
                        </w:pPr>
                        <w:r>
                          <w:rPr>
                            <w:sz w:val="18"/>
                          </w:rPr>
                          <w:t>22</w:t>
                        </w:r>
                      </w:p>
                    </w:tc>
                  </w:tr>
                  <w:tr>
                    <w:trPr>
                      <w:trHeight w:val="263" w:hRule="exact"/>
                    </w:trPr>
                    <w:tc>
                      <w:tcPr>
                        <w:tcW w:w="1401" w:type="dxa"/>
                      </w:tcPr>
                      <w:p>
                        <w:pPr>
                          <w:pStyle w:val="TableParagraph"/>
                          <w:spacing w:before="19"/>
                          <w:ind w:left="0" w:right="284"/>
                          <w:jc w:val="right"/>
                          <w:rPr>
                            <w:sz w:val="18"/>
                          </w:rPr>
                        </w:pPr>
                        <w:r>
                          <w:rPr>
                            <w:sz w:val="18"/>
                          </w:rPr>
                          <w:t>23</w:t>
                        </w:r>
                      </w:p>
                    </w:tc>
                    <w:tc>
                      <w:tcPr>
                        <w:tcW w:w="1101" w:type="dxa"/>
                      </w:tcPr>
                      <w:p>
                        <w:pPr>
                          <w:pStyle w:val="TableParagraph"/>
                          <w:spacing w:before="19"/>
                          <w:ind w:left="171" w:right="77"/>
                          <w:jc w:val="center"/>
                          <w:rPr>
                            <w:sz w:val="18"/>
                          </w:rPr>
                        </w:pPr>
                        <w:r>
                          <w:rPr>
                            <w:sz w:val="18"/>
                          </w:rPr>
                          <w:t>24</w:t>
                        </w:r>
                      </w:p>
                    </w:tc>
                    <w:tc>
                      <w:tcPr>
                        <w:tcW w:w="870" w:type="dxa"/>
                      </w:tcPr>
                      <w:p>
                        <w:pPr>
                          <w:pStyle w:val="TableParagraph"/>
                          <w:spacing w:before="19"/>
                          <w:ind w:left="0" w:right="281"/>
                          <w:jc w:val="right"/>
                          <w:rPr>
                            <w:sz w:val="18"/>
                          </w:rPr>
                        </w:pPr>
                        <w:r>
                          <w:rPr>
                            <w:w w:val="95"/>
                            <w:sz w:val="18"/>
                          </w:rPr>
                          <w:t>25</w:t>
                        </w:r>
                      </w:p>
                    </w:tc>
                    <w:tc>
                      <w:tcPr>
                        <w:tcW w:w="776" w:type="dxa"/>
                      </w:tcPr>
                      <w:p>
                        <w:pPr>
                          <w:pStyle w:val="TableParagraph"/>
                          <w:spacing w:before="19"/>
                          <w:ind w:left="268" w:right="267"/>
                          <w:jc w:val="center"/>
                          <w:rPr>
                            <w:sz w:val="18"/>
                          </w:rPr>
                        </w:pPr>
                        <w:r>
                          <w:rPr>
                            <w:sz w:val="18"/>
                          </w:rPr>
                          <w:t>26</w:t>
                        </w:r>
                      </w:p>
                    </w:tc>
                    <w:tc>
                      <w:tcPr>
                        <w:tcW w:w="775" w:type="dxa"/>
                      </w:tcPr>
                      <w:p>
                        <w:pPr>
                          <w:pStyle w:val="TableParagraph"/>
                          <w:spacing w:before="19"/>
                          <w:ind w:left="2"/>
                          <w:jc w:val="center"/>
                          <w:rPr>
                            <w:sz w:val="18"/>
                          </w:rPr>
                        </w:pPr>
                        <w:r>
                          <w:rPr>
                            <w:sz w:val="18"/>
                          </w:rPr>
                          <w:t>27</w:t>
                        </w:r>
                      </w:p>
                    </w:tc>
                    <w:tc>
                      <w:tcPr>
                        <w:tcW w:w="771" w:type="dxa"/>
                      </w:tcPr>
                      <w:p>
                        <w:pPr>
                          <w:pStyle w:val="TableParagraph"/>
                          <w:spacing w:before="19"/>
                          <w:ind w:left="288"/>
                          <w:rPr>
                            <w:sz w:val="18"/>
                          </w:rPr>
                        </w:pPr>
                        <w:r>
                          <w:rPr>
                            <w:sz w:val="18"/>
                          </w:rPr>
                          <w:t>28</w:t>
                        </w:r>
                      </w:p>
                    </w:tc>
                    <w:tc>
                      <w:tcPr>
                        <w:tcW w:w="779" w:type="dxa"/>
                      </w:tcPr>
                      <w:p>
                        <w:pPr>
                          <w:pStyle w:val="TableParagraph"/>
                          <w:spacing w:before="19"/>
                          <w:ind w:left="254" w:right="248"/>
                          <w:jc w:val="center"/>
                          <w:rPr>
                            <w:sz w:val="18"/>
                          </w:rPr>
                        </w:pPr>
                        <w:r>
                          <w:rPr>
                            <w:sz w:val="18"/>
                          </w:rPr>
                          <w:t>29</w:t>
                        </w:r>
                      </w:p>
                    </w:tc>
                  </w:tr>
                  <w:tr>
                    <w:trPr>
                      <w:trHeight w:val="221" w:hRule="exact"/>
                    </w:trPr>
                    <w:tc>
                      <w:tcPr>
                        <w:tcW w:w="4147" w:type="dxa"/>
                        <w:gridSpan w:val="4"/>
                      </w:tcPr>
                      <w:p>
                        <w:pPr>
                          <w:pStyle w:val="TableParagraph"/>
                          <w:spacing w:before="18"/>
                          <w:ind w:left="200"/>
                          <w:rPr>
                            <w:sz w:val="18"/>
                          </w:rPr>
                        </w:pPr>
                        <w:r>
                          <w:rPr>
                            <w:sz w:val="18"/>
                          </w:rPr>
                          <w:t>Fecha de aplicación de encuestas origen destino</w:t>
                        </w:r>
                      </w:p>
                    </w:tc>
                    <w:tc>
                      <w:tcPr>
                        <w:tcW w:w="775" w:type="dxa"/>
                      </w:tcPr>
                      <w:p>
                        <w:pPr/>
                      </w:p>
                    </w:tc>
                    <w:tc>
                      <w:tcPr>
                        <w:tcW w:w="771" w:type="dxa"/>
                      </w:tcPr>
                      <w:p>
                        <w:pPr/>
                      </w:p>
                    </w:tc>
                    <w:tc>
                      <w:tcPr>
                        <w:tcW w:w="779" w:type="dxa"/>
                      </w:tcPr>
                      <w:p>
                        <w:pPr/>
                      </w:p>
                    </w:tc>
                  </w:tr>
                </w:tbl>
                <w:p>
                  <w:pPr>
                    <w:pStyle w:val="BodyText"/>
                  </w:pPr>
                </w:p>
              </w:txbxContent>
            </v:textbox>
            <w10:wrap type="topAndBottom"/>
          </v:shape>
        </w:pict>
      </w:r>
      <w:r>
        <w:rPr/>
        <w:pict>
          <v:line style="position:absolute;mso-position-horizontal-relative:page;mso-position-vertical-relative:paragraph;z-index:-294856" from="159.860001pt,41.809906pt" to="159.860001pt,55.009906pt" stroked="true" strokeweight=".48pt" strokecolor="#adadad">
            <v:stroke dashstyle="dash"/>
            <w10:wrap type="none"/>
          </v:line>
        </w:pict>
      </w:r>
      <w:r>
        <w:rPr/>
        <w:pict>
          <v:group style="position:absolute;margin-left:159.610001pt;margin-top:81.409904pt;width:292.9pt;height:26.9pt;mso-position-horizontal-relative:page;mso-position-vertical-relative:paragraph;z-index:-294832" coordorigin="3192,1628" coordsize="5858,538">
            <v:shape style="position:absolute;left:3197;top:1628;width:3522;height:528" coordorigin="3197,1628" coordsize="3522,528" path="m3973,1628l3197,1628,3197,1892,3197,2156,3973,2156,3973,1892,3973,1628m6719,1628l5943,1628,5168,1628,3973,1628,3973,1892,3973,2156,5168,2156,5943,2156,5943,1892,6719,1892,6719,1628e" filled="true" fillcolor="#9bba58" stroked="false">
              <v:path arrowok="t"/>
              <v:fill type="solid"/>
            </v:shape>
            <v:line style="position:absolute" from="3197,2161" to="3973,2161" stroked="true" strokeweight=".48pt" strokecolor="#000000"/>
            <v:line style="position:absolute" from="3973,2161" to="3983,2161" stroked="true" strokeweight=".48pt" strokecolor="#000000"/>
            <v:line style="position:absolute" from="3983,2161" to="5171,2161" stroked="true" strokeweight=".48pt" strokecolor="#000000"/>
            <v:line style="position:absolute" from="5171,2161" to="5180,2161" stroked="true" strokeweight=".48pt" strokecolor="#000000"/>
            <v:line style="position:absolute" from="5180,2161" to="5946,2161" stroked="true" strokeweight=".48pt" strokecolor="#000000"/>
            <v:line style="position:absolute" from="5946,2161" to="5955,2161" stroked="true" strokeweight=".48pt" strokecolor="#000000"/>
            <v:line style="position:absolute" from="5955,2161" to="6719,2161" stroked="true" strokeweight=".48pt" strokecolor="#000000"/>
            <v:line style="position:absolute" from="6719,2161" to="6729,2161" stroked="true" strokeweight=".48pt" strokecolor="#000000"/>
            <v:line style="position:absolute" from="6729,2161" to="7494,2161" stroked="true" strokeweight=".48pt" strokecolor="#000000"/>
            <v:line style="position:absolute" from="7494,2161" to="7504,2161" stroked="true" strokeweight=".48pt" strokecolor="#000000"/>
            <v:line style="position:absolute" from="7504,2161" to="8269,2161" stroked="true" strokeweight=".48pt" strokecolor="#000000"/>
            <v:line style="position:absolute" from="8269,2161" to="8279,2161" stroked="true" strokeweight=".48pt" strokecolor="#000000"/>
            <v:line style="position:absolute" from="8279,2161" to="9045,2161" stroked="true" strokeweight=".48pt" strokecolor="#000000"/>
            <w10:wrap type="none"/>
          </v:group>
        </w:pict>
      </w:r>
      <w:r>
        <w:rPr/>
        <w:pict>
          <v:line style="position:absolute;mso-position-horizontal-relative:page;mso-position-vertical-relative:page;z-index:-294808" from="159.860001pt,203.179993pt" to="159.860001pt,216.379993pt" stroked="true" strokeweight=".48pt" strokecolor="#adadad">
            <v:stroke dashstyle="dash"/>
            <w10:wrap type="none"/>
          </v:line>
        </w:pict>
      </w:r>
      <w:r>
        <w:rPr>
          <w:sz w:val="20"/>
        </w:rPr>
        <w:t>C</w:t>
      </w:r>
      <w:r>
        <w:rPr>
          <w:sz w:val="20"/>
          <w:u w:val="single"/>
        </w:rPr>
        <w:t>uadro A 4.14 Calendario de aplicación de encuestas origen destin</w:t>
      </w:r>
      <w:r>
        <w:rPr>
          <w:sz w:val="20"/>
        </w:rPr>
        <w:t>o</w:t>
      </w:r>
    </w:p>
    <w:p>
      <w:pPr>
        <w:spacing w:line="198" w:lineRule="exact" w:before="0"/>
        <w:ind w:left="239" w:right="170" w:firstLine="0"/>
        <w:jc w:val="center"/>
        <w:rPr>
          <w:sz w:val="20"/>
        </w:rPr>
      </w:pPr>
      <w:r>
        <w:rPr>
          <w:sz w:val="20"/>
        </w:rPr>
        <w:t>Fuente: Elaboración propia con información de la Junta de Caminos del Estado de México 2007.</w:t>
      </w:r>
    </w:p>
    <w:p>
      <w:pPr>
        <w:pStyle w:val="BodyText"/>
        <w:rPr>
          <w:sz w:val="20"/>
        </w:rPr>
      </w:pPr>
    </w:p>
    <w:p>
      <w:pPr>
        <w:pStyle w:val="BodyText"/>
        <w:rPr>
          <w:sz w:val="20"/>
        </w:rPr>
      </w:pPr>
    </w:p>
    <w:p>
      <w:pPr>
        <w:pStyle w:val="BodyText"/>
        <w:spacing w:before="11"/>
        <w:rPr>
          <w:sz w:val="19"/>
        </w:rPr>
      </w:pPr>
    </w:p>
    <w:p>
      <w:pPr>
        <w:spacing w:before="0" w:after="3"/>
        <w:ind w:left="239" w:right="162" w:firstLine="0"/>
        <w:jc w:val="center"/>
        <w:rPr>
          <w:sz w:val="20"/>
        </w:rPr>
      </w:pPr>
      <w:r>
        <w:rPr/>
        <w:pict>
          <v:group style="position:absolute;margin-left:159.610001pt;margin-top:-125.17012pt;width:215.1pt;height:26.65pt;mso-position-horizontal-relative:page;mso-position-vertical-relative:paragraph;z-index:-294784" coordorigin="3192,-2503" coordsize="4302,533">
            <v:line style="position:absolute" from="3197,-2498" to="3197,-2234" stroked="true" strokeweight=".48pt" strokecolor="#adadad">
              <v:stroke dashstyle="dash"/>
            </v:line>
            <v:shape style="position:absolute;left:3197;top:-2234;width:4297;height:264" coordorigin="3197,-2234" coordsize="4297,264" path="m3973,-2234l3197,-2234,3197,-1970,3973,-1970,3973,-2234m7494,-2234l6719,-2234,6719,-2234,5943,-2234,5168,-2234,3973,-2234,3973,-1970,5168,-1970,5943,-1970,6719,-1970,6719,-1970,6789,-1970,7425,-1970,7494,-1970,7494,-2234e" filled="true" fillcolor="#9bba58" stroked="false">
              <v:path arrowok="t"/>
              <v:fill type="solid"/>
            </v:shape>
            <w10:wrap type="none"/>
          </v:group>
        </w:pict>
      </w:r>
      <w:r>
        <w:rPr>
          <w:sz w:val="20"/>
        </w:rPr>
        <w:t>Cuadro A 4.15 Totales de encuestas origen destino</w:t>
      </w:r>
    </w:p>
    <w:tbl>
      <w:tblPr>
        <w:tblW w:w="0" w:type="auto"/>
        <w:jc w:val="left"/>
        <w:tblInd w:w="49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737"/>
        <w:gridCol w:w="1771"/>
        <w:gridCol w:w="1626"/>
        <w:gridCol w:w="1965"/>
      </w:tblGrid>
      <w:tr>
        <w:trPr>
          <w:trHeight w:val="367" w:hRule="exact"/>
        </w:trPr>
        <w:tc>
          <w:tcPr>
            <w:tcW w:w="2737" w:type="dxa"/>
            <w:tcBorders>
              <w:left w:val="nil"/>
              <w:right w:val="nil"/>
            </w:tcBorders>
          </w:tcPr>
          <w:p>
            <w:pPr/>
          </w:p>
        </w:tc>
        <w:tc>
          <w:tcPr>
            <w:tcW w:w="1771" w:type="dxa"/>
            <w:tcBorders>
              <w:left w:val="nil"/>
              <w:right w:val="nil"/>
            </w:tcBorders>
          </w:tcPr>
          <w:p>
            <w:pPr>
              <w:pStyle w:val="TableParagraph"/>
              <w:spacing w:line="206" w:lineRule="exact"/>
              <w:ind w:left="246"/>
              <w:rPr>
                <w:sz w:val="18"/>
              </w:rPr>
            </w:pPr>
            <w:r>
              <w:rPr>
                <w:sz w:val="18"/>
              </w:rPr>
              <w:t>INTRA ZMT-ZMT</w:t>
            </w:r>
          </w:p>
        </w:tc>
        <w:tc>
          <w:tcPr>
            <w:tcW w:w="1626" w:type="dxa"/>
            <w:tcBorders>
              <w:left w:val="nil"/>
              <w:right w:val="nil"/>
            </w:tcBorders>
          </w:tcPr>
          <w:p>
            <w:pPr>
              <w:pStyle w:val="TableParagraph"/>
              <w:spacing w:line="206" w:lineRule="exact"/>
              <w:ind w:left="134"/>
              <w:rPr>
                <w:sz w:val="18"/>
              </w:rPr>
            </w:pPr>
            <w:r>
              <w:rPr>
                <w:sz w:val="18"/>
              </w:rPr>
              <w:t>ZMT-EDOMEX</w:t>
            </w:r>
          </w:p>
        </w:tc>
        <w:tc>
          <w:tcPr>
            <w:tcW w:w="1965" w:type="dxa"/>
            <w:tcBorders>
              <w:left w:val="nil"/>
              <w:right w:val="nil"/>
            </w:tcBorders>
          </w:tcPr>
          <w:p>
            <w:pPr>
              <w:pStyle w:val="TableParagraph"/>
              <w:spacing w:line="206" w:lineRule="exact"/>
              <w:ind w:left="282"/>
              <w:rPr>
                <w:sz w:val="18"/>
              </w:rPr>
            </w:pPr>
            <w:r>
              <w:rPr>
                <w:sz w:val="18"/>
              </w:rPr>
              <w:t>ZMT-OTRO EDO</w:t>
            </w:r>
          </w:p>
        </w:tc>
      </w:tr>
      <w:tr>
        <w:trPr>
          <w:trHeight w:val="296" w:hRule="exact"/>
        </w:trPr>
        <w:tc>
          <w:tcPr>
            <w:tcW w:w="2737" w:type="dxa"/>
            <w:tcBorders>
              <w:left w:val="nil"/>
              <w:bottom w:val="nil"/>
              <w:right w:val="nil"/>
            </w:tcBorders>
          </w:tcPr>
          <w:p>
            <w:pPr>
              <w:pStyle w:val="TableParagraph"/>
              <w:spacing w:line="206" w:lineRule="exact"/>
              <w:rPr>
                <w:sz w:val="18"/>
              </w:rPr>
            </w:pPr>
            <w:r>
              <w:rPr>
                <w:sz w:val="18"/>
              </w:rPr>
              <w:t>Trabajo</w:t>
            </w:r>
          </w:p>
        </w:tc>
        <w:tc>
          <w:tcPr>
            <w:tcW w:w="1771" w:type="dxa"/>
            <w:tcBorders>
              <w:left w:val="nil"/>
              <w:bottom w:val="nil"/>
              <w:right w:val="nil"/>
            </w:tcBorders>
          </w:tcPr>
          <w:p>
            <w:pPr>
              <w:pStyle w:val="TableParagraph"/>
              <w:spacing w:line="206" w:lineRule="exact"/>
              <w:ind w:left="246"/>
              <w:rPr>
                <w:sz w:val="18"/>
              </w:rPr>
            </w:pPr>
            <w:r>
              <w:rPr>
                <w:sz w:val="18"/>
              </w:rPr>
              <w:t>22485</w:t>
            </w:r>
          </w:p>
        </w:tc>
        <w:tc>
          <w:tcPr>
            <w:tcW w:w="1626" w:type="dxa"/>
            <w:tcBorders>
              <w:left w:val="nil"/>
              <w:bottom w:val="nil"/>
              <w:right w:val="nil"/>
            </w:tcBorders>
          </w:tcPr>
          <w:p>
            <w:pPr>
              <w:pStyle w:val="TableParagraph"/>
              <w:spacing w:line="206" w:lineRule="exact"/>
              <w:ind w:left="134"/>
              <w:rPr>
                <w:sz w:val="18"/>
              </w:rPr>
            </w:pPr>
            <w:r>
              <w:rPr>
                <w:sz w:val="18"/>
              </w:rPr>
              <w:t>4946</w:t>
            </w:r>
          </w:p>
        </w:tc>
        <w:tc>
          <w:tcPr>
            <w:tcW w:w="1965" w:type="dxa"/>
            <w:tcBorders>
              <w:left w:val="nil"/>
              <w:bottom w:val="nil"/>
              <w:right w:val="nil"/>
            </w:tcBorders>
          </w:tcPr>
          <w:p>
            <w:pPr>
              <w:pStyle w:val="TableParagraph"/>
              <w:spacing w:line="206" w:lineRule="exact"/>
              <w:ind w:left="282"/>
              <w:rPr>
                <w:sz w:val="18"/>
              </w:rPr>
            </w:pPr>
            <w:r>
              <w:rPr>
                <w:sz w:val="18"/>
              </w:rPr>
              <w:t>3151</w:t>
            </w:r>
          </w:p>
        </w:tc>
      </w:tr>
      <w:tr>
        <w:trPr>
          <w:trHeight w:val="359" w:hRule="exact"/>
        </w:trPr>
        <w:tc>
          <w:tcPr>
            <w:tcW w:w="2737" w:type="dxa"/>
            <w:tcBorders>
              <w:top w:val="nil"/>
              <w:left w:val="nil"/>
              <w:bottom w:val="nil"/>
              <w:right w:val="nil"/>
            </w:tcBorders>
          </w:tcPr>
          <w:p>
            <w:pPr>
              <w:pStyle w:val="TableParagraph"/>
              <w:spacing w:before="66"/>
              <w:rPr>
                <w:sz w:val="18"/>
              </w:rPr>
            </w:pPr>
            <w:r>
              <w:rPr>
                <w:sz w:val="18"/>
              </w:rPr>
              <w:t>Educación</w:t>
            </w:r>
          </w:p>
        </w:tc>
        <w:tc>
          <w:tcPr>
            <w:tcW w:w="1771" w:type="dxa"/>
            <w:tcBorders>
              <w:top w:val="nil"/>
              <w:left w:val="nil"/>
              <w:bottom w:val="nil"/>
              <w:right w:val="nil"/>
            </w:tcBorders>
          </w:tcPr>
          <w:p>
            <w:pPr>
              <w:pStyle w:val="TableParagraph"/>
              <w:spacing w:before="66"/>
              <w:ind w:left="246"/>
              <w:rPr>
                <w:sz w:val="18"/>
              </w:rPr>
            </w:pPr>
            <w:r>
              <w:rPr>
                <w:sz w:val="18"/>
              </w:rPr>
              <w:t>467</w:t>
            </w:r>
          </w:p>
        </w:tc>
        <w:tc>
          <w:tcPr>
            <w:tcW w:w="1626" w:type="dxa"/>
            <w:tcBorders>
              <w:top w:val="nil"/>
              <w:left w:val="nil"/>
              <w:bottom w:val="nil"/>
              <w:right w:val="nil"/>
            </w:tcBorders>
          </w:tcPr>
          <w:p>
            <w:pPr>
              <w:pStyle w:val="TableParagraph"/>
              <w:spacing w:before="66"/>
              <w:ind w:left="134"/>
              <w:rPr>
                <w:sz w:val="18"/>
              </w:rPr>
            </w:pPr>
            <w:r>
              <w:rPr>
                <w:sz w:val="18"/>
              </w:rPr>
              <w:t>80</w:t>
            </w:r>
          </w:p>
        </w:tc>
        <w:tc>
          <w:tcPr>
            <w:tcW w:w="1965" w:type="dxa"/>
            <w:tcBorders>
              <w:top w:val="nil"/>
              <w:left w:val="nil"/>
              <w:bottom w:val="nil"/>
              <w:right w:val="nil"/>
            </w:tcBorders>
          </w:tcPr>
          <w:p>
            <w:pPr>
              <w:pStyle w:val="TableParagraph"/>
              <w:spacing w:before="66"/>
              <w:ind w:left="282"/>
              <w:rPr>
                <w:sz w:val="18"/>
              </w:rPr>
            </w:pPr>
            <w:r>
              <w:rPr>
                <w:sz w:val="18"/>
              </w:rPr>
              <w:t>15</w:t>
            </w:r>
          </w:p>
        </w:tc>
      </w:tr>
      <w:tr>
        <w:trPr>
          <w:trHeight w:val="359" w:hRule="exact"/>
        </w:trPr>
        <w:tc>
          <w:tcPr>
            <w:tcW w:w="2737" w:type="dxa"/>
            <w:tcBorders>
              <w:top w:val="nil"/>
              <w:left w:val="nil"/>
              <w:bottom w:val="nil"/>
              <w:right w:val="nil"/>
            </w:tcBorders>
          </w:tcPr>
          <w:p>
            <w:pPr>
              <w:pStyle w:val="TableParagraph"/>
              <w:spacing w:before="67"/>
              <w:rPr>
                <w:sz w:val="18"/>
              </w:rPr>
            </w:pPr>
            <w:r>
              <w:rPr>
                <w:sz w:val="18"/>
              </w:rPr>
              <w:t>Paseo</w:t>
            </w:r>
          </w:p>
        </w:tc>
        <w:tc>
          <w:tcPr>
            <w:tcW w:w="1771" w:type="dxa"/>
            <w:tcBorders>
              <w:top w:val="nil"/>
              <w:left w:val="nil"/>
              <w:bottom w:val="nil"/>
              <w:right w:val="nil"/>
            </w:tcBorders>
          </w:tcPr>
          <w:p>
            <w:pPr>
              <w:pStyle w:val="TableParagraph"/>
              <w:spacing w:before="67"/>
              <w:ind w:left="246"/>
              <w:rPr>
                <w:sz w:val="18"/>
              </w:rPr>
            </w:pPr>
            <w:r>
              <w:rPr>
                <w:sz w:val="18"/>
              </w:rPr>
              <w:t>6973</w:t>
            </w:r>
          </w:p>
        </w:tc>
        <w:tc>
          <w:tcPr>
            <w:tcW w:w="1626" w:type="dxa"/>
            <w:tcBorders>
              <w:top w:val="nil"/>
              <w:left w:val="nil"/>
              <w:bottom w:val="nil"/>
              <w:right w:val="nil"/>
            </w:tcBorders>
          </w:tcPr>
          <w:p>
            <w:pPr>
              <w:pStyle w:val="TableParagraph"/>
              <w:spacing w:before="67"/>
              <w:ind w:left="134"/>
              <w:rPr>
                <w:sz w:val="18"/>
              </w:rPr>
            </w:pPr>
            <w:r>
              <w:rPr>
                <w:sz w:val="18"/>
              </w:rPr>
              <w:t>2124</w:t>
            </w:r>
          </w:p>
        </w:tc>
        <w:tc>
          <w:tcPr>
            <w:tcW w:w="1965" w:type="dxa"/>
            <w:tcBorders>
              <w:top w:val="nil"/>
              <w:left w:val="nil"/>
              <w:bottom w:val="nil"/>
              <w:right w:val="nil"/>
            </w:tcBorders>
          </w:tcPr>
          <w:p>
            <w:pPr>
              <w:pStyle w:val="TableParagraph"/>
              <w:spacing w:before="67"/>
              <w:ind w:left="282"/>
              <w:rPr>
                <w:sz w:val="18"/>
              </w:rPr>
            </w:pPr>
            <w:r>
              <w:rPr>
                <w:sz w:val="18"/>
              </w:rPr>
              <w:t>1658</w:t>
            </w:r>
          </w:p>
        </w:tc>
      </w:tr>
      <w:tr>
        <w:trPr>
          <w:trHeight w:val="424" w:hRule="exact"/>
        </w:trPr>
        <w:tc>
          <w:tcPr>
            <w:tcW w:w="2737" w:type="dxa"/>
            <w:tcBorders>
              <w:top w:val="nil"/>
              <w:left w:val="nil"/>
              <w:bottom w:val="nil"/>
              <w:right w:val="nil"/>
            </w:tcBorders>
          </w:tcPr>
          <w:p>
            <w:pPr>
              <w:pStyle w:val="TableParagraph"/>
              <w:spacing w:before="66"/>
              <w:rPr>
                <w:sz w:val="18"/>
              </w:rPr>
            </w:pPr>
            <w:r>
              <w:rPr>
                <w:sz w:val="18"/>
              </w:rPr>
              <w:t>Compras</w:t>
            </w:r>
          </w:p>
        </w:tc>
        <w:tc>
          <w:tcPr>
            <w:tcW w:w="1771" w:type="dxa"/>
            <w:tcBorders>
              <w:top w:val="nil"/>
              <w:left w:val="nil"/>
              <w:bottom w:val="nil"/>
              <w:right w:val="nil"/>
            </w:tcBorders>
          </w:tcPr>
          <w:p>
            <w:pPr>
              <w:pStyle w:val="TableParagraph"/>
              <w:spacing w:before="66"/>
              <w:ind w:left="246"/>
              <w:rPr>
                <w:sz w:val="18"/>
              </w:rPr>
            </w:pPr>
            <w:r>
              <w:rPr>
                <w:sz w:val="18"/>
              </w:rPr>
              <w:t>2487</w:t>
            </w:r>
          </w:p>
        </w:tc>
        <w:tc>
          <w:tcPr>
            <w:tcW w:w="1626" w:type="dxa"/>
            <w:tcBorders>
              <w:top w:val="nil"/>
              <w:left w:val="nil"/>
              <w:bottom w:val="nil"/>
              <w:right w:val="nil"/>
            </w:tcBorders>
          </w:tcPr>
          <w:p>
            <w:pPr>
              <w:pStyle w:val="TableParagraph"/>
              <w:spacing w:before="66"/>
              <w:ind w:left="134"/>
              <w:rPr>
                <w:sz w:val="18"/>
              </w:rPr>
            </w:pPr>
            <w:r>
              <w:rPr>
                <w:sz w:val="18"/>
              </w:rPr>
              <w:t>344</w:t>
            </w:r>
          </w:p>
        </w:tc>
        <w:tc>
          <w:tcPr>
            <w:tcW w:w="1965" w:type="dxa"/>
            <w:tcBorders>
              <w:top w:val="nil"/>
              <w:left w:val="nil"/>
              <w:bottom w:val="nil"/>
              <w:right w:val="nil"/>
            </w:tcBorders>
          </w:tcPr>
          <w:p>
            <w:pPr>
              <w:pStyle w:val="TableParagraph"/>
              <w:spacing w:before="66"/>
              <w:ind w:left="282"/>
              <w:rPr>
                <w:sz w:val="18"/>
              </w:rPr>
            </w:pPr>
            <w:r>
              <w:rPr>
                <w:sz w:val="18"/>
              </w:rPr>
              <w:t>95</w:t>
            </w:r>
          </w:p>
        </w:tc>
      </w:tr>
      <w:tr>
        <w:trPr>
          <w:trHeight w:val="545" w:hRule="exact"/>
        </w:trPr>
        <w:tc>
          <w:tcPr>
            <w:tcW w:w="2737" w:type="dxa"/>
            <w:tcBorders>
              <w:top w:val="nil"/>
              <w:left w:val="nil"/>
              <w:bottom w:val="nil"/>
              <w:right w:val="nil"/>
            </w:tcBorders>
            <w:shd w:val="clear" w:color="auto" w:fill="EDEBE0"/>
          </w:tcPr>
          <w:p>
            <w:pPr>
              <w:pStyle w:val="TableParagraph"/>
              <w:spacing w:line="206" w:lineRule="exact"/>
              <w:rPr>
                <w:sz w:val="18"/>
              </w:rPr>
            </w:pPr>
            <w:r>
              <w:rPr>
                <w:sz w:val="18"/>
              </w:rPr>
              <w:t>Total de movimientos</w:t>
            </w:r>
          </w:p>
        </w:tc>
        <w:tc>
          <w:tcPr>
            <w:tcW w:w="1771" w:type="dxa"/>
            <w:tcBorders>
              <w:top w:val="nil"/>
              <w:left w:val="nil"/>
              <w:bottom w:val="nil"/>
              <w:right w:val="nil"/>
            </w:tcBorders>
            <w:shd w:val="clear" w:color="auto" w:fill="EDEBE0"/>
          </w:tcPr>
          <w:p>
            <w:pPr>
              <w:pStyle w:val="TableParagraph"/>
              <w:spacing w:line="206" w:lineRule="exact"/>
              <w:ind w:left="246"/>
              <w:rPr>
                <w:sz w:val="18"/>
              </w:rPr>
            </w:pPr>
            <w:r>
              <w:rPr>
                <w:sz w:val="18"/>
              </w:rPr>
              <w:t>32412</w:t>
            </w:r>
          </w:p>
        </w:tc>
        <w:tc>
          <w:tcPr>
            <w:tcW w:w="1626" w:type="dxa"/>
            <w:tcBorders>
              <w:top w:val="nil"/>
              <w:left w:val="nil"/>
              <w:bottom w:val="nil"/>
              <w:right w:val="nil"/>
            </w:tcBorders>
            <w:shd w:val="clear" w:color="auto" w:fill="EDEBE0"/>
          </w:tcPr>
          <w:p>
            <w:pPr>
              <w:pStyle w:val="TableParagraph"/>
              <w:spacing w:line="206" w:lineRule="exact"/>
              <w:ind w:left="134"/>
              <w:rPr>
                <w:sz w:val="18"/>
              </w:rPr>
            </w:pPr>
            <w:r>
              <w:rPr>
                <w:sz w:val="18"/>
              </w:rPr>
              <w:t>7494</w:t>
            </w:r>
          </w:p>
        </w:tc>
        <w:tc>
          <w:tcPr>
            <w:tcW w:w="1965" w:type="dxa"/>
            <w:tcBorders>
              <w:top w:val="nil"/>
              <w:left w:val="nil"/>
              <w:bottom w:val="nil"/>
              <w:right w:val="nil"/>
            </w:tcBorders>
            <w:shd w:val="clear" w:color="auto" w:fill="EDEBE0"/>
          </w:tcPr>
          <w:p>
            <w:pPr>
              <w:pStyle w:val="TableParagraph"/>
              <w:spacing w:line="206" w:lineRule="exact"/>
              <w:ind w:left="282"/>
              <w:rPr>
                <w:sz w:val="18"/>
              </w:rPr>
            </w:pPr>
            <w:r>
              <w:rPr>
                <w:sz w:val="18"/>
              </w:rPr>
              <w:t>4919</w:t>
            </w:r>
          </w:p>
        </w:tc>
      </w:tr>
      <w:tr>
        <w:trPr>
          <w:trHeight w:val="291" w:hRule="exact"/>
        </w:trPr>
        <w:tc>
          <w:tcPr>
            <w:tcW w:w="2737" w:type="dxa"/>
            <w:tcBorders>
              <w:top w:val="nil"/>
              <w:left w:val="nil"/>
              <w:bottom w:val="nil"/>
              <w:right w:val="nil"/>
            </w:tcBorders>
          </w:tcPr>
          <w:p>
            <w:pPr>
              <w:pStyle w:val="TableParagraph"/>
              <w:spacing w:line="206" w:lineRule="exact"/>
              <w:rPr>
                <w:sz w:val="18"/>
              </w:rPr>
            </w:pPr>
            <w:r>
              <w:rPr>
                <w:sz w:val="18"/>
              </w:rPr>
              <w:t>Número de municipios origen</w:t>
            </w:r>
          </w:p>
        </w:tc>
        <w:tc>
          <w:tcPr>
            <w:tcW w:w="1771" w:type="dxa"/>
            <w:tcBorders>
              <w:top w:val="nil"/>
              <w:left w:val="nil"/>
              <w:bottom w:val="nil"/>
              <w:right w:val="nil"/>
            </w:tcBorders>
          </w:tcPr>
          <w:p>
            <w:pPr>
              <w:pStyle w:val="TableParagraph"/>
              <w:spacing w:line="206" w:lineRule="exact"/>
              <w:ind w:left="246"/>
              <w:rPr>
                <w:sz w:val="18"/>
              </w:rPr>
            </w:pPr>
            <w:r>
              <w:rPr>
                <w:sz w:val="18"/>
              </w:rPr>
              <w:t>22</w:t>
            </w:r>
          </w:p>
        </w:tc>
        <w:tc>
          <w:tcPr>
            <w:tcW w:w="1626" w:type="dxa"/>
            <w:tcBorders>
              <w:top w:val="nil"/>
              <w:left w:val="nil"/>
              <w:bottom w:val="nil"/>
              <w:right w:val="nil"/>
            </w:tcBorders>
          </w:tcPr>
          <w:p>
            <w:pPr>
              <w:pStyle w:val="TableParagraph"/>
              <w:spacing w:line="206" w:lineRule="exact"/>
              <w:ind w:left="134"/>
              <w:rPr>
                <w:sz w:val="18"/>
              </w:rPr>
            </w:pPr>
            <w:r>
              <w:rPr>
                <w:sz w:val="18"/>
              </w:rPr>
              <w:t>21</w:t>
            </w:r>
          </w:p>
        </w:tc>
        <w:tc>
          <w:tcPr>
            <w:tcW w:w="1965" w:type="dxa"/>
            <w:tcBorders>
              <w:top w:val="nil"/>
              <w:left w:val="nil"/>
              <w:bottom w:val="nil"/>
              <w:right w:val="nil"/>
            </w:tcBorders>
          </w:tcPr>
          <w:p>
            <w:pPr>
              <w:pStyle w:val="TableParagraph"/>
              <w:spacing w:line="206" w:lineRule="exact"/>
              <w:ind w:left="282"/>
              <w:rPr>
                <w:sz w:val="18"/>
              </w:rPr>
            </w:pPr>
            <w:r>
              <w:rPr>
                <w:sz w:val="18"/>
              </w:rPr>
              <w:t>21</w:t>
            </w:r>
          </w:p>
        </w:tc>
      </w:tr>
      <w:tr>
        <w:trPr>
          <w:trHeight w:val="515" w:hRule="exact"/>
        </w:trPr>
        <w:tc>
          <w:tcPr>
            <w:tcW w:w="2737" w:type="dxa"/>
            <w:tcBorders>
              <w:top w:val="nil"/>
              <w:left w:val="nil"/>
              <w:right w:val="nil"/>
            </w:tcBorders>
          </w:tcPr>
          <w:p>
            <w:pPr>
              <w:pStyle w:val="TableParagraph"/>
              <w:spacing w:before="10"/>
              <w:ind w:left="0"/>
              <w:rPr>
                <w:sz w:val="15"/>
              </w:rPr>
            </w:pPr>
          </w:p>
          <w:p>
            <w:pPr>
              <w:pStyle w:val="TableParagraph"/>
              <w:spacing w:before="1"/>
              <w:rPr>
                <w:sz w:val="18"/>
              </w:rPr>
            </w:pPr>
            <w:r>
              <w:rPr>
                <w:sz w:val="18"/>
              </w:rPr>
              <w:t>Número de municipios destino</w:t>
            </w:r>
          </w:p>
        </w:tc>
        <w:tc>
          <w:tcPr>
            <w:tcW w:w="1771" w:type="dxa"/>
            <w:tcBorders>
              <w:top w:val="nil"/>
              <w:left w:val="nil"/>
              <w:right w:val="nil"/>
            </w:tcBorders>
          </w:tcPr>
          <w:p>
            <w:pPr>
              <w:pStyle w:val="TableParagraph"/>
              <w:spacing w:before="10"/>
              <w:ind w:left="0"/>
              <w:rPr>
                <w:sz w:val="15"/>
              </w:rPr>
            </w:pPr>
          </w:p>
          <w:p>
            <w:pPr>
              <w:pStyle w:val="TableParagraph"/>
              <w:spacing w:before="1"/>
              <w:ind w:left="246"/>
              <w:rPr>
                <w:sz w:val="18"/>
              </w:rPr>
            </w:pPr>
            <w:r>
              <w:rPr>
                <w:sz w:val="18"/>
              </w:rPr>
              <w:t>21</w:t>
            </w:r>
          </w:p>
        </w:tc>
        <w:tc>
          <w:tcPr>
            <w:tcW w:w="1626" w:type="dxa"/>
            <w:tcBorders>
              <w:top w:val="nil"/>
              <w:left w:val="nil"/>
              <w:right w:val="nil"/>
            </w:tcBorders>
          </w:tcPr>
          <w:p>
            <w:pPr>
              <w:pStyle w:val="TableParagraph"/>
              <w:spacing w:before="10"/>
              <w:ind w:left="0"/>
              <w:rPr>
                <w:sz w:val="15"/>
              </w:rPr>
            </w:pPr>
          </w:p>
          <w:p>
            <w:pPr>
              <w:pStyle w:val="TableParagraph"/>
              <w:spacing w:before="1"/>
              <w:ind w:left="134"/>
              <w:rPr>
                <w:sz w:val="18"/>
              </w:rPr>
            </w:pPr>
            <w:r>
              <w:rPr>
                <w:sz w:val="18"/>
              </w:rPr>
              <w:t>67</w:t>
            </w:r>
          </w:p>
        </w:tc>
        <w:tc>
          <w:tcPr>
            <w:tcW w:w="1965" w:type="dxa"/>
            <w:tcBorders>
              <w:top w:val="nil"/>
              <w:left w:val="nil"/>
              <w:right w:val="nil"/>
            </w:tcBorders>
          </w:tcPr>
          <w:p>
            <w:pPr>
              <w:pStyle w:val="TableParagraph"/>
              <w:spacing w:before="66"/>
              <w:ind w:left="282" w:right="582"/>
              <w:rPr>
                <w:sz w:val="18"/>
              </w:rPr>
            </w:pPr>
            <w:r>
              <w:rPr>
                <w:sz w:val="18"/>
              </w:rPr>
              <w:t>Total estados destino 22</w:t>
            </w:r>
          </w:p>
        </w:tc>
      </w:tr>
    </w:tbl>
    <w:p>
      <w:pPr>
        <w:spacing w:line="227" w:lineRule="exact" w:before="0"/>
        <w:ind w:left="263" w:right="0" w:firstLine="0"/>
        <w:jc w:val="left"/>
        <w:rPr>
          <w:sz w:val="20"/>
        </w:rPr>
      </w:pPr>
      <w:r>
        <w:rPr>
          <w:sz w:val="20"/>
        </w:rPr>
        <w:t>Fuente: Elaboración propia con información de la Junta de Caminos del Estado de México 2007.</w:t>
      </w:r>
    </w:p>
    <w:p>
      <w:pPr>
        <w:spacing w:after="0" w:line="227" w:lineRule="exact"/>
        <w:jc w:val="left"/>
        <w:rPr>
          <w:sz w:val="20"/>
        </w:rPr>
        <w:sectPr>
          <w:pgSz w:w="12240" w:h="15840"/>
          <w:pgMar w:header="0" w:footer="659" w:top="1360" w:bottom="840" w:left="1580" w:right="1660"/>
        </w:sectPr>
      </w:pPr>
    </w:p>
    <w:p>
      <w:pPr>
        <w:tabs>
          <w:tab w:pos="770" w:val="left" w:leader="none"/>
          <w:tab w:pos="7794" w:val="left" w:leader="none"/>
        </w:tabs>
        <w:spacing w:before="53" w:after="59"/>
        <w:ind w:left="0" w:right="6" w:firstLine="0"/>
        <w:jc w:val="center"/>
        <w:rPr>
          <w:sz w:val="20"/>
        </w:rPr>
      </w:pPr>
      <w:r>
        <w:rPr>
          <w:w w:val="99"/>
          <w:sz w:val="20"/>
          <w:u w:val="single"/>
        </w:rPr>
        <w:t> </w:t>
      </w:r>
      <w:r>
        <w:rPr>
          <w:sz w:val="20"/>
          <w:u w:val="single"/>
        </w:rPr>
        <w:tab/>
        <w:t>Cuadro A 4.16 Destinos estatales de los desplazamientos desde</w:t>
      </w:r>
      <w:r>
        <w:rPr>
          <w:spacing w:val="-12"/>
          <w:sz w:val="20"/>
          <w:u w:val="single"/>
        </w:rPr>
        <w:t> </w:t>
      </w:r>
      <w:r>
        <w:rPr>
          <w:sz w:val="20"/>
          <w:u w:val="single"/>
        </w:rPr>
        <w:t>ZMT.</w:t>
        <w:tab/>
      </w:r>
    </w:p>
    <w:tbl>
      <w:tblPr>
        <w:tblW w:w="0" w:type="auto"/>
        <w:jc w:val="left"/>
        <w:tblInd w:w="550"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526"/>
        <w:gridCol w:w="1420"/>
        <w:gridCol w:w="2449"/>
        <w:gridCol w:w="1413"/>
      </w:tblGrid>
      <w:tr>
        <w:trPr>
          <w:trHeight w:val="191" w:hRule="exact"/>
        </w:trPr>
        <w:tc>
          <w:tcPr>
            <w:tcW w:w="2526" w:type="dxa"/>
            <w:tcBorders>
              <w:bottom w:val="single" w:sz="4" w:space="0" w:color="000000"/>
            </w:tcBorders>
          </w:tcPr>
          <w:p>
            <w:pPr>
              <w:pStyle w:val="TableParagraph"/>
              <w:spacing w:line="187" w:lineRule="exact"/>
              <w:ind w:left="83"/>
              <w:rPr>
                <w:sz w:val="18"/>
              </w:rPr>
            </w:pPr>
            <w:r>
              <w:rPr>
                <w:sz w:val="18"/>
              </w:rPr>
              <w:t>DESTINOS EDO. MEX</w:t>
            </w:r>
          </w:p>
        </w:tc>
        <w:tc>
          <w:tcPr>
            <w:tcW w:w="1420" w:type="dxa"/>
            <w:tcBorders>
              <w:bottom w:val="single" w:sz="4" w:space="0" w:color="000000"/>
            </w:tcBorders>
          </w:tcPr>
          <w:p>
            <w:pPr>
              <w:pStyle w:val="TableParagraph"/>
              <w:spacing w:line="187" w:lineRule="exact"/>
              <w:ind w:left="268"/>
              <w:rPr>
                <w:sz w:val="18"/>
              </w:rPr>
            </w:pPr>
            <w:r>
              <w:rPr>
                <w:sz w:val="18"/>
              </w:rPr>
              <w:t>RELATIVO</w:t>
            </w:r>
          </w:p>
        </w:tc>
        <w:tc>
          <w:tcPr>
            <w:tcW w:w="2449" w:type="dxa"/>
            <w:tcBorders>
              <w:bottom w:val="single" w:sz="4" w:space="0" w:color="000000"/>
            </w:tcBorders>
          </w:tcPr>
          <w:p>
            <w:pPr>
              <w:pStyle w:val="TableParagraph"/>
              <w:spacing w:line="187" w:lineRule="exact"/>
              <w:ind w:left="263"/>
              <w:rPr>
                <w:sz w:val="18"/>
              </w:rPr>
            </w:pPr>
            <w:r>
              <w:rPr>
                <w:sz w:val="18"/>
              </w:rPr>
              <w:t>DESTINOS EDO. MEX</w:t>
            </w:r>
          </w:p>
        </w:tc>
        <w:tc>
          <w:tcPr>
            <w:tcW w:w="1413" w:type="dxa"/>
            <w:tcBorders>
              <w:bottom w:val="single" w:sz="4" w:space="0" w:color="000000"/>
            </w:tcBorders>
          </w:tcPr>
          <w:p>
            <w:pPr>
              <w:pStyle w:val="TableParagraph"/>
              <w:spacing w:line="187" w:lineRule="exact"/>
              <w:ind w:left="224"/>
              <w:rPr>
                <w:sz w:val="18"/>
              </w:rPr>
            </w:pPr>
            <w:r>
              <w:rPr>
                <w:sz w:val="18"/>
              </w:rPr>
              <w:t>RELATIVO</w:t>
            </w:r>
          </w:p>
        </w:tc>
      </w:tr>
      <w:tr>
        <w:trPr>
          <w:trHeight w:val="257" w:hRule="exact"/>
        </w:trPr>
        <w:tc>
          <w:tcPr>
            <w:tcW w:w="2526" w:type="dxa"/>
            <w:tcBorders>
              <w:top w:val="single" w:sz="4" w:space="0" w:color="000000"/>
            </w:tcBorders>
          </w:tcPr>
          <w:p>
            <w:pPr>
              <w:pStyle w:val="TableParagraph"/>
              <w:spacing w:before="26"/>
              <w:ind w:left="83"/>
              <w:rPr>
                <w:sz w:val="18"/>
              </w:rPr>
            </w:pPr>
            <w:r>
              <w:rPr>
                <w:sz w:val="18"/>
              </w:rPr>
              <w:t>Ixtlahuaca</w:t>
            </w:r>
          </w:p>
        </w:tc>
        <w:tc>
          <w:tcPr>
            <w:tcW w:w="1420" w:type="dxa"/>
            <w:tcBorders>
              <w:top w:val="single" w:sz="4" w:space="0" w:color="000000"/>
            </w:tcBorders>
          </w:tcPr>
          <w:p>
            <w:pPr>
              <w:pStyle w:val="TableParagraph"/>
              <w:spacing w:before="26"/>
              <w:ind w:left="268"/>
              <w:rPr>
                <w:sz w:val="18"/>
              </w:rPr>
            </w:pPr>
            <w:r>
              <w:rPr>
                <w:sz w:val="18"/>
              </w:rPr>
              <w:t>13.24</w:t>
            </w:r>
          </w:p>
        </w:tc>
        <w:tc>
          <w:tcPr>
            <w:tcW w:w="2449" w:type="dxa"/>
            <w:tcBorders>
              <w:top w:val="single" w:sz="4" w:space="0" w:color="000000"/>
            </w:tcBorders>
          </w:tcPr>
          <w:p>
            <w:pPr>
              <w:pStyle w:val="TableParagraph"/>
              <w:spacing w:before="26"/>
              <w:ind w:left="263"/>
              <w:rPr>
                <w:sz w:val="18"/>
              </w:rPr>
            </w:pPr>
            <w:r>
              <w:rPr>
                <w:sz w:val="18"/>
              </w:rPr>
              <w:t>Morelos</w:t>
            </w:r>
          </w:p>
        </w:tc>
        <w:tc>
          <w:tcPr>
            <w:tcW w:w="1413" w:type="dxa"/>
            <w:tcBorders>
              <w:top w:val="single" w:sz="4" w:space="0" w:color="000000"/>
            </w:tcBorders>
          </w:tcPr>
          <w:p>
            <w:pPr>
              <w:pStyle w:val="TableParagraph"/>
              <w:spacing w:before="26"/>
              <w:ind w:left="224"/>
              <w:rPr>
                <w:sz w:val="18"/>
              </w:rPr>
            </w:pPr>
            <w:r>
              <w:rPr>
                <w:sz w:val="18"/>
              </w:rPr>
              <w:t>0.33</w:t>
            </w:r>
          </w:p>
        </w:tc>
      </w:tr>
      <w:tr>
        <w:trPr>
          <w:trHeight w:val="232" w:hRule="exact"/>
        </w:trPr>
        <w:tc>
          <w:tcPr>
            <w:tcW w:w="2526" w:type="dxa"/>
          </w:tcPr>
          <w:p>
            <w:pPr>
              <w:pStyle w:val="TableParagraph"/>
              <w:spacing w:before="6"/>
              <w:ind w:left="83"/>
              <w:rPr>
                <w:sz w:val="18"/>
              </w:rPr>
            </w:pPr>
            <w:r>
              <w:rPr>
                <w:sz w:val="18"/>
              </w:rPr>
              <w:t>Naucalpan de Juárez</w:t>
            </w:r>
          </w:p>
        </w:tc>
        <w:tc>
          <w:tcPr>
            <w:tcW w:w="1420" w:type="dxa"/>
          </w:tcPr>
          <w:p>
            <w:pPr>
              <w:pStyle w:val="TableParagraph"/>
              <w:spacing w:before="6"/>
              <w:ind w:left="268"/>
              <w:rPr>
                <w:sz w:val="18"/>
              </w:rPr>
            </w:pPr>
            <w:r>
              <w:rPr>
                <w:sz w:val="18"/>
              </w:rPr>
              <w:t>10.74</w:t>
            </w:r>
          </w:p>
        </w:tc>
        <w:tc>
          <w:tcPr>
            <w:tcW w:w="2449" w:type="dxa"/>
          </w:tcPr>
          <w:p>
            <w:pPr>
              <w:pStyle w:val="TableParagraph"/>
              <w:spacing w:before="6"/>
              <w:ind w:left="263"/>
              <w:rPr>
                <w:sz w:val="18"/>
              </w:rPr>
            </w:pPr>
            <w:r>
              <w:rPr>
                <w:sz w:val="18"/>
              </w:rPr>
              <w:t>Temascalcingo</w:t>
            </w:r>
          </w:p>
        </w:tc>
        <w:tc>
          <w:tcPr>
            <w:tcW w:w="1413" w:type="dxa"/>
          </w:tcPr>
          <w:p>
            <w:pPr>
              <w:pStyle w:val="TableParagraph"/>
              <w:spacing w:before="6"/>
              <w:ind w:left="224"/>
              <w:rPr>
                <w:sz w:val="18"/>
              </w:rPr>
            </w:pPr>
            <w:r>
              <w:rPr>
                <w:sz w:val="18"/>
              </w:rPr>
              <w:t>0.33</w:t>
            </w:r>
          </w:p>
        </w:tc>
      </w:tr>
      <w:tr>
        <w:trPr>
          <w:trHeight w:val="232" w:hRule="exact"/>
        </w:trPr>
        <w:tc>
          <w:tcPr>
            <w:tcW w:w="2526" w:type="dxa"/>
          </w:tcPr>
          <w:p>
            <w:pPr>
              <w:pStyle w:val="TableParagraph"/>
              <w:spacing w:before="5"/>
              <w:ind w:left="83"/>
              <w:rPr>
                <w:sz w:val="18"/>
              </w:rPr>
            </w:pPr>
            <w:r>
              <w:rPr>
                <w:sz w:val="18"/>
              </w:rPr>
              <w:t>Atlacomulco</w:t>
            </w:r>
          </w:p>
        </w:tc>
        <w:tc>
          <w:tcPr>
            <w:tcW w:w="1420" w:type="dxa"/>
          </w:tcPr>
          <w:p>
            <w:pPr>
              <w:pStyle w:val="TableParagraph"/>
              <w:spacing w:before="5"/>
              <w:ind w:left="268"/>
              <w:rPr>
                <w:sz w:val="18"/>
              </w:rPr>
            </w:pPr>
            <w:r>
              <w:rPr>
                <w:sz w:val="18"/>
              </w:rPr>
              <w:t>9.73</w:t>
            </w:r>
          </w:p>
        </w:tc>
        <w:tc>
          <w:tcPr>
            <w:tcW w:w="2449" w:type="dxa"/>
          </w:tcPr>
          <w:p>
            <w:pPr>
              <w:pStyle w:val="TableParagraph"/>
              <w:spacing w:before="5"/>
              <w:ind w:left="263"/>
              <w:rPr>
                <w:sz w:val="18"/>
              </w:rPr>
            </w:pPr>
            <w:r>
              <w:rPr>
                <w:sz w:val="18"/>
              </w:rPr>
              <w:t>Tlatlaya</w:t>
            </w:r>
          </w:p>
        </w:tc>
        <w:tc>
          <w:tcPr>
            <w:tcW w:w="1413" w:type="dxa"/>
          </w:tcPr>
          <w:p>
            <w:pPr>
              <w:pStyle w:val="TableParagraph"/>
              <w:spacing w:before="5"/>
              <w:ind w:left="224"/>
              <w:rPr>
                <w:sz w:val="18"/>
              </w:rPr>
            </w:pPr>
            <w:r>
              <w:rPr>
                <w:sz w:val="18"/>
              </w:rPr>
              <w:t>0.33</w:t>
            </w:r>
          </w:p>
        </w:tc>
      </w:tr>
      <w:tr>
        <w:trPr>
          <w:trHeight w:val="233" w:hRule="exact"/>
        </w:trPr>
        <w:tc>
          <w:tcPr>
            <w:tcW w:w="2526" w:type="dxa"/>
          </w:tcPr>
          <w:p>
            <w:pPr>
              <w:pStyle w:val="TableParagraph"/>
              <w:spacing w:before="6"/>
              <w:ind w:left="83"/>
              <w:rPr>
                <w:sz w:val="18"/>
              </w:rPr>
            </w:pPr>
            <w:r>
              <w:rPr>
                <w:sz w:val="18"/>
              </w:rPr>
              <w:t>Valle de Bravo</w:t>
            </w:r>
          </w:p>
        </w:tc>
        <w:tc>
          <w:tcPr>
            <w:tcW w:w="1420" w:type="dxa"/>
          </w:tcPr>
          <w:p>
            <w:pPr>
              <w:pStyle w:val="TableParagraph"/>
              <w:spacing w:before="6"/>
              <w:ind w:left="268"/>
              <w:rPr>
                <w:sz w:val="18"/>
              </w:rPr>
            </w:pPr>
            <w:r>
              <w:rPr>
                <w:sz w:val="18"/>
              </w:rPr>
              <w:t>8.46</w:t>
            </w:r>
          </w:p>
        </w:tc>
        <w:tc>
          <w:tcPr>
            <w:tcW w:w="2449" w:type="dxa"/>
          </w:tcPr>
          <w:p>
            <w:pPr>
              <w:pStyle w:val="TableParagraph"/>
              <w:spacing w:before="6"/>
              <w:ind w:left="263"/>
              <w:rPr>
                <w:sz w:val="18"/>
              </w:rPr>
            </w:pPr>
            <w:r>
              <w:rPr>
                <w:sz w:val="18"/>
              </w:rPr>
              <w:t>Zumpango</w:t>
            </w:r>
          </w:p>
        </w:tc>
        <w:tc>
          <w:tcPr>
            <w:tcW w:w="1413" w:type="dxa"/>
          </w:tcPr>
          <w:p>
            <w:pPr>
              <w:pStyle w:val="TableParagraph"/>
              <w:spacing w:before="6"/>
              <w:ind w:left="224"/>
              <w:rPr>
                <w:sz w:val="18"/>
              </w:rPr>
            </w:pPr>
            <w:r>
              <w:rPr>
                <w:sz w:val="18"/>
              </w:rPr>
              <w:t>0.31</w:t>
            </w:r>
          </w:p>
        </w:tc>
      </w:tr>
      <w:tr>
        <w:trPr>
          <w:trHeight w:val="232" w:hRule="exact"/>
        </w:trPr>
        <w:tc>
          <w:tcPr>
            <w:tcW w:w="2526" w:type="dxa"/>
          </w:tcPr>
          <w:p>
            <w:pPr>
              <w:pStyle w:val="TableParagraph"/>
              <w:spacing w:before="6"/>
              <w:ind w:left="83"/>
              <w:rPr>
                <w:sz w:val="18"/>
              </w:rPr>
            </w:pPr>
            <w:r>
              <w:rPr>
                <w:sz w:val="18"/>
              </w:rPr>
              <w:t>Villa Victoria</w:t>
            </w:r>
          </w:p>
        </w:tc>
        <w:tc>
          <w:tcPr>
            <w:tcW w:w="1420" w:type="dxa"/>
          </w:tcPr>
          <w:p>
            <w:pPr>
              <w:pStyle w:val="TableParagraph"/>
              <w:spacing w:before="6"/>
              <w:ind w:left="268"/>
              <w:rPr>
                <w:sz w:val="18"/>
              </w:rPr>
            </w:pPr>
            <w:r>
              <w:rPr>
                <w:sz w:val="18"/>
              </w:rPr>
              <w:t>4.99</w:t>
            </w:r>
          </w:p>
        </w:tc>
        <w:tc>
          <w:tcPr>
            <w:tcW w:w="2449" w:type="dxa"/>
          </w:tcPr>
          <w:p>
            <w:pPr>
              <w:pStyle w:val="TableParagraph"/>
              <w:spacing w:before="6"/>
              <w:ind w:left="263"/>
              <w:rPr>
                <w:sz w:val="18"/>
              </w:rPr>
            </w:pPr>
            <w:r>
              <w:rPr>
                <w:sz w:val="18"/>
              </w:rPr>
              <w:t>Coacalco de Berriozábal</w:t>
            </w:r>
          </w:p>
        </w:tc>
        <w:tc>
          <w:tcPr>
            <w:tcW w:w="1413" w:type="dxa"/>
          </w:tcPr>
          <w:p>
            <w:pPr>
              <w:pStyle w:val="TableParagraph"/>
              <w:spacing w:before="6"/>
              <w:ind w:left="224"/>
              <w:rPr>
                <w:sz w:val="18"/>
              </w:rPr>
            </w:pPr>
            <w:r>
              <w:rPr>
                <w:sz w:val="18"/>
              </w:rPr>
              <w:t>0.28</w:t>
            </w:r>
          </w:p>
        </w:tc>
      </w:tr>
      <w:tr>
        <w:trPr>
          <w:trHeight w:val="232" w:hRule="exact"/>
        </w:trPr>
        <w:tc>
          <w:tcPr>
            <w:tcW w:w="2526" w:type="dxa"/>
          </w:tcPr>
          <w:p>
            <w:pPr>
              <w:pStyle w:val="TableParagraph"/>
              <w:spacing w:before="5"/>
              <w:ind w:left="83"/>
              <w:rPr>
                <w:sz w:val="18"/>
              </w:rPr>
            </w:pPr>
            <w:r>
              <w:rPr>
                <w:sz w:val="18"/>
              </w:rPr>
              <w:t>Temascaltepec</w:t>
            </w:r>
          </w:p>
        </w:tc>
        <w:tc>
          <w:tcPr>
            <w:tcW w:w="1420" w:type="dxa"/>
          </w:tcPr>
          <w:p>
            <w:pPr>
              <w:pStyle w:val="TableParagraph"/>
              <w:spacing w:before="5"/>
              <w:ind w:left="268"/>
              <w:rPr>
                <w:sz w:val="18"/>
              </w:rPr>
            </w:pPr>
            <w:r>
              <w:rPr>
                <w:sz w:val="18"/>
              </w:rPr>
              <w:t>4.72</w:t>
            </w:r>
          </w:p>
        </w:tc>
        <w:tc>
          <w:tcPr>
            <w:tcW w:w="2449" w:type="dxa"/>
          </w:tcPr>
          <w:p>
            <w:pPr>
              <w:pStyle w:val="TableParagraph"/>
              <w:spacing w:before="5"/>
              <w:ind w:left="263"/>
              <w:rPr>
                <w:sz w:val="18"/>
              </w:rPr>
            </w:pPr>
            <w:r>
              <w:rPr>
                <w:sz w:val="18"/>
              </w:rPr>
              <w:t>Tultitlán</w:t>
            </w:r>
          </w:p>
        </w:tc>
        <w:tc>
          <w:tcPr>
            <w:tcW w:w="1413" w:type="dxa"/>
          </w:tcPr>
          <w:p>
            <w:pPr>
              <w:pStyle w:val="TableParagraph"/>
              <w:spacing w:before="5"/>
              <w:ind w:left="224"/>
              <w:rPr>
                <w:sz w:val="18"/>
              </w:rPr>
            </w:pPr>
            <w:r>
              <w:rPr>
                <w:sz w:val="18"/>
              </w:rPr>
              <w:t>0.28</w:t>
            </w:r>
          </w:p>
        </w:tc>
      </w:tr>
      <w:tr>
        <w:trPr>
          <w:trHeight w:val="245" w:hRule="exact"/>
        </w:trPr>
        <w:tc>
          <w:tcPr>
            <w:tcW w:w="2526" w:type="dxa"/>
          </w:tcPr>
          <w:p>
            <w:pPr>
              <w:pStyle w:val="TableParagraph"/>
              <w:spacing w:before="6"/>
              <w:ind w:left="83"/>
              <w:rPr>
                <w:sz w:val="18"/>
              </w:rPr>
            </w:pPr>
            <w:r>
              <w:rPr>
                <w:sz w:val="18"/>
              </w:rPr>
              <w:t>Tultepec</w:t>
            </w:r>
          </w:p>
        </w:tc>
        <w:tc>
          <w:tcPr>
            <w:tcW w:w="1420" w:type="dxa"/>
          </w:tcPr>
          <w:p>
            <w:pPr>
              <w:pStyle w:val="TableParagraph"/>
              <w:spacing w:before="6"/>
              <w:ind w:left="268"/>
              <w:rPr>
                <w:sz w:val="18"/>
              </w:rPr>
            </w:pPr>
            <w:r>
              <w:rPr>
                <w:sz w:val="18"/>
              </w:rPr>
              <w:t>4.68</w:t>
            </w:r>
          </w:p>
        </w:tc>
        <w:tc>
          <w:tcPr>
            <w:tcW w:w="2449" w:type="dxa"/>
          </w:tcPr>
          <w:p>
            <w:pPr>
              <w:pStyle w:val="TableParagraph"/>
              <w:spacing w:before="6"/>
              <w:ind w:left="263"/>
              <w:rPr>
                <w:sz w:val="18"/>
              </w:rPr>
            </w:pPr>
            <w:r>
              <w:rPr>
                <w:sz w:val="18"/>
              </w:rPr>
              <w:t>Luvianos</w:t>
            </w:r>
          </w:p>
        </w:tc>
        <w:tc>
          <w:tcPr>
            <w:tcW w:w="1413" w:type="dxa"/>
          </w:tcPr>
          <w:p>
            <w:pPr>
              <w:pStyle w:val="TableParagraph"/>
              <w:spacing w:before="6"/>
              <w:ind w:left="224"/>
              <w:rPr>
                <w:sz w:val="18"/>
              </w:rPr>
            </w:pPr>
            <w:r>
              <w:rPr>
                <w:sz w:val="18"/>
              </w:rPr>
              <w:t>0.25</w:t>
            </w:r>
          </w:p>
        </w:tc>
      </w:tr>
      <w:tr>
        <w:trPr>
          <w:trHeight w:val="244" w:hRule="exact"/>
        </w:trPr>
        <w:tc>
          <w:tcPr>
            <w:tcW w:w="2526" w:type="dxa"/>
          </w:tcPr>
          <w:p>
            <w:pPr>
              <w:pStyle w:val="TableParagraph"/>
              <w:spacing w:before="18"/>
              <w:ind w:left="83"/>
              <w:rPr>
                <w:sz w:val="18"/>
              </w:rPr>
            </w:pPr>
            <w:r>
              <w:rPr>
                <w:sz w:val="18"/>
              </w:rPr>
              <w:t>Tejupilco</w:t>
            </w:r>
          </w:p>
        </w:tc>
        <w:tc>
          <w:tcPr>
            <w:tcW w:w="1420" w:type="dxa"/>
          </w:tcPr>
          <w:p>
            <w:pPr>
              <w:pStyle w:val="TableParagraph"/>
              <w:spacing w:before="18"/>
              <w:ind w:left="268"/>
              <w:rPr>
                <w:sz w:val="18"/>
              </w:rPr>
            </w:pPr>
            <w:r>
              <w:rPr>
                <w:sz w:val="18"/>
              </w:rPr>
              <w:t>4.27</w:t>
            </w:r>
          </w:p>
        </w:tc>
        <w:tc>
          <w:tcPr>
            <w:tcW w:w="2449" w:type="dxa"/>
          </w:tcPr>
          <w:p>
            <w:pPr>
              <w:pStyle w:val="TableParagraph"/>
              <w:spacing w:before="18"/>
              <w:ind w:left="263"/>
              <w:rPr>
                <w:sz w:val="18"/>
              </w:rPr>
            </w:pPr>
            <w:r>
              <w:rPr>
                <w:sz w:val="18"/>
              </w:rPr>
              <w:t>Amanalco</w:t>
            </w:r>
          </w:p>
        </w:tc>
        <w:tc>
          <w:tcPr>
            <w:tcW w:w="1413" w:type="dxa"/>
          </w:tcPr>
          <w:p>
            <w:pPr>
              <w:pStyle w:val="TableParagraph"/>
              <w:spacing w:before="18"/>
              <w:ind w:left="224"/>
              <w:rPr>
                <w:sz w:val="18"/>
              </w:rPr>
            </w:pPr>
            <w:r>
              <w:rPr>
                <w:sz w:val="18"/>
              </w:rPr>
              <w:t>0.24</w:t>
            </w:r>
          </w:p>
        </w:tc>
      </w:tr>
      <w:tr>
        <w:trPr>
          <w:trHeight w:val="232" w:hRule="exact"/>
        </w:trPr>
        <w:tc>
          <w:tcPr>
            <w:tcW w:w="2526" w:type="dxa"/>
          </w:tcPr>
          <w:p>
            <w:pPr>
              <w:pStyle w:val="TableParagraph"/>
              <w:spacing w:before="5"/>
              <w:ind w:left="83"/>
              <w:rPr>
                <w:sz w:val="18"/>
              </w:rPr>
            </w:pPr>
            <w:r>
              <w:rPr>
                <w:sz w:val="18"/>
              </w:rPr>
              <w:t>Tenancingo</w:t>
            </w:r>
          </w:p>
        </w:tc>
        <w:tc>
          <w:tcPr>
            <w:tcW w:w="1420" w:type="dxa"/>
          </w:tcPr>
          <w:p>
            <w:pPr>
              <w:pStyle w:val="TableParagraph"/>
              <w:spacing w:before="5"/>
              <w:ind w:left="268"/>
              <w:rPr>
                <w:sz w:val="18"/>
              </w:rPr>
            </w:pPr>
            <w:r>
              <w:rPr>
                <w:sz w:val="18"/>
              </w:rPr>
              <w:t>3.74</w:t>
            </w:r>
          </w:p>
        </w:tc>
        <w:tc>
          <w:tcPr>
            <w:tcW w:w="2449" w:type="dxa"/>
          </w:tcPr>
          <w:p>
            <w:pPr>
              <w:pStyle w:val="TableParagraph"/>
              <w:spacing w:before="5"/>
              <w:ind w:left="263"/>
              <w:rPr>
                <w:sz w:val="18"/>
              </w:rPr>
            </w:pPr>
            <w:r>
              <w:rPr>
                <w:sz w:val="18"/>
              </w:rPr>
              <w:t>Villa de Allende</w:t>
            </w:r>
          </w:p>
        </w:tc>
        <w:tc>
          <w:tcPr>
            <w:tcW w:w="1413" w:type="dxa"/>
          </w:tcPr>
          <w:p>
            <w:pPr>
              <w:pStyle w:val="TableParagraph"/>
              <w:spacing w:before="5"/>
              <w:ind w:left="224"/>
              <w:rPr>
                <w:sz w:val="18"/>
              </w:rPr>
            </w:pPr>
            <w:r>
              <w:rPr>
                <w:sz w:val="18"/>
              </w:rPr>
              <w:t>0.24</w:t>
            </w:r>
          </w:p>
        </w:tc>
      </w:tr>
      <w:tr>
        <w:trPr>
          <w:trHeight w:val="233" w:hRule="exact"/>
        </w:trPr>
        <w:tc>
          <w:tcPr>
            <w:tcW w:w="2526" w:type="dxa"/>
          </w:tcPr>
          <w:p>
            <w:pPr>
              <w:pStyle w:val="TableParagraph"/>
              <w:spacing w:before="6"/>
              <w:ind w:left="83"/>
              <w:rPr>
                <w:sz w:val="18"/>
              </w:rPr>
            </w:pPr>
            <w:r>
              <w:rPr>
                <w:sz w:val="18"/>
              </w:rPr>
              <w:t>Ixtapan de la Sal</w:t>
            </w:r>
          </w:p>
        </w:tc>
        <w:tc>
          <w:tcPr>
            <w:tcW w:w="1420" w:type="dxa"/>
          </w:tcPr>
          <w:p>
            <w:pPr>
              <w:pStyle w:val="TableParagraph"/>
              <w:spacing w:before="6"/>
              <w:ind w:left="268"/>
              <w:rPr>
                <w:sz w:val="18"/>
              </w:rPr>
            </w:pPr>
            <w:r>
              <w:rPr>
                <w:sz w:val="18"/>
              </w:rPr>
              <w:t>2.88</w:t>
            </w:r>
          </w:p>
        </w:tc>
        <w:tc>
          <w:tcPr>
            <w:tcW w:w="2449" w:type="dxa"/>
          </w:tcPr>
          <w:p>
            <w:pPr>
              <w:pStyle w:val="TableParagraph"/>
              <w:spacing w:before="6"/>
              <w:ind w:left="263"/>
              <w:rPr>
                <w:sz w:val="18"/>
              </w:rPr>
            </w:pPr>
            <w:r>
              <w:rPr>
                <w:sz w:val="18"/>
              </w:rPr>
              <w:t>Coyotepec</w:t>
            </w:r>
          </w:p>
        </w:tc>
        <w:tc>
          <w:tcPr>
            <w:tcW w:w="1413" w:type="dxa"/>
          </w:tcPr>
          <w:p>
            <w:pPr>
              <w:pStyle w:val="TableParagraph"/>
              <w:spacing w:before="6"/>
              <w:ind w:left="224"/>
              <w:rPr>
                <w:sz w:val="18"/>
              </w:rPr>
            </w:pPr>
            <w:r>
              <w:rPr>
                <w:sz w:val="18"/>
              </w:rPr>
              <w:t>0.23</w:t>
            </w:r>
          </w:p>
        </w:tc>
      </w:tr>
      <w:tr>
        <w:trPr>
          <w:trHeight w:val="232" w:hRule="exact"/>
        </w:trPr>
        <w:tc>
          <w:tcPr>
            <w:tcW w:w="2526" w:type="dxa"/>
          </w:tcPr>
          <w:p>
            <w:pPr>
              <w:pStyle w:val="TableParagraph"/>
              <w:spacing w:before="6"/>
              <w:ind w:left="83"/>
              <w:rPr>
                <w:sz w:val="18"/>
              </w:rPr>
            </w:pPr>
            <w:r>
              <w:rPr>
                <w:sz w:val="18"/>
              </w:rPr>
              <w:t>Tlalnepantla de Baz</w:t>
            </w:r>
          </w:p>
        </w:tc>
        <w:tc>
          <w:tcPr>
            <w:tcW w:w="1420" w:type="dxa"/>
          </w:tcPr>
          <w:p>
            <w:pPr>
              <w:pStyle w:val="TableParagraph"/>
              <w:spacing w:before="6"/>
              <w:ind w:left="268"/>
              <w:rPr>
                <w:sz w:val="18"/>
              </w:rPr>
            </w:pPr>
            <w:r>
              <w:rPr>
                <w:sz w:val="18"/>
              </w:rPr>
              <w:t>2.74</w:t>
            </w:r>
          </w:p>
        </w:tc>
        <w:tc>
          <w:tcPr>
            <w:tcW w:w="2449" w:type="dxa"/>
          </w:tcPr>
          <w:p>
            <w:pPr>
              <w:pStyle w:val="TableParagraph"/>
              <w:spacing w:before="6"/>
              <w:ind w:left="263"/>
              <w:rPr>
                <w:sz w:val="18"/>
              </w:rPr>
            </w:pPr>
            <w:r>
              <w:rPr>
                <w:sz w:val="18"/>
              </w:rPr>
              <w:t>Coatepec Harinas</w:t>
            </w:r>
          </w:p>
        </w:tc>
        <w:tc>
          <w:tcPr>
            <w:tcW w:w="1413" w:type="dxa"/>
          </w:tcPr>
          <w:p>
            <w:pPr>
              <w:pStyle w:val="TableParagraph"/>
              <w:spacing w:before="6"/>
              <w:ind w:left="224"/>
              <w:rPr>
                <w:sz w:val="18"/>
              </w:rPr>
            </w:pPr>
            <w:r>
              <w:rPr>
                <w:sz w:val="18"/>
              </w:rPr>
              <w:t>0.21</w:t>
            </w:r>
          </w:p>
        </w:tc>
      </w:tr>
      <w:tr>
        <w:trPr>
          <w:trHeight w:val="232" w:hRule="exact"/>
        </w:trPr>
        <w:tc>
          <w:tcPr>
            <w:tcW w:w="2526" w:type="dxa"/>
          </w:tcPr>
          <w:p>
            <w:pPr>
              <w:pStyle w:val="TableParagraph"/>
              <w:spacing w:before="5"/>
              <w:ind w:left="83"/>
              <w:rPr>
                <w:sz w:val="18"/>
              </w:rPr>
            </w:pPr>
            <w:r>
              <w:rPr>
                <w:sz w:val="18"/>
              </w:rPr>
              <w:t>Ecatepec de Morelos</w:t>
            </w:r>
          </w:p>
        </w:tc>
        <w:tc>
          <w:tcPr>
            <w:tcW w:w="1420" w:type="dxa"/>
          </w:tcPr>
          <w:p>
            <w:pPr>
              <w:pStyle w:val="TableParagraph"/>
              <w:spacing w:before="5"/>
              <w:ind w:left="268"/>
              <w:rPr>
                <w:sz w:val="18"/>
              </w:rPr>
            </w:pPr>
            <w:r>
              <w:rPr>
                <w:sz w:val="18"/>
              </w:rPr>
              <w:t>2.35</w:t>
            </w:r>
          </w:p>
        </w:tc>
        <w:tc>
          <w:tcPr>
            <w:tcW w:w="2449" w:type="dxa"/>
          </w:tcPr>
          <w:p>
            <w:pPr>
              <w:pStyle w:val="TableParagraph"/>
              <w:spacing w:before="5"/>
              <w:ind w:left="263"/>
              <w:rPr>
                <w:sz w:val="18"/>
              </w:rPr>
            </w:pPr>
            <w:r>
              <w:rPr>
                <w:sz w:val="18"/>
              </w:rPr>
              <w:t>Santo Tomás</w:t>
            </w:r>
          </w:p>
        </w:tc>
        <w:tc>
          <w:tcPr>
            <w:tcW w:w="1413" w:type="dxa"/>
          </w:tcPr>
          <w:p>
            <w:pPr>
              <w:pStyle w:val="TableParagraph"/>
              <w:spacing w:before="5"/>
              <w:ind w:left="224"/>
              <w:rPr>
                <w:sz w:val="18"/>
              </w:rPr>
            </w:pPr>
            <w:r>
              <w:rPr>
                <w:sz w:val="18"/>
              </w:rPr>
              <w:t>0.21</w:t>
            </w:r>
          </w:p>
        </w:tc>
      </w:tr>
      <w:tr>
        <w:trPr>
          <w:trHeight w:val="233" w:hRule="exact"/>
        </w:trPr>
        <w:tc>
          <w:tcPr>
            <w:tcW w:w="2526" w:type="dxa"/>
          </w:tcPr>
          <w:p>
            <w:pPr>
              <w:pStyle w:val="TableParagraph"/>
              <w:spacing w:before="6"/>
              <w:ind w:left="83"/>
              <w:rPr>
                <w:sz w:val="18"/>
              </w:rPr>
            </w:pPr>
            <w:r>
              <w:rPr>
                <w:sz w:val="18"/>
              </w:rPr>
              <w:t>San José del Rincón</w:t>
            </w:r>
          </w:p>
        </w:tc>
        <w:tc>
          <w:tcPr>
            <w:tcW w:w="1420" w:type="dxa"/>
          </w:tcPr>
          <w:p>
            <w:pPr>
              <w:pStyle w:val="TableParagraph"/>
              <w:spacing w:before="6"/>
              <w:ind w:left="268"/>
              <w:rPr>
                <w:sz w:val="18"/>
              </w:rPr>
            </w:pPr>
            <w:r>
              <w:rPr>
                <w:sz w:val="18"/>
              </w:rPr>
              <w:t>2.04</w:t>
            </w:r>
          </w:p>
        </w:tc>
        <w:tc>
          <w:tcPr>
            <w:tcW w:w="2449" w:type="dxa"/>
          </w:tcPr>
          <w:p>
            <w:pPr>
              <w:pStyle w:val="TableParagraph"/>
              <w:spacing w:before="6"/>
              <w:ind w:left="263"/>
              <w:rPr>
                <w:sz w:val="18"/>
              </w:rPr>
            </w:pPr>
            <w:r>
              <w:rPr>
                <w:sz w:val="18"/>
              </w:rPr>
              <w:t>Chapa de Mota</w:t>
            </w:r>
          </w:p>
        </w:tc>
        <w:tc>
          <w:tcPr>
            <w:tcW w:w="1413" w:type="dxa"/>
          </w:tcPr>
          <w:p>
            <w:pPr>
              <w:pStyle w:val="TableParagraph"/>
              <w:spacing w:before="6"/>
              <w:ind w:left="224"/>
              <w:rPr>
                <w:sz w:val="18"/>
              </w:rPr>
            </w:pPr>
            <w:r>
              <w:rPr>
                <w:sz w:val="18"/>
              </w:rPr>
              <w:t>0.20</w:t>
            </w:r>
          </w:p>
        </w:tc>
      </w:tr>
      <w:tr>
        <w:trPr>
          <w:trHeight w:val="232" w:hRule="exact"/>
        </w:trPr>
        <w:tc>
          <w:tcPr>
            <w:tcW w:w="2526" w:type="dxa"/>
          </w:tcPr>
          <w:p>
            <w:pPr>
              <w:pStyle w:val="TableParagraph"/>
              <w:spacing w:before="6"/>
              <w:ind w:left="83"/>
              <w:rPr>
                <w:sz w:val="18"/>
              </w:rPr>
            </w:pPr>
            <w:r>
              <w:rPr>
                <w:sz w:val="18"/>
              </w:rPr>
              <w:t>Texcaltitlán</w:t>
            </w:r>
          </w:p>
        </w:tc>
        <w:tc>
          <w:tcPr>
            <w:tcW w:w="1420" w:type="dxa"/>
          </w:tcPr>
          <w:p>
            <w:pPr>
              <w:pStyle w:val="TableParagraph"/>
              <w:spacing w:before="6"/>
              <w:ind w:left="268"/>
              <w:rPr>
                <w:sz w:val="18"/>
              </w:rPr>
            </w:pPr>
            <w:r>
              <w:rPr>
                <w:sz w:val="18"/>
              </w:rPr>
              <w:t>1.99</w:t>
            </w:r>
          </w:p>
        </w:tc>
        <w:tc>
          <w:tcPr>
            <w:tcW w:w="2449" w:type="dxa"/>
          </w:tcPr>
          <w:p>
            <w:pPr>
              <w:pStyle w:val="TableParagraph"/>
              <w:spacing w:before="6"/>
              <w:ind w:left="263"/>
              <w:rPr>
                <w:sz w:val="18"/>
              </w:rPr>
            </w:pPr>
            <w:r>
              <w:rPr>
                <w:sz w:val="18"/>
              </w:rPr>
              <w:t>Aculco</w:t>
            </w:r>
          </w:p>
        </w:tc>
        <w:tc>
          <w:tcPr>
            <w:tcW w:w="1413" w:type="dxa"/>
          </w:tcPr>
          <w:p>
            <w:pPr>
              <w:pStyle w:val="TableParagraph"/>
              <w:spacing w:before="6"/>
              <w:ind w:left="224"/>
              <w:rPr>
                <w:sz w:val="18"/>
              </w:rPr>
            </w:pPr>
            <w:r>
              <w:rPr>
                <w:sz w:val="18"/>
              </w:rPr>
              <w:t>0.19</w:t>
            </w:r>
          </w:p>
        </w:tc>
      </w:tr>
      <w:tr>
        <w:trPr>
          <w:trHeight w:val="232" w:hRule="exact"/>
        </w:trPr>
        <w:tc>
          <w:tcPr>
            <w:tcW w:w="2526" w:type="dxa"/>
          </w:tcPr>
          <w:p>
            <w:pPr>
              <w:pStyle w:val="TableParagraph"/>
              <w:spacing w:before="5"/>
              <w:ind w:left="83"/>
              <w:rPr>
                <w:sz w:val="18"/>
              </w:rPr>
            </w:pPr>
            <w:r>
              <w:rPr>
                <w:sz w:val="18"/>
              </w:rPr>
              <w:t>Malinalco</w:t>
            </w:r>
          </w:p>
        </w:tc>
        <w:tc>
          <w:tcPr>
            <w:tcW w:w="1420" w:type="dxa"/>
          </w:tcPr>
          <w:p>
            <w:pPr>
              <w:pStyle w:val="TableParagraph"/>
              <w:spacing w:before="5"/>
              <w:ind w:left="268"/>
              <w:rPr>
                <w:sz w:val="18"/>
              </w:rPr>
            </w:pPr>
            <w:r>
              <w:rPr>
                <w:sz w:val="18"/>
              </w:rPr>
              <w:t>1.88</w:t>
            </w:r>
          </w:p>
        </w:tc>
        <w:tc>
          <w:tcPr>
            <w:tcW w:w="2449" w:type="dxa"/>
          </w:tcPr>
          <w:p>
            <w:pPr>
              <w:pStyle w:val="TableParagraph"/>
              <w:spacing w:before="5"/>
              <w:ind w:left="263"/>
              <w:rPr>
                <w:sz w:val="18"/>
              </w:rPr>
            </w:pPr>
            <w:r>
              <w:rPr>
                <w:sz w:val="18"/>
              </w:rPr>
              <w:t>San Simón de Guerrero</w:t>
            </w:r>
          </w:p>
        </w:tc>
        <w:tc>
          <w:tcPr>
            <w:tcW w:w="1413" w:type="dxa"/>
          </w:tcPr>
          <w:p>
            <w:pPr>
              <w:pStyle w:val="TableParagraph"/>
              <w:spacing w:before="5"/>
              <w:ind w:left="224"/>
              <w:rPr>
                <w:sz w:val="18"/>
              </w:rPr>
            </w:pPr>
            <w:r>
              <w:rPr>
                <w:sz w:val="18"/>
              </w:rPr>
              <w:t>0.17</w:t>
            </w:r>
          </w:p>
        </w:tc>
      </w:tr>
      <w:tr>
        <w:trPr>
          <w:trHeight w:val="233" w:hRule="exact"/>
        </w:trPr>
        <w:tc>
          <w:tcPr>
            <w:tcW w:w="2526" w:type="dxa"/>
          </w:tcPr>
          <w:p>
            <w:pPr>
              <w:pStyle w:val="TableParagraph"/>
              <w:spacing w:before="6"/>
              <w:ind w:left="83"/>
              <w:rPr>
                <w:sz w:val="18"/>
              </w:rPr>
            </w:pPr>
            <w:r>
              <w:rPr>
                <w:sz w:val="18"/>
              </w:rPr>
              <w:t>Jiquipilco</w:t>
            </w:r>
          </w:p>
        </w:tc>
        <w:tc>
          <w:tcPr>
            <w:tcW w:w="1420" w:type="dxa"/>
          </w:tcPr>
          <w:p>
            <w:pPr>
              <w:pStyle w:val="TableParagraph"/>
              <w:spacing w:before="6"/>
              <w:ind w:left="268"/>
              <w:rPr>
                <w:sz w:val="18"/>
              </w:rPr>
            </w:pPr>
            <w:r>
              <w:rPr>
                <w:sz w:val="18"/>
              </w:rPr>
              <w:t>1.69</w:t>
            </w:r>
          </w:p>
        </w:tc>
        <w:tc>
          <w:tcPr>
            <w:tcW w:w="2449" w:type="dxa"/>
          </w:tcPr>
          <w:p>
            <w:pPr>
              <w:pStyle w:val="TableParagraph"/>
              <w:spacing w:before="6"/>
              <w:ind w:left="263"/>
              <w:rPr>
                <w:sz w:val="18"/>
              </w:rPr>
            </w:pPr>
            <w:r>
              <w:rPr>
                <w:sz w:val="18"/>
              </w:rPr>
              <w:t>Ixtapan del Oro</w:t>
            </w:r>
          </w:p>
        </w:tc>
        <w:tc>
          <w:tcPr>
            <w:tcW w:w="1413" w:type="dxa"/>
          </w:tcPr>
          <w:p>
            <w:pPr>
              <w:pStyle w:val="TableParagraph"/>
              <w:spacing w:before="6"/>
              <w:ind w:left="224"/>
              <w:rPr>
                <w:sz w:val="18"/>
              </w:rPr>
            </w:pPr>
            <w:r>
              <w:rPr>
                <w:sz w:val="18"/>
              </w:rPr>
              <w:t>0.15</w:t>
            </w:r>
          </w:p>
        </w:tc>
      </w:tr>
      <w:tr>
        <w:trPr>
          <w:trHeight w:val="232" w:hRule="exact"/>
        </w:trPr>
        <w:tc>
          <w:tcPr>
            <w:tcW w:w="2526" w:type="dxa"/>
          </w:tcPr>
          <w:p>
            <w:pPr>
              <w:pStyle w:val="TableParagraph"/>
              <w:spacing w:before="6"/>
              <w:ind w:left="83"/>
              <w:rPr>
                <w:sz w:val="18"/>
              </w:rPr>
            </w:pPr>
            <w:r>
              <w:rPr>
                <w:sz w:val="18"/>
              </w:rPr>
              <w:t>Cuautitlán</w:t>
            </w:r>
          </w:p>
        </w:tc>
        <w:tc>
          <w:tcPr>
            <w:tcW w:w="1420" w:type="dxa"/>
          </w:tcPr>
          <w:p>
            <w:pPr>
              <w:pStyle w:val="TableParagraph"/>
              <w:spacing w:before="6"/>
              <w:ind w:left="268"/>
              <w:rPr>
                <w:sz w:val="18"/>
              </w:rPr>
            </w:pPr>
            <w:r>
              <w:rPr>
                <w:sz w:val="18"/>
              </w:rPr>
              <w:t>1.47</w:t>
            </w:r>
          </w:p>
        </w:tc>
        <w:tc>
          <w:tcPr>
            <w:tcW w:w="2449" w:type="dxa"/>
          </w:tcPr>
          <w:p>
            <w:pPr>
              <w:pStyle w:val="TableParagraph"/>
              <w:spacing w:before="6"/>
              <w:ind w:left="263"/>
              <w:rPr>
                <w:sz w:val="18"/>
              </w:rPr>
            </w:pPr>
            <w:r>
              <w:rPr>
                <w:sz w:val="18"/>
              </w:rPr>
              <w:t>Zacualpan</w:t>
            </w:r>
          </w:p>
        </w:tc>
        <w:tc>
          <w:tcPr>
            <w:tcW w:w="1413" w:type="dxa"/>
          </w:tcPr>
          <w:p>
            <w:pPr>
              <w:pStyle w:val="TableParagraph"/>
              <w:spacing w:before="6"/>
              <w:ind w:left="224"/>
              <w:rPr>
                <w:sz w:val="18"/>
              </w:rPr>
            </w:pPr>
            <w:r>
              <w:rPr>
                <w:sz w:val="18"/>
              </w:rPr>
              <w:t>0.15</w:t>
            </w:r>
          </w:p>
        </w:tc>
      </w:tr>
      <w:tr>
        <w:trPr>
          <w:trHeight w:val="232" w:hRule="exact"/>
        </w:trPr>
        <w:tc>
          <w:tcPr>
            <w:tcW w:w="2526" w:type="dxa"/>
          </w:tcPr>
          <w:p>
            <w:pPr>
              <w:pStyle w:val="TableParagraph"/>
              <w:spacing w:before="5"/>
              <w:ind w:left="83"/>
              <w:rPr>
                <w:sz w:val="18"/>
              </w:rPr>
            </w:pPr>
            <w:r>
              <w:rPr>
                <w:sz w:val="18"/>
              </w:rPr>
              <w:t>Huixquilucan</w:t>
            </w:r>
          </w:p>
        </w:tc>
        <w:tc>
          <w:tcPr>
            <w:tcW w:w="1420" w:type="dxa"/>
          </w:tcPr>
          <w:p>
            <w:pPr>
              <w:pStyle w:val="TableParagraph"/>
              <w:spacing w:before="5"/>
              <w:ind w:left="268"/>
              <w:rPr>
                <w:sz w:val="18"/>
              </w:rPr>
            </w:pPr>
            <w:r>
              <w:rPr>
                <w:sz w:val="18"/>
              </w:rPr>
              <w:t>1.32</w:t>
            </w:r>
          </w:p>
        </w:tc>
        <w:tc>
          <w:tcPr>
            <w:tcW w:w="2449" w:type="dxa"/>
          </w:tcPr>
          <w:p>
            <w:pPr>
              <w:pStyle w:val="TableParagraph"/>
              <w:spacing w:before="5"/>
              <w:ind w:left="263"/>
              <w:rPr>
                <w:sz w:val="18"/>
              </w:rPr>
            </w:pPr>
            <w:r>
              <w:rPr>
                <w:sz w:val="18"/>
              </w:rPr>
              <w:t>Villa del Carbón</w:t>
            </w:r>
          </w:p>
        </w:tc>
        <w:tc>
          <w:tcPr>
            <w:tcW w:w="1413" w:type="dxa"/>
          </w:tcPr>
          <w:p>
            <w:pPr>
              <w:pStyle w:val="TableParagraph"/>
              <w:spacing w:before="5"/>
              <w:ind w:left="224"/>
              <w:rPr>
                <w:sz w:val="18"/>
              </w:rPr>
            </w:pPr>
            <w:r>
              <w:rPr>
                <w:sz w:val="18"/>
              </w:rPr>
              <w:t>0.12</w:t>
            </w:r>
          </w:p>
        </w:tc>
      </w:tr>
      <w:tr>
        <w:trPr>
          <w:trHeight w:val="233" w:hRule="exact"/>
        </w:trPr>
        <w:tc>
          <w:tcPr>
            <w:tcW w:w="2526" w:type="dxa"/>
          </w:tcPr>
          <w:p>
            <w:pPr>
              <w:pStyle w:val="TableParagraph"/>
              <w:spacing w:before="6"/>
              <w:ind w:left="83"/>
              <w:rPr>
                <w:sz w:val="18"/>
              </w:rPr>
            </w:pPr>
            <w:r>
              <w:rPr>
                <w:sz w:val="18"/>
              </w:rPr>
              <w:t>San Felipe del Progreso</w:t>
            </w:r>
          </w:p>
        </w:tc>
        <w:tc>
          <w:tcPr>
            <w:tcW w:w="1420" w:type="dxa"/>
          </w:tcPr>
          <w:p>
            <w:pPr>
              <w:pStyle w:val="TableParagraph"/>
              <w:spacing w:before="6"/>
              <w:ind w:left="268"/>
              <w:rPr>
                <w:sz w:val="18"/>
              </w:rPr>
            </w:pPr>
            <w:r>
              <w:rPr>
                <w:sz w:val="18"/>
              </w:rPr>
              <w:t>1.20</w:t>
            </w:r>
          </w:p>
        </w:tc>
        <w:tc>
          <w:tcPr>
            <w:tcW w:w="2449" w:type="dxa"/>
          </w:tcPr>
          <w:p>
            <w:pPr>
              <w:pStyle w:val="TableParagraph"/>
              <w:spacing w:before="6"/>
              <w:ind w:left="263"/>
              <w:rPr>
                <w:sz w:val="18"/>
              </w:rPr>
            </w:pPr>
            <w:r>
              <w:rPr>
                <w:sz w:val="18"/>
              </w:rPr>
              <w:t>Zacazonapan</w:t>
            </w:r>
          </w:p>
        </w:tc>
        <w:tc>
          <w:tcPr>
            <w:tcW w:w="1413" w:type="dxa"/>
          </w:tcPr>
          <w:p>
            <w:pPr>
              <w:pStyle w:val="TableParagraph"/>
              <w:spacing w:before="6"/>
              <w:ind w:left="224"/>
              <w:rPr>
                <w:sz w:val="18"/>
              </w:rPr>
            </w:pPr>
            <w:r>
              <w:rPr>
                <w:sz w:val="18"/>
              </w:rPr>
              <w:t>0.11</w:t>
            </w:r>
          </w:p>
        </w:tc>
      </w:tr>
      <w:tr>
        <w:trPr>
          <w:trHeight w:val="232" w:hRule="exact"/>
        </w:trPr>
        <w:tc>
          <w:tcPr>
            <w:tcW w:w="2526" w:type="dxa"/>
          </w:tcPr>
          <w:p>
            <w:pPr>
              <w:pStyle w:val="TableParagraph"/>
              <w:spacing w:before="6"/>
              <w:ind w:left="83"/>
              <w:rPr>
                <w:sz w:val="18"/>
              </w:rPr>
            </w:pPr>
            <w:r>
              <w:rPr>
                <w:sz w:val="18"/>
              </w:rPr>
              <w:t>Cuautitlán Izcalli</w:t>
            </w:r>
          </w:p>
        </w:tc>
        <w:tc>
          <w:tcPr>
            <w:tcW w:w="1420" w:type="dxa"/>
          </w:tcPr>
          <w:p>
            <w:pPr>
              <w:pStyle w:val="TableParagraph"/>
              <w:spacing w:before="6"/>
              <w:ind w:left="268"/>
              <w:rPr>
                <w:sz w:val="18"/>
              </w:rPr>
            </w:pPr>
            <w:r>
              <w:rPr>
                <w:sz w:val="18"/>
              </w:rPr>
              <w:t>1.12</w:t>
            </w:r>
          </w:p>
        </w:tc>
        <w:tc>
          <w:tcPr>
            <w:tcW w:w="2449" w:type="dxa"/>
          </w:tcPr>
          <w:p>
            <w:pPr>
              <w:pStyle w:val="TableParagraph"/>
              <w:spacing w:before="6"/>
              <w:ind w:left="263"/>
              <w:rPr>
                <w:sz w:val="18"/>
              </w:rPr>
            </w:pPr>
            <w:r>
              <w:rPr>
                <w:sz w:val="18"/>
              </w:rPr>
              <w:t>Timilpan</w:t>
            </w:r>
          </w:p>
        </w:tc>
        <w:tc>
          <w:tcPr>
            <w:tcW w:w="1413" w:type="dxa"/>
          </w:tcPr>
          <w:p>
            <w:pPr>
              <w:pStyle w:val="TableParagraph"/>
              <w:spacing w:before="6"/>
              <w:ind w:left="224"/>
              <w:rPr>
                <w:sz w:val="18"/>
              </w:rPr>
            </w:pPr>
            <w:r>
              <w:rPr>
                <w:sz w:val="18"/>
              </w:rPr>
              <w:t>0.08</w:t>
            </w:r>
          </w:p>
        </w:tc>
      </w:tr>
      <w:tr>
        <w:trPr>
          <w:trHeight w:val="232" w:hRule="exact"/>
        </w:trPr>
        <w:tc>
          <w:tcPr>
            <w:tcW w:w="2526" w:type="dxa"/>
          </w:tcPr>
          <w:p>
            <w:pPr>
              <w:pStyle w:val="TableParagraph"/>
              <w:spacing w:before="5"/>
              <w:ind w:left="83"/>
              <w:rPr>
                <w:sz w:val="18"/>
              </w:rPr>
            </w:pPr>
            <w:r>
              <w:rPr>
                <w:sz w:val="18"/>
              </w:rPr>
              <w:t>Amatepec</w:t>
            </w:r>
          </w:p>
        </w:tc>
        <w:tc>
          <w:tcPr>
            <w:tcW w:w="1420" w:type="dxa"/>
          </w:tcPr>
          <w:p>
            <w:pPr>
              <w:pStyle w:val="TableParagraph"/>
              <w:spacing w:before="5"/>
              <w:ind w:left="268"/>
              <w:rPr>
                <w:sz w:val="18"/>
              </w:rPr>
            </w:pPr>
            <w:r>
              <w:rPr>
                <w:sz w:val="18"/>
              </w:rPr>
              <w:t>1.09</w:t>
            </w:r>
          </w:p>
        </w:tc>
        <w:tc>
          <w:tcPr>
            <w:tcW w:w="2449" w:type="dxa"/>
          </w:tcPr>
          <w:p>
            <w:pPr>
              <w:pStyle w:val="TableParagraph"/>
              <w:spacing w:before="5"/>
              <w:ind w:left="263"/>
              <w:rPr>
                <w:sz w:val="18"/>
              </w:rPr>
            </w:pPr>
            <w:r>
              <w:rPr>
                <w:sz w:val="18"/>
              </w:rPr>
              <w:t>Acolman</w:t>
            </w:r>
          </w:p>
        </w:tc>
        <w:tc>
          <w:tcPr>
            <w:tcW w:w="1413" w:type="dxa"/>
          </w:tcPr>
          <w:p>
            <w:pPr>
              <w:pStyle w:val="TableParagraph"/>
              <w:spacing w:before="5"/>
              <w:ind w:left="224"/>
              <w:rPr>
                <w:sz w:val="18"/>
              </w:rPr>
            </w:pPr>
            <w:r>
              <w:rPr>
                <w:sz w:val="18"/>
              </w:rPr>
              <w:t>0.07</w:t>
            </w:r>
          </w:p>
        </w:tc>
      </w:tr>
      <w:tr>
        <w:trPr>
          <w:trHeight w:val="233" w:hRule="exact"/>
        </w:trPr>
        <w:tc>
          <w:tcPr>
            <w:tcW w:w="2526" w:type="dxa"/>
          </w:tcPr>
          <w:p>
            <w:pPr>
              <w:pStyle w:val="TableParagraph"/>
              <w:spacing w:before="6"/>
              <w:ind w:left="83"/>
              <w:rPr>
                <w:sz w:val="18"/>
              </w:rPr>
            </w:pPr>
            <w:r>
              <w:rPr>
                <w:sz w:val="18"/>
              </w:rPr>
              <w:t>Jilotepec</w:t>
            </w:r>
          </w:p>
        </w:tc>
        <w:tc>
          <w:tcPr>
            <w:tcW w:w="1420" w:type="dxa"/>
          </w:tcPr>
          <w:p>
            <w:pPr>
              <w:pStyle w:val="TableParagraph"/>
              <w:spacing w:before="6"/>
              <w:ind w:left="268"/>
              <w:rPr>
                <w:sz w:val="18"/>
              </w:rPr>
            </w:pPr>
            <w:r>
              <w:rPr>
                <w:sz w:val="18"/>
              </w:rPr>
              <w:t>1.01</w:t>
            </w:r>
          </w:p>
        </w:tc>
        <w:tc>
          <w:tcPr>
            <w:tcW w:w="2449" w:type="dxa"/>
          </w:tcPr>
          <w:p>
            <w:pPr>
              <w:pStyle w:val="TableParagraph"/>
              <w:spacing w:before="6"/>
              <w:ind w:left="263"/>
              <w:rPr>
                <w:sz w:val="18"/>
              </w:rPr>
            </w:pPr>
            <w:r>
              <w:rPr>
                <w:sz w:val="18"/>
              </w:rPr>
              <w:t>Donato Guerra</w:t>
            </w:r>
          </w:p>
        </w:tc>
        <w:tc>
          <w:tcPr>
            <w:tcW w:w="1413" w:type="dxa"/>
          </w:tcPr>
          <w:p>
            <w:pPr>
              <w:pStyle w:val="TableParagraph"/>
              <w:spacing w:before="6"/>
              <w:ind w:left="224"/>
              <w:rPr>
                <w:sz w:val="18"/>
              </w:rPr>
            </w:pPr>
            <w:r>
              <w:rPr>
                <w:sz w:val="18"/>
              </w:rPr>
              <w:t>0.07</w:t>
            </w:r>
          </w:p>
        </w:tc>
      </w:tr>
      <w:tr>
        <w:trPr>
          <w:trHeight w:val="232" w:hRule="exact"/>
        </w:trPr>
        <w:tc>
          <w:tcPr>
            <w:tcW w:w="2526" w:type="dxa"/>
          </w:tcPr>
          <w:p>
            <w:pPr>
              <w:pStyle w:val="TableParagraph"/>
              <w:spacing w:before="6"/>
              <w:ind w:left="83"/>
              <w:rPr>
                <w:sz w:val="18"/>
              </w:rPr>
            </w:pPr>
            <w:r>
              <w:rPr>
                <w:sz w:val="18"/>
              </w:rPr>
              <w:t>Sultepec</w:t>
            </w:r>
          </w:p>
        </w:tc>
        <w:tc>
          <w:tcPr>
            <w:tcW w:w="1420" w:type="dxa"/>
          </w:tcPr>
          <w:p>
            <w:pPr>
              <w:pStyle w:val="TableParagraph"/>
              <w:spacing w:before="6"/>
              <w:ind w:left="268"/>
              <w:rPr>
                <w:sz w:val="18"/>
              </w:rPr>
            </w:pPr>
            <w:r>
              <w:rPr>
                <w:sz w:val="18"/>
              </w:rPr>
              <w:t>0.96</w:t>
            </w:r>
          </w:p>
        </w:tc>
        <w:tc>
          <w:tcPr>
            <w:tcW w:w="2449" w:type="dxa"/>
          </w:tcPr>
          <w:p>
            <w:pPr>
              <w:pStyle w:val="TableParagraph"/>
              <w:spacing w:before="6"/>
              <w:ind w:left="263"/>
              <w:rPr>
                <w:sz w:val="18"/>
              </w:rPr>
            </w:pPr>
            <w:r>
              <w:rPr>
                <w:sz w:val="18"/>
              </w:rPr>
              <w:t>Jilotzingo</w:t>
            </w:r>
          </w:p>
        </w:tc>
        <w:tc>
          <w:tcPr>
            <w:tcW w:w="1413" w:type="dxa"/>
          </w:tcPr>
          <w:p>
            <w:pPr>
              <w:pStyle w:val="TableParagraph"/>
              <w:spacing w:before="6"/>
              <w:ind w:left="224"/>
              <w:rPr>
                <w:sz w:val="18"/>
              </w:rPr>
            </w:pPr>
            <w:r>
              <w:rPr>
                <w:sz w:val="18"/>
              </w:rPr>
              <w:t>0.07</w:t>
            </w:r>
          </w:p>
        </w:tc>
      </w:tr>
      <w:tr>
        <w:trPr>
          <w:trHeight w:val="232" w:hRule="exact"/>
        </w:trPr>
        <w:tc>
          <w:tcPr>
            <w:tcW w:w="2526" w:type="dxa"/>
          </w:tcPr>
          <w:p>
            <w:pPr>
              <w:pStyle w:val="TableParagraph"/>
              <w:spacing w:before="5"/>
              <w:ind w:left="83"/>
              <w:rPr>
                <w:sz w:val="18"/>
              </w:rPr>
            </w:pPr>
            <w:r>
              <w:rPr>
                <w:sz w:val="18"/>
              </w:rPr>
              <w:t>Villa Guerrero</w:t>
            </w:r>
          </w:p>
        </w:tc>
        <w:tc>
          <w:tcPr>
            <w:tcW w:w="1420" w:type="dxa"/>
          </w:tcPr>
          <w:p>
            <w:pPr>
              <w:pStyle w:val="TableParagraph"/>
              <w:spacing w:before="5"/>
              <w:ind w:left="268"/>
              <w:rPr>
                <w:sz w:val="18"/>
              </w:rPr>
            </w:pPr>
            <w:r>
              <w:rPr>
                <w:sz w:val="18"/>
              </w:rPr>
              <w:t>0.95</w:t>
            </w:r>
          </w:p>
        </w:tc>
        <w:tc>
          <w:tcPr>
            <w:tcW w:w="2449" w:type="dxa"/>
          </w:tcPr>
          <w:p>
            <w:pPr>
              <w:pStyle w:val="TableParagraph"/>
              <w:spacing w:before="5"/>
              <w:ind w:left="263"/>
              <w:rPr>
                <w:sz w:val="18"/>
              </w:rPr>
            </w:pPr>
            <w:r>
              <w:rPr>
                <w:sz w:val="18"/>
              </w:rPr>
              <w:t>Isidro Fabela</w:t>
            </w:r>
          </w:p>
        </w:tc>
        <w:tc>
          <w:tcPr>
            <w:tcW w:w="1413" w:type="dxa"/>
          </w:tcPr>
          <w:p>
            <w:pPr>
              <w:pStyle w:val="TableParagraph"/>
              <w:spacing w:before="5"/>
              <w:ind w:left="224"/>
              <w:rPr>
                <w:sz w:val="18"/>
              </w:rPr>
            </w:pPr>
            <w:r>
              <w:rPr>
                <w:sz w:val="18"/>
              </w:rPr>
              <w:t>0.04</w:t>
            </w:r>
          </w:p>
        </w:tc>
      </w:tr>
      <w:tr>
        <w:trPr>
          <w:trHeight w:val="233" w:hRule="exact"/>
        </w:trPr>
        <w:tc>
          <w:tcPr>
            <w:tcW w:w="2526" w:type="dxa"/>
          </w:tcPr>
          <w:p>
            <w:pPr>
              <w:pStyle w:val="TableParagraph"/>
              <w:spacing w:before="6"/>
              <w:ind w:left="83"/>
              <w:rPr>
                <w:sz w:val="18"/>
              </w:rPr>
            </w:pPr>
            <w:r>
              <w:rPr>
                <w:sz w:val="18"/>
              </w:rPr>
              <w:t>El Oro</w:t>
            </w:r>
          </w:p>
        </w:tc>
        <w:tc>
          <w:tcPr>
            <w:tcW w:w="1420" w:type="dxa"/>
          </w:tcPr>
          <w:p>
            <w:pPr>
              <w:pStyle w:val="TableParagraph"/>
              <w:spacing w:before="6"/>
              <w:ind w:left="268"/>
              <w:rPr>
                <w:sz w:val="18"/>
              </w:rPr>
            </w:pPr>
            <w:r>
              <w:rPr>
                <w:sz w:val="18"/>
              </w:rPr>
              <w:t>0.88</w:t>
            </w:r>
          </w:p>
        </w:tc>
        <w:tc>
          <w:tcPr>
            <w:tcW w:w="2449" w:type="dxa"/>
          </w:tcPr>
          <w:p>
            <w:pPr>
              <w:pStyle w:val="TableParagraph"/>
              <w:spacing w:before="6"/>
              <w:ind w:left="263"/>
              <w:rPr>
                <w:sz w:val="18"/>
              </w:rPr>
            </w:pPr>
            <w:r>
              <w:rPr>
                <w:sz w:val="18"/>
              </w:rPr>
              <w:t>Otzoloapan</w:t>
            </w:r>
          </w:p>
        </w:tc>
        <w:tc>
          <w:tcPr>
            <w:tcW w:w="1413" w:type="dxa"/>
          </w:tcPr>
          <w:p>
            <w:pPr>
              <w:pStyle w:val="TableParagraph"/>
              <w:spacing w:before="6"/>
              <w:ind w:left="224"/>
              <w:rPr>
                <w:sz w:val="18"/>
              </w:rPr>
            </w:pPr>
            <w:r>
              <w:rPr>
                <w:sz w:val="18"/>
              </w:rPr>
              <w:t>0.04</w:t>
            </w:r>
          </w:p>
        </w:tc>
      </w:tr>
      <w:tr>
        <w:trPr>
          <w:trHeight w:val="232" w:hRule="exact"/>
        </w:trPr>
        <w:tc>
          <w:tcPr>
            <w:tcW w:w="2526" w:type="dxa"/>
          </w:tcPr>
          <w:p>
            <w:pPr>
              <w:pStyle w:val="TableParagraph"/>
              <w:spacing w:before="6"/>
              <w:ind w:left="83"/>
              <w:rPr>
                <w:sz w:val="18"/>
              </w:rPr>
            </w:pPr>
            <w:r>
              <w:rPr>
                <w:sz w:val="18"/>
              </w:rPr>
              <w:t>Nezahualcóyotl</w:t>
            </w:r>
          </w:p>
        </w:tc>
        <w:tc>
          <w:tcPr>
            <w:tcW w:w="1420" w:type="dxa"/>
          </w:tcPr>
          <w:p>
            <w:pPr>
              <w:pStyle w:val="TableParagraph"/>
              <w:spacing w:before="6"/>
              <w:ind w:left="268"/>
              <w:rPr>
                <w:sz w:val="18"/>
              </w:rPr>
            </w:pPr>
            <w:r>
              <w:rPr>
                <w:sz w:val="18"/>
              </w:rPr>
              <w:t>0.85</w:t>
            </w:r>
          </w:p>
        </w:tc>
        <w:tc>
          <w:tcPr>
            <w:tcW w:w="2449" w:type="dxa"/>
          </w:tcPr>
          <w:p>
            <w:pPr>
              <w:pStyle w:val="TableParagraph"/>
              <w:spacing w:before="6"/>
              <w:ind w:left="263"/>
              <w:rPr>
                <w:sz w:val="18"/>
              </w:rPr>
            </w:pPr>
            <w:r>
              <w:rPr>
                <w:sz w:val="18"/>
              </w:rPr>
              <w:t>Tonatico</w:t>
            </w:r>
          </w:p>
        </w:tc>
        <w:tc>
          <w:tcPr>
            <w:tcW w:w="1413" w:type="dxa"/>
          </w:tcPr>
          <w:p>
            <w:pPr>
              <w:pStyle w:val="TableParagraph"/>
              <w:spacing w:before="6"/>
              <w:ind w:left="224"/>
              <w:rPr>
                <w:sz w:val="18"/>
              </w:rPr>
            </w:pPr>
            <w:r>
              <w:rPr>
                <w:sz w:val="18"/>
              </w:rPr>
              <w:t>0.04</w:t>
            </w:r>
          </w:p>
        </w:tc>
      </w:tr>
      <w:tr>
        <w:trPr>
          <w:trHeight w:val="232" w:hRule="exact"/>
        </w:trPr>
        <w:tc>
          <w:tcPr>
            <w:tcW w:w="2526" w:type="dxa"/>
          </w:tcPr>
          <w:p>
            <w:pPr>
              <w:pStyle w:val="TableParagraph"/>
              <w:spacing w:before="5"/>
              <w:ind w:left="83"/>
              <w:rPr>
                <w:sz w:val="18"/>
              </w:rPr>
            </w:pPr>
            <w:r>
              <w:rPr>
                <w:sz w:val="18"/>
              </w:rPr>
              <w:t>Jocotitlán</w:t>
            </w:r>
          </w:p>
        </w:tc>
        <w:tc>
          <w:tcPr>
            <w:tcW w:w="1420" w:type="dxa"/>
          </w:tcPr>
          <w:p>
            <w:pPr>
              <w:pStyle w:val="TableParagraph"/>
              <w:spacing w:before="5"/>
              <w:ind w:left="268"/>
              <w:rPr>
                <w:sz w:val="18"/>
              </w:rPr>
            </w:pPr>
            <w:r>
              <w:rPr>
                <w:sz w:val="18"/>
              </w:rPr>
              <w:t>0.73</w:t>
            </w:r>
          </w:p>
        </w:tc>
        <w:tc>
          <w:tcPr>
            <w:tcW w:w="2449" w:type="dxa"/>
          </w:tcPr>
          <w:p>
            <w:pPr>
              <w:pStyle w:val="TableParagraph"/>
              <w:spacing w:before="5"/>
              <w:ind w:left="263"/>
              <w:rPr>
                <w:sz w:val="18"/>
              </w:rPr>
            </w:pPr>
            <w:r>
              <w:rPr>
                <w:sz w:val="18"/>
              </w:rPr>
              <w:t>Amecameca</w:t>
            </w:r>
          </w:p>
        </w:tc>
        <w:tc>
          <w:tcPr>
            <w:tcW w:w="1413" w:type="dxa"/>
          </w:tcPr>
          <w:p>
            <w:pPr>
              <w:pStyle w:val="TableParagraph"/>
              <w:spacing w:before="5"/>
              <w:ind w:left="224"/>
              <w:rPr>
                <w:sz w:val="18"/>
              </w:rPr>
            </w:pPr>
            <w:r>
              <w:rPr>
                <w:sz w:val="18"/>
              </w:rPr>
              <w:t>0.03</w:t>
            </w:r>
          </w:p>
        </w:tc>
      </w:tr>
      <w:tr>
        <w:trPr>
          <w:trHeight w:val="233" w:hRule="exact"/>
        </w:trPr>
        <w:tc>
          <w:tcPr>
            <w:tcW w:w="2526" w:type="dxa"/>
          </w:tcPr>
          <w:p>
            <w:pPr>
              <w:pStyle w:val="TableParagraph"/>
              <w:spacing w:before="6"/>
              <w:ind w:left="83"/>
              <w:rPr>
                <w:sz w:val="18"/>
              </w:rPr>
            </w:pPr>
            <w:r>
              <w:rPr>
                <w:sz w:val="18"/>
              </w:rPr>
              <w:t>Nicolás Romero</w:t>
            </w:r>
          </w:p>
        </w:tc>
        <w:tc>
          <w:tcPr>
            <w:tcW w:w="1420" w:type="dxa"/>
          </w:tcPr>
          <w:p>
            <w:pPr>
              <w:pStyle w:val="TableParagraph"/>
              <w:spacing w:before="6"/>
              <w:ind w:left="268"/>
              <w:rPr>
                <w:sz w:val="18"/>
              </w:rPr>
            </w:pPr>
            <w:r>
              <w:rPr>
                <w:sz w:val="18"/>
              </w:rPr>
              <w:t>0.65</w:t>
            </w:r>
          </w:p>
        </w:tc>
        <w:tc>
          <w:tcPr>
            <w:tcW w:w="2449" w:type="dxa"/>
          </w:tcPr>
          <w:p>
            <w:pPr>
              <w:pStyle w:val="TableParagraph"/>
              <w:spacing w:before="6"/>
              <w:ind w:left="263"/>
              <w:rPr>
                <w:sz w:val="18"/>
              </w:rPr>
            </w:pPr>
            <w:r>
              <w:rPr>
                <w:sz w:val="18"/>
              </w:rPr>
              <w:t>Apaxco</w:t>
            </w:r>
          </w:p>
        </w:tc>
        <w:tc>
          <w:tcPr>
            <w:tcW w:w="1413" w:type="dxa"/>
          </w:tcPr>
          <w:p>
            <w:pPr>
              <w:pStyle w:val="TableParagraph"/>
              <w:spacing w:before="6"/>
              <w:ind w:left="224"/>
              <w:rPr>
                <w:sz w:val="18"/>
              </w:rPr>
            </w:pPr>
            <w:r>
              <w:rPr>
                <w:sz w:val="18"/>
              </w:rPr>
              <w:t>0.03</w:t>
            </w:r>
          </w:p>
        </w:tc>
      </w:tr>
      <w:tr>
        <w:trPr>
          <w:trHeight w:val="232" w:hRule="exact"/>
        </w:trPr>
        <w:tc>
          <w:tcPr>
            <w:tcW w:w="2526" w:type="dxa"/>
          </w:tcPr>
          <w:p>
            <w:pPr>
              <w:pStyle w:val="TableParagraph"/>
              <w:spacing w:before="6"/>
              <w:ind w:left="83"/>
              <w:rPr>
                <w:sz w:val="18"/>
              </w:rPr>
            </w:pPr>
            <w:r>
              <w:rPr>
                <w:sz w:val="18"/>
              </w:rPr>
              <w:t>Almoloya de Alquisiras</w:t>
            </w:r>
          </w:p>
        </w:tc>
        <w:tc>
          <w:tcPr>
            <w:tcW w:w="1420" w:type="dxa"/>
          </w:tcPr>
          <w:p>
            <w:pPr>
              <w:pStyle w:val="TableParagraph"/>
              <w:spacing w:before="6"/>
              <w:ind w:left="268"/>
              <w:rPr>
                <w:sz w:val="18"/>
              </w:rPr>
            </w:pPr>
            <w:r>
              <w:rPr>
                <w:sz w:val="18"/>
              </w:rPr>
              <w:t>0.59</w:t>
            </w:r>
          </w:p>
        </w:tc>
        <w:tc>
          <w:tcPr>
            <w:tcW w:w="2449" w:type="dxa"/>
          </w:tcPr>
          <w:p>
            <w:pPr>
              <w:pStyle w:val="TableParagraph"/>
              <w:spacing w:before="6"/>
              <w:ind w:left="263"/>
              <w:rPr>
                <w:sz w:val="18"/>
              </w:rPr>
            </w:pPr>
            <w:r>
              <w:rPr>
                <w:sz w:val="18"/>
              </w:rPr>
              <w:t>La Paz</w:t>
            </w:r>
          </w:p>
        </w:tc>
        <w:tc>
          <w:tcPr>
            <w:tcW w:w="1413" w:type="dxa"/>
          </w:tcPr>
          <w:p>
            <w:pPr>
              <w:pStyle w:val="TableParagraph"/>
              <w:spacing w:before="6"/>
              <w:ind w:left="224"/>
              <w:rPr>
                <w:sz w:val="18"/>
              </w:rPr>
            </w:pPr>
            <w:r>
              <w:rPr>
                <w:sz w:val="18"/>
              </w:rPr>
              <w:t>0.03</w:t>
            </w:r>
          </w:p>
        </w:tc>
      </w:tr>
      <w:tr>
        <w:trPr>
          <w:trHeight w:val="232" w:hRule="exact"/>
        </w:trPr>
        <w:tc>
          <w:tcPr>
            <w:tcW w:w="2526" w:type="dxa"/>
          </w:tcPr>
          <w:p>
            <w:pPr>
              <w:pStyle w:val="TableParagraph"/>
              <w:spacing w:before="5"/>
              <w:ind w:left="83"/>
              <w:rPr>
                <w:sz w:val="18"/>
              </w:rPr>
            </w:pPr>
            <w:r>
              <w:rPr>
                <w:sz w:val="18"/>
              </w:rPr>
              <w:t>Texcoco</w:t>
            </w:r>
          </w:p>
        </w:tc>
        <w:tc>
          <w:tcPr>
            <w:tcW w:w="1420" w:type="dxa"/>
          </w:tcPr>
          <w:p>
            <w:pPr>
              <w:pStyle w:val="TableParagraph"/>
              <w:spacing w:before="5"/>
              <w:ind w:left="268"/>
              <w:rPr>
                <w:sz w:val="18"/>
              </w:rPr>
            </w:pPr>
            <w:r>
              <w:rPr>
                <w:sz w:val="18"/>
              </w:rPr>
              <w:t>0.56</w:t>
            </w:r>
          </w:p>
        </w:tc>
        <w:tc>
          <w:tcPr>
            <w:tcW w:w="2449" w:type="dxa"/>
          </w:tcPr>
          <w:p>
            <w:pPr>
              <w:pStyle w:val="TableParagraph"/>
              <w:spacing w:before="5"/>
              <w:ind w:left="263"/>
              <w:rPr>
                <w:sz w:val="18"/>
              </w:rPr>
            </w:pPr>
            <w:r>
              <w:rPr>
                <w:sz w:val="18"/>
              </w:rPr>
              <w:t>Chimalhuacán</w:t>
            </w:r>
          </w:p>
        </w:tc>
        <w:tc>
          <w:tcPr>
            <w:tcW w:w="1413" w:type="dxa"/>
          </w:tcPr>
          <w:p>
            <w:pPr>
              <w:pStyle w:val="TableParagraph"/>
              <w:spacing w:before="5"/>
              <w:ind w:left="224"/>
              <w:rPr>
                <w:sz w:val="18"/>
              </w:rPr>
            </w:pPr>
            <w:r>
              <w:rPr>
                <w:sz w:val="18"/>
              </w:rPr>
              <w:t>0.01</w:t>
            </w:r>
          </w:p>
        </w:tc>
      </w:tr>
      <w:tr>
        <w:trPr>
          <w:trHeight w:val="233" w:hRule="exact"/>
        </w:trPr>
        <w:tc>
          <w:tcPr>
            <w:tcW w:w="2526" w:type="dxa"/>
          </w:tcPr>
          <w:p>
            <w:pPr>
              <w:pStyle w:val="TableParagraph"/>
              <w:spacing w:before="6"/>
              <w:ind w:left="83"/>
              <w:rPr>
                <w:sz w:val="18"/>
              </w:rPr>
            </w:pPr>
            <w:r>
              <w:rPr>
                <w:sz w:val="18"/>
              </w:rPr>
              <w:t>Tequixquiac</w:t>
            </w:r>
          </w:p>
        </w:tc>
        <w:tc>
          <w:tcPr>
            <w:tcW w:w="1420" w:type="dxa"/>
          </w:tcPr>
          <w:p>
            <w:pPr>
              <w:pStyle w:val="TableParagraph"/>
              <w:spacing w:before="6"/>
              <w:ind w:left="268"/>
              <w:rPr>
                <w:sz w:val="18"/>
              </w:rPr>
            </w:pPr>
            <w:r>
              <w:rPr>
                <w:sz w:val="18"/>
              </w:rPr>
              <w:t>0.47</w:t>
            </w:r>
          </w:p>
        </w:tc>
        <w:tc>
          <w:tcPr>
            <w:tcW w:w="2449" w:type="dxa"/>
          </w:tcPr>
          <w:p>
            <w:pPr>
              <w:pStyle w:val="TableParagraph"/>
              <w:spacing w:before="6"/>
              <w:ind w:left="263"/>
              <w:rPr>
                <w:sz w:val="18"/>
              </w:rPr>
            </w:pPr>
            <w:r>
              <w:rPr>
                <w:sz w:val="18"/>
              </w:rPr>
              <w:t>Juchitepec</w:t>
            </w:r>
          </w:p>
        </w:tc>
        <w:tc>
          <w:tcPr>
            <w:tcW w:w="1413" w:type="dxa"/>
          </w:tcPr>
          <w:p>
            <w:pPr>
              <w:pStyle w:val="TableParagraph"/>
              <w:spacing w:before="6"/>
              <w:ind w:left="224"/>
              <w:rPr>
                <w:sz w:val="18"/>
              </w:rPr>
            </w:pPr>
            <w:r>
              <w:rPr>
                <w:sz w:val="18"/>
              </w:rPr>
              <w:t>0.01</w:t>
            </w:r>
          </w:p>
        </w:tc>
      </w:tr>
      <w:tr>
        <w:trPr>
          <w:trHeight w:val="232" w:hRule="exact"/>
        </w:trPr>
        <w:tc>
          <w:tcPr>
            <w:tcW w:w="2526" w:type="dxa"/>
          </w:tcPr>
          <w:p>
            <w:pPr>
              <w:pStyle w:val="TableParagraph"/>
              <w:spacing w:before="6"/>
              <w:ind w:left="83"/>
              <w:rPr>
                <w:sz w:val="18"/>
              </w:rPr>
            </w:pPr>
            <w:r>
              <w:rPr>
                <w:sz w:val="18"/>
              </w:rPr>
              <w:t>Acambay</w:t>
            </w:r>
          </w:p>
        </w:tc>
        <w:tc>
          <w:tcPr>
            <w:tcW w:w="1420" w:type="dxa"/>
          </w:tcPr>
          <w:p>
            <w:pPr>
              <w:pStyle w:val="TableParagraph"/>
              <w:spacing w:before="6"/>
              <w:ind w:left="268"/>
              <w:rPr>
                <w:sz w:val="18"/>
              </w:rPr>
            </w:pPr>
            <w:r>
              <w:rPr>
                <w:sz w:val="18"/>
              </w:rPr>
              <w:t>0.43</w:t>
            </w:r>
          </w:p>
        </w:tc>
        <w:tc>
          <w:tcPr>
            <w:tcW w:w="2449" w:type="dxa"/>
          </w:tcPr>
          <w:p>
            <w:pPr>
              <w:pStyle w:val="TableParagraph"/>
              <w:spacing w:before="6"/>
              <w:ind w:left="263"/>
              <w:rPr>
                <w:sz w:val="18"/>
              </w:rPr>
            </w:pPr>
            <w:r>
              <w:rPr>
                <w:sz w:val="18"/>
              </w:rPr>
              <w:t>Ocuilan</w:t>
            </w:r>
          </w:p>
        </w:tc>
        <w:tc>
          <w:tcPr>
            <w:tcW w:w="1413" w:type="dxa"/>
          </w:tcPr>
          <w:p>
            <w:pPr>
              <w:pStyle w:val="TableParagraph"/>
              <w:spacing w:before="6"/>
              <w:ind w:left="224"/>
              <w:rPr>
                <w:sz w:val="18"/>
              </w:rPr>
            </w:pPr>
            <w:r>
              <w:rPr>
                <w:sz w:val="18"/>
              </w:rPr>
              <w:t>0.01</w:t>
            </w:r>
          </w:p>
        </w:tc>
      </w:tr>
      <w:tr>
        <w:trPr>
          <w:trHeight w:val="232" w:hRule="exact"/>
        </w:trPr>
        <w:tc>
          <w:tcPr>
            <w:tcW w:w="2526" w:type="dxa"/>
          </w:tcPr>
          <w:p>
            <w:pPr>
              <w:pStyle w:val="TableParagraph"/>
              <w:spacing w:before="5"/>
              <w:ind w:left="83"/>
              <w:rPr>
                <w:sz w:val="18"/>
              </w:rPr>
            </w:pPr>
            <w:r>
              <w:rPr>
                <w:sz w:val="18"/>
              </w:rPr>
              <w:t>Chalco</w:t>
            </w:r>
          </w:p>
        </w:tc>
        <w:tc>
          <w:tcPr>
            <w:tcW w:w="1420" w:type="dxa"/>
          </w:tcPr>
          <w:p>
            <w:pPr>
              <w:pStyle w:val="TableParagraph"/>
              <w:spacing w:before="5"/>
              <w:ind w:left="268"/>
              <w:rPr>
                <w:sz w:val="18"/>
              </w:rPr>
            </w:pPr>
            <w:r>
              <w:rPr>
                <w:sz w:val="18"/>
              </w:rPr>
              <w:t>0.35</w:t>
            </w:r>
          </w:p>
        </w:tc>
        <w:tc>
          <w:tcPr>
            <w:tcW w:w="2449" w:type="dxa"/>
          </w:tcPr>
          <w:p>
            <w:pPr>
              <w:pStyle w:val="TableParagraph"/>
              <w:spacing w:before="5"/>
              <w:ind w:left="263"/>
              <w:rPr>
                <w:sz w:val="18"/>
              </w:rPr>
            </w:pPr>
            <w:r>
              <w:rPr>
                <w:sz w:val="18"/>
              </w:rPr>
              <w:t>Polotitlán</w:t>
            </w:r>
          </w:p>
        </w:tc>
        <w:tc>
          <w:tcPr>
            <w:tcW w:w="1413" w:type="dxa"/>
          </w:tcPr>
          <w:p>
            <w:pPr>
              <w:pStyle w:val="TableParagraph"/>
              <w:spacing w:before="5"/>
              <w:ind w:left="224"/>
              <w:rPr>
                <w:sz w:val="18"/>
              </w:rPr>
            </w:pPr>
            <w:r>
              <w:rPr>
                <w:sz w:val="18"/>
              </w:rPr>
              <w:t>0.01</w:t>
            </w:r>
          </w:p>
        </w:tc>
      </w:tr>
      <w:tr>
        <w:trPr>
          <w:trHeight w:val="215" w:hRule="exact"/>
        </w:trPr>
        <w:tc>
          <w:tcPr>
            <w:tcW w:w="2526" w:type="dxa"/>
            <w:tcBorders>
              <w:bottom w:val="single" w:sz="4" w:space="0" w:color="000000"/>
            </w:tcBorders>
          </w:tcPr>
          <w:p>
            <w:pPr>
              <w:pStyle w:val="TableParagraph"/>
              <w:spacing w:before="6"/>
              <w:ind w:left="83"/>
              <w:rPr>
                <w:sz w:val="18"/>
              </w:rPr>
            </w:pPr>
            <w:r>
              <w:rPr>
                <w:sz w:val="18"/>
              </w:rPr>
              <w:t>Ixtapaluca</w:t>
            </w:r>
          </w:p>
        </w:tc>
        <w:tc>
          <w:tcPr>
            <w:tcW w:w="1420" w:type="dxa"/>
            <w:tcBorders>
              <w:bottom w:val="single" w:sz="4" w:space="0" w:color="000000"/>
            </w:tcBorders>
          </w:tcPr>
          <w:p>
            <w:pPr>
              <w:pStyle w:val="TableParagraph"/>
              <w:spacing w:before="6"/>
              <w:ind w:left="268"/>
              <w:rPr>
                <w:sz w:val="18"/>
              </w:rPr>
            </w:pPr>
            <w:r>
              <w:rPr>
                <w:sz w:val="18"/>
              </w:rPr>
              <w:t>0.35</w:t>
            </w:r>
          </w:p>
        </w:tc>
        <w:tc>
          <w:tcPr>
            <w:tcW w:w="2449" w:type="dxa"/>
            <w:tcBorders>
              <w:bottom w:val="single" w:sz="4" w:space="0" w:color="000000"/>
            </w:tcBorders>
          </w:tcPr>
          <w:p>
            <w:pPr/>
          </w:p>
        </w:tc>
        <w:tc>
          <w:tcPr>
            <w:tcW w:w="1413" w:type="dxa"/>
            <w:tcBorders>
              <w:bottom w:val="single" w:sz="4" w:space="0" w:color="000000"/>
            </w:tcBorders>
          </w:tcPr>
          <w:p>
            <w:pPr/>
          </w:p>
        </w:tc>
      </w:tr>
      <w:tr>
        <w:trPr>
          <w:trHeight w:val="242" w:hRule="exact"/>
        </w:trPr>
        <w:tc>
          <w:tcPr>
            <w:tcW w:w="2526" w:type="dxa"/>
            <w:tcBorders>
              <w:top w:val="single" w:sz="4" w:space="0" w:color="000000"/>
              <w:bottom w:val="single" w:sz="4" w:space="0" w:color="000000"/>
            </w:tcBorders>
          </w:tcPr>
          <w:p>
            <w:pPr>
              <w:pStyle w:val="TableParagraph"/>
              <w:spacing w:before="28"/>
              <w:ind w:left="477"/>
              <w:rPr>
                <w:sz w:val="18"/>
              </w:rPr>
            </w:pPr>
            <w:r>
              <w:rPr>
                <w:sz w:val="18"/>
              </w:rPr>
              <w:t>Municipios destino 67</w:t>
            </w:r>
          </w:p>
        </w:tc>
        <w:tc>
          <w:tcPr>
            <w:tcW w:w="1420" w:type="dxa"/>
            <w:tcBorders>
              <w:top w:val="single" w:sz="4" w:space="0" w:color="000000"/>
              <w:bottom w:val="single" w:sz="4" w:space="0" w:color="000000"/>
            </w:tcBorders>
          </w:tcPr>
          <w:p>
            <w:pPr/>
          </w:p>
        </w:tc>
        <w:tc>
          <w:tcPr>
            <w:tcW w:w="2449" w:type="dxa"/>
            <w:tcBorders>
              <w:top w:val="single" w:sz="4" w:space="0" w:color="000000"/>
              <w:bottom w:val="single" w:sz="4" w:space="0" w:color="000000"/>
            </w:tcBorders>
          </w:tcPr>
          <w:p>
            <w:pPr>
              <w:pStyle w:val="TableParagraph"/>
              <w:tabs>
                <w:tab w:pos="1290" w:val="left" w:leader="none"/>
              </w:tabs>
              <w:spacing w:before="28"/>
              <w:ind w:left="638"/>
              <w:rPr>
                <w:sz w:val="18"/>
              </w:rPr>
            </w:pPr>
            <w:r>
              <w:rPr>
                <w:sz w:val="18"/>
              </w:rPr>
              <w:t>Total</w:t>
              <w:tab/>
              <w:t>100.00%</w:t>
            </w:r>
          </w:p>
        </w:tc>
        <w:tc>
          <w:tcPr>
            <w:tcW w:w="1413" w:type="dxa"/>
            <w:tcBorders>
              <w:top w:val="single" w:sz="4" w:space="0" w:color="000000"/>
              <w:bottom w:val="single" w:sz="4" w:space="0" w:color="000000"/>
            </w:tcBorders>
          </w:tcPr>
          <w:p>
            <w:pPr/>
          </w:p>
        </w:tc>
      </w:tr>
    </w:tbl>
    <w:p>
      <w:pPr>
        <w:spacing w:before="0"/>
        <w:ind w:left="161" w:right="167" w:firstLine="0"/>
        <w:jc w:val="center"/>
        <w:rPr>
          <w:sz w:val="20"/>
        </w:rPr>
      </w:pPr>
      <w:r>
        <w:rPr>
          <w:sz w:val="20"/>
        </w:rPr>
        <w:t>Fuente: Elaboración propia con información de la Junta de Caminos del Estado de México 2007.</w:t>
      </w:r>
    </w:p>
    <w:p>
      <w:pPr>
        <w:spacing w:after="0"/>
        <w:jc w:val="center"/>
        <w:rPr>
          <w:sz w:val="20"/>
        </w:rPr>
        <w:sectPr>
          <w:pgSz w:w="12240" w:h="15840"/>
          <w:pgMar w:header="0" w:footer="659" w:top="1360" w:bottom="840" w:left="1660" w:right="1660"/>
        </w:sectPr>
      </w:pPr>
    </w:p>
    <w:p>
      <w:pPr>
        <w:spacing w:before="53" w:after="4"/>
        <w:ind w:left="168" w:right="0" w:firstLine="0"/>
        <w:jc w:val="left"/>
        <w:rPr>
          <w:sz w:val="20"/>
        </w:rPr>
      </w:pPr>
      <w:r>
        <w:rPr>
          <w:sz w:val="20"/>
        </w:rPr>
        <w:t>Cuadro A 4.17 Motivo de los desplazamientos desde ZMT a otros municipios del Estado de México</w:t>
      </w:r>
    </w:p>
    <w:tbl>
      <w:tblPr>
        <w:tblW w:w="0" w:type="auto"/>
        <w:jc w:val="left"/>
        <w:tblInd w:w="1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419"/>
        <w:gridCol w:w="1429"/>
        <w:gridCol w:w="1115"/>
        <w:gridCol w:w="1184"/>
        <w:gridCol w:w="1000"/>
        <w:gridCol w:w="1753"/>
      </w:tblGrid>
      <w:tr>
        <w:trPr>
          <w:trHeight w:val="425" w:hRule="exact"/>
        </w:trPr>
        <w:tc>
          <w:tcPr>
            <w:tcW w:w="2419" w:type="dxa"/>
            <w:tcBorders>
              <w:left w:val="nil"/>
              <w:right w:val="nil"/>
            </w:tcBorders>
          </w:tcPr>
          <w:p>
            <w:pPr>
              <w:pStyle w:val="TableParagraph"/>
              <w:ind w:left="0"/>
              <w:rPr>
                <w:sz w:val="18"/>
              </w:rPr>
            </w:pPr>
          </w:p>
          <w:p>
            <w:pPr>
              <w:pStyle w:val="TableParagraph"/>
              <w:spacing w:before="1"/>
              <w:ind w:right="199"/>
              <w:rPr>
                <w:sz w:val="18"/>
              </w:rPr>
            </w:pPr>
            <w:r>
              <w:rPr>
                <w:sz w:val="18"/>
              </w:rPr>
              <w:t>MUNICIPIOS/ ÁMBITOS</w:t>
            </w:r>
          </w:p>
        </w:tc>
        <w:tc>
          <w:tcPr>
            <w:tcW w:w="1429" w:type="dxa"/>
            <w:tcBorders>
              <w:left w:val="nil"/>
              <w:right w:val="nil"/>
            </w:tcBorders>
          </w:tcPr>
          <w:p>
            <w:pPr>
              <w:pStyle w:val="TableParagraph"/>
              <w:ind w:left="0"/>
              <w:rPr>
                <w:sz w:val="18"/>
              </w:rPr>
            </w:pPr>
          </w:p>
          <w:p>
            <w:pPr>
              <w:pStyle w:val="TableParagraph"/>
              <w:spacing w:before="1"/>
              <w:ind w:left="219"/>
              <w:rPr>
                <w:sz w:val="18"/>
              </w:rPr>
            </w:pPr>
            <w:r>
              <w:rPr>
                <w:sz w:val="18"/>
              </w:rPr>
              <w:t>EDUCACIÓN</w:t>
            </w:r>
          </w:p>
        </w:tc>
        <w:tc>
          <w:tcPr>
            <w:tcW w:w="1115" w:type="dxa"/>
            <w:tcBorders>
              <w:left w:val="nil"/>
              <w:right w:val="nil"/>
            </w:tcBorders>
          </w:tcPr>
          <w:p>
            <w:pPr>
              <w:pStyle w:val="TableParagraph"/>
              <w:ind w:left="0"/>
              <w:rPr>
                <w:sz w:val="18"/>
              </w:rPr>
            </w:pPr>
          </w:p>
          <w:p>
            <w:pPr>
              <w:pStyle w:val="TableParagraph"/>
              <w:spacing w:before="1"/>
              <w:ind w:left="131"/>
              <w:rPr>
                <w:sz w:val="18"/>
              </w:rPr>
            </w:pPr>
            <w:r>
              <w:rPr>
                <w:sz w:val="18"/>
              </w:rPr>
              <w:t>TRABAJO</w:t>
            </w:r>
          </w:p>
        </w:tc>
        <w:tc>
          <w:tcPr>
            <w:tcW w:w="1184" w:type="dxa"/>
            <w:tcBorders>
              <w:left w:val="nil"/>
              <w:right w:val="nil"/>
            </w:tcBorders>
          </w:tcPr>
          <w:p>
            <w:pPr>
              <w:pStyle w:val="TableParagraph"/>
              <w:ind w:left="0"/>
              <w:rPr>
                <w:sz w:val="18"/>
              </w:rPr>
            </w:pPr>
          </w:p>
          <w:p>
            <w:pPr>
              <w:pStyle w:val="TableParagraph"/>
              <w:spacing w:before="1"/>
              <w:ind w:left="154"/>
              <w:rPr>
                <w:sz w:val="18"/>
              </w:rPr>
            </w:pPr>
            <w:r>
              <w:rPr>
                <w:sz w:val="18"/>
              </w:rPr>
              <w:t>COMPRAS</w:t>
            </w:r>
          </w:p>
        </w:tc>
        <w:tc>
          <w:tcPr>
            <w:tcW w:w="1000" w:type="dxa"/>
            <w:tcBorders>
              <w:left w:val="nil"/>
              <w:right w:val="nil"/>
            </w:tcBorders>
          </w:tcPr>
          <w:p>
            <w:pPr>
              <w:pStyle w:val="TableParagraph"/>
              <w:ind w:left="0"/>
              <w:rPr>
                <w:sz w:val="18"/>
              </w:rPr>
            </w:pPr>
          </w:p>
          <w:p>
            <w:pPr>
              <w:pStyle w:val="TableParagraph"/>
              <w:spacing w:before="1"/>
              <w:ind w:left="122"/>
              <w:rPr>
                <w:sz w:val="18"/>
              </w:rPr>
            </w:pPr>
            <w:r>
              <w:rPr>
                <w:sz w:val="18"/>
              </w:rPr>
              <w:t>PASEO</w:t>
            </w:r>
          </w:p>
        </w:tc>
        <w:tc>
          <w:tcPr>
            <w:tcW w:w="1753" w:type="dxa"/>
            <w:tcBorders>
              <w:left w:val="nil"/>
              <w:right w:val="nil"/>
            </w:tcBorders>
          </w:tcPr>
          <w:p>
            <w:pPr>
              <w:pStyle w:val="TableParagraph"/>
              <w:ind w:left="257"/>
              <w:rPr>
                <w:sz w:val="18"/>
              </w:rPr>
            </w:pPr>
            <w:r>
              <w:rPr>
                <w:sz w:val="18"/>
              </w:rPr>
              <w:t>TOTAL DE MOVIMIENTOS</w:t>
            </w:r>
          </w:p>
        </w:tc>
      </w:tr>
      <w:tr>
        <w:trPr>
          <w:trHeight w:val="361" w:hRule="exact"/>
        </w:trPr>
        <w:tc>
          <w:tcPr>
            <w:tcW w:w="2419" w:type="dxa"/>
            <w:tcBorders>
              <w:left w:val="nil"/>
              <w:bottom w:val="nil"/>
              <w:right w:val="nil"/>
            </w:tcBorders>
          </w:tcPr>
          <w:p>
            <w:pPr>
              <w:pStyle w:val="TableParagraph"/>
              <w:spacing w:before="92"/>
              <w:ind w:right="199"/>
              <w:rPr>
                <w:sz w:val="18"/>
              </w:rPr>
            </w:pPr>
            <w:r>
              <w:rPr>
                <w:sz w:val="18"/>
              </w:rPr>
              <w:t>Zinacantepec</w:t>
            </w:r>
          </w:p>
        </w:tc>
        <w:tc>
          <w:tcPr>
            <w:tcW w:w="1429" w:type="dxa"/>
            <w:tcBorders>
              <w:left w:val="nil"/>
              <w:bottom w:val="nil"/>
              <w:right w:val="nil"/>
            </w:tcBorders>
          </w:tcPr>
          <w:p>
            <w:pPr>
              <w:pStyle w:val="TableParagraph"/>
              <w:spacing w:before="92"/>
              <w:ind w:left="219"/>
              <w:rPr>
                <w:sz w:val="18"/>
              </w:rPr>
            </w:pPr>
            <w:r>
              <w:rPr>
                <w:w w:val="99"/>
                <w:sz w:val="18"/>
              </w:rPr>
              <w:t>5</w:t>
            </w:r>
          </w:p>
        </w:tc>
        <w:tc>
          <w:tcPr>
            <w:tcW w:w="1115" w:type="dxa"/>
            <w:tcBorders>
              <w:left w:val="nil"/>
              <w:bottom w:val="nil"/>
              <w:right w:val="nil"/>
            </w:tcBorders>
          </w:tcPr>
          <w:p>
            <w:pPr>
              <w:pStyle w:val="TableParagraph"/>
              <w:spacing w:before="92"/>
              <w:ind w:left="131"/>
              <w:rPr>
                <w:sz w:val="18"/>
              </w:rPr>
            </w:pPr>
            <w:r>
              <w:rPr>
                <w:sz w:val="18"/>
              </w:rPr>
              <w:t>189</w:t>
            </w:r>
          </w:p>
        </w:tc>
        <w:tc>
          <w:tcPr>
            <w:tcW w:w="1184" w:type="dxa"/>
            <w:tcBorders>
              <w:left w:val="nil"/>
              <w:bottom w:val="nil"/>
              <w:right w:val="nil"/>
            </w:tcBorders>
          </w:tcPr>
          <w:p>
            <w:pPr>
              <w:pStyle w:val="TableParagraph"/>
              <w:spacing w:before="92"/>
              <w:ind w:left="154"/>
              <w:rPr>
                <w:sz w:val="18"/>
              </w:rPr>
            </w:pPr>
            <w:r>
              <w:rPr>
                <w:w w:val="99"/>
                <w:sz w:val="18"/>
              </w:rPr>
              <w:t>7</w:t>
            </w:r>
          </w:p>
        </w:tc>
        <w:tc>
          <w:tcPr>
            <w:tcW w:w="1000" w:type="dxa"/>
            <w:tcBorders>
              <w:left w:val="nil"/>
              <w:bottom w:val="nil"/>
              <w:right w:val="nil"/>
            </w:tcBorders>
          </w:tcPr>
          <w:p>
            <w:pPr>
              <w:pStyle w:val="TableParagraph"/>
              <w:spacing w:before="92"/>
              <w:ind w:left="122"/>
              <w:rPr>
                <w:sz w:val="18"/>
              </w:rPr>
            </w:pPr>
            <w:r>
              <w:rPr>
                <w:sz w:val="18"/>
              </w:rPr>
              <w:t>92</w:t>
            </w:r>
          </w:p>
        </w:tc>
        <w:tc>
          <w:tcPr>
            <w:tcW w:w="1753" w:type="dxa"/>
            <w:tcBorders>
              <w:left w:val="nil"/>
              <w:bottom w:val="nil"/>
              <w:right w:val="nil"/>
            </w:tcBorders>
          </w:tcPr>
          <w:p>
            <w:pPr>
              <w:pStyle w:val="TableParagraph"/>
              <w:spacing w:before="92"/>
              <w:ind w:left="257"/>
              <w:rPr>
                <w:sz w:val="18"/>
              </w:rPr>
            </w:pPr>
            <w:r>
              <w:rPr>
                <w:sz w:val="18"/>
              </w:rPr>
              <w:t>293</w:t>
            </w:r>
          </w:p>
        </w:tc>
      </w:tr>
      <w:tr>
        <w:trPr>
          <w:trHeight w:val="300" w:hRule="exact"/>
        </w:trPr>
        <w:tc>
          <w:tcPr>
            <w:tcW w:w="2419" w:type="dxa"/>
            <w:tcBorders>
              <w:top w:val="nil"/>
              <w:left w:val="nil"/>
              <w:bottom w:val="nil"/>
              <w:right w:val="nil"/>
            </w:tcBorders>
          </w:tcPr>
          <w:p>
            <w:pPr>
              <w:pStyle w:val="TableParagraph"/>
              <w:spacing w:before="37"/>
              <w:ind w:right="199"/>
              <w:rPr>
                <w:sz w:val="18"/>
              </w:rPr>
            </w:pPr>
            <w:r>
              <w:rPr>
                <w:sz w:val="18"/>
              </w:rPr>
              <w:t>Toluca</w:t>
            </w:r>
          </w:p>
        </w:tc>
        <w:tc>
          <w:tcPr>
            <w:tcW w:w="1429" w:type="dxa"/>
            <w:tcBorders>
              <w:top w:val="nil"/>
              <w:left w:val="nil"/>
              <w:bottom w:val="nil"/>
              <w:right w:val="nil"/>
            </w:tcBorders>
          </w:tcPr>
          <w:p>
            <w:pPr>
              <w:pStyle w:val="TableParagraph"/>
              <w:spacing w:before="37"/>
              <w:ind w:left="219"/>
              <w:rPr>
                <w:sz w:val="18"/>
              </w:rPr>
            </w:pPr>
            <w:r>
              <w:rPr>
                <w:sz w:val="18"/>
              </w:rPr>
              <w:t>61</w:t>
            </w:r>
          </w:p>
        </w:tc>
        <w:tc>
          <w:tcPr>
            <w:tcW w:w="1115" w:type="dxa"/>
            <w:tcBorders>
              <w:top w:val="nil"/>
              <w:left w:val="nil"/>
              <w:bottom w:val="nil"/>
              <w:right w:val="nil"/>
            </w:tcBorders>
          </w:tcPr>
          <w:p>
            <w:pPr>
              <w:pStyle w:val="TableParagraph"/>
              <w:spacing w:before="37"/>
              <w:ind w:left="131"/>
              <w:rPr>
                <w:sz w:val="18"/>
              </w:rPr>
            </w:pPr>
            <w:r>
              <w:rPr>
                <w:sz w:val="18"/>
              </w:rPr>
              <w:t>3570</w:t>
            </w:r>
          </w:p>
        </w:tc>
        <w:tc>
          <w:tcPr>
            <w:tcW w:w="1184" w:type="dxa"/>
            <w:tcBorders>
              <w:top w:val="nil"/>
              <w:left w:val="nil"/>
              <w:bottom w:val="nil"/>
              <w:right w:val="nil"/>
            </w:tcBorders>
          </w:tcPr>
          <w:p>
            <w:pPr>
              <w:pStyle w:val="TableParagraph"/>
              <w:spacing w:before="37"/>
              <w:ind w:left="154"/>
              <w:rPr>
                <w:sz w:val="18"/>
              </w:rPr>
            </w:pPr>
            <w:r>
              <w:rPr>
                <w:sz w:val="18"/>
              </w:rPr>
              <w:t>286</w:t>
            </w:r>
          </w:p>
        </w:tc>
        <w:tc>
          <w:tcPr>
            <w:tcW w:w="1000" w:type="dxa"/>
            <w:tcBorders>
              <w:top w:val="nil"/>
              <w:left w:val="nil"/>
              <w:bottom w:val="nil"/>
              <w:right w:val="nil"/>
            </w:tcBorders>
          </w:tcPr>
          <w:p>
            <w:pPr>
              <w:pStyle w:val="TableParagraph"/>
              <w:spacing w:before="37"/>
              <w:ind w:left="122"/>
              <w:rPr>
                <w:sz w:val="18"/>
              </w:rPr>
            </w:pPr>
            <w:r>
              <w:rPr>
                <w:sz w:val="18"/>
              </w:rPr>
              <w:t>1517</w:t>
            </w:r>
          </w:p>
        </w:tc>
        <w:tc>
          <w:tcPr>
            <w:tcW w:w="1753" w:type="dxa"/>
            <w:tcBorders>
              <w:top w:val="nil"/>
              <w:left w:val="nil"/>
              <w:bottom w:val="nil"/>
              <w:right w:val="nil"/>
            </w:tcBorders>
          </w:tcPr>
          <w:p>
            <w:pPr>
              <w:pStyle w:val="TableParagraph"/>
              <w:spacing w:before="37"/>
              <w:ind w:left="257"/>
              <w:rPr>
                <w:sz w:val="18"/>
              </w:rPr>
            </w:pPr>
            <w:r>
              <w:rPr>
                <w:sz w:val="18"/>
              </w:rPr>
              <w:t>5434</w:t>
            </w:r>
          </w:p>
        </w:tc>
      </w:tr>
      <w:tr>
        <w:trPr>
          <w:trHeight w:val="300" w:hRule="exact"/>
        </w:trPr>
        <w:tc>
          <w:tcPr>
            <w:tcW w:w="2419" w:type="dxa"/>
            <w:tcBorders>
              <w:top w:val="nil"/>
              <w:left w:val="nil"/>
              <w:bottom w:val="nil"/>
              <w:right w:val="nil"/>
            </w:tcBorders>
          </w:tcPr>
          <w:p>
            <w:pPr>
              <w:pStyle w:val="TableParagraph"/>
              <w:spacing w:before="37"/>
              <w:ind w:right="199"/>
              <w:rPr>
                <w:sz w:val="18"/>
              </w:rPr>
            </w:pPr>
            <w:r>
              <w:rPr>
                <w:sz w:val="18"/>
              </w:rPr>
              <w:t>San Mateo Atenco</w:t>
            </w:r>
          </w:p>
        </w:tc>
        <w:tc>
          <w:tcPr>
            <w:tcW w:w="1429" w:type="dxa"/>
            <w:tcBorders>
              <w:top w:val="nil"/>
              <w:left w:val="nil"/>
              <w:bottom w:val="nil"/>
              <w:right w:val="nil"/>
            </w:tcBorders>
          </w:tcPr>
          <w:p>
            <w:pPr>
              <w:pStyle w:val="TableParagraph"/>
              <w:spacing w:before="37"/>
              <w:ind w:left="219"/>
              <w:rPr>
                <w:sz w:val="18"/>
              </w:rPr>
            </w:pPr>
            <w:r>
              <w:rPr>
                <w:w w:val="99"/>
                <w:sz w:val="18"/>
              </w:rPr>
              <w:t>3</w:t>
            </w:r>
          </w:p>
        </w:tc>
        <w:tc>
          <w:tcPr>
            <w:tcW w:w="1115" w:type="dxa"/>
            <w:tcBorders>
              <w:top w:val="nil"/>
              <w:left w:val="nil"/>
              <w:bottom w:val="nil"/>
              <w:right w:val="nil"/>
            </w:tcBorders>
          </w:tcPr>
          <w:p>
            <w:pPr>
              <w:pStyle w:val="TableParagraph"/>
              <w:spacing w:before="37"/>
              <w:ind w:left="131"/>
              <w:rPr>
                <w:sz w:val="18"/>
              </w:rPr>
            </w:pPr>
            <w:r>
              <w:rPr>
                <w:sz w:val="18"/>
              </w:rPr>
              <w:t>155</w:t>
            </w:r>
          </w:p>
        </w:tc>
        <w:tc>
          <w:tcPr>
            <w:tcW w:w="1184" w:type="dxa"/>
            <w:tcBorders>
              <w:top w:val="nil"/>
              <w:left w:val="nil"/>
              <w:bottom w:val="nil"/>
              <w:right w:val="nil"/>
            </w:tcBorders>
          </w:tcPr>
          <w:p>
            <w:pPr>
              <w:pStyle w:val="TableParagraph"/>
              <w:spacing w:before="37"/>
              <w:ind w:left="154"/>
              <w:rPr>
                <w:sz w:val="18"/>
              </w:rPr>
            </w:pPr>
            <w:r>
              <w:rPr>
                <w:sz w:val="18"/>
              </w:rPr>
              <w:t>10</w:t>
            </w:r>
          </w:p>
        </w:tc>
        <w:tc>
          <w:tcPr>
            <w:tcW w:w="1000" w:type="dxa"/>
            <w:tcBorders>
              <w:top w:val="nil"/>
              <w:left w:val="nil"/>
              <w:bottom w:val="nil"/>
              <w:right w:val="nil"/>
            </w:tcBorders>
          </w:tcPr>
          <w:p>
            <w:pPr>
              <w:pStyle w:val="TableParagraph"/>
              <w:spacing w:before="37"/>
              <w:ind w:left="122"/>
              <w:rPr>
                <w:sz w:val="18"/>
              </w:rPr>
            </w:pPr>
            <w:r>
              <w:rPr>
                <w:sz w:val="18"/>
              </w:rPr>
              <w:t>87</w:t>
            </w:r>
          </w:p>
        </w:tc>
        <w:tc>
          <w:tcPr>
            <w:tcW w:w="1753" w:type="dxa"/>
            <w:tcBorders>
              <w:top w:val="nil"/>
              <w:left w:val="nil"/>
              <w:bottom w:val="nil"/>
              <w:right w:val="nil"/>
            </w:tcBorders>
          </w:tcPr>
          <w:p>
            <w:pPr>
              <w:pStyle w:val="TableParagraph"/>
              <w:spacing w:before="37"/>
              <w:ind w:left="257"/>
              <w:rPr>
                <w:sz w:val="18"/>
              </w:rPr>
            </w:pPr>
            <w:r>
              <w:rPr>
                <w:sz w:val="18"/>
              </w:rPr>
              <w:t>255</w:t>
            </w:r>
          </w:p>
        </w:tc>
      </w:tr>
      <w:tr>
        <w:trPr>
          <w:trHeight w:val="300" w:hRule="exact"/>
        </w:trPr>
        <w:tc>
          <w:tcPr>
            <w:tcW w:w="2419" w:type="dxa"/>
            <w:tcBorders>
              <w:top w:val="nil"/>
              <w:left w:val="nil"/>
              <w:bottom w:val="nil"/>
              <w:right w:val="nil"/>
            </w:tcBorders>
          </w:tcPr>
          <w:p>
            <w:pPr>
              <w:pStyle w:val="TableParagraph"/>
              <w:spacing w:before="37"/>
              <w:ind w:right="199"/>
              <w:rPr>
                <w:sz w:val="18"/>
              </w:rPr>
            </w:pPr>
            <w:r>
              <w:rPr>
                <w:sz w:val="18"/>
              </w:rPr>
              <w:t>Almoloya de Juárez</w:t>
            </w:r>
          </w:p>
        </w:tc>
        <w:tc>
          <w:tcPr>
            <w:tcW w:w="1429" w:type="dxa"/>
            <w:tcBorders>
              <w:top w:val="nil"/>
              <w:left w:val="nil"/>
              <w:bottom w:val="nil"/>
              <w:right w:val="nil"/>
            </w:tcBorders>
          </w:tcPr>
          <w:p>
            <w:pPr>
              <w:pStyle w:val="TableParagraph"/>
              <w:spacing w:before="37"/>
              <w:ind w:left="219"/>
              <w:rPr>
                <w:sz w:val="18"/>
              </w:rPr>
            </w:pPr>
            <w:r>
              <w:rPr>
                <w:w w:val="99"/>
                <w:sz w:val="18"/>
              </w:rPr>
              <w:t>0</w:t>
            </w:r>
          </w:p>
        </w:tc>
        <w:tc>
          <w:tcPr>
            <w:tcW w:w="1115" w:type="dxa"/>
            <w:tcBorders>
              <w:top w:val="nil"/>
              <w:left w:val="nil"/>
              <w:bottom w:val="nil"/>
              <w:right w:val="nil"/>
            </w:tcBorders>
          </w:tcPr>
          <w:p>
            <w:pPr>
              <w:pStyle w:val="TableParagraph"/>
              <w:spacing w:before="37"/>
              <w:ind w:left="131"/>
              <w:rPr>
                <w:sz w:val="18"/>
              </w:rPr>
            </w:pPr>
            <w:r>
              <w:rPr>
                <w:sz w:val="18"/>
              </w:rPr>
              <w:t>66</w:t>
            </w:r>
          </w:p>
        </w:tc>
        <w:tc>
          <w:tcPr>
            <w:tcW w:w="1184" w:type="dxa"/>
            <w:tcBorders>
              <w:top w:val="nil"/>
              <w:left w:val="nil"/>
              <w:bottom w:val="nil"/>
              <w:right w:val="nil"/>
            </w:tcBorders>
          </w:tcPr>
          <w:p>
            <w:pPr>
              <w:pStyle w:val="TableParagraph"/>
              <w:spacing w:before="37"/>
              <w:ind w:left="154"/>
              <w:rPr>
                <w:sz w:val="18"/>
              </w:rPr>
            </w:pPr>
            <w:r>
              <w:rPr>
                <w:w w:val="99"/>
                <w:sz w:val="18"/>
              </w:rPr>
              <w:t>1</w:t>
            </w:r>
          </w:p>
        </w:tc>
        <w:tc>
          <w:tcPr>
            <w:tcW w:w="1000" w:type="dxa"/>
            <w:tcBorders>
              <w:top w:val="nil"/>
              <w:left w:val="nil"/>
              <w:bottom w:val="nil"/>
              <w:right w:val="nil"/>
            </w:tcBorders>
          </w:tcPr>
          <w:p>
            <w:pPr>
              <w:pStyle w:val="TableParagraph"/>
              <w:spacing w:before="37"/>
              <w:ind w:left="122"/>
              <w:rPr>
                <w:sz w:val="18"/>
              </w:rPr>
            </w:pPr>
            <w:r>
              <w:rPr>
                <w:sz w:val="18"/>
              </w:rPr>
              <w:t>47</w:t>
            </w:r>
          </w:p>
        </w:tc>
        <w:tc>
          <w:tcPr>
            <w:tcW w:w="1753" w:type="dxa"/>
            <w:tcBorders>
              <w:top w:val="nil"/>
              <w:left w:val="nil"/>
              <w:bottom w:val="nil"/>
              <w:right w:val="nil"/>
            </w:tcBorders>
          </w:tcPr>
          <w:p>
            <w:pPr>
              <w:pStyle w:val="TableParagraph"/>
              <w:spacing w:before="37"/>
              <w:ind w:left="257"/>
              <w:rPr>
                <w:sz w:val="18"/>
              </w:rPr>
            </w:pPr>
            <w:r>
              <w:rPr>
                <w:sz w:val="18"/>
              </w:rPr>
              <w:t>114</w:t>
            </w:r>
          </w:p>
        </w:tc>
      </w:tr>
      <w:tr>
        <w:trPr>
          <w:trHeight w:val="300" w:hRule="exact"/>
        </w:trPr>
        <w:tc>
          <w:tcPr>
            <w:tcW w:w="2419" w:type="dxa"/>
            <w:tcBorders>
              <w:top w:val="nil"/>
              <w:left w:val="nil"/>
              <w:bottom w:val="nil"/>
              <w:right w:val="nil"/>
            </w:tcBorders>
          </w:tcPr>
          <w:p>
            <w:pPr>
              <w:pStyle w:val="TableParagraph"/>
              <w:spacing w:before="37"/>
              <w:ind w:right="199"/>
              <w:rPr>
                <w:sz w:val="18"/>
              </w:rPr>
            </w:pPr>
            <w:r>
              <w:rPr>
                <w:sz w:val="18"/>
              </w:rPr>
              <w:t>Metepec</w:t>
            </w:r>
          </w:p>
        </w:tc>
        <w:tc>
          <w:tcPr>
            <w:tcW w:w="1429" w:type="dxa"/>
            <w:tcBorders>
              <w:top w:val="nil"/>
              <w:left w:val="nil"/>
              <w:bottom w:val="nil"/>
              <w:right w:val="nil"/>
            </w:tcBorders>
          </w:tcPr>
          <w:p>
            <w:pPr>
              <w:pStyle w:val="TableParagraph"/>
              <w:spacing w:before="37"/>
              <w:ind w:left="219"/>
              <w:rPr>
                <w:sz w:val="18"/>
              </w:rPr>
            </w:pPr>
            <w:r>
              <w:rPr>
                <w:w w:val="99"/>
                <w:sz w:val="18"/>
              </w:rPr>
              <w:t>3</w:t>
            </w:r>
          </w:p>
        </w:tc>
        <w:tc>
          <w:tcPr>
            <w:tcW w:w="1115" w:type="dxa"/>
            <w:tcBorders>
              <w:top w:val="nil"/>
              <w:left w:val="nil"/>
              <w:bottom w:val="nil"/>
              <w:right w:val="nil"/>
            </w:tcBorders>
          </w:tcPr>
          <w:p>
            <w:pPr>
              <w:pStyle w:val="TableParagraph"/>
              <w:spacing w:before="37"/>
              <w:ind w:left="131"/>
              <w:rPr>
                <w:sz w:val="18"/>
              </w:rPr>
            </w:pPr>
            <w:r>
              <w:rPr>
                <w:sz w:val="18"/>
              </w:rPr>
              <w:t>215</w:t>
            </w:r>
          </w:p>
        </w:tc>
        <w:tc>
          <w:tcPr>
            <w:tcW w:w="1184" w:type="dxa"/>
            <w:tcBorders>
              <w:top w:val="nil"/>
              <w:left w:val="nil"/>
              <w:bottom w:val="nil"/>
              <w:right w:val="nil"/>
            </w:tcBorders>
          </w:tcPr>
          <w:p>
            <w:pPr>
              <w:pStyle w:val="TableParagraph"/>
              <w:spacing w:before="37"/>
              <w:ind w:left="154"/>
              <w:rPr>
                <w:sz w:val="18"/>
              </w:rPr>
            </w:pPr>
            <w:r>
              <w:rPr>
                <w:sz w:val="18"/>
              </w:rPr>
              <w:t>10</w:t>
            </w:r>
          </w:p>
        </w:tc>
        <w:tc>
          <w:tcPr>
            <w:tcW w:w="1000" w:type="dxa"/>
            <w:tcBorders>
              <w:top w:val="nil"/>
              <w:left w:val="nil"/>
              <w:bottom w:val="nil"/>
              <w:right w:val="nil"/>
            </w:tcBorders>
          </w:tcPr>
          <w:p>
            <w:pPr>
              <w:pStyle w:val="TableParagraph"/>
              <w:spacing w:before="37"/>
              <w:ind w:left="122"/>
              <w:rPr>
                <w:sz w:val="18"/>
              </w:rPr>
            </w:pPr>
            <w:r>
              <w:rPr>
                <w:sz w:val="18"/>
              </w:rPr>
              <w:t>153</w:t>
            </w:r>
          </w:p>
        </w:tc>
        <w:tc>
          <w:tcPr>
            <w:tcW w:w="1753" w:type="dxa"/>
            <w:tcBorders>
              <w:top w:val="nil"/>
              <w:left w:val="nil"/>
              <w:bottom w:val="nil"/>
              <w:right w:val="nil"/>
            </w:tcBorders>
          </w:tcPr>
          <w:p>
            <w:pPr>
              <w:pStyle w:val="TableParagraph"/>
              <w:spacing w:before="37"/>
              <w:ind w:left="257"/>
              <w:rPr>
                <w:sz w:val="18"/>
              </w:rPr>
            </w:pPr>
            <w:r>
              <w:rPr>
                <w:sz w:val="18"/>
              </w:rPr>
              <w:t>381</w:t>
            </w:r>
          </w:p>
        </w:tc>
      </w:tr>
      <w:tr>
        <w:trPr>
          <w:trHeight w:val="300" w:hRule="exact"/>
        </w:trPr>
        <w:tc>
          <w:tcPr>
            <w:tcW w:w="2419" w:type="dxa"/>
            <w:tcBorders>
              <w:top w:val="nil"/>
              <w:left w:val="nil"/>
              <w:bottom w:val="nil"/>
              <w:right w:val="nil"/>
            </w:tcBorders>
          </w:tcPr>
          <w:p>
            <w:pPr>
              <w:pStyle w:val="TableParagraph"/>
              <w:spacing w:before="37"/>
              <w:ind w:right="199"/>
              <w:rPr>
                <w:sz w:val="18"/>
              </w:rPr>
            </w:pPr>
            <w:r>
              <w:rPr>
                <w:sz w:val="18"/>
              </w:rPr>
              <w:t>Lerma</w:t>
            </w:r>
          </w:p>
        </w:tc>
        <w:tc>
          <w:tcPr>
            <w:tcW w:w="1429" w:type="dxa"/>
            <w:tcBorders>
              <w:top w:val="nil"/>
              <w:left w:val="nil"/>
              <w:bottom w:val="nil"/>
              <w:right w:val="nil"/>
            </w:tcBorders>
          </w:tcPr>
          <w:p>
            <w:pPr>
              <w:pStyle w:val="TableParagraph"/>
              <w:spacing w:before="37"/>
              <w:ind w:left="219"/>
              <w:rPr>
                <w:sz w:val="18"/>
              </w:rPr>
            </w:pPr>
            <w:r>
              <w:rPr>
                <w:w w:val="99"/>
                <w:sz w:val="18"/>
              </w:rPr>
              <w:t>4</w:t>
            </w:r>
          </w:p>
        </w:tc>
        <w:tc>
          <w:tcPr>
            <w:tcW w:w="1115" w:type="dxa"/>
            <w:tcBorders>
              <w:top w:val="nil"/>
              <w:left w:val="nil"/>
              <w:bottom w:val="nil"/>
              <w:right w:val="nil"/>
            </w:tcBorders>
          </w:tcPr>
          <w:p>
            <w:pPr>
              <w:pStyle w:val="TableParagraph"/>
              <w:spacing w:before="37"/>
              <w:ind w:left="131"/>
              <w:rPr>
                <w:sz w:val="18"/>
              </w:rPr>
            </w:pPr>
            <w:r>
              <w:rPr>
                <w:sz w:val="18"/>
              </w:rPr>
              <w:t>269</w:t>
            </w:r>
          </w:p>
        </w:tc>
        <w:tc>
          <w:tcPr>
            <w:tcW w:w="1184" w:type="dxa"/>
            <w:tcBorders>
              <w:top w:val="nil"/>
              <w:left w:val="nil"/>
              <w:bottom w:val="nil"/>
              <w:right w:val="nil"/>
            </w:tcBorders>
          </w:tcPr>
          <w:p>
            <w:pPr>
              <w:pStyle w:val="TableParagraph"/>
              <w:spacing w:before="37"/>
              <w:ind w:left="154"/>
              <w:rPr>
                <w:sz w:val="18"/>
              </w:rPr>
            </w:pPr>
            <w:r>
              <w:rPr>
                <w:w w:val="99"/>
                <w:sz w:val="18"/>
              </w:rPr>
              <w:t>4</w:t>
            </w:r>
          </w:p>
        </w:tc>
        <w:tc>
          <w:tcPr>
            <w:tcW w:w="1000" w:type="dxa"/>
            <w:tcBorders>
              <w:top w:val="nil"/>
              <w:left w:val="nil"/>
              <w:bottom w:val="nil"/>
              <w:right w:val="nil"/>
            </w:tcBorders>
          </w:tcPr>
          <w:p>
            <w:pPr>
              <w:pStyle w:val="TableParagraph"/>
              <w:spacing w:before="37"/>
              <w:ind w:left="122"/>
              <w:rPr>
                <w:sz w:val="18"/>
              </w:rPr>
            </w:pPr>
            <w:r>
              <w:rPr>
                <w:sz w:val="18"/>
              </w:rPr>
              <w:t>79</w:t>
            </w:r>
          </w:p>
        </w:tc>
        <w:tc>
          <w:tcPr>
            <w:tcW w:w="1753" w:type="dxa"/>
            <w:tcBorders>
              <w:top w:val="nil"/>
              <w:left w:val="nil"/>
              <w:bottom w:val="nil"/>
              <w:right w:val="nil"/>
            </w:tcBorders>
          </w:tcPr>
          <w:p>
            <w:pPr>
              <w:pStyle w:val="TableParagraph"/>
              <w:spacing w:before="37"/>
              <w:ind w:left="257"/>
              <w:rPr>
                <w:sz w:val="18"/>
              </w:rPr>
            </w:pPr>
            <w:r>
              <w:rPr>
                <w:sz w:val="18"/>
              </w:rPr>
              <w:t>356</w:t>
            </w:r>
          </w:p>
        </w:tc>
      </w:tr>
      <w:tr>
        <w:trPr>
          <w:trHeight w:val="300" w:hRule="exact"/>
        </w:trPr>
        <w:tc>
          <w:tcPr>
            <w:tcW w:w="2419" w:type="dxa"/>
            <w:tcBorders>
              <w:top w:val="nil"/>
              <w:left w:val="nil"/>
              <w:bottom w:val="nil"/>
              <w:right w:val="nil"/>
            </w:tcBorders>
          </w:tcPr>
          <w:p>
            <w:pPr>
              <w:pStyle w:val="TableParagraph"/>
              <w:spacing w:before="37"/>
              <w:ind w:right="199"/>
              <w:rPr>
                <w:sz w:val="18"/>
              </w:rPr>
            </w:pPr>
            <w:r>
              <w:rPr>
                <w:sz w:val="18"/>
              </w:rPr>
              <w:t>Mexicaltzingo</w:t>
            </w:r>
          </w:p>
        </w:tc>
        <w:tc>
          <w:tcPr>
            <w:tcW w:w="1429" w:type="dxa"/>
            <w:tcBorders>
              <w:top w:val="nil"/>
              <w:left w:val="nil"/>
              <w:bottom w:val="nil"/>
              <w:right w:val="nil"/>
            </w:tcBorders>
          </w:tcPr>
          <w:p>
            <w:pPr>
              <w:pStyle w:val="TableParagraph"/>
              <w:spacing w:before="37"/>
              <w:ind w:left="219"/>
              <w:rPr>
                <w:sz w:val="18"/>
              </w:rPr>
            </w:pPr>
            <w:r>
              <w:rPr>
                <w:w w:val="99"/>
                <w:sz w:val="18"/>
              </w:rPr>
              <w:t>1</w:t>
            </w:r>
          </w:p>
        </w:tc>
        <w:tc>
          <w:tcPr>
            <w:tcW w:w="1115" w:type="dxa"/>
            <w:tcBorders>
              <w:top w:val="nil"/>
              <w:left w:val="nil"/>
              <w:bottom w:val="nil"/>
              <w:right w:val="nil"/>
            </w:tcBorders>
          </w:tcPr>
          <w:p>
            <w:pPr>
              <w:pStyle w:val="TableParagraph"/>
              <w:spacing w:before="37"/>
              <w:ind w:left="131"/>
              <w:rPr>
                <w:sz w:val="18"/>
              </w:rPr>
            </w:pPr>
            <w:r>
              <w:rPr>
                <w:sz w:val="18"/>
              </w:rPr>
              <w:t>19</w:t>
            </w:r>
          </w:p>
        </w:tc>
        <w:tc>
          <w:tcPr>
            <w:tcW w:w="1184" w:type="dxa"/>
            <w:tcBorders>
              <w:top w:val="nil"/>
              <w:left w:val="nil"/>
              <w:bottom w:val="nil"/>
              <w:right w:val="nil"/>
            </w:tcBorders>
          </w:tcPr>
          <w:p>
            <w:pPr>
              <w:pStyle w:val="TableParagraph"/>
              <w:spacing w:before="37"/>
              <w:ind w:left="154"/>
              <w:rPr>
                <w:sz w:val="18"/>
              </w:rPr>
            </w:pPr>
            <w:r>
              <w:rPr>
                <w:w w:val="99"/>
                <w:sz w:val="18"/>
              </w:rPr>
              <w:t>2</w:t>
            </w:r>
          </w:p>
        </w:tc>
        <w:tc>
          <w:tcPr>
            <w:tcW w:w="1000" w:type="dxa"/>
            <w:tcBorders>
              <w:top w:val="nil"/>
              <w:left w:val="nil"/>
              <w:bottom w:val="nil"/>
              <w:right w:val="nil"/>
            </w:tcBorders>
          </w:tcPr>
          <w:p>
            <w:pPr>
              <w:pStyle w:val="TableParagraph"/>
              <w:spacing w:before="37"/>
              <w:ind w:left="122"/>
              <w:rPr>
                <w:sz w:val="18"/>
              </w:rPr>
            </w:pPr>
            <w:r>
              <w:rPr>
                <w:sz w:val="18"/>
              </w:rPr>
              <w:t>14</w:t>
            </w:r>
          </w:p>
        </w:tc>
        <w:tc>
          <w:tcPr>
            <w:tcW w:w="1753" w:type="dxa"/>
            <w:tcBorders>
              <w:top w:val="nil"/>
              <w:left w:val="nil"/>
              <w:bottom w:val="nil"/>
              <w:right w:val="nil"/>
            </w:tcBorders>
          </w:tcPr>
          <w:p>
            <w:pPr>
              <w:pStyle w:val="TableParagraph"/>
              <w:spacing w:before="37"/>
              <w:ind w:left="257"/>
              <w:rPr>
                <w:sz w:val="18"/>
              </w:rPr>
            </w:pPr>
            <w:r>
              <w:rPr>
                <w:sz w:val="18"/>
              </w:rPr>
              <w:t>36</w:t>
            </w:r>
          </w:p>
        </w:tc>
      </w:tr>
      <w:tr>
        <w:trPr>
          <w:trHeight w:val="300" w:hRule="exact"/>
        </w:trPr>
        <w:tc>
          <w:tcPr>
            <w:tcW w:w="2419" w:type="dxa"/>
            <w:tcBorders>
              <w:top w:val="nil"/>
              <w:left w:val="nil"/>
              <w:bottom w:val="nil"/>
              <w:right w:val="nil"/>
            </w:tcBorders>
          </w:tcPr>
          <w:p>
            <w:pPr>
              <w:pStyle w:val="TableParagraph"/>
              <w:spacing w:before="37"/>
              <w:ind w:right="199"/>
              <w:rPr>
                <w:sz w:val="18"/>
              </w:rPr>
            </w:pPr>
            <w:r>
              <w:rPr>
                <w:sz w:val="18"/>
              </w:rPr>
              <w:t>Calimaya</w:t>
            </w:r>
          </w:p>
        </w:tc>
        <w:tc>
          <w:tcPr>
            <w:tcW w:w="1429" w:type="dxa"/>
            <w:tcBorders>
              <w:top w:val="nil"/>
              <w:left w:val="nil"/>
              <w:bottom w:val="nil"/>
              <w:right w:val="nil"/>
            </w:tcBorders>
          </w:tcPr>
          <w:p>
            <w:pPr>
              <w:pStyle w:val="TableParagraph"/>
              <w:spacing w:before="37"/>
              <w:ind w:left="219"/>
              <w:rPr>
                <w:sz w:val="18"/>
              </w:rPr>
            </w:pPr>
            <w:r>
              <w:rPr>
                <w:w w:val="99"/>
                <w:sz w:val="18"/>
              </w:rPr>
              <w:t>0</w:t>
            </w:r>
          </w:p>
        </w:tc>
        <w:tc>
          <w:tcPr>
            <w:tcW w:w="1115" w:type="dxa"/>
            <w:tcBorders>
              <w:top w:val="nil"/>
              <w:left w:val="nil"/>
              <w:bottom w:val="nil"/>
              <w:right w:val="nil"/>
            </w:tcBorders>
          </w:tcPr>
          <w:p>
            <w:pPr>
              <w:pStyle w:val="TableParagraph"/>
              <w:spacing w:before="37"/>
              <w:ind w:left="131"/>
              <w:rPr>
                <w:sz w:val="18"/>
              </w:rPr>
            </w:pPr>
            <w:r>
              <w:rPr>
                <w:sz w:val="18"/>
              </w:rPr>
              <w:t>108</w:t>
            </w:r>
          </w:p>
        </w:tc>
        <w:tc>
          <w:tcPr>
            <w:tcW w:w="1184" w:type="dxa"/>
            <w:tcBorders>
              <w:top w:val="nil"/>
              <w:left w:val="nil"/>
              <w:bottom w:val="nil"/>
              <w:right w:val="nil"/>
            </w:tcBorders>
          </w:tcPr>
          <w:p>
            <w:pPr>
              <w:pStyle w:val="TableParagraph"/>
              <w:spacing w:before="37"/>
              <w:ind w:left="154"/>
              <w:rPr>
                <w:sz w:val="18"/>
              </w:rPr>
            </w:pPr>
            <w:r>
              <w:rPr>
                <w:w w:val="99"/>
                <w:sz w:val="18"/>
              </w:rPr>
              <w:t>5</w:t>
            </w:r>
          </w:p>
        </w:tc>
        <w:tc>
          <w:tcPr>
            <w:tcW w:w="1000" w:type="dxa"/>
            <w:tcBorders>
              <w:top w:val="nil"/>
              <w:left w:val="nil"/>
              <w:bottom w:val="nil"/>
              <w:right w:val="nil"/>
            </w:tcBorders>
          </w:tcPr>
          <w:p>
            <w:pPr>
              <w:pStyle w:val="TableParagraph"/>
              <w:spacing w:before="37"/>
              <w:ind w:left="122"/>
              <w:rPr>
                <w:sz w:val="18"/>
              </w:rPr>
            </w:pPr>
            <w:r>
              <w:rPr>
                <w:sz w:val="18"/>
              </w:rPr>
              <w:t>29</w:t>
            </w:r>
          </w:p>
        </w:tc>
        <w:tc>
          <w:tcPr>
            <w:tcW w:w="1753" w:type="dxa"/>
            <w:tcBorders>
              <w:top w:val="nil"/>
              <w:left w:val="nil"/>
              <w:bottom w:val="nil"/>
              <w:right w:val="nil"/>
            </w:tcBorders>
          </w:tcPr>
          <w:p>
            <w:pPr>
              <w:pStyle w:val="TableParagraph"/>
              <w:spacing w:before="37"/>
              <w:ind w:left="257"/>
              <w:rPr>
                <w:sz w:val="18"/>
              </w:rPr>
            </w:pPr>
            <w:r>
              <w:rPr>
                <w:sz w:val="18"/>
              </w:rPr>
              <w:t>142</w:t>
            </w:r>
          </w:p>
        </w:tc>
      </w:tr>
      <w:tr>
        <w:trPr>
          <w:trHeight w:val="249" w:hRule="exact"/>
        </w:trPr>
        <w:tc>
          <w:tcPr>
            <w:tcW w:w="2419" w:type="dxa"/>
            <w:tcBorders>
              <w:top w:val="nil"/>
              <w:left w:val="nil"/>
              <w:right w:val="nil"/>
            </w:tcBorders>
          </w:tcPr>
          <w:p>
            <w:pPr>
              <w:pStyle w:val="TableParagraph"/>
              <w:spacing w:before="37"/>
              <w:ind w:right="199"/>
              <w:rPr>
                <w:sz w:val="18"/>
              </w:rPr>
            </w:pPr>
            <w:r>
              <w:rPr>
                <w:sz w:val="18"/>
              </w:rPr>
              <w:t>Otzolotepec</w:t>
            </w:r>
          </w:p>
        </w:tc>
        <w:tc>
          <w:tcPr>
            <w:tcW w:w="1429" w:type="dxa"/>
            <w:tcBorders>
              <w:top w:val="nil"/>
              <w:left w:val="nil"/>
              <w:right w:val="nil"/>
            </w:tcBorders>
          </w:tcPr>
          <w:p>
            <w:pPr>
              <w:pStyle w:val="TableParagraph"/>
              <w:spacing w:before="37"/>
              <w:ind w:left="219"/>
              <w:rPr>
                <w:sz w:val="18"/>
              </w:rPr>
            </w:pPr>
            <w:r>
              <w:rPr>
                <w:w w:val="99"/>
                <w:sz w:val="18"/>
              </w:rPr>
              <w:t>1</w:t>
            </w:r>
          </w:p>
        </w:tc>
        <w:tc>
          <w:tcPr>
            <w:tcW w:w="1115" w:type="dxa"/>
            <w:tcBorders>
              <w:top w:val="nil"/>
              <w:left w:val="nil"/>
              <w:right w:val="nil"/>
            </w:tcBorders>
          </w:tcPr>
          <w:p>
            <w:pPr>
              <w:pStyle w:val="TableParagraph"/>
              <w:spacing w:before="37"/>
              <w:ind w:left="131"/>
              <w:rPr>
                <w:sz w:val="18"/>
              </w:rPr>
            </w:pPr>
            <w:r>
              <w:rPr>
                <w:sz w:val="18"/>
              </w:rPr>
              <w:t>61</w:t>
            </w:r>
          </w:p>
        </w:tc>
        <w:tc>
          <w:tcPr>
            <w:tcW w:w="1184" w:type="dxa"/>
            <w:tcBorders>
              <w:top w:val="nil"/>
              <w:left w:val="nil"/>
              <w:right w:val="nil"/>
            </w:tcBorders>
          </w:tcPr>
          <w:p>
            <w:pPr>
              <w:pStyle w:val="TableParagraph"/>
              <w:spacing w:before="37"/>
              <w:ind w:left="154"/>
              <w:rPr>
                <w:sz w:val="18"/>
              </w:rPr>
            </w:pPr>
            <w:r>
              <w:rPr>
                <w:w w:val="99"/>
                <w:sz w:val="18"/>
              </w:rPr>
              <w:t>3</w:t>
            </w:r>
          </w:p>
        </w:tc>
        <w:tc>
          <w:tcPr>
            <w:tcW w:w="1000" w:type="dxa"/>
            <w:tcBorders>
              <w:top w:val="nil"/>
              <w:left w:val="nil"/>
              <w:right w:val="nil"/>
            </w:tcBorders>
          </w:tcPr>
          <w:p>
            <w:pPr>
              <w:pStyle w:val="TableParagraph"/>
              <w:spacing w:before="37"/>
              <w:ind w:left="122"/>
              <w:rPr>
                <w:sz w:val="18"/>
              </w:rPr>
            </w:pPr>
            <w:r>
              <w:rPr>
                <w:w w:val="99"/>
                <w:sz w:val="18"/>
              </w:rPr>
              <w:t>8</w:t>
            </w:r>
          </w:p>
        </w:tc>
        <w:tc>
          <w:tcPr>
            <w:tcW w:w="1753" w:type="dxa"/>
            <w:tcBorders>
              <w:top w:val="nil"/>
              <w:left w:val="nil"/>
              <w:right w:val="nil"/>
            </w:tcBorders>
          </w:tcPr>
          <w:p>
            <w:pPr>
              <w:pStyle w:val="TableParagraph"/>
              <w:spacing w:before="37"/>
              <w:ind w:left="257"/>
              <w:rPr>
                <w:sz w:val="18"/>
              </w:rPr>
            </w:pPr>
            <w:r>
              <w:rPr>
                <w:sz w:val="18"/>
              </w:rPr>
              <w:t>73</w:t>
            </w:r>
          </w:p>
        </w:tc>
      </w:tr>
      <w:tr>
        <w:trPr>
          <w:trHeight w:val="310" w:hRule="exact"/>
        </w:trPr>
        <w:tc>
          <w:tcPr>
            <w:tcW w:w="2419" w:type="dxa"/>
            <w:tcBorders>
              <w:left w:val="nil"/>
              <w:right w:val="nil"/>
            </w:tcBorders>
          </w:tcPr>
          <w:p>
            <w:pPr>
              <w:pStyle w:val="TableParagraph"/>
              <w:spacing w:before="92"/>
              <w:ind w:right="199"/>
              <w:rPr>
                <w:sz w:val="18"/>
              </w:rPr>
            </w:pPr>
            <w:r>
              <w:rPr>
                <w:sz w:val="18"/>
              </w:rPr>
              <w:t>Área Urbana continua</w:t>
            </w:r>
          </w:p>
        </w:tc>
        <w:tc>
          <w:tcPr>
            <w:tcW w:w="1429" w:type="dxa"/>
            <w:tcBorders>
              <w:left w:val="nil"/>
              <w:right w:val="nil"/>
            </w:tcBorders>
          </w:tcPr>
          <w:p>
            <w:pPr>
              <w:pStyle w:val="TableParagraph"/>
              <w:spacing w:before="92"/>
              <w:ind w:left="219"/>
              <w:rPr>
                <w:sz w:val="18"/>
              </w:rPr>
            </w:pPr>
            <w:r>
              <w:rPr>
                <w:sz w:val="18"/>
              </w:rPr>
              <w:t>78</w:t>
            </w:r>
          </w:p>
        </w:tc>
        <w:tc>
          <w:tcPr>
            <w:tcW w:w="1115" w:type="dxa"/>
            <w:tcBorders>
              <w:left w:val="nil"/>
              <w:right w:val="nil"/>
            </w:tcBorders>
          </w:tcPr>
          <w:p>
            <w:pPr>
              <w:pStyle w:val="TableParagraph"/>
              <w:spacing w:before="92"/>
              <w:ind w:left="131"/>
              <w:rPr>
                <w:sz w:val="18"/>
              </w:rPr>
            </w:pPr>
            <w:r>
              <w:rPr>
                <w:sz w:val="18"/>
              </w:rPr>
              <w:t>4652</w:t>
            </w:r>
          </w:p>
        </w:tc>
        <w:tc>
          <w:tcPr>
            <w:tcW w:w="1184" w:type="dxa"/>
            <w:tcBorders>
              <w:left w:val="nil"/>
              <w:right w:val="nil"/>
            </w:tcBorders>
          </w:tcPr>
          <w:p>
            <w:pPr>
              <w:pStyle w:val="TableParagraph"/>
              <w:spacing w:before="92"/>
              <w:ind w:left="154"/>
              <w:rPr>
                <w:sz w:val="18"/>
              </w:rPr>
            </w:pPr>
            <w:r>
              <w:rPr>
                <w:sz w:val="18"/>
              </w:rPr>
              <w:t>328</w:t>
            </w:r>
          </w:p>
        </w:tc>
        <w:tc>
          <w:tcPr>
            <w:tcW w:w="1000" w:type="dxa"/>
            <w:tcBorders>
              <w:left w:val="nil"/>
              <w:right w:val="nil"/>
            </w:tcBorders>
          </w:tcPr>
          <w:p>
            <w:pPr>
              <w:pStyle w:val="TableParagraph"/>
              <w:spacing w:before="92"/>
              <w:ind w:left="122"/>
              <w:rPr>
                <w:sz w:val="18"/>
              </w:rPr>
            </w:pPr>
            <w:r>
              <w:rPr>
                <w:sz w:val="18"/>
              </w:rPr>
              <w:t>2026</w:t>
            </w:r>
          </w:p>
        </w:tc>
        <w:tc>
          <w:tcPr>
            <w:tcW w:w="1753" w:type="dxa"/>
            <w:tcBorders>
              <w:left w:val="nil"/>
              <w:right w:val="nil"/>
            </w:tcBorders>
          </w:tcPr>
          <w:p>
            <w:pPr>
              <w:pStyle w:val="TableParagraph"/>
              <w:spacing w:before="92"/>
              <w:ind w:left="257"/>
              <w:rPr>
                <w:sz w:val="18"/>
              </w:rPr>
            </w:pPr>
            <w:r>
              <w:rPr>
                <w:sz w:val="18"/>
              </w:rPr>
              <w:t>7084</w:t>
            </w:r>
          </w:p>
        </w:tc>
      </w:tr>
      <w:tr>
        <w:trPr>
          <w:trHeight w:val="361" w:hRule="exact"/>
        </w:trPr>
        <w:tc>
          <w:tcPr>
            <w:tcW w:w="2419" w:type="dxa"/>
            <w:tcBorders>
              <w:left w:val="nil"/>
              <w:bottom w:val="nil"/>
              <w:right w:val="nil"/>
            </w:tcBorders>
          </w:tcPr>
          <w:p>
            <w:pPr>
              <w:pStyle w:val="TableParagraph"/>
              <w:spacing w:before="92"/>
              <w:ind w:right="199"/>
              <w:rPr>
                <w:sz w:val="18"/>
              </w:rPr>
            </w:pPr>
            <w:r>
              <w:rPr>
                <w:sz w:val="18"/>
              </w:rPr>
              <w:t>San Antonio la Isla</w:t>
            </w:r>
          </w:p>
        </w:tc>
        <w:tc>
          <w:tcPr>
            <w:tcW w:w="1429" w:type="dxa"/>
            <w:tcBorders>
              <w:left w:val="nil"/>
              <w:bottom w:val="nil"/>
              <w:right w:val="nil"/>
            </w:tcBorders>
          </w:tcPr>
          <w:p>
            <w:pPr>
              <w:pStyle w:val="TableParagraph"/>
              <w:spacing w:before="92"/>
              <w:ind w:left="219"/>
              <w:rPr>
                <w:sz w:val="18"/>
              </w:rPr>
            </w:pPr>
            <w:r>
              <w:rPr>
                <w:w w:val="99"/>
                <w:sz w:val="18"/>
              </w:rPr>
              <w:t>0</w:t>
            </w:r>
          </w:p>
        </w:tc>
        <w:tc>
          <w:tcPr>
            <w:tcW w:w="1115" w:type="dxa"/>
            <w:tcBorders>
              <w:left w:val="nil"/>
              <w:bottom w:val="nil"/>
              <w:right w:val="nil"/>
            </w:tcBorders>
          </w:tcPr>
          <w:p>
            <w:pPr>
              <w:pStyle w:val="TableParagraph"/>
              <w:spacing w:before="92"/>
              <w:ind w:left="131"/>
              <w:rPr>
                <w:sz w:val="18"/>
              </w:rPr>
            </w:pPr>
            <w:r>
              <w:rPr>
                <w:w w:val="99"/>
                <w:sz w:val="18"/>
              </w:rPr>
              <w:t>4</w:t>
            </w:r>
          </w:p>
        </w:tc>
        <w:tc>
          <w:tcPr>
            <w:tcW w:w="1184" w:type="dxa"/>
            <w:tcBorders>
              <w:left w:val="nil"/>
              <w:bottom w:val="nil"/>
              <w:right w:val="nil"/>
            </w:tcBorders>
          </w:tcPr>
          <w:p>
            <w:pPr>
              <w:pStyle w:val="TableParagraph"/>
              <w:spacing w:before="92"/>
              <w:ind w:left="154"/>
              <w:rPr>
                <w:sz w:val="18"/>
              </w:rPr>
            </w:pPr>
            <w:r>
              <w:rPr>
                <w:w w:val="99"/>
                <w:sz w:val="18"/>
              </w:rPr>
              <w:t>0</w:t>
            </w:r>
          </w:p>
        </w:tc>
        <w:tc>
          <w:tcPr>
            <w:tcW w:w="1000" w:type="dxa"/>
            <w:tcBorders>
              <w:left w:val="nil"/>
              <w:bottom w:val="nil"/>
              <w:right w:val="nil"/>
            </w:tcBorders>
          </w:tcPr>
          <w:p>
            <w:pPr>
              <w:pStyle w:val="TableParagraph"/>
              <w:spacing w:before="92"/>
              <w:ind w:left="122"/>
              <w:rPr>
                <w:sz w:val="18"/>
              </w:rPr>
            </w:pPr>
            <w:r>
              <w:rPr>
                <w:w w:val="99"/>
                <w:sz w:val="18"/>
              </w:rPr>
              <w:t>4</w:t>
            </w:r>
          </w:p>
        </w:tc>
        <w:tc>
          <w:tcPr>
            <w:tcW w:w="1753" w:type="dxa"/>
            <w:tcBorders>
              <w:left w:val="nil"/>
              <w:bottom w:val="nil"/>
              <w:right w:val="nil"/>
            </w:tcBorders>
          </w:tcPr>
          <w:p>
            <w:pPr>
              <w:pStyle w:val="TableParagraph"/>
              <w:spacing w:before="92"/>
              <w:ind w:left="257"/>
              <w:rPr>
                <w:sz w:val="18"/>
              </w:rPr>
            </w:pPr>
            <w:r>
              <w:rPr>
                <w:w w:val="99"/>
                <w:sz w:val="18"/>
              </w:rPr>
              <w:t>8</w:t>
            </w:r>
          </w:p>
        </w:tc>
      </w:tr>
      <w:tr>
        <w:trPr>
          <w:trHeight w:val="300" w:hRule="exact"/>
        </w:trPr>
        <w:tc>
          <w:tcPr>
            <w:tcW w:w="2419" w:type="dxa"/>
            <w:tcBorders>
              <w:top w:val="nil"/>
              <w:left w:val="nil"/>
              <w:bottom w:val="nil"/>
              <w:right w:val="nil"/>
            </w:tcBorders>
          </w:tcPr>
          <w:p>
            <w:pPr>
              <w:pStyle w:val="TableParagraph"/>
              <w:spacing w:before="37"/>
              <w:ind w:right="199"/>
              <w:rPr>
                <w:sz w:val="18"/>
              </w:rPr>
            </w:pPr>
            <w:r>
              <w:rPr>
                <w:sz w:val="18"/>
              </w:rPr>
              <w:t>Ocoyoacac</w:t>
            </w:r>
          </w:p>
        </w:tc>
        <w:tc>
          <w:tcPr>
            <w:tcW w:w="1429" w:type="dxa"/>
            <w:tcBorders>
              <w:top w:val="nil"/>
              <w:left w:val="nil"/>
              <w:bottom w:val="nil"/>
              <w:right w:val="nil"/>
            </w:tcBorders>
          </w:tcPr>
          <w:p>
            <w:pPr>
              <w:pStyle w:val="TableParagraph"/>
              <w:spacing w:before="37"/>
              <w:ind w:left="219"/>
              <w:rPr>
                <w:sz w:val="18"/>
              </w:rPr>
            </w:pPr>
            <w:r>
              <w:rPr>
                <w:w w:val="99"/>
                <w:sz w:val="18"/>
              </w:rPr>
              <w:t>1</w:t>
            </w:r>
          </w:p>
        </w:tc>
        <w:tc>
          <w:tcPr>
            <w:tcW w:w="1115" w:type="dxa"/>
            <w:tcBorders>
              <w:top w:val="nil"/>
              <w:left w:val="nil"/>
              <w:bottom w:val="nil"/>
              <w:right w:val="nil"/>
            </w:tcBorders>
          </w:tcPr>
          <w:p>
            <w:pPr>
              <w:pStyle w:val="TableParagraph"/>
              <w:spacing w:before="37"/>
              <w:ind w:left="131"/>
              <w:rPr>
                <w:sz w:val="18"/>
              </w:rPr>
            </w:pPr>
            <w:r>
              <w:rPr>
                <w:sz w:val="18"/>
              </w:rPr>
              <w:t>28</w:t>
            </w:r>
          </w:p>
        </w:tc>
        <w:tc>
          <w:tcPr>
            <w:tcW w:w="1184" w:type="dxa"/>
            <w:tcBorders>
              <w:top w:val="nil"/>
              <w:left w:val="nil"/>
              <w:bottom w:val="nil"/>
              <w:right w:val="nil"/>
            </w:tcBorders>
          </w:tcPr>
          <w:p>
            <w:pPr>
              <w:pStyle w:val="TableParagraph"/>
              <w:spacing w:before="37"/>
              <w:ind w:left="154"/>
              <w:rPr>
                <w:sz w:val="18"/>
              </w:rPr>
            </w:pPr>
            <w:r>
              <w:rPr>
                <w:w w:val="99"/>
                <w:sz w:val="18"/>
              </w:rPr>
              <w:t>2</w:t>
            </w:r>
          </w:p>
        </w:tc>
        <w:tc>
          <w:tcPr>
            <w:tcW w:w="1000" w:type="dxa"/>
            <w:tcBorders>
              <w:top w:val="nil"/>
              <w:left w:val="nil"/>
              <w:bottom w:val="nil"/>
              <w:right w:val="nil"/>
            </w:tcBorders>
          </w:tcPr>
          <w:p>
            <w:pPr>
              <w:pStyle w:val="TableParagraph"/>
              <w:spacing w:before="37"/>
              <w:ind w:left="122"/>
              <w:rPr>
                <w:sz w:val="18"/>
              </w:rPr>
            </w:pPr>
            <w:r>
              <w:rPr>
                <w:sz w:val="18"/>
              </w:rPr>
              <w:t>16</w:t>
            </w:r>
          </w:p>
        </w:tc>
        <w:tc>
          <w:tcPr>
            <w:tcW w:w="1753" w:type="dxa"/>
            <w:tcBorders>
              <w:top w:val="nil"/>
              <w:left w:val="nil"/>
              <w:bottom w:val="nil"/>
              <w:right w:val="nil"/>
            </w:tcBorders>
          </w:tcPr>
          <w:p>
            <w:pPr>
              <w:pStyle w:val="TableParagraph"/>
              <w:spacing w:before="37"/>
              <w:ind w:left="257"/>
              <w:rPr>
                <w:sz w:val="18"/>
              </w:rPr>
            </w:pPr>
            <w:r>
              <w:rPr>
                <w:sz w:val="18"/>
              </w:rPr>
              <w:t>47</w:t>
            </w:r>
          </w:p>
        </w:tc>
      </w:tr>
      <w:tr>
        <w:trPr>
          <w:trHeight w:val="300" w:hRule="exact"/>
        </w:trPr>
        <w:tc>
          <w:tcPr>
            <w:tcW w:w="2419" w:type="dxa"/>
            <w:tcBorders>
              <w:top w:val="nil"/>
              <w:left w:val="nil"/>
              <w:bottom w:val="nil"/>
              <w:right w:val="nil"/>
            </w:tcBorders>
          </w:tcPr>
          <w:p>
            <w:pPr>
              <w:pStyle w:val="TableParagraph"/>
              <w:spacing w:before="37"/>
              <w:ind w:right="199"/>
              <w:rPr>
                <w:sz w:val="18"/>
              </w:rPr>
            </w:pPr>
            <w:r>
              <w:rPr>
                <w:sz w:val="18"/>
              </w:rPr>
              <w:t>Chapultepec</w:t>
            </w:r>
          </w:p>
        </w:tc>
        <w:tc>
          <w:tcPr>
            <w:tcW w:w="1429" w:type="dxa"/>
            <w:tcBorders>
              <w:top w:val="nil"/>
              <w:left w:val="nil"/>
              <w:bottom w:val="nil"/>
              <w:right w:val="nil"/>
            </w:tcBorders>
          </w:tcPr>
          <w:p>
            <w:pPr>
              <w:pStyle w:val="TableParagraph"/>
              <w:spacing w:before="37"/>
              <w:ind w:left="219"/>
              <w:rPr>
                <w:sz w:val="18"/>
              </w:rPr>
            </w:pPr>
            <w:r>
              <w:rPr>
                <w:w w:val="99"/>
                <w:sz w:val="18"/>
              </w:rPr>
              <w:t>0</w:t>
            </w:r>
          </w:p>
        </w:tc>
        <w:tc>
          <w:tcPr>
            <w:tcW w:w="1115" w:type="dxa"/>
            <w:tcBorders>
              <w:top w:val="nil"/>
              <w:left w:val="nil"/>
              <w:bottom w:val="nil"/>
              <w:right w:val="nil"/>
            </w:tcBorders>
          </w:tcPr>
          <w:p>
            <w:pPr>
              <w:pStyle w:val="TableParagraph"/>
              <w:spacing w:before="37"/>
              <w:ind w:left="131"/>
              <w:rPr>
                <w:sz w:val="18"/>
              </w:rPr>
            </w:pPr>
            <w:r>
              <w:rPr>
                <w:sz w:val="18"/>
              </w:rPr>
              <w:t>11</w:t>
            </w:r>
          </w:p>
        </w:tc>
        <w:tc>
          <w:tcPr>
            <w:tcW w:w="1184" w:type="dxa"/>
            <w:tcBorders>
              <w:top w:val="nil"/>
              <w:left w:val="nil"/>
              <w:bottom w:val="nil"/>
              <w:right w:val="nil"/>
            </w:tcBorders>
          </w:tcPr>
          <w:p>
            <w:pPr>
              <w:pStyle w:val="TableParagraph"/>
              <w:spacing w:before="37"/>
              <w:ind w:left="154"/>
              <w:rPr>
                <w:sz w:val="18"/>
              </w:rPr>
            </w:pPr>
            <w:r>
              <w:rPr>
                <w:w w:val="99"/>
                <w:sz w:val="18"/>
              </w:rPr>
              <w:t>0</w:t>
            </w:r>
          </w:p>
        </w:tc>
        <w:tc>
          <w:tcPr>
            <w:tcW w:w="1000" w:type="dxa"/>
            <w:tcBorders>
              <w:top w:val="nil"/>
              <w:left w:val="nil"/>
              <w:bottom w:val="nil"/>
              <w:right w:val="nil"/>
            </w:tcBorders>
          </w:tcPr>
          <w:p>
            <w:pPr>
              <w:pStyle w:val="TableParagraph"/>
              <w:spacing w:before="37"/>
              <w:ind w:left="122"/>
              <w:rPr>
                <w:sz w:val="18"/>
              </w:rPr>
            </w:pPr>
            <w:r>
              <w:rPr>
                <w:w w:val="99"/>
                <w:sz w:val="18"/>
              </w:rPr>
              <w:t>0</w:t>
            </w:r>
          </w:p>
        </w:tc>
        <w:tc>
          <w:tcPr>
            <w:tcW w:w="1753" w:type="dxa"/>
            <w:tcBorders>
              <w:top w:val="nil"/>
              <w:left w:val="nil"/>
              <w:bottom w:val="nil"/>
              <w:right w:val="nil"/>
            </w:tcBorders>
          </w:tcPr>
          <w:p>
            <w:pPr>
              <w:pStyle w:val="TableParagraph"/>
              <w:spacing w:before="37"/>
              <w:ind w:left="257"/>
              <w:rPr>
                <w:sz w:val="18"/>
              </w:rPr>
            </w:pPr>
            <w:r>
              <w:rPr>
                <w:sz w:val="18"/>
              </w:rPr>
              <w:t>11</w:t>
            </w:r>
          </w:p>
        </w:tc>
      </w:tr>
      <w:tr>
        <w:trPr>
          <w:trHeight w:val="300" w:hRule="exact"/>
        </w:trPr>
        <w:tc>
          <w:tcPr>
            <w:tcW w:w="2419" w:type="dxa"/>
            <w:tcBorders>
              <w:top w:val="nil"/>
              <w:left w:val="nil"/>
              <w:bottom w:val="nil"/>
              <w:right w:val="nil"/>
            </w:tcBorders>
          </w:tcPr>
          <w:p>
            <w:pPr>
              <w:pStyle w:val="TableParagraph"/>
              <w:spacing w:before="37"/>
              <w:ind w:right="199"/>
              <w:rPr>
                <w:sz w:val="18"/>
              </w:rPr>
            </w:pPr>
            <w:r>
              <w:rPr>
                <w:sz w:val="18"/>
              </w:rPr>
              <w:t>Rayón</w:t>
            </w:r>
          </w:p>
        </w:tc>
        <w:tc>
          <w:tcPr>
            <w:tcW w:w="1429" w:type="dxa"/>
            <w:tcBorders>
              <w:top w:val="nil"/>
              <w:left w:val="nil"/>
              <w:bottom w:val="nil"/>
              <w:right w:val="nil"/>
            </w:tcBorders>
          </w:tcPr>
          <w:p>
            <w:pPr>
              <w:pStyle w:val="TableParagraph"/>
              <w:spacing w:before="37"/>
              <w:ind w:left="219"/>
              <w:rPr>
                <w:sz w:val="18"/>
              </w:rPr>
            </w:pPr>
            <w:r>
              <w:rPr>
                <w:w w:val="99"/>
                <w:sz w:val="18"/>
              </w:rPr>
              <w:t>0</w:t>
            </w:r>
          </w:p>
        </w:tc>
        <w:tc>
          <w:tcPr>
            <w:tcW w:w="1115" w:type="dxa"/>
            <w:tcBorders>
              <w:top w:val="nil"/>
              <w:left w:val="nil"/>
              <w:bottom w:val="nil"/>
              <w:right w:val="nil"/>
            </w:tcBorders>
          </w:tcPr>
          <w:p>
            <w:pPr>
              <w:pStyle w:val="TableParagraph"/>
              <w:spacing w:before="37"/>
              <w:ind w:left="131"/>
              <w:rPr>
                <w:sz w:val="18"/>
              </w:rPr>
            </w:pPr>
            <w:r>
              <w:rPr>
                <w:w w:val="99"/>
                <w:sz w:val="18"/>
              </w:rPr>
              <w:t>2</w:t>
            </w:r>
          </w:p>
        </w:tc>
        <w:tc>
          <w:tcPr>
            <w:tcW w:w="1184" w:type="dxa"/>
            <w:tcBorders>
              <w:top w:val="nil"/>
              <w:left w:val="nil"/>
              <w:bottom w:val="nil"/>
              <w:right w:val="nil"/>
            </w:tcBorders>
          </w:tcPr>
          <w:p>
            <w:pPr>
              <w:pStyle w:val="TableParagraph"/>
              <w:spacing w:before="37"/>
              <w:ind w:left="154"/>
              <w:rPr>
                <w:sz w:val="18"/>
              </w:rPr>
            </w:pPr>
            <w:r>
              <w:rPr>
                <w:w w:val="99"/>
                <w:sz w:val="18"/>
              </w:rPr>
              <w:t>1</w:t>
            </w:r>
          </w:p>
        </w:tc>
        <w:tc>
          <w:tcPr>
            <w:tcW w:w="1000" w:type="dxa"/>
            <w:tcBorders>
              <w:top w:val="nil"/>
              <w:left w:val="nil"/>
              <w:bottom w:val="nil"/>
              <w:right w:val="nil"/>
            </w:tcBorders>
          </w:tcPr>
          <w:p>
            <w:pPr>
              <w:pStyle w:val="TableParagraph"/>
              <w:spacing w:before="37"/>
              <w:ind w:left="122"/>
              <w:rPr>
                <w:sz w:val="18"/>
              </w:rPr>
            </w:pPr>
            <w:r>
              <w:rPr>
                <w:w w:val="99"/>
                <w:sz w:val="18"/>
              </w:rPr>
              <w:t>2</w:t>
            </w:r>
          </w:p>
        </w:tc>
        <w:tc>
          <w:tcPr>
            <w:tcW w:w="1753" w:type="dxa"/>
            <w:tcBorders>
              <w:top w:val="nil"/>
              <w:left w:val="nil"/>
              <w:bottom w:val="nil"/>
              <w:right w:val="nil"/>
            </w:tcBorders>
          </w:tcPr>
          <w:p>
            <w:pPr>
              <w:pStyle w:val="TableParagraph"/>
              <w:spacing w:before="37"/>
              <w:ind w:left="257"/>
              <w:rPr>
                <w:sz w:val="18"/>
              </w:rPr>
            </w:pPr>
            <w:r>
              <w:rPr>
                <w:w w:val="99"/>
                <w:sz w:val="18"/>
              </w:rPr>
              <w:t>5</w:t>
            </w:r>
          </w:p>
        </w:tc>
      </w:tr>
      <w:tr>
        <w:trPr>
          <w:trHeight w:val="300" w:hRule="exact"/>
        </w:trPr>
        <w:tc>
          <w:tcPr>
            <w:tcW w:w="2419" w:type="dxa"/>
            <w:tcBorders>
              <w:top w:val="nil"/>
              <w:left w:val="nil"/>
              <w:bottom w:val="nil"/>
              <w:right w:val="nil"/>
            </w:tcBorders>
          </w:tcPr>
          <w:p>
            <w:pPr>
              <w:pStyle w:val="TableParagraph"/>
              <w:spacing w:before="37"/>
              <w:ind w:right="199"/>
              <w:rPr>
                <w:sz w:val="18"/>
              </w:rPr>
            </w:pPr>
            <w:r>
              <w:rPr>
                <w:sz w:val="18"/>
              </w:rPr>
              <w:t>Temoaya</w:t>
            </w:r>
          </w:p>
        </w:tc>
        <w:tc>
          <w:tcPr>
            <w:tcW w:w="1429" w:type="dxa"/>
            <w:tcBorders>
              <w:top w:val="nil"/>
              <w:left w:val="nil"/>
              <w:bottom w:val="nil"/>
              <w:right w:val="nil"/>
            </w:tcBorders>
          </w:tcPr>
          <w:p>
            <w:pPr>
              <w:pStyle w:val="TableParagraph"/>
              <w:spacing w:before="37"/>
              <w:ind w:left="219"/>
              <w:rPr>
                <w:sz w:val="18"/>
              </w:rPr>
            </w:pPr>
            <w:r>
              <w:rPr>
                <w:w w:val="99"/>
                <w:sz w:val="18"/>
              </w:rPr>
              <w:t>0</w:t>
            </w:r>
          </w:p>
        </w:tc>
        <w:tc>
          <w:tcPr>
            <w:tcW w:w="1115" w:type="dxa"/>
            <w:tcBorders>
              <w:top w:val="nil"/>
              <w:left w:val="nil"/>
              <w:bottom w:val="nil"/>
              <w:right w:val="nil"/>
            </w:tcBorders>
          </w:tcPr>
          <w:p>
            <w:pPr>
              <w:pStyle w:val="TableParagraph"/>
              <w:spacing w:before="37"/>
              <w:ind w:left="131"/>
              <w:rPr>
                <w:sz w:val="18"/>
              </w:rPr>
            </w:pPr>
            <w:r>
              <w:rPr>
                <w:sz w:val="18"/>
              </w:rPr>
              <w:t>57</w:t>
            </w:r>
          </w:p>
        </w:tc>
        <w:tc>
          <w:tcPr>
            <w:tcW w:w="1184" w:type="dxa"/>
            <w:tcBorders>
              <w:top w:val="nil"/>
              <w:left w:val="nil"/>
              <w:bottom w:val="nil"/>
              <w:right w:val="nil"/>
            </w:tcBorders>
          </w:tcPr>
          <w:p>
            <w:pPr>
              <w:pStyle w:val="TableParagraph"/>
              <w:spacing w:before="37"/>
              <w:ind w:left="154"/>
              <w:rPr>
                <w:sz w:val="18"/>
              </w:rPr>
            </w:pPr>
            <w:r>
              <w:rPr>
                <w:w w:val="99"/>
                <w:sz w:val="18"/>
              </w:rPr>
              <w:t>2</w:t>
            </w:r>
          </w:p>
        </w:tc>
        <w:tc>
          <w:tcPr>
            <w:tcW w:w="1000" w:type="dxa"/>
            <w:tcBorders>
              <w:top w:val="nil"/>
              <w:left w:val="nil"/>
              <w:bottom w:val="nil"/>
              <w:right w:val="nil"/>
            </w:tcBorders>
          </w:tcPr>
          <w:p>
            <w:pPr>
              <w:pStyle w:val="TableParagraph"/>
              <w:spacing w:before="37"/>
              <w:ind w:left="122"/>
              <w:rPr>
                <w:sz w:val="18"/>
              </w:rPr>
            </w:pPr>
            <w:r>
              <w:rPr>
                <w:sz w:val="18"/>
              </w:rPr>
              <w:t>22</w:t>
            </w:r>
          </w:p>
        </w:tc>
        <w:tc>
          <w:tcPr>
            <w:tcW w:w="1753" w:type="dxa"/>
            <w:tcBorders>
              <w:top w:val="nil"/>
              <w:left w:val="nil"/>
              <w:bottom w:val="nil"/>
              <w:right w:val="nil"/>
            </w:tcBorders>
          </w:tcPr>
          <w:p>
            <w:pPr>
              <w:pStyle w:val="TableParagraph"/>
              <w:spacing w:before="37"/>
              <w:ind w:left="257"/>
              <w:rPr>
                <w:sz w:val="18"/>
              </w:rPr>
            </w:pPr>
            <w:r>
              <w:rPr>
                <w:sz w:val="18"/>
              </w:rPr>
              <w:t>81</w:t>
            </w:r>
          </w:p>
        </w:tc>
      </w:tr>
      <w:tr>
        <w:trPr>
          <w:trHeight w:val="249" w:hRule="exact"/>
        </w:trPr>
        <w:tc>
          <w:tcPr>
            <w:tcW w:w="2419" w:type="dxa"/>
            <w:tcBorders>
              <w:top w:val="nil"/>
              <w:left w:val="nil"/>
              <w:right w:val="nil"/>
            </w:tcBorders>
          </w:tcPr>
          <w:p>
            <w:pPr>
              <w:pStyle w:val="TableParagraph"/>
              <w:spacing w:before="37"/>
              <w:ind w:right="199"/>
              <w:rPr>
                <w:sz w:val="18"/>
              </w:rPr>
            </w:pPr>
            <w:r>
              <w:rPr>
                <w:sz w:val="18"/>
              </w:rPr>
              <w:t>Xonacatlán</w:t>
            </w:r>
          </w:p>
        </w:tc>
        <w:tc>
          <w:tcPr>
            <w:tcW w:w="1429" w:type="dxa"/>
            <w:tcBorders>
              <w:top w:val="nil"/>
              <w:left w:val="nil"/>
              <w:right w:val="nil"/>
            </w:tcBorders>
          </w:tcPr>
          <w:p>
            <w:pPr>
              <w:pStyle w:val="TableParagraph"/>
              <w:spacing w:before="37"/>
              <w:ind w:left="219"/>
              <w:rPr>
                <w:sz w:val="18"/>
              </w:rPr>
            </w:pPr>
            <w:r>
              <w:rPr>
                <w:w w:val="99"/>
                <w:sz w:val="18"/>
              </w:rPr>
              <w:t>0</w:t>
            </w:r>
          </w:p>
        </w:tc>
        <w:tc>
          <w:tcPr>
            <w:tcW w:w="1115" w:type="dxa"/>
            <w:tcBorders>
              <w:top w:val="nil"/>
              <w:left w:val="nil"/>
              <w:right w:val="nil"/>
            </w:tcBorders>
          </w:tcPr>
          <w:p>
            <w:pPr>
              <w:pStyle w:val="TableParagraph"/>
              <w:spacing w:before="37"/>
              <w:ind w:left="131"/>
              <w:rPr>
                <w:sz w:val="18"/>
              </w:rPr>
            </w:pPr>
            <w:r>
              <w:rPr>
                <w:sz w:val="18"/>
              </w:rPr>
              <w:t>103</w:t>
            </w:r>
          </w:p>
        </w:tc>
        <w:tc>
          <w:tcPr>
            <w:tcW w:w="1184" w:type="dxa"/>
            <w:tcBorders>
              <w:top w:val="nil"/>
              <w:left w:val="nil"/>
              <w:right w:val="nil"/>
            </w:tcBorders>
          </w:tcPr>
          <w:p>
            <w:pPr>
              <w:pStyle w:val="TableParagraph"/>
              <w:spacing w:before="37"/>
              <w:ind w:left="154"/>
              <w:rPr>
                <w:sz w:val="18"/>
              </w:rPr>
            </w:pPr>
            <w:r>
              <w:rPr>
                <w:w w:val="99"/>
                <w:sz w:val="18"/>
              </w:rPr>
              <w:t>6</w:t>
            </w:r>
          </w:p>
        </w:tc>
        <w:tc>
          <w:tcPr>
            <w:tcW w:w="1000" w:type="dxa"/>
            <w:tcBorders>
              <w:top w:val="nil"/>
              <w:left w:val="nil"/>
              <w:right w:val="nil"/>
            </w:tcBorders>
          </w:tcPr>
          <w:p>
            <w:pPr>
              <w:pStyle w:val="TableParagraph"/>
              <w:spacing w:before="37"/>
              <w:ind w:left="122"/>
              <w:rPr>
                <w:sz w:val="18"/>
              </w:rPr>
            </w:pPr>
            <w:r>
              <w:rPr>
                <w:sz w:val="18"/>
              </w:rPr>
              <w:t>23</w:t>
            </w:r>
          </w:p>
        </w:tc>
        <w:tc>
          <w:tcPr>
            <w:tcW w:w="1753" w:type="dxa"/>
            <w:tcBorders>
              <w:top w:val="nil"/>
              <w:left w:val="nil"/>
              <w:right w:val="nil"/>
            </w:tcBorders>
          </w:tcPr>
          <w:p>
            <w:pPr>
              <w:pStyle w:val="TableParagraph"/>
              <w:spacing w:before="37"/>
              <w:ind w:left="257"/>
              <w:rPr>
                <w:sz w:val="18"/>
              </w:rPr>
            </w:pPr>
            <w:r>
              <w:rPr>
                <w:sz w:val="18"/>
              </w:rPr>
              <w:t>132</w:t>
            </w:r>
          </w:p>
        </w:tc>
      </w:tr>
      <w:tr>
        <w:trPr>
          <w:trHeight w:val="425" w:hRule="exact"/>
        </w:trPr>
        <w:tc>
          <w:tcPr>
            <w:tcW w:w="2419" w:type="dxa"/>
            <w:tcBorders>
              <w:left w:val="nil"/>
              <w:right w:val="nil"/>
            </w:tcBorders>
          </w:tcPr>
          <w:p>
            <w:pPr>
              <w:pStyle w:val="TableParagraph"/>
              <w:spacing w:before="1"/>
              <w:ind w:right="199"/>
              <w:rPr>
                <w:sz w:val="18"/>
              </w:rPr>
            </w:pPr>
            <w:r>
              <w:rPr>
                <w:sz w:val="18"/>
              </w:rPr>
              <w:t>Municipios de interrelación funcional</w:t>
            </w:r>
          </w:p>
        </w:tc>
        <w:tc>
          <w:tcPr>
            <w:tcW w:w="1429" w:type="dxa"/>
            <w:tcBorders>
              <w:left w:val="nil"/>
              <w:right w:val="nil"/>
            </w:tcBorders>
          </w:tcPr>
          <w:p>
            <w:pPr>
              <w:pStyle w:val="TableParagraph"/>
              <w:ind w:left="0"/>
              <w:rPr>
                <w:sz w:val="18"/>
              </w:rPr>
            </w:pPr>
          </w:p>
          <w:p>
            <w:pPr>
              <w:pStyle w:val="TableParagraph"/>
              <w:spacing w:before="1"/>
              <w:ind w:left="219"/>
              <w:rPr>
                <w:sz w:val="18"/>
              </w:rPr>
            </w:pPr>
            <w:r>
              <w:rPr>
                <w:w w:val="99"/>
                <w:sz w:val="18"/>
              </w:rPr>
              <w:t>1</w:t>
            </w:r>
          </w:p>
        </w:tc>
        <w:tc>
          <w:tcPr>
            <w:tcW w:w="1115" w:type="dxa"/>
            <w:tcBorders>
              <w:left w:val="nil"/>
              <w:right w:val="nil"/>
            </w:tcBorders>
          </w:tcPr>
          <w:p>
            <w:pPr>
              <w:pStyle w:val="TableParagraph"/>
              <w:ind w:left="0"/>
              <w:rPr>
                <w:sz w:val="18"/>
              </w:rPr>
            </w:pPr>
          </w:p>
          <w:p>
            <w:pPr>
              <w:pStyle w:val="TableParagraph"/>
              <w:spacing w:before="1"/>
              <w:ind w:left="131"/>
              <w:rPr>
                <w:sz w:val="18"/>
              </w:rPr>
            </w:pPr>
            <w:r>
              <w:rPr>
                <w:sz w:val="18"/>
              </w:rPr>
              <w:t>205</w:t>
            </w:r>
          </w:p>
        </w:tc>
        <w:tc>
          <w:tcPr>
            <w:tcW w:w="1184" w:type="dxa"/>
            <w:tcBorders>
              <w:left w:val="nil"/>
              <w:right w:val="nil"/>
            </w:tcBorders>
          </w:tcPr>
          <w:p>
            <w:pPr>
              <w:pStyle w:val="TableParagraph"/>
              <w:ind w:left="0"/>
              <w:rPr>
                <w:sz w:val="18"/>
              </w:rPr>
            </w:pPr>
          </w:p>
          <w:p>
            <w:pPr>
              <w:pStyle w:val="TableParagraph"/>
              <w:spacing w:before="1"/>
              <w:ind w:left="154"/>
              <w:rPr>
                <w:sz w:val="18"/>
              </w:rPr>
            </w:pPr>
            <w:r>
              <w:rPr>
                <w:sz w:val="18"/>
              </w:rPr>
              <w:t>11</w:t>
            </w:r>
          </w:p>
        </w:tc>
        <w:tc>
          <w:tcPr>
            <w:tcW w:w="1000" w:type="dxa"/>
            <w:tcBorders>
              <w:left w:val="nil"/>
              <w:right w:val="nil"/>
            </w:tcBorders>
          </w:tcPr>
          <w:p>
            <w:pPr>
              <w:pStyle w:val="TableParagraph"/>
              <w:ind w:left="0"/>
              <w:rPr>
                <w:sz w:val="18"/>
              </w:rPr>
            </w:pPr>
          </w:p>
          <w:p>
            <w:pPr>
              <w:pStyle w:val="TableParagraph"/>
              <w:spacing w:before="1"/>
              <w:ind w:left="122"/>
              <w:rPr>
                <w:sz w:val="18"/>
              </w:rPr>
            </w:pPr>
            <w:r>
              <w:rPr>
                <w:sz w:val="18"/>
              </w:rPr>
              <w:t>67</w:t>
            </w:r>
          </w:p>
        </w:tc>
        <w:tc>
          <w:tcPr>
            <w:tcW w:w="1753" w:type="dxa"/>
            <w:tcBorders>
              <w:left w:val="nil"/>
              <w:right w:val="nil"/>
            </w:tcBorders>
          </w:tcPr>
          <w:p>
            <w:pPr>
              <w:pStyle w:val="TableParagraph"/>
              <w:ind w:left="0"/>
              <w:rPr>
                <w:sz w:val="18"/>
              </w:rPr>
            </w:pPr>
          </w:p>
          <w:p>
            <w:pPr>
              <w:pStyle w:val="TableParagraph"/>
              <w:spacing w:before="1"/>
              <w:ind w:left="257"/>
              <w:rPr>
                <w:sz w:val="18"/>
              </w:rPr>
            </w:pPr>
            <w:r>
              <w:rPr>
                <w:sz w:val="18"/>
              </w:rPr>
              <w:t>284</w:t>
            </w:r>
          </w:p>
        </w:tc>
      </w:tr>
      <w:tr>
        <w:trPr>
          <w:trHeight w:val="361" w:hRule="exact"/>
        </w:trPr>
        <w:tc>
          <w:tcPr>
            <w:tcW w:w="2419" w:type="dxa"/>
            <w:tcBorders>
              <w:left w:val="nil"/>
              <w:bottom w:val="nil"/>
              <w:right w:val="nil"/>
            </w:tcBorders>
          </w:tcPr>
          <w:p>
            <w:pPr>
              <w:pStyle w:val="TableParagraph"/>
              <w:spacing w:before="92"/>
              <w:ind w:right="199"/>
              <w:rPr>
                <w:sz w:val="18"/>
              </w:rPr>
            </w:pPr>
            <w:r>
              <w:rPr>
                <w:sz w:val="18"/>
              </w:rPr>
              <w:t>Almoloya del Río</w:t>
            </w:r>
          </w:p>
        </w:tc>
        <w:tc>
          <w:tcPr>
            <w:tcW w:w="1429" w:type="dxa"/>
            <w:tcBorders>
              <w:left w:val="nil"/>
              <w:bottom w:val="nil"/>
              <w:right w:val="nil"/>
            </w:tcBorders>
          </w:tcPr>
          <w:p>
            <w:pPr>
              <w:pStyle w:val="TableParagraph"/>
              <w:spacing w:before="92"/>
              <w:ind w:left="219"/>
              <w:rPr>
                <w:sz w:val="18"/>
              </w:rPr>
            </w:pPr>
            <w:r>
              <w:rPr>
                <w:w w:val="99"/>
                <w:sz w:val="18"/>
              </w:rPr>
              <w:t>0</w:t>
            </w:r>
          </w:p>
        </w:tc>
        <w:tc>
          <w:tcPr>
            <w:tcW w:w="1115" w:type="dxa"/>
            <w:tcBorders>
              <w:left w:val="nil"/>
              <w:bottom w:val="nil"/>
              <w:right w:val="nil"/>
            </w:tcBorders>
          </w:tcPr>
          <w:p>
            <w:pPr>
              <w:pStyle w:val="TableParagraph"/>
              <w:spacing w:before="92"/>
              <w:ind w:left="131"/>
              <w:rPr>
                <w:sz w:val="18"/>
              </w:rPr>
            </w:pPr>
            <w:r>
              <w:rPr>
                <w:w w:val="99"/>
                <w:sz w:val="18"/>
              </w:rPr>
              <w:t>1</w:t>
            </w:r>
          </w:p>
        </w:tc>
        <w:tc>
          <w:tcPr>
            <w:tcW w:w="1184" w:type="dxa"/>
            <w:tcBorders>
              <w:left w:val="nil"/>
              <w:bottom w:val="nil"/>
              <w:right w:val="nil"/>
            </w:tcBorders>
          </w:tcPr>
          <w:p>
            <w:pPr>
              <w:pStyle w:val="TableParagraph"/>
              <w:spacing w:before="92"/>
              <w:ind w:left="154"/>
              <w:rPr>
                <w:sz w:val="18"/>
              </w:rPr>
            </w:pPr>
            <w:r>
              <w:rPr>
                <w:w w:val="99"/>
                <w:sz w:val="18"/>
              </w:rPr>
              <w:t>0</w:t>
            </w:r>
          </w:p>
        </w:tc>
        <w:tc>
          <w:tcPr>
            <w:tcW w:w="1000" w:type="dxa"/>
            <w:tcBorders>
              <w:left w:val="nil"/>
              <w:bottom w:val="nil"/>
              <w:right w:val="nil"/>
            </w:tcBorders>
          </w:tcPr>
          <w:p>
            <w:pPr>
              <w:pStyle w:val="TableParagraph"/>
              <w:spacing w:before="92"/>
              <w:ind w:left="122"/>
              <w:rPr>
                <w:sz w:val="18"/>
              </w:rPr>
            </w:pPr>
            <w:r>
              <w:rPr>
                <w:w w:val="99"/>
                <w:sz w:val="18"/>
              </w:rPr>
              <w:t>0</w:t>
            </w:r>
          </w:p>
        </w:tc>
        <w:tc>
          <w:tcPr>
            <w:tcW w:w="1753" w:type="dxa"/>
            <w:tcBorders>
              <w:left w:val="nil"/>
              <w:bottom w:val="nil"/>
              <w:right w:val="nil"/>
            </w:tcBorders>
          </w:tcPr>
          <w:p>
            <w:pPr>
              <w:pStyle w:val="TableParagraph"/>
              <w:spacing w:before="92"/>
              <w:ind w:left="257"/>
              <w:rPr>
                <w:sz w:val="18"/>
              </w:rPr>
            </w:pPr>
            <w:r>
              <w:rPr>
                <w:w w:val="99"/>
                <w:sz w:val="18"/>
              </w:rPr>
              <w:t>1</w:t>
            </w:r>
          </w:p>
        </w:tc>
      </w:tr>
      <w:tr>
        <w:trPr>
          <w:trHeight w:val="300" w:hRule="exact"/>
        </w:trPr>
        <w:tc>
          <w:tcPr>
            <w:tcW w:w="2419" w:type="dxa"/>
            <w:tcBorders>
              <w:top w:val="nil"/>
              <w:left w:val="nil"/>
              <w:bottom w:val="nil"/>
              <w:right w:val="nil"/>
            </w:tcBorders>
          </w:tcPr>
          <w:p>
            <w:pPr>
              <w:pStyle w:val="TableParagraph"/>
              <w:spacing w:before="37"/>
              <w:ind w:right="199"/>
              <w:rPr>
                <w:sz w:val="18"/>
              </w:rPr>
            </w:pPr>
            <w:r>
              <w:rPr>
                <w:sz w:val="18"/>
              </w:rPr>
              <w:t>Atizapán</w:t>
            </w:r>
          </w:p>
        </w:tc>
        <w:tc>
          <w:tcPr>
            <w:tcW w:w="1429" w:type="dxa"/>
            <w:tcBorders>
              <w:top w:val="nil"/>
              <w:left w:val="nil"/>
              <w:bottom w:val="nil"/>
              <w:right w:val="nil"/>
            </w:tcBorders>
          </w:tcPr>
          <w:p>
            <w:pPr>
              <w:pStyle w:val="TableParagraph"/>
              <w:spacing w:before="37"/>
              <w:ind w:left="219"/>
              <w:rPr>
                <w:sz w:val="18"/>
              </w:rPr>
            </w:pPr>
            <w:r>
              <w:rPr>
                <w:w w:val="99"/>
                <w:sz w:val="18"/>
              </w:rPr>
              <w:t>0</w:t>
            </w:r>
          </w:p>
        </w:tc>
        <w:tc>
          <w:tcPr>
            <w:tcW w:w="1115" w:type="dxa"/>
            <w:tcBorders>
              <w:top w:val="nil"/>
              <w:left w:val="nil"/>
              <w:bottom w:val="nil"/>
              <w:right w:val="nil"/>
            </w:tcBorders>
          </w:tcPr>
          <w:p>
            <w:pPr>
              <w:pStyle w:val="TableParagraph"/>
              <w:spacing w:before="37"/>
              <w:ind w:left="131"/>
              <w:rPr>
                <w:sz w:val="18"/>
              </w:rPr>
            </w:pPr>
            <w:r>
              <w:rPr>
                <w:w w:val="99"/>
                <w:sz w:val="18"/>
              </w:rPr>
              <w:t>5</w:t>
            </w:r>
          </w:p>
        </w:tc>
        <w:tc>
          <w:tcPr>
            <w:tcW w:w="1184" w:type="dxa"/>
            <w:tcBorders>
              <w:top w:val="nil"/>
              <w:left w:val="nil"/>
              <w:bottom w:val="nil"/>
              <w:right w:val="nil"/>
            </w:tcBorders>
          </w:tcPr>
          <w:p>
            <w:pPr>
              <w:pStyle w:val="TableParagraph"/>
              <w:spacing w:before="37"/>
              <w:ind w:left="154"/>
              <w:rPr>
                <w:sz w:val="18"/>
              </w:rPr>
            </w:pPr>
            <w:r>
              <w:rPr>
                <w:w w:val="99"/>
                <w:sz w:val="18"/>
              </w:rPr>
              <w:t>1</w:t>
            </w:r>
          </w:p>
        </w:tc>
        <w:tc>
          <w:tcPr>
            <w:tcW w:w="1000" w:type="dxa"/>
            <w:tcBorders>
              <w:top w:val="nil"/>
              <w:left w:val="nil"/>
              <w:bottom w:val="nil"/>
              <w:right w:val="nil"/>
            </w:tcBorders>
          </w:tcPr>
          <w:p>
            <w:pPr>
              <w:pStyle w:val="TableParagraph"/>
              <w:spacing w:before="37"/>
              <w:ind w:left="122"/>
              <w:rPr>
                <w:sz w:val="18"/>
              </w:rPr>
            </w:pPr>
            <w:r>
              <w:rPr>
                <w:w w:val="99"/>
                <w:sz w:val="18"/>
              </w:rPr>
              <w:t>1</w:t>
            </w:r>
          </w:p>
        </w:tc>
        <w:tc>
          <w:tcPr>
            <w:tcW w:w="1753" w:type="dxa"/>
            <w:tcBorders>
              <w:top w:val="nil"/>
              <w:left w:val="nil"/>
              <w:bottom w:val="nil"/>
              <w:right w:val="nil"/>
            </w:tcBorders>
          </w:tcPr>
          <w:p>
            <w:pPr>
              <w:pStyle w:val="TableParagraph"/>
              <w:spacing w:before="37"/>
              <w:ind w:left="257"/>
              <w:rPr>
                <w:sz w:val="18"/>
              </w:rPr>
            </w:pPr>
            <w:r>
              <w:rPr>
                <w:w w:val="99"/>
                <w:sz w:val="18"/>
              </w:rPr>
              <w:t>7</w:t>
            </w:r>
          </w:p>
        </w:tc>
      </w:tr>
      <w:tr>
        <w:trPr>
          <w:trHeight w:val="300" w:hRule="exact"/>
        </w:trPr>
        <w:tc>
          <w:tcPr>
            <w:tcW w:w="2419" w:type="dxa"/>
            <w:tcBorders>
              <w:top w:val="nil"/>
              <w:left w:val="nil"/>
              <w:bottom w:val="nil"/>
              <w:right w:val="nil"/>
            </w:tcBorders>
          </w:tcPr>
          <w:p>
            <w:pPr>
              <w:pStyle w:val="TableParagraph"/>
              <w:spacing w:before="37"/>
              <w:ind w:right="199"/>
              <w:rPr>
                <w:sz w:val="18"/>
              </w:rPr>
            </w:pPr>
            <w:r>
              <w:rPr>
                <w:sz w:val="18"/>
              </w:rPr>
              <w:t>Capulhuac</w:t>
            </w:r>
          </w:p>
        </w:tc>
        <w:tc>
          <w:tcPr>
            <w:tcW w:w="1429" w:type="dxa"/>
            <w:tcBorders>
              <w:top w:val="nil"/>
              <w:left w:val="nil"/>
              <w:bottom w:val="nil"/>
              <w:right w:val="nil"/>
            </w:tcBorders>
          </w:tcPr>
          <w:p>
            <w:pPr>
              <w:pStyle w:val="TableParagraph"/>
              <w:spacing w:before="37"/>
              <w:ind w:left="219"/>
              <w:rPr>
                <w:sz w:val="18"/>
              </w:rPr>
            </w:pPr>
            <w:r>
              <w:rPr>
                <w:w w:val="99"/>
                <w:sz w:val="18"/>
              </w:rPr>
              <w:t>0</w:t>
            </w:r>
          </w:p>
        </w:tc>
        <w:tc>
          <w:tcPr>
            <w:tcW w:w="1115" w:type="dxa"/>
            <w:tcBorders>
              <w:top w:val="nil"/>
              <w:left w:val="nil"/>
              <w:bottom w:val="nil"/>
              <w:right w:val="nil"/>
            </w:tcBorders>
          </w:tcPr>
          <w:p>
            <w:pPr>
              <w:pStyle w:val="TableParagraph"/>
              <w:spacing w:before="37"/>
              <w:ind w:left="131"/>
              <w:rPr>
                <w:sz w:val="18"/>
              </w:rPr>
            </w:pPr>
            <w:r>
              <w:rPr>
                <w:w w:val="99"/>
                <w:sz w:val="18"/>
              </w:rPr>
              <w:t>2</w:t>
            </w:r>
          </w:p>
        </w:tc>
        <w:tc>
          <w:tcPr>
            <w:tcW w:w="1184" w:type="dxa"/>
            <w:tcBorders>
              <w:top w:val="nil"/>
              <w:left w:val="nil"/>
              <w:bottom w:val="nil"/>
              <w:right w:val="nil"/>
            </w:tcBorders>
          </w:tcPr>
          <w:p>
            <w:pPr>
              <w:pStyle w:val="TableParagraph"/>
              <w:spacing w:before="37"/>
              <w:ind w:left="154"/>
              <w:rPr>
                <w:sz w:val="18"/>
              </w:rPr>
            </w:pPr>
            <w:r>
              <w:rPr>
                <w:w w:val="99"/>
                <w:sz w:val="18"/>
              </w:rPr>
              <w:t>0</w:t>
            </w:r>
          </w:p>
        </w:tc>
        <w:tc>
          <w:tcPr>
            <w:tcW w:w="1000" w:type="dxa"/>
            <w:tcBorders>
              <w:top w:val="nil"/>
              <w:left w:val="nil"/>
              <w:bottom w:val="nil"/>
              <w:right w:val="nil"/>
            </w:tcBorders>
          </w:tcPr>
          <w:p>
            <w:pPr>
              <w:pStyle w:val="TableParagraph"/>
              <w:spacing w:before="37"/>
              <w:ind w:left="122"/>
              <w:rPr>
                <w:sz w:val="18"/>
              </w:rPr>
            </w:pPr>
            <w:r>
              <w:rPr>
                <w:w w:val="99"/>
                <w:sz w:val="18"/>
              </w:rPr>
              <w:t>1</w:t>
            </w:r>
          </w:p>
        </w:tc>
        <w:tc>
          <w:tcPr>
            <w:tcW w:w="1753" w:type="dxa"/>
            <w:tcBorders>
              <w:top w:val="nil"/>
              <w:left w:val="nil"/>
              <w:bottom w:val="nil"/>
              <w:right w:val="nil"/>
            </w:tcBorders>
          </w:tcPr>
          <w:p>
            <w:pPr>
              <w:pStyle w:val="TableParagraph"/>
              <w:spacing w:before="37"/>
              <w:ind w:left="257"/>
              <w:rPr>
                <w:sz w:val="18"/>
              </w:rPr>
            </w:pPr>
            <w:r>
              <w:rPr>
                <w:w w:val="99"/>
                <w:sz w:val="18"/>
              </w:rPr>
              <w:t>3</w:t>
            </w:r>
          </w:p>
        </w:tc>
      </w:tr>
      <w:tr>
        <w:trPr>
          <w:trHeight w:val="300" w:hRule="exact"/>
        </w:trPr>
        <w:tc>
          <w:tcPr>
            <w:tcW w:w="2419" w:type="dxa"/>
            <w:tcBorders>
              <w:top w:val="nil"/>
              <w:left w:val="nil"/>
              <w:bottom w:val="nil"/>
              <w:right w:val="nil"/>
            </w:tcBorders>
          </w:tcPr>
          <w:p>
            <w:pPr>
              <w:pStyle w:val="TableParagraph"/>
              <w:spacing w:before="37"/>
              <w:ind w:right="199"/>
              <w:rPr>
                <w:sz w:val="18"/>
              </w:rPr>
            </w:pPr>
            <w:r>
              <w:rPr>
                <w:sz w:val="18"/>
              </w:rPr>
              <w:t>Tenango del Valle</w:t>
            </w:r>
          </w:p>
        </w:tc>
        <w:tc>
          <w:tcPr>
            <w:tcW w:w="1429" w:type="dxa"/>
            <w:tcBorders>
              <w:top w:val="nil"/>
              <w:left w:val="nil"/>
              <w:bottom w:val="nil"/>
              <w:right w:val="nil"/>
            </w:tcBorders>
          </w:tcPr>
          <w:p>
            <w:pPr>
              <w:pStyle w:val="TableParagraph"/>
              <w:spacing w:before="37"/>
              <w:ind w:left="219"/>
              <w:rPr>
                <w:sz w:val="18"/>
              </w:rPr>
            </w:pPr>
            <w:r>
              <w:rPr>
                <w:w w:val="99"/>
                <w:sz w:val="18"/>
              </w:rPr>
              <w:t>1</w:t>
            </w:r>
          </w:p>
        </w:tc>
        <w:tc>
          <w:tcPr>
            <w:tcW w:w="1115" w:type="dxa"/>
            <w:tcBorders>
              <w:top w:val="nil"/>
              <w:left w:val="nil"/>
              <w:bottom w:val="nil"/>
              <w:right w:val="nil"/>
            </w:tcBorders>
          </w:tcPr>
          <w:p>
            <w:pPr>
              <w:pStyle w:val="TableParagraph"/>
              <w:spacing w:before="37"/>
              <w:ind w:left="131"/>
              <w:rPr>
                <w:sz w:val="18"/>
              </w:rPr>
            </w:pPr>
            <w:r>
              <w:rPr>
                <w:sz w:val="18"/>
              </w:rPr>
              <w:t>62</w:t>
            </w:r>
          </w:p>
        </w:tc>
        <w:tc>
          <w:tcPr>
            <w:tcW w:w="1184" w:type="dxa"/>
            <w:tcBorders>
              <w:top w:val="nil"/>
              <w:left w:val="nil"/>
              <w:bottom w:val="nil"/>
              <w:right w:val="nil"/>
            </w:tcBorders>
          </w:tcPr>
          <w:p>
            <w:pPr>
              <w:pStyle w:val="TableParagraph"/>
              <w:spacing w:before="37"/>
              <w:ind w:left="154"/>
              <w:rPr>
                <w:sz w:val="18"/>
              </w:rPr>
            </w:pPr>
            <w:r>
              <w:rPr>
                <w:w w:val="99"/>
                <w:sz w:val="18"/>
              </w:rPr>
              <w:t>3</w:t>
            </w:r>
          </w:p>
        </w:tc>
        <w:tc>
          <w:tcPr>
            <w:tcW w:w="1000" w:type="dxa"/>
            <w:tcBorders>
              <w:top w:val="nil"/>
              <w:left w:val="nil"/>
              <w:bottom w:val="nil"/>
              <w:right w:val="nil"/>
            </w:tcBorders>
          </w:tcPr>
          <w:p>
            <w:pPr>
              <w:pStyle w:val="TableParagraph"/>
              <w:spacing w:before="37"/>
              <w:ind w:left="122"/>
              <w:rPr>
                <w:sz w:val="18"/>
              </w:rPr>
            </w:pPr>
            <w:r>
              <w:rPr>
                <w:sz w:val="18"/>
              </w:rPr>
              <w:t>19</w:t>
            </w:r>
          </w:p>
        </w:tc>
        <w:tc>
          <w:tcPr>
            <w:tcW w:w="1753" w:type="dxa"/>
            <w:tcBorders>
              <w:top w:val="nil"/>
              <w:left w:val="nil"/>
              <w:bottom w:val="nil"/>
              <w:right w:val="nil"/>
            </w:tcBorders>
          </w:tcPr>
          <w:p>
            <w:pPr>
              <w:pStyle w:val="TableParagraph"/>
              <w:spacing w:before="37"/>
              <w:ind w:left="257"/>
              <w:rPr>
                <w:sz w:val="18"/>
              </w:rPr>
            </w:pPr>
            <w:r>
              <w:rPr>
                <w:sz w:val="18"/>
              </w:rPr>
              <w:t>85</w:t>
            </w:r>
          </w:p>
        </w:tc>
      </w:tr>
      <w:tr>
        <w:trPr>
          <w:trHeight w:val="300" w:hRule="exact"/>
        </w:trPr>
        <w:tc>
          <w:tcPr>
            <w:tcW w:w="2419" w:type="dxa"/>
            <w:tcBorders>
              <w:top w:val="nil"/>
              <w:left w:val="nil"/>
              <w:bottom w:val="nil"/>
              <w:right w:val="nil"/>
            </w:tcBorders>
          </w:tcPr>
          <w:p>
            <w:pPr>
              <w:pStyle w:val="TableParagraph"/>
              <w:spacing w:before="37"/>
              <w:ind w:right="199"/>
              <w:rPr>
                <w:sz w:val="18"/>
              </w:rPr>
            </w:pPr>
            <w:r>
              <w:rPr>
                <w:sz w:val="18"/>
              </w:rPr>
              <w:t>Texcalyacac</w:t>
            </w:r>
          </w:p>
        </w:tc>
        <w:tc>
          <w:tcPr>
            <w:tcW w:w="1429" w:type="dxa"/>
            <w:tcBorders>
              <w:top w:val="nil"/>
              <w:left w:val="nil"/>
              <w:bottom w:val="nil"/>
              <w:right w:val="nil"/>
            </w:tcBorders>
          </w:tcPr>
          <w:p>
            <w:pPr>
              <w:pStyle w:val="TableParagraph"/>
              <w:spacing w:before="37"/>
              <w:ind w:left="219"/>
              <w:rPr>
                <w:sz w:val="18"/>
              </w:rPr>
            </w:pPr>
            <w:r>
              <w:rPr>
                <w:w w:val="99"/>
                <w:sz w:val="18"/>
              </w:rPr>
              <w:t>0</w:t>
            </w:r>
          </w:p>
        </w:tc>
        <w:tc>
          <w:tcPr>
            <w:tcW w:w="1115" w:type="dxa"/>
            <w:tcBorders>
              <w:top w:val="nil"/>
              <w:left w:val="nil"/>
              <w:bottom w:val="nil"/>
              <w:right w:val="nil"/>
            </w:tcBorders>
          </w:tcPr>
          <w:p>
            <w:pPr>
              <w:pStyle w:val="TableParagraph"/>
              <w:spacing w:before="37"/>
              <w:ind w:left="131"/>
              <w:rPr>
                <w:sz w:val="18"/>
              </w:rPr>
            </w:pPr>
            <w:r>
              <w:rPr>
                <w:w w:val="99"/>
                <w:sz w:val="18"/>
              </w:rPr>
              <w:t>1</w:t>
            </w:r>
          </w:p>
        </w:tc>
        <w:tc>
          <w:tcPr>
            <w:tcW w:w="1184" w:type="dxa"/>
            <w:tcBorders>
              <w:top w:val="nil"/>
              <w:left w:val="nil"/>
              <w:bottom w:val="nil"/>
              <w:right w:val="nil"/>
            </w:tcBorders>
          </w:tcPr>
          <w:p>
            <w:pPr>
              <w:pStyle w:val="TableParagraph"/>
              <w:spacing w:before="37"/>
              <w:ind w:left="154"/>
              <w:rPr>
                <w:sz w:val="18"/>
              </w:rPr>
            </w:pPr>
            <w:r>
              <w:rPr>
                <w:w w:val="99"/>
                <w:sz w:val="18"/>
              </w:rPr>
              <w:t>0</w:t>
            </w:r>
          </w:p>
        </w:tc>
        <w:tc>
          <w:tcPr>
            <w:tcW w:w="1000" w:type="dxa"/>
            <w:tcBorders>
              <w:top w:val="nil"/>
              <w:left w:val="nil"/>
              <w:bottom w:val="nil"/>
              <w:right w:val="nil"/>
            </w:tcBorders>
          </w:tcPr>
          <w:p>
            <w:pPr>
              <w:pStyle w:val="TableParagraph"/>
              <w:spacing w:before="37"/>
              <w:ind w:left="122"/>
              <w:rPr>
                <w:sz w:val="18"/>
              </w:rPr>
            </w:pPr>
            <w:r>
              <w:rPr>
                <w:w w:val="99"/>
                <w:sz w:val="18"/>
              </w:rPr>
              <w:t>1</w:t>
            </w:r>
          </w:p>
        </w:tc>
        <w:tc>
          <w:tcPr>
            <w:tcW w:w="1753" w:type="dxa"/>
            <w:tcBorders>
              <w:top w:val="nil"/>
              <w:left w:val="nil"/>
              <w:bottom w:val="nil"/>
              <w:right w:val="nil"/>
            </w:tcBorders>
          </w:tcPr>
          <w:p>
            <w:pPr>
              <w:pStyle w:val="TableParagraph"/>
              <w:spacing w:before="37"/>
              <w:ind w:left="257"/>
              <w:rPr>
                <w:sz w:val="18"/>
              </w:rPr>
            </w:pPr>
            <w:r>
              <w:rPr>
                <w:w w:val="99"/>
                <w:sz w:val="18"/>
              </w:rPr>
              <w:t>2</w:t>
            </w:r>
          </w:p>
        </w:tc>
      </w:tr>
      <w:tr>
        <w:trPr>
          <w:trHeight w:val="300" w:hRule="exact"/>
        </w:trPr>
        <w:tc>
          <w:tcPr>
            <w:tcW w:w="2419" w:type="dxa"/>
            <w:tcBorders>
              <w:top w:val="nil"/>
              <w:left w:val="nil"/>
              <w:bottom w:val="nil"/>
              <w:right w:val="nil"/>
            </w:tcBorders>
          </w:tcPr>
          <w:p>
            <w:pPr>
              <w:pStyle w:val="TableParagraph"/>
              <w:spacing w:before="37"/>
              <w:ind w:right="199"/>
              <w:rPr>
                <w:sz w:val="18"/>
              </w:rPr>
            </w:pPr>
            <w:r>
              <w:rPr>
                <w:sz w:val="18"/>
              </w:rPr>
              <w:t>Tianguistenco</w:t>
            </w:r>
          </w:p>
        </w:tc>
        <w:tc>
          <w:tcPr>
            <w:tcW w:w="1429" w:type="dxa"/>
            <w:tcBorders>
              <w:top w:val="nil"/>
              <w:left w:val="nil"/>
              <w:bottom w:val="nil"/>
              <w:right w:val="nil"/>
            </w:tcBorders>
          </w:tcPr>
          <w:p>
            <w:pPr>
              <w:pStyle w:val="TableParagraph"/>
              <w:spacing w:before="37"/>
              <w:ind w:left="219"/>
              <w:rPr>
                <w:sz w:val="18"/>
              </w:rPr>
            </w:pPr>
            <w:r>
              <w:rPr>
                <w:w w:val="99"/>
                <w:sz w:val="18"/>
              </w:rPr>
              <w:t>0</w:t>
            </w:r>
          </w:p>
        </w:tc>
        <w:tc>
          <w:tcPr>
            <w:tcW w:w="1115" w:type="dxa"/>
            <w:tcBorders>
              <w:top w:val="nil"/>
              <w:left w:val="nil"/>
              <w:bottom w:val="nil"/>
              <w:right w:val="nil"/>
            </w:tcBorders>
          </w:tcPr>
          <w:p>
            <w:pPr>
              <w:pStyle w:val="TableParagraph"/>
              <w:spacing w:before="37"/>
              <w:ind w:left="131"/>
              <w:rPr>
                <w:sz w:val="18"/>
              </w:rPr>
            </w:pPr>
            <w:r>
              <w:rPr>
                <w:sz w:val="18"/>
              </w:rPr>
              <w:t>18</w:t>
            </w:r>
          </w:p>
        </w:tc>
        <w:tc>
          <w:tcPr>
            <w:tcW w:w="1184" w:type="dxa"/>
            <w:tcBorders>
              <w:top w:val="nil"/>
              <w:left w:val="nil"/>
              <w:bottom w:val="nil"/>
              <w:right w:val="nil"/>
            </w:tcBorders>
          </w:tcPr>
          <w:p>
            <w:pPr>
              <w:pStyle w:val="TableParagraph"/>
              <w:spacing w:before="37"/>
              <w:ind w:left="154"/>
              <w:rPr>
                <w:sz w:val="18"/>
              </w:rPr>
            </w:pPr>
            <w:r>
              <w:rPr>
                <w:w w:val="99"/>
                <w:sz w:val="18"/>
              </w:rPr>
              <w:t>1</w:t>
            </w:r>
          </w:p>
        </w:tc>
        <w:tc>
          <w:tcPr>
            <w:tcW w:w="1000" w:type="dxa"/>
            <w:tcBorders>
              <w:top w:val="nil"/>
              <w:left w:val="nil"/>
              <w:bottom w:val="nil"/>
              <w:right w:val="nil"/>
            </w:tcBorders>
          </w:tcPr>
          <w:p>
            <w:pPr>
              <w:pStyle w:val="TableParagraph"/>
              <w:spacing w:before="37"/>
              <w:ind w:left="122"/>
              <w:rPr>
                <w:sz w:val="18"/>
              </w:rPr>
            </w:pPr>
            <w:r>
              <w:rPr>
                <w:w w:val="99"/>
                <w:sz w:val="18"/>
              </w:rPr>
              <w:t>9</w:t>
            </w:r>
          </w:p>
        </w:tc>
        <w:tc>
          <w:tcPr>
            <w:tcW w:w="1753" w:type="dxa"/>
            <w:tcBorders>
              <w:top w:val="nil"/>
              <w:left w:val="nil"/>
              <w:bottom w:val="nil"/>
              <w:right w:val="nil"/>
            </w:tcBorders>
          </w:tcPr>
          <w:p>
            <w:pPr>
              <w:pStyle w:val="TableParagraph"/>
              <w:spacing w:before="37"/>
              <w:ind w:left="257"/>
              <w:rPr>
                <w:sz w:val="18"/>
              </w:rPr>
            </w:pPr>
            <w:r>
              <w:rPr>
                <w:sz w:val="18"/>
              </w:rPr>
              <w:t>28</w:t>
            </w:r>
          </w:p>
        </w:tc>
      </w:tr>
      <w:tr>
        <w:trPr>
          <w:trHeight w:val="249" w:hRule="exact"/>
        </w:trPr>
        <w:tc>
          <w:tcPr>
            <w:tcW w:w="2419" w:type="dxa"/>
            <w:tcBorders>
              <w:top w:val="nil"/>
              <w:left w:val="nil"/>
              <w:right w:val="nil"/>
            </w:tcBorders>
          </w:tcPr>
          <w:p>
            <w:pPr>
              <w:pStyle w:val="TableParagraph"/>
              <w:spacing w:before="37"/>
              <w:ind w:right="199"/>
              <w:rPr>
                <w:sz w:val="18"/>
              </w:rPr>
            </w:pPr>
            <w:r>
              <w:rPr>
                <w:sz w:val="18"/>
              </w:rPr>
              <w:t>Xalatlaco</w:t>
            </w:r>
          </w:p>
        </w:tc>
        <w:tc>
          <w:tcPr>
            <w:tcW w:w="1429" w:type="dxa"/>
            <w:tcBorders>
              <w:top w:val="nil"/>
              <w:left w:val="nil"/>
              <w:right w:val="nil"/>
            </w:tcBorders>
          </w:tcPr>
          <w:p>
            <w:pPr>
              <w:pStyle w:val="TableParagraph"/>
              <w:spacing w:before="37"/>
              <w:ind w:left="219"/>
              <w:rPr>
                <w:sz w:val="18"/>
              </w:rPr>
            </w:pPr>
            <w:r>
              <w:rPr>
                <w:w w:val="99"/>
                <w:sz w:val="18"/>
              </w:rPr>
              <w:t>0</w:t>
            </w:r>
          </w:p>
        </w:tc>
        <w:tc>
          <w:tcPr>
            <w:tcW w:w="1115" w:type="dxa"/>
            <w:tcBorders>
              <w:top w:val="nil"/>
              <w:left w:val="nil"/>
              <w:right w:val="nil"/>
            </w:tcBorders>
          </w:tcPr>
          <w:p>
            <w:pPr>
              <w:pStyle w:val="TableParagraph"/>
              <w:spacing w:before="37"/>
              <w:ind w:left="131"/>
              <w:rPr>
                <w:sz w:val="18"/>
              </w:rPr>
            </w:pPr>
            <w:r>
              <w:rPr>
                <w:w w:val="99"/>
                <w:sz w:val="18"/>
              </w:rPr>
              <w:t>0</w:t>
            </w:r>
          </w:p>
        </w:tc>
        <w:tc>
          <w:tcPr>
            <w:tcW w:w="1184" w:type="dxa"/>
            <w:tcBorders>
              <w:top w:val="nil"/>
              <w:left w:val="nil"/>
              <w:right w:val="nil"/>
            </w:tcBorders>
          </w:tcPr>
          <w:p>
            <w:pPr>
              <w:pStyle w:val="TableParagraph"/>
              <w:spacing w:before="37"/>
              <w:ind w:left="154"/>
              <w:rPr>
                <w:sz w:val="18"/>
              </w:rPr>
            </w:pPr>
            <w:r>
              <w:rPr>
                <w:w w:val="99"/>
                <w:sz w:val="18"/>
              </w:rPr>
              <w:t>0</w:t>
            </w:r>
          </w:p>
        </w:tc>
        <w:tc>
          <w:tcPr>
            <w:tcW w:w="1000" w:type="dxa"/>
            <w:tcBorders>
              <w:top w:val="nil"/>
              <w:left w:val="nil"/>
              <w:right w:val="nil"/>
            </w:tcBorders>
          </w:tcPr>
          <w:p>
            <w:pPr>
              <w:pStyle w:val="TableParagraph"/>
              <w:spacing w:before="37"/>
              <w:ind w:left="122"/>
              <w:rPr>
                <w:sz w:val="18"/>
              </w:rPr>
            </w:pPr>
            <w:r>
              <w:rPr>
                <w:w w:val="99"/>
                <w:sz w:val="18"/>
              </w:rPr>
              <w:t>0</w:t>
            </w:r>
          </w:p>
        </w:tc>
        <w:tc>
          <w:tcPr>
            <w:tcW w:w="1753" w:type="dxa"/>
            <w:tcBorders>
              <w:top w:val="nil"/>
              <w:left w:val="nil"/>
              <w:right w:val="nil"/>
            </w:tcBorders>
          </w:tcPr>
          <w:p>
            <w:pPr>
              <w:pStyle w:val="TableParagraph"/>
              <w:spacing w:before="37"/>
              <w:ind w:left="257"/>
              <w:rPr>
                <w:sz w:val="18"/>
              </w:rPr>
            </w:pPr>
            <w:r>
              <w:rPr>
                <w:w w:val="99"/>
                <w:sz w:val="18"/>
              </w:rPr>
              <w:t>0</w:t>
            </w:r>
          </w:p>
        </w:tc>
      </w:tr>
      <w:tr>
        <w:trPr>
          <w:trHeight w:val="312" w:hRule="exact"/>
        </w:trPr>
        <w:tc>
          <w:tcPr>
            <w:tcW w:w="2419" w:type="dxa"/>
            <w:tcBorders>
              <w:left w:val="nil"/>
              <w:right w:val="nil"/>
            </w:tcBorders>
          </w:tcPr>
          <w:p>
            <w:pPr>
              <w:pStyle w:val="TableParagraph"/>
              <w:spacing w:before="92"/>
              <w:ind w:right="199"/>
              <w:rPr>
                <w:sz w:val="18"/>
              </w:rPr>
            </w:pPr>
            <w:r>
              <w:rPr>
                <w:sz w:val="18"/>
              </w:rPr>
              <w:t>Resto municipios</w:t>
            </w:r>
          </w:p>
        </w:tc>
        <w:tc>
          <w:tcPr>
            <w:tcW w:w="1429" w:type="dxa"/>
            <w:tcBorders>
              <w:left w:val="nil"/>
              <w:right w:val="nil"/>
            </w:tcBorders>
          </w:tcPr>
          <w:p>
            <w:pPr>
              <w:pStyle w:val="TableParagraph"/>
              <w:spacing w:before="92"/>
              <w:ind w:left="219"/>
              <w:rPr>
                <w:sz w:val="18"/>
              </w:rPr>
            </w:pPr>
            <w:r>
              <w:rPr>
                <w:w w:val="99"/>
                <w:sz w:val="18"/>
              </w:rPr>
              <w:t>1</w:t>
            </w:r>
          </w:p>
        </w:tc>
        <w:tc>
          <w:tcPr>
            <w:tcW w:w="1115" w:type="dxa"/>
            <w:tcBorders>
              <w:left w:val="nil"/>
              <w:right w:val="nil"/>
            </w:tcBorders>
          </w:tcPr>
          <w:p>
            <w:pPr>
              <w:pStyle w:val="TableParagraph"/>
              <w:spacing w:before="92"/>
              <w:ind w:left="131"/>
              <w:rPr>
                <w:sz w:val="18"/>
              </w:rPr>
            </w:pPr>
            <w:r>
              <w:rPr>
                <w:sz w:val="18"/>
              </w:rPr>
              <w:t>89</w:t>
            </w:r>
          </w:p>
        </w:tc>
        <w:tc>
          <w:tcPr>
            <w:tcW w:w="1184" w:type="dxa"/>
            <w:tcBorders>
              <w:left w:val="nil"/>
              <w:right w:val="nil"/>
            </w:tcBorders>
          </w:tcPr>
          <w:p>
            <w:pPr>
              <w:pStyle w:val="TableParagraph"/>
              <w:spacing w:before="92"/>
              <w:ind w:left="154"/>
              <w:rPr>
                <w:sz w:val="18"/>
              </w:rPr>
            </w:pPr>
            <w:r>
              <w:rPr>
                <w:w w:val="99"/>
                <w:sz w:val="18"/>
              </w:rPr>
              <w:t>5</w:t>
            </w:r>
          </w:p>
        </w:tc>
        <w:tc>
          <w:tcPr>
            <w:tcW w:w="1000" w:type="dxa"/>
            <w:tcBorders>
              <w:left w:val="nil"/>
              <w:right w:val="nil"/>
            </w:tcBorders>
          </w:tcPr>
          <w:p>
            <w:pPr>
              <w:pStyle w:val="TableParagraph"/>
              <w:spacing w:before="92"/>
              <w:ind w:left="122"/>
              <w:rPr>
                <w:sz w:val="18"/>
              </w:rPr>
            </w:pPr>
            <w:r>
              <w:rPr>
                <w:sz w:val="18"/>
              </w:rPr>
              <w:t>31</w:t>
            </w:r>
          </w:p>
        </w:tc>
        <w:tc>
          <w:tcPr>
            <w:tcW w:w="1753" w:type="dxa"/>
            <w:tcBorders>
              <w:left w:val="nil"/>
              <w:right w:val="nil"/>
            </w:tcBorders>
          </w:tcPr>
          <w:p>
            <w:pPr>
              <w:pStyle w:val="TableParagraph"/>
              <w:spacing w:before="92"/>
              <w:ind w:left="257"/>
              <w:rPr>
                <w:sz w:val="18"/>
              </w:rPr>
            </w:pPr>
            <w:r>
              <w:rPr>
                <w:sz w:val="18"/>
              </w:rPr>
              <w:t>126</w:t>
            </w:r>
          </w:p>
        </w:tc>
      </w:tr>
    </w:tbl>
    <w:p>
      <w:pPr>
        <w:spacing w:line="227" w:lineRule="exact" w:before="0"/>
        <w:ind w:left="283" w:right="0" w:firstLine="0"/>
        <w:jc w:val="left"/>
        <w:rPr>
          <w:sz w:val="20"/>
        </w:rPr>
      </w:pPr>
      <w:r>
        <w:rPr>
          <w:sz w:val="20"/>
        </w:rPr>
        <w:t>Fuente: Elaboración propia con información de la Junta de Caminos del Estado de México 2007.</w:t>
      </w:r>
    </w:p>
    <w:p>
      <w:pPr>
        <w:spacing w:after="0" w:line="227" w:lineRule="exact"/>
        <w:jc w:val="left"/>
        <w:rPr>
          <w:sz w:val="20"/>
        </w:rPr>
        <w:sectPr>
          <w:pgSz w:w="12240" w:h="15840"/>
          <w:pgMar w:header="0" w:footer="659" w:top="1360" w:bottom="840" w:left="1560" w:right="1560"/>
        </w:sectPr>
      </w:pPr>
    </w:p>
    <w:p>
      <w:pPr>
        <w:tabs>
          <w:tab w:pos="1046" w:val="left" w:leader="none"/>
          <w:tab w:pos="8531" w:val="left" w:leader="none"/>
        </w:tabs>
        <w:spacing w:before="53"/>
        <w:ind w:left="593" w:right="0" w:firstLine="0"/>
        <w:jc w:val="left"/>
        <w:rPr>
          <w:sz w:val="20"/>
        </w:rPr>
      </w:pPr>
      <w:r>
        <w:rPr>
          <w:w w:val="99"/>
          <w:sz w:val="20"/>
          <w:u w:val="single"/>
        </w:rPr>
        <w:t> </w:t>
      </w:r>
      <w:r>
        <w:rPr>
          <w:sz w:val="20"/>
          <w:u w:val="single"/>
        </w:rPr>
        <w:tab/>
        <w:t>Cuadro A 4.18 Desplazamientos inter zona Metropolitana de Toluca por</w:t>
      </w:r>
      <w:r>
        <w:rPr>
          <w:spacing w:val="-22"/>
          <w:sz w:val="20"/>
          <w:u w:val="single"/>
        </w:rPr>
        <w:t> </w:t>
      </w:r>
      <w:r>
        <w:rPr>
          <w:sz w:val="20"/>
          <w:u w:val="single"/>
        </w:rPr>
        <w:t>trabajo</w:t>
        <w:tab/>
      </w:r>
    </w:p>
    <w:p>
      <w:pPr>
        <w:pStyle w:val="BodyText"/>
        <w:spacing w:before="6"/>
        <w:rPr>
          <w:sz w:val="10"/>
        </w:rPr>
      </w:pPr>
    </w:p>
    <w:tbl>
      <w:tblPr>
        <w:tblW w:w="0" w:type="auto"/>
        <w:jc w:val="left"/>
        <w:tblInd w:w="593"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3362"/>
        <w:gridCol w:w="1644"/>
        <w:gridCol w:w="2932"/>
      </w:tblGrid>
      <w:tr>
        <w:trPr>
          <w:trHeight w:val="189" w:hRule="exact"/>
        </w:trPr>
        <w:tc>
          <w:tcPr>
            <w:tcW w:w="3362" w:type="dxa"/>
            <w:tcBorders>
              <w:bottom w:val="single" w:sz="4" w:space="0" w:color="000000"/>
            </w:tcBorders>
          </w:tcPr>
          <w:p>
            <w:pPr>
              <w:pStyle w:val="TableParagraph"/>
              <w:spacing w:line="184" w:lineRule="exact"/>
              <w:ind w:left="67"/>
              <w:rPr>
                <w:sz w:val="18"/>
              </w:rPr>
            </w:pPr>
            <w:r>
              <w:rPr>
                <w:sz w:val="18"/>
              </w:rPr>
              <w:t>MUNICIPIOS</w:t>
            </w:r>
          </w:p>
        </w:tc>
        <w:tc>
          <w:tcPr>
            <w:tcW w:w="1644" w:type="dxa"/>
            <w:tcBorders>
              <w:bottom w:val="single" w:sz="4" w:space="0" w:color="000000"/>
            </w:tcBorders>
          </w:tcPr>
          <w:p>
            <w:pPr>
              <w:pStyle w:val="TableParagraph"/>
              <w:spacing w:line="184" w:lineRule="exact"/>
              <w:ind w:left="394"/>
              <w:rPr>
                <w:sz w:val="18"/>
              </w:rPr>
            </w:pPr>
            <w:r>
              <w:rPr>
                <w:sz w:val="18"/>
              </w:rPr>
              <w:t>TRABAJO</w:t>
            </w:r>
          </w:p>
        </w:tc>
        <w:tc>
          <w:tcPr>
            <w:tcW w:w="2932" w:type="dxa"/>
            <w:tcBorders>
              <w:bottom w:val="single" w:sz="4" w:space="0" w:color="000000"/>
            </w:tcBorders>
          </w:tcPr>
          <w:p>
            <w:pPr>
              <w:pStyle w:val="TableParagraph"/>
              <w:spacing w:line="184" w:lineRule="exact"/>
              <w:ind w:left="421"/>
              <w:rPr>
                <w:sz w:val="18"/>
              </w:rPr>
            </w:pPr>
            <w:r>
              <w:rPr>
                <w:sz w:val="18"/>
              </w:rPr>
              <w:t>TOTAL DE MOVIMIENTOS</w:t>
            </w:r>
          </w:p>
        </w:tc>
      </w:tr>
      <w:tr>
        <w:trPr>
          <w:trHeight w:val="349" w:hRule="exact"/>
        </w:trPr>
        <w:tc>
          <w:tcPr>
            <w:tcW w:w="3362" w:type="dxa"/>
            <w:tcBorders>
              <w:top w:val="single" w:sz="4" w:space="0" w:color="000000"/>
            </w:tcBorders>
          </w:tcPr>
          <w:p>
            <w:pPr>
              <w:pStyle w:val="TableParagraph"/>
              <w:spacing w:before="85"/>
              <w:ind w:left="67"/>
              <w:rPr>
                <w:sz w:val="18"/>
              </w:rPr>
            </w:pPr>
            <w:r>
              <w:rPr>
                <w:sz w:val="18"/>
              </w:rPr>
              <w:t>Zinacantepec</w:t>
            </w:r>
          </w:p>
        </w:tc>
        <w:tc>
          <w:tcPr>
            <w:tcW w:w="1644" w:type="dxa"/>
            <w:tcBorders>
              <w:top w:val="single" w:sz="4" w:space="0" w:color="000000"/>
            </w:tcBorders>
          </w:tcPr>
          <w:p>
            <w:pPr>
              <w:pStyle w:val="TableParagraph"/>
              <w:spacing w:before="85"/>
              <w:ind w:left="394"/>
              <w:rPr>
                <w:sz w:val="18"/>
              </w:rPr>
            </w:pPr>
            <w:r>
              <w:rPr>
                <w:sz w:val="18"/>
              </w:rPr>
              <w:t>764</w:t>
            </w:r>
          </w:p>
        </w:tc>
        <w:tc>
          <w:tcPr>
            <w:tcW w:w="2932" w:type="dxa"/>
            <w:tcBorders>
              <w:top w:val="single" w:sz="4" w:space="0" w:color="000000"/>
            </w:tcBorders>
          </w:tcPr>
          <w:p>
            <w:pPr>
              <w:pStyle w:val="TableParagraph"/>
              <w:spacing w:before="85"/>
              <w:ind w:left="421"/>
              <w:rPr>
                <w:sz w:val="18"/>
              </w:rPr>
            </w:pPr>
            <w:r>
              <w:rPr>
                <w:sz w:val="18"/>
              </w:rPr>
              <w:t>1560</w:t>
            </w:r>
          </w:p>
        </w:tc>
      </w:tr>
      <w:tr>
        <w:trPr>
          <w:trHeight w:val="292" w:hRule="exact"/>
        </w:trPr>
        <w:tc>
          <w:tcPr>
            <w:tcW w:w="3362" w:type="dxa"/>
          </w:tcPr>
          <w:p>
            <w:pPr>
              <w:pStyle w:val="TableParagraph"/>
              <w:spacing w:before="32"/>
              <w:ind w:left="67"/>
              <w:rPr>
                <w:sz w:val="18"/>
              </w:rPr>
            </w:pPr>
            <w:r>
              <w:rPr>
                <w:sz w:val="18"/>
              </w:rPr>
              <w:t>Toluca</w:t>
            </w:r>
          </w:p>
        </w:tc>
        <w:tc>
          <w:tcPr>
            <w:tcW w:w="1644" w:type="dxa"/>
          </w:tcPr>
          <w:p>
            <w:pPr>
              <w:pStyle w:val="TableParagraph"/>
              <w:spacing w:before="32"/>
              <w:ind w:left="394"/>
              <w:rPr>
                <w:sz w:val="18"/>
              </w:rPr>
            </w:pPr>
            <w:r>
              <w:rPr>
                <w:sz w:val="18"/>
              </w:rPr>
              <w:t>8881</w:t>
            </w:r>
          </w:p>
        </w:tc>
        <w:tc>
          <w:tcPr>
            <w:tcW w:w="2932" w:type="dxa"/>
          </w:tcPr>
          <w:p>
            <w:pPr>
              <w:pStyle w:val="TableParagraph"/>
              <w:spacing w:before="32"/>
              <w:ind w:left="421"/>
              <w:rPr>
                <w:sz w:val="18"/>
              </w:rPr>
            </w:pPr>
            <w:r>
              <w:rPr>
                <w:sz w:val="18"/>
              </w:rPr>
              <w:t>12886</w:t>
            </w:r>
          </w:p>
        </w:tc>
      </w:tr>
      <w:tr>
        <w:trPr>
          <w:trHeight w:val="293" w:hRule="exact"/>
        </w:trPr>
        <w:tc>
          <w:tcPr>
            <w:tcW w:w="3362" w:type="dxa"/>
          </w:tcPr>
          <w:p>
            <w:pPr>
              <w:pStyle w:val="TableParagraph"/>
              <w:spacing w:before="33"/>
              <w:ind w:left="67"/>
              <w:rPr>
                <w:sz w:val="18"/>
              </w:rPr>
            </w:pPr>
            <w:r>
              <w:rPr>
                <w:sz w:val="18"/>
              </w:rPr>
              <w:t>San Mateo Atenco</w:t>
            </w:r>
          </w:p>
        </w:tc>
        <w:tc>
          <w:tcPr>
            <w:tcW w:w="1644" w:type="dxa"/>
          </w:tcPr>
          <w:p>
            <w:pPr>
              <w:pStyle w:val="TableParagraph"/>
              <w:spacing w:before="33"/>
              <w:ind w:left="394"/>
              <w:rPr>
                <w:sz w:val="18"/>
              </w:rPr>
            </w:pPr>
            <w:r>
              <w:rPr>
                <w:sz w:val="18"/>
              </w:rPr>
              <w:t>974</w:t>
            </w:r>
          </w:p>
        </w:tc>
        <w:tc>
          <w:tcPr>
            <w:tcW w:w="2932" w:type="dxa"/>
          </w:tcPr>
          <w:p>
            <w:pPr>
              <w:pStyle w:val="TableParagraph"/>
              <w:spacing w:before="33"/>
              <w:ind w:left="421"/>
              <w:rPr>
                <w:sz w:val="18"/>
              </w:rPr>
            </w:pPr>
            <w:r>
              <w:rPr>
                <w:sz w:val="18"/>
              </w:rPr>
              <w:t>1393</w:t>
            </w:r>
          </w:p>
        </w:tc>
      </w:tr>
      <w:tr>
        <w:trPr>
          <w:trHeight w:val="292" w:hRule="exact"/>
        </w:trPr>
        <w:tc>
          <w:tcPr>
            <w:tcW w:w="3362" w:type="dxa"/>
          </w:tcPr>
          <w:p>
            <w:pPr>
              <w:pStyle w:val="TableParagraph"/>
              <w:spacing w:before="33"/>
              <w:ind w:left="67"/>
              <w:rPr>
                <w:sz w:val="18"/>
              </w:rPr>
            </w:pPr>
            <w:r>
              <w:rPr>
                <w:sz w:val="18"/>
              </w:rPr>
              <w:t>Almoloya de Juárez</w:t>
            </w:r>
          </w:p>
        </w:tc>
        <w:tc>
          <w:tcPr>
            <w:tcW w:w="1644" w:type="dxa"/>
          </w:tcPr>
          <w:p>
            <w:pPr>
              <w:pStyle w:val="TableParagraph"/>
              <w:spacing w:before="33"/>
              <w:ind w:left="394"/>
              <w:rPr>
                <w:sz w:val="18"/>
              </w:rPr>
            </w:pPr>
            <w:r>
              <w:rPr>
                <w:sz w:val="18"/>
              </w:rPr>
              <w:t>712</w:t>
            </w:r>
          </w:p>
        </w:tc>
        <w:tc>
          <w:tcPr>
            <w:tcW w:w="2932" w:type="dxa"/>
          </w:tcPr>
          <w:p>
            <w:pPr>
              <w:pStyle w:val="TableParagraph"/>
              <w:spacing w:before="33"/>
              <w:ind w:left="421"/>
              <w:rPr>
                <w:sz w:val="18"/>
              </w:rPr>
            </w:pPr>
            <w:r>
              <w:rPr>
                <w:sz w:val="18"/>
              </w:rPr>
              <w:t>1383</w:t>
            </w:r>
          </w:p>
        </w:tc>
      </w:tr>
      <w:tr>
        <w:trPr>
          <w:trHeight w:val="292" w:hRule="exact"/>
        </w:trPr>
        <w:tc>
          <w:tcPr>
            <w:tcW w:w="3362" w:type="dxa"/>
          </w:tcPr>
          <w:p>
            <w:pPr>
              <w:pStyle w:val="TableParagraph"/>
              <w:spacing w:before="32"/>
              <w:ind w:left="67"/>
              <w:rPr>
                <w:sz w:val="18"/>
              </w:rPr>
            </w:pPr>
            <w:r>
              <w:rPr>
                <w:sz w:val="18"/>
              </w:rPr>
              <w:t>Metepec</w:t>
            </w:r>
          </w:p>
        </w:tc>
        <w:tc>
          <w:tcPr>
            <w:tcW w:w="1644" w:type="dxa"/>
          </w:tcPr>
          <w:p>
            <w:pPr>
              <w:pStyle w:val="TableParagraph"/>
              <w:spacing w:before="32"/>
              <w:ind w:left="394"/>
              <w:rPr>
                <w:sz w:val="18"/>
              </w:rPr>
            </w:pPr>
            <w:r>
              <w:rPr>
                <w:sz w:val="18"/>
              </w:rPr>
              <w:t>1260</w:t>
            </w:r>
          </w:p>
        </w:tc>
        <w:tc>
          <w:tcPr>
            <w:tcW w:w="2932" w:type="dxa"/>
          </w:tcPr>
          <w:p>
            <w:pPr>
              <w:pStyle w:val="TableParagraph"/>
              <w:spacing w:before="32"/>
              <w:ind w:left="421"/>
              <w:rPr>
                <w:sz w:val="18"/>
              </w:rPr>
            </w:pPr>
            <w:r>
              <w:rPr>
                <w:sz w:val="18"/>
              </w:rPr>
              <w:t>1896</w:t>
            </w:r>
          </w:p>
        </w:tc>
      </w:tr>
      <w:tr>
        <w:trPr>
          <w:trHeight w:val="293" w:hRule="exact"/>
        </w:trPr>
        <w:tc>
          <w:tcPr>
            <w:tcW w:w="3362" w:type="dxa"/>
          </w:tcPr>
          <w:p>
            <w:pPr>
              <w:pStyle w:val="TableParagraph"/>
              <w:spacing w:before="33"/>
              <w:ind w:left="67"/>
              <w:rPr>
                <w:sz w:val="18"/>
              </w:rPr>
            </w:pPr>
            <w:r>
              <w:rPr>
                <w:sz w:val="18"/>
              </w:rPr>
              <w:t>Lerma</w:t>
            </w:r>
          </w:p>
        </w:tc>
        <w:tc>
          <w:tcPr>
            <w:tcW w:w="1644" w:type="dxa"/>
          </w:tcPr>
          <w:p>
            <w:pPr>
              <w:pStyle w:val="TableParagraph"/>
              <w:spacing w:before="33"/>
              <w:ind w:left="394"/>
              <w:rPr>
                <w:sz w:val="18"/>
              </w:rPr>
            </w:pPr>
            <w:r>
              <w:rPr>
                <w:sz w:val="18"/>
              </w:rPr>
              <w:t>2635</w:t>
            </w:r>
          </w:p>
        </w:tc>
        <w:tc>
          <w:tcPr>
            <w:tcW w:w="2932" w:type="dxa"/>
          </w:tcPr>
          <w:p>
            <w:pPr>
              <w:pStyle w:val="TableParagraph"/>
              <w:spacing w:before="33"/>
              <w:ind w:left="421"/>
              <w:rPr>
                <w:sz w:val="18"/>
              </w:rPr>
            </w:pPr>
            <w:r>
              <w:rPr>
                <w:sz w:val="18"/>
              </w:rPr>
              <w:t>3546</w:t>
            </w:r>
          </w:p>
        </w:tc>
      </w:tr>
      <w:tr>
        <w:trPr>
          <w:trHeight w:val="292" w:hRule="exact"/>
        </w:trPr>
        <w:tc>
          <w:tcPr>
            <w:tcW w:w="3362" w:type="dxa"/>
          </w:tcPr>
          <w:p>
            <w:pPr>
              <w:pStyle w:val="TableParagraph"/>
              <w:spacing w:before="33"/>
              <w:ind w:left="67"/>
              <w:rPr>
                <w:sz w:val="18"/>
              </w:rPr>
            </w:pPr>
            <w:r>
              <w:rPr>
                <w:sz w:val="18"/>
              </w:rPr>
              <w:t>Mexicaltzingo</w:t>
            </w:r>
          </w:p>
        </w:tc>
        <w:tc>
          <w:tcPr>
            <w:tcW w:w="1644" w:type="dxa"/>
          </w:tcPr>
          <w:p>
            <w:pPr>
              <w:pStyle w:val="TableParagraph"/>
              <w:spacing w:before="33"/>
              <w:ind w:left="394"/>
              <w:rPr>
                <w:sz w:val="18"/>
              </w:rPr>
            </w:pPr>
            <w:r>
              <w:rPr>
                <w:sz w:val="18"/>
              </w:rPr>
              <w:t>257</w:t>
            </w:r>
          </w:p>
        </w:tc>
        <w:tc>
          <w:tcPr>
            <w:tcW w:w="2932" w:type="dxa"/>
          </w:tcPr>
          <w:p>
            <w:pPr>
              <w:pStyle w:val="TableParagraph"/>
              <w:spacing w:before="33"/>
              <w:ind w:left="421"/>
              <w:rPr>
                <w:sz w:val="18"/>
              </w:rPr>
            </w:pPr>
            <w:r>
              <w:rPr>
                <w:sz w:val="18"/>
              </w:rPr>
              <w:t>408</w:t>
            </w:r>
          </w:p>
        </w:tc>
      </w:tr>
      <w:tr>
        <w:trPr>
          <w:trHeight w:val="292" w:hRule="exact"/>
        </w:trPr>
        <w:tc>
          <w:tcPr>
            <w:tcW w:w="3362" w:type="dxa"/>
          </w:tcPr>
          <w:p>
            <w:pPr>
              <w:pStyle w:val="TableParagraph"/>
              <w:spacing w:before="32"/>
              <w:ind w:left="67"/>
              <w:rPr>
                <w:sz w:val="18"/>
              </w:rPr>
            </w:pPr>
            <w:r>
              <w:rPr>
                <w:sz w:val="18"/>
              </w:rPr>
              <w:t>Calimaya</w:t>
            </w:r>
          </w:p>
        </w:tc>
        <w:tc>
          <w:tcPr>
            <w:tcW w:w="1644" w:type="dxa"/>
          </w:tcPr>
          <w:p>
            <w:pPr>
              <w:pStyle w:val="TableParagraph"/>
              <w:spacing w:before="32"/>
              <w:ind w:left="394"/>
              <w:rPr>
                <w:sz w:val="18"/>
              </w:rPr>
            </w:pPr>
            <w:r>
              <w:rPr>
                <w:sz w:val="18"/>
              </w:rPr>
              <w:t>1366</w:t>
            </w:r>
          </w:p>
        </w:tc>
        <w:tc>
          <w:tcPr>
            <w:tcW w:w="2932" w:type="dxa"/>
          </w:tcPr>
          <w:p>
            <w:pPr>
              <w:pStyle w:val="TableParagraph"/>
              <w:spacing w:before="32"/>
              <w:ind w:left="421"/>
              <w:rPr>
                <w:sz w:val="18"/>
              </w:rPr>
            </w:pPr>
            <w:r>
              <w:rPr>
                <w:sz w:val="18"/>
              </w:rPr>
              <w:t>1822</w:t>
            </w:r>
          </w:p>
        </w:tc>
      </w:tr>
      <w:tr>
        <w:trPr>
          <w:trHeight w:val="245" w:hRule="exact"/>
        </w:trPr>
        <w:tc>
          <w:tcPr>
            <w:tcW w:w="3362" w:type="dxa"/>
            <w:tcBorders>
              <w:bottom w:val="single" w:sz="4" w:space="0" w:color="000000"/>
            </w:tcBorders>
          </w:tcPr>
          <w:p>
            <w:pPr>
              <w:pStyle w:val="TableParagraph"/>
              <w:spacing w:before="33"/>
              <w:ind w:left="67"/>
              <w:rPr>
                <w:sz w:val="18"/>
              </w:rPr>
            </w:pPr>
            <w:r>
              <w:rPr>
                <w:sz w:val="18"/>
              </w:rPr>
              <w:t>Otzolotepec</w:t>
            </w:r>
          </w:p>
        </w:tc>
        <w:tc>
          <w:tcPr>
            <w:tcW w:w="1644" w:type="dxa"/>
            <w:tcBorders>
              <w:bottom w:val="single" w:sz="4" w:space="0" w:color="000000"/>
            </w:tcBorders>
          </w:tcPr>
          <w:p>
            <w:pPr>
              <w:pStyle w:val="TableParagraph"/>
              <w:spacing w:before="33"/>
              <w:ind w:left="394"/>
              <w:rPr>
                <w:sz w:val="18"/>
              </w:rPr>
            </w:pPr>
            <w:r>
              <w:rPr>
                <w:sz w:val="18"/>
              </w:rPr>
              <w:t>752</w:t>
            </w:r>
          </w:p>
        </w:tc>
        <w:tc>
          <w:tcPr>
            <w:tcW w:w="2932" w:type="dxa"/>
            <w:tcBorders>
              <w:bottom w:val="single" w:sz="4" w:space="0" w:color="000000"/>
            </w:tcBorders>
          </w:tcPr>
          <w:p>
            <w:pPr>
              <w:pStyle w:val="TableParagraph"/>
              <w:spacing w:before="33"/>
              <w:ind w:left="421"/>
              <w:rPr>
                <w:sz w:val="18"/>
              </w:rPr>
            </w:pPr>
            <w:r>
              <w:rPr>
                <w:sz w:val="18"/>
              </w:rPr>
              <w:t>936</w:t>
            </w:r>
          </w:p>
        </w:tc>
      </w:tr>
      <w:tr>
        <w:trPr>
          <w:trHeight w:val="302" w:hRule="exact"/>
        </w:trPr>
        <w:tc>
          <w:tcPr>
            <w:tcW w:w="3362" w:type="dxa"/>
            <w:tcBorders>
              <w:top w:val="single" w:sz="4" w:space="0" w:color="000000"/>
              <w:bottom w:val="single" w:sz="4" w:space="0" w:color="000000"/>
            </w:tcBorders>
          </w:tcPr>
          <w:p>
            <w:pPr>
              <w:pStyle w:val="TableParagraph"/>
              <w:spacing w:before="85"/>
              <w:ind w:left="67"/>
              <w:rPr>
                <w:sz w:val="18"/>
              </w:rPr>
            </w:pPr>
            <w:r>
              <w:rPr>
                <w:sz w:val="18"/>
              </w:rPr>
              <w:t>Área urbana continua</w:t>
            </w:r>
          </w:p>
        </w:tc>
        <w:tc>
          <w:tcPr>
            <w:tcW w:w="1644" w:type="dxa"/>
            <w:tcBorders>
              <w:top w:val="single" w:sz="4" w:space="0" w:color="000000"/>
              <w:bottom w:val="single" w:sz="4" w:space="0" w:color="000000"/>
            </w:tcBorders>
          </w:tcPr>
          <w:p>
            <w:pPr>
              <w:pStyle w:val="TableParagraph"/>
              <w:spacing w:before="85"/>
              <w:ind w:left="394"/>
              <w:rPr>
                <w:sz w:val="18"/>
              </w:rPr>
            </w:pPr>
            <w:r>
              <w:rPr>
                <w:sz w:val="18"/>
              </w:rPr>
              <w:t>17601</w:t>
            </w:r>
          </w:p>
        </w:tc>
        <w:tc>
          <w:tcPr>
            <w:tcW w:w="2932" w:type="dxa"/>
            <w:tcBorders>
              <w:top w:val="single" w:sz="4" w:space="0" w:color="000000"/>
              <w:bottom w:val="single" w:sz="4" w:space="0" w:color="000000"/>
            </w:tcBorders>
          </w:tcPr>
          <w:p>
            <w:pPr>
              <w:pStyle w:val="TableParagraph"/>
              <w:spacing w:before="85"/>
              <w:ind w:left="421"/>
              <w:rPr>
                <w:sz w:val="18"/>
              </w:rPr>
            </w:pPr>
            <w:r>
              <w:rPr>
                <w:sz w:val="18"/>
              </w:rPr>
              <w:t>25830</w:t>
            </w:r>
          </w:p>
        </w:tc>
      </w:tr>
      <w:tr>
        <w:trPr>
          <w:trHeight w:val="349" w:hRule="exact"/>
        </w:trPr>
        <w:tc>
          <w:tcPr>
            <w:tcW w:w="3362" w:type="dxa"/>
            <w:tcBorders>
              <w:top w:val="single" w:sz="4" w:space="0" w:color="000000"/>
            </w:tcBorders>
          </w:tcPr>
          <w:p>
            <w:pPr>
              <w:pStyle w:val="TableParagraph"/>
              <w:spacing w:before="86"/>
              <w:ind w:left="67"/>
              <w:rPr>
                <w:sz w:val="18"/>
              </w:rPr>
            </w:pPr>
            <w:r>
              <w:rPr>
                <w:sz w:val="18"/>
              </w:rPr>
              <w:t>San Antonio la Isla</w:t>
            </w:r>
          </w:p>
        </w:tc>
        <w:tc>
          <w:tcPr>
            <w:tcW w:w="1644" w:type="dxa"/>
            <w:tcBorders>
              <w:top w:val="single" w:sz="4" w:space="0" w:color="000000"/>
            </w:tcBorders>
          </w:tcPr>
          <w:p>
            <w:pPr>
              <w:pStyle w:val="TableParagraph"/>
              <w:spacing w:before="86"/>
              <w:ind w:left="394"/>
              <w:rPr>
                <w:sz w:val="18"/>
              </w:rPr>
            </w:pPr>
            <w:r>
              <w:rPr>
                <w:sz w:val="18"/>
              </w:rPr>
              <w:t>188</w:t>
            </w:r>
          </w:p>
        </w:tc>
        <w:tc>
          <w:tcPr>
            <w:tcW w:w="2932" w:type="dxa"/>
            <w:tcBorders>
              <w:top w:val="single" w:sz="4" w:space="0" w:color="000000"/>
            </w:tcBorders>
          </w:tcPr>
          <w:p>
            <w:pPr>
              <w:pStyle w:val="TableParagraph"/>
              <w:spacing w:before="86"/>
              <w:ind w:left="421"/>
              <w:rPr>
                <w:sz w:val="18"/>
              </w:rPr>
            </w:pPr>
            <w:r>
              <w:rPr>
                <w:sz w:val="18"/>
              </w:rPr>
              <w:t>258</w:t>
            </w:r>
          </w:p>
        </w:tc>
      </w:tr>
      <w:tr>
        <w:trPr>
          <w:trHeight w:val="292" w:hRule="exact"/>
        </w:trPr>
        <w:tc>
          <w:tcPr>
            <w:tcW w:w="3362" w:type="dxa"/>
          </w:tcPr>
          <w:p>
            <w:pPr>
              <w:pStyle w:val="TableParagraph"/>
              <w:spacing w:before="32"/>
              <w:ind w:left="67"/>
              <w:rPr>
                <w:sz w:val="18"/>
              </w:rPr>
            </w:pPr>
            <w:r>
              <w:rPr>
                <w:sz w:val="18"/>
              </w:rPr>
              <w:t>Ocoyoacac</w:t>
            </w:r>
          </w:p>
        </w:tc>
        <w:tc>
          <w:tcPr>
            <w:tcW w:w="1644" w:type="dxa"/>
          </w:tcPr>
          <w:p>
            <w:pPr>
              <w:pStyle w:val="TableParagraph"/>
              <w:spacing w:before="32"/>
              <w:ind w:left="394"/>
              <w:rPr>
                <w:sz w:val="18"/>
              </w:rPr>
            </w:pPr>
            <w:r>
              <w:rPr>
                <w:sz w:val="18"/>
              </w:rPr>
              <w:t>536</w:t>
            </w:r>
          </w:p>
        </w:tc>
        <w:tc>
          <w:tcPr>
            <w:tcW w:w="2932" w:type="dxa"/>
          </w:tcPr>
          <w:p>
            <w:pPr>
              <w:pStyle w:val="TableParagraph"/>
              <w:spacing w:before="32"/>
              <w:ind w:left="421"/>
              <w:rPr>
                <w:sz w:val="18"/>
              </w:rPr>
            </w:pPr>
            <w:r>
              <w:rPr>
                <w:sz w:val="18"/>
              </w:rPr>
              <w:t>739</w:t>
            </w:r>
          </w:p>
        </w:tc>
      </w:tr>
      <w:tr>
        <w:trPr>
          <w:trHeight w:val="293" w:hRule="exact"/>
        </w:trPr>
        <w:tc>
          <w:tcPr>
            <w:tcW w:w="3362" w:type="dxa"/>
          </w:tcPr>
          <w:p>
            <w:pPr>
              <w:pStyle w:val="TableParagraph"/>
              <w:spacing w:before="33"/>
              <w:ind w:left="67"/>
              <w:rPr>
                <w:sz w:val="18"/>
              </w:rPr>
            </w:pPr>
            <w:r>
              <w:rPr>
                <w:sz w:val="18"/>
              </w:rPr>
              <w:t>Chapultepec</w:t>
            </w:r>
          </w:p>
        </w:tc>
        <w:tc>
          <w:tcPr>
            <w:tcW w:w="1644" w:type="dxa"/>
          </w:tcPr>
          <w:p>
            <w:pPr>
              <w:pStyle w:val="TableParagraph"/>
              <w:spacing w:before="33"/>
              <w:ind w:left="394"/>
              <w:rPr>
                <w:sz w:val="18"/>
              </w:rPr>
            </w:pPr>
            <w:r>
              <w:rPr>
                <w:sz w:val="18"/>
              </w:rPr>
              <w:t>71</w:t>
            </w:r>
          </w:p>
        </w:tc>
        <w:tc>
          <w:tcPr>
            <w:tcW w:w="2932" w:type="dxa"/>
          </w:tcPr>
          <w:p>
            <w:pPr>
              <w:pStyle w:val="TableParagraph"/>
              <w:spacing w:before="33"/>
              <w:ind w:left="421"/>
              <w:rPr>
                <w:sz w:val="18"/>
              </w:rPr>
            </w:pPr>
            <w:r>
              <w:rPr>
                <w:sz w:val="18"/>
              </w:rPr>
              <w:t>105</w:t>
            </w:r>
          </w:p>
        </w:tc>
      </w:tr>
      <w:tr>
        <w:trPr>
          <w:trHeight w:val="292" w:hRule="exact"/>
        </w:trPr>
        <w:tc>
          <w:tcPr>
            <w:tcW w:w="3362" w:type="dxa"/>
          </w:tcPr>
          <w:p>
            <w:pPr>
              <w:pStyle w:val="TableParagraph"/>
              <w:spacing w:before="33"/>
              <w:ind w:left="67"/>
              <w:rPr>
                <w:sz w:val="18"/>
              </w:rPr>
            </w:pPr>
            <w:r>
              <w:rPr>
                <w:sz w:val="18"/>
              </w:rPr>
              <w:t>Rayón</w:t>
            </w:r>
          </w:p>
        </w:tc>
        <w:tc>
          <w:tcPr>
            <w:tcW w:w="1644" w:type="dxa"/>
          </w:tcPr>
          <w:p>
            <w:pPr>
              <w:pStyle w:val="TableParagraph"/>
              <w:spacing w:before="33"/>
              <w:ind w:left="394"/>
              <w:rPr>
                <w:sz w:val="18"/>
              </w:rPr>
            </w:pPr>
            <w:r>
              <w:rPr>
                <w:sz w:val="18"/>
              </w:rPr>
              <w:t>78</w:t>
            </w:r>
          </w:p>
        </w:tc>
        <w:tc>
          <w:tcPr>
            <w:tcW w:w="2932" w:type="dxa"/>
          </w:tcPr>
          <w:p>
            <w:pPr>
              <w:pStyle w:val="TableParagraph"/>
              <w:spacing w:before="33"/>
              <w:ind w:left="421"/>
              <w:rPr>
                <w:sz w:val="18"/>
              </w:rPr>
            </w:pPr>
            <w:r>
              <w:rPr>
                <w:sz w:val="18"/>
              </w:rPr>
              <w:t>116</w:t>
            </w:r>
          </w:p>
        </w:tc>
      </w:tr>
      <w:tr>
        <w:trPr>
          <w:trHeight w:val="292" w:hRule="exact"/>
        </w:trPr>
        <w:tc>
          <w:tcPr>
            <w:tcW w:w="3362" w:type="dxa"/>
          </w:tcPr>
          <w:p>
            <w:pPr>
              <w:pStyle w:val="TableParagraph"/>
              <w:spacing w:before="32"/>
              <w:ind w:left="67"/>
              <w:rPr>
                <w:sz w:val="18"/>
              </w:rPr>
            </w:pPr>
            <w:r>
              <w:rPr>
                <w:sz w:val="18"/>
              </w:rPr>
              <w:t>Temoaya</w:t>
            </w:r>
          </w:p>
        </w:tc>
        <w:tc>
          <w:tcPr>
            <w:tcW w:w="1644" w:type="dxa"/>
          </w:tcPr>
          <w:p>
            <w:pPr>
              <w:pStyle w:val="TableParagraph"/>
              <w:spacing w:before="32"/>
              <w:ind w:left="394"/>
              <w:rPr>
                <w:sz w:val="18"/>
              </w:rPr>
            </w:pPr>
            <w:r>
              <w:rPr>
                <w:sz w:val="18"/>
              </w:rPr>
              <w:t>1126</w:t>
            </w:r>
          </w:p>
        </w:tc>
        <w:tc>
          <w:tcPr>
            <w:tcW w:w="2932" w:type="dxa"/>
          </w:tcPr>
          <w:p>
            <w:pPr>
              <w:pStyle w:val="TableParagraph"/>
              <w:spacing w:before="32"/>
              <w:ind w:left="421"/>
              <w:rPr>
                <w:sz w:val="18"/>
              </w:rPr>
            </w:pPr>
            <w:r>
              <w:rPr>
                <w:sz w:val="18"/>
              </w:rPr>
              <w:t>1519</w:t>
            </w:r>
          </w:p>
        </w:tc>
      </w:tr>
      <w:tr>
        <w:trPr>
          <w:trHeight w:val="245" w:hRule="exact"/>
        </w:trPr>
        <w:tc>
          <w:tcPr>
            <w:tcW w:w="3362" w:type="dxa"/>
            <w:tcBorders>
              <w:bottom w:val="single" w:sz="4" w:space="0" w:color="000000"/>
            </w:tcBorders>
          </w:tcPr>
          <w:p>
            <w:pPr>
              <w:pStyle w:val="TableParagraph"/>
              <w:spacing w:before="33"/>
              <w:ind w:left="67"/>
              <w:rPr>
                <w:sz w:val="18"/>
              </w:rPr>
            </w:pPr>
            <w:r>
              <w:rPr>
                <w:sz w:val="18"/>
              </w:rPr>
              <w:t>Xonacatlán</w:t>
            </w:r>
          </w:p>
        </w:tc>
        <w:tc>
          <w:tcPr>
            <w:tcW w:w="1644" w:type="dxa"/>
            <w:tcBorders>
              <w:bottom w:val="single" w:sz="4" w:space="0" w:color="000000"/>
            </w:tcBorders>
          </w:tcPr>
          <w:p>
            <w:pPr>
              <w:pStyle w:val="TableParagraph"/>
              <w:spacing w:before="33"/>
              <w:ind w:left="394"/>
              <w:rPr>
                <w:sz w:val="18"/>
              </w:rPr>
            </w:pPr>
            <w:r>
              <w:rPr>
                <w:sz w:val="18"/>
              </w:rPr>
              <w:t>1199</w:t>
            </w:r>
          </w:p>
        </w:tc>
        <w:tc>
          <w:tcPr>
            <w:tcW w:w="2932" w:type="dxa"/>
            <w:tcBorders>
              <w:bottom w:val="single" w:sz="4" w:space="0" w:color="000000"/>
            </w:tcBorders>
          </w:tcPr>
          <w:p>
            <w:pPr>
              <w:pStyle w:val="TableParagraph"/>
              <w:spacing w:before="33"/>
              <w:ind w:left="421"/>
              <w:rPr>
                <w:sz w:val="18"/>
              </w:rPr>
            </w:pPr>
            <w:r>
              <w:rPr>
                <w:sz w:val="18"/>
              </w:rPr>
              <w:t>1535</w:t>
            </w:r>
          </w:p>
        </w:tc>
      </w:tr>
      <w:tr>
        <w:trPr>
          <w:trHeight w:val="302" w:hRule="exact"/>
        </w:trPr>
        <w:tc>
          <w:tcPr>
            <w:tcW w:w="3362" w:type="dxa"/>
            <w:tcBorders>
              <w:top w:val="single" w:sz="4" w:space="0" w:color="000000"/>
              <w:bottom w:val="single" w:sz="4" w:space="0" w:color="000000"/>
            </w:tcBorders>
          </w:tcPr>
          <w:p>
            <w:pPr>
              <w:pStyle w:val="TableParagraph"/>
              <w:spacing w:before="85"/>
              <w:ind w:left="67"/>
              <w:rPr>
                <w:sz w:val="18"/>
              </w:rPr>
            </w:pPr>
            <w:r>
              <w:rPr>
                <w:sz w:val="18"/>
              </w:rPr>
              <w:t>Municipios de interrelación funcional</w:t>
            </w:r>
          </w:p>
        </w:tc>
        <w:tc>
          <w:tcPr>
            <w:tcW w:w="1644" w:type="dxa"/>
            <w:tcBorders>
              <w:top w:val="single" w:sz="4" w:space="0" w:color="000000"/>
              <w:bottom w:val="single" w:sz="4" w:space="0" w:color="000000"/>
            </w:tcBorders>
          </w:tcPr>
          <w:p>
            <w:pPr>
              <w:pStyle w:val="TableParagraph"/>
              <w:spacing w:before="85"/>
              <w:ind w:left="394"/>
              <w:rPr>
                <w:sz w:val="18"/>
              </w:rPr>
            </w:pPr>
            <w:r>
              <w:rPr>
                <w:sz w:val="18"/>
              </w:rPr>
              <w:t>3198</w:t>
            </w:r>
          </w:p>
        </w:tc>
        <w:tc>
          <w:tcPr>
            <w:tcW w:w="2932" w:type="dxa"/>
            <w:tcBorders>
              <w:top w:val="single" w:sz="4" w:space="0" w:color="000000"/>
              <w:bottom w:val="single" w:sz="4" w:space="0" w:color="000000"/>
            </w:tcBorders>
          </w:tcPr>
          <w:p>
            <w:pPr>
              <w:pStyle w:val="TableParagraph"/>
              <w:spacing w:before="85"/>
              <w:ind w:left="421"/>
              <w:rPr>
                <w:sz w:val="18"/>
              </w:rPr>
            </w:pPr>
            <w:r>
              <w:rPr>
                <w:sz w:val="18"/>
              </w:rPr>
              <w:t>4272</w:t>
            </w:r>
          </w:p>
        </w:tc>
      </w:tr>
      <w:tr>
        <w:trPr>
          <w:trHeight w:val="349" w:hRule="exact"/>
        </w:trPr>
        <w:tc>
          <w:tcPr>
            <w:tcW w:w="3362" w:type="dxa"/>
            <w:tcBorders>
              <w:top w:val="single" w:sz="4" w:space="0" w:color="000000"/>
            </w:tcBorders>
          </w:tcPr>
          <w:p>
            <w:pPr>
              <w:pStyle w:val="TableParagraph"/>
              <w:spacing w:before="85"/>
              <w:ind w:left="67"/>
              <w:rPr>
                <w:sz w:val="18"/>
              </w:rPr>
            </w:pPr>
            <w:r>
              <w:rPr>
                <w:sz w:val="18"/>
              </w:rPr>
              <w:t>Almoloya del Río</w:t>
            </w:r>
          </w:p>
        </w:tc>
        <w:tc>
          <w:tcPr>
            <w:tcW w:w="1644" w:type="dxa"/>
            <w:tcBorders>
              <w:top w:val="single" w:sz="4" w:space="0" w:color="000000"/>
            </w:tcBorders>
          </w:tcPr>
          <w:p>
            <w:pPr>
              <w:pStyle w:val="TableParagraph"/>
              <w:spacing w:before="85"/>
              <w:ind w:left="394"/>
              <w:rPr>
                <w:sz w:val="18"/>
              </w:rPr>
            </w:pPr>
            <w:r>
              <w:rPr>
                <w:sz w:val="18"/>
              </w:rPr>
              <w:t>32</w:t>
            </w:r>
          </w:p>
        </w:tc>
        <w:tc>
          <w:tcPr>
            <w:tcW w:w="2932" w:type="dxa"/>
            <w:tcBorders>
              <w:top w:val="single" w:sz="4" w:space="0" w:color="000000"/>
            </w:tcBorders>
          </w:tcPr>
          <w:p>
            <w:pPr>
              <w:pStyle w:val="TableParagraph"/>
              <w:spacing w:before="85"/>
              <w:ind w:left="421"/>
              <w:rPr>
                <w:sz w:val="18"/>
              </w:rPr>
            </w:pPr>
            <w:r>
              <w:rPr>
                <w:sz w:val="18"/>
              </w:rPr>
              <w:t>43</w:t>
            </w:r>
          </w:p>
        </w:tc>
      </w:tr>
      <w:tr>
        <w:trPr>
          <w:trHeight w:val="292" w:hRule="exact"/>
        </w:trPr>
        <w:tc>
          <w:tcPr>
            <w:tcW w:w="3362" w:type="dxa"/>
          </w:tcPr>
          <w:p>
            <w:pPr>
              <w:pStyle w:val="TableParagraph"/>
              <w:spacing w:before="32"/>
              <w:ind w:left="67"/>
              <w:rPr>
                <w:sz w:val="18"/>
              </w:rPr>
            </w:pPr>
            <w:r>
              <w:rPr>
                <w:sz w:val="18"/>
              </w:rPr>
              <w:t>Atizapán</w:t>
            </w:r>
          </w:p>
        </w:tc>
        <w:tc>
          <w:tcPr>
            <w:tcW w:w="1644" w:type="dxa"/>
          </w:tcPr>
          <w:p>
            <w:pPr>
              <w:pStyle w:val="TableParagraph"/>
              <w:spacing w:before="32"/>
              <w:ind w:left="394"/>
              <w:rPr>
                <w:sz w:val="18"/>
              </w:rPr>
            </w:pPr>
            <w:r>
              <w:rPr>
                <w:sz w:val="18"/>
              </w:rPr>
              <w:t>22</w:t>
            </w:r>
          </w:p>
        </w:tc>
        <w:tc>
          <w:tcPr>
            <w:tcW w:w="2932" w:type="dxa"/>
          </w:tcPr>
          <w:p>
            <w:pPr>
              <w:pStyle w:val="TableParagraph"/>
              <w:spacing w:before="32"/>
              <w:ind w:left="421"/>
              <w:rPr>
                <w:sz w:val="18"/>
              </w:rPr>
            </w:pPr>
            <w:r>
              <w:rPr>
                <w:sz w:val="18"/>
              </w:rPr>
              <w:t>37</w:t>
            </w:r>
          </w:p>
        </w:tc>
      </w:tr>
      <w:tr>
        <w:trPr>
          <w:trHeight w:val="293" w:hRule="exact"/>
        </w:trPr>
        <w:tc>
          <w:tcPr>
            <w:tcW w:w="3362" w:type="dxa"/>
          </w:tcPr>
          <w:p>
            <w:pPr>
              <w:pStyle w:val="TableParagraph"/>
              <w:spacing w:before="33"/>
              <w:ind w:left="67"/>
              <w:rPr>
                <w:sz w:val="18"/>
              </w:rPr>
            </w:pPr>
            <w:r>
              <w:rPr>
                <w:sz w:val="18"/>
              </w:rPr>
              <w:t>Capulhuac</w:t>
            </w:r>
          </w:p>
        </w:tc>
        <w:tc>
          <w:tcPr>
            <w:tcW w:w="1644" w:type="dxa"/>
          </w:tcPr>
          <w:p>
            <w:pPr>
              <w:pStyle w:val="TableParagraph"/>
              <w:spacing w:before="33"/>
              <w:ind w:left="394"/>
              <w:rPr>
                <w:sz w:val="18"/>
              </w:rPr>
            </w:pPr>
            <w:r>
              <w:rPr>
                <w:sz w:val="18"/>
              </w:rPr>
              <w:t>57</w:t>
            </w:r>
          </w:p>
        </w:tc>
        <w:tc>
          <w:tcPr>
            <w:tcW w:w="2932" w:type="dxa"/>
          </w:tcPr>
          <w:p>
            <w:pPr>
              <w:pStyle w:val="TableParagraph"/>
              <w:spacing w:before="33"/>
              <w:ind w:left="421"/>
              <w:rPr>
                <w:sz w:val="18"/>
              </w:rPr>
            </w:pPr>
            <w:r>
              <w:rPr>
                <w:sz w:val="18"/>
              </w:rPr>
              <w:t>77</w:t>
            </w:r>
          </w:p>
        </w:tc>
      </w:tr>
      <w:tr>
        <w:trPr>
          <w:trHeight w:val="292" w:hRule="exact"/>
        </w:trPr>
        <w:tc>
          <w:tcPr>
            <w:tcW w:w="3362" w:type="dxa"/>
          </w:tcPr>
          <w:p>
            <w:pPr>
              <w:pStyle w:val="TableParagraph"/>
              <w:spacing w:before="33"/>
              <w:ind w:left="67"/>
              <w:rPr>
                <w:sz w:val="18"/>
              </w:rPr>
            </w:pPr>
            <w:r>
              <w:rPr>
                <w:sz w:val="18"/>
              </w:rPr>
              <w:t>Tenango del Valle</w:t>
            </w:r>
          </w:p>
        </w:tc>
        <w:tc>
          <w:tcPr>
            <w:tcW w:w="1644" w:type="dxa"/>
          </w:tcPr>
          <w:p>
            <w:pPr>
              <w:pStyle w:val="TableParagraph"/>
              <w:spacing w:before="33"/>
              <w:ind w:left="394"/>
              <w:rPr>
                <w:sz w:val="18"/>
              </w:rPr>
            </w:pPr>
            <w:r>
              <w:rPr>
                <w:sz w:val="18"/>
              </w:rPr>
              <w:t>1142</w:t>
            </w:r>
          </w:p>
        </w:tc>
        <w:tc>
          <w:tcPr>
            <w:tcW w:w="2932" w:type="dxa"/>
          </w:tcPr>
          <w:p>
            <w:pPr>
              <w:pStyle w:val="TableParagraph"/>
              <w:spacing w:before="33"/>
              <w:ind w:left="421"/>
              <w:rPr>
                <w:sz w:val="18"/>
              </w:rPr>
            </w:pPr>
            <w:r>
              <w:rPr>
                <w:sz w:val="18"/>
              </w:rPr>
              <w:t>1535</w:t>
            </w:r>
          </w:p>
        </w:tc>
      </w:tr>
      <w:tr>
        <w:trPr>
          <w:trHeight w:val="292" w:hRule="exact"/>
        </w:trPr>
        <w:tc>
          <w:tcPr>
            <w:tcW w:w="3362" w:type="dxa"/>
          </w:tcPr>
          <w:p>
            <w:pPr>
              <w:pStyle w:val="TableParagraph"/>
              <w:spacing w:before="32"/>
              <w:ind w:left="67"/>
              <w:rPr>
                <w:sz w:val="18"/>
              </w:rPr>
            </w:pPr>
            <w:r>
              <w:rPr>
                <w:sz w:val="18"/>
              </w:rPr>
              <w:t>Texcalyacac</w:t>
            </w:r>
          </w:p>
        </w:tc>
        <w:tc>
          <w:tcPr>
            <w:tcW w:w="1644" w:type="dxa"/>
          </w:tcPr>
          <w:p>
            <w:pPr>
              <w:pStyle w:val="TableParagraph"/>
              <w:spacing w:before="32"/>
              <w:ind w:left="394"/>
              <w:rPr>
                <w:sz w:val="18"/>
              </w:rPr>
            </w:pPr>
            <w:r>
              <w:rPr>
                <w:sz w:val="18"/>
              </w:rPr>
              <w:t>25</w:t>
            </w:r>
          </w:p>
        </w:tc>
        <w:tc>
          <w:tcPr>
            <w:tcW w:w="2932" w:type="dxa"/>
          </w:tcPr>
          <w:p>
            <w:pPr>
              <w:pStyle w:val="TableParagraph"/>
              <w:spacing w:before="32"/>
              <w:ind w:left="421"/>
              <w:rPr>
                <w:sz w:val="18"/>
              </w:rPr>
            </w:pPr>
            <w:r>
              <w:rPr>
                <w:sz w:val="18"/>
              </w:rPr>
              <w:t>50</w:t>
            </w:r>
          </w:p>
        </w:tc>
      </w:tr>
      <w:tr>
        <w:trPr>
          <w:trHeight w:val="293" w:hRule="exact"/>
        </w:trPr>
        <w:tc>
          <w:tcPr>
            <w:tcW w:w="3362" w:type="dxa"/>
          </w:tcPr>
          <w:p>
            <w:pPr>
              <w:pStyle w:val="TableParagraph"/>
              <w:spacing w:before="33"/>
              <w:ind w:left="67"/>
              <w:rPr>
                <w:sz w:val="18"/>
              </w:rPr>
            </w:pPr>
            <w:r>
              <w:rPr>
                <w:sz w:val="18"/>
              </w:rPr>
              <w:t>Tianguistenco</w:t>
            </w:r>
          </w:p>
        </w:tc>
        <w:tc>
          <w:tcPr>
            <w:tcW w:w="1644" w:type="dxa"/>
          </w:tcPr>
          <w:p>
            <w:pPr>
              <w:pStyle w:val="TableParagraph"/>
              <w:spacing w:before="33"/>
              <w:ind w:left="394"/>
              <w:rPr>
                <w:sz w:val="18"/>
              </w:rPr>
            </w:pPr>
            <w:r>
              <w:rPr>
                <w:sz w:val="18"/>
              </w:rPr>
              <w:t>382</w:t>
            </w:r>
          </w:p>
        </w:tc>
        <w:tc>
          <w:tcPr>
            <w:tcW w:w="2932" w:type="dxa"/>
          </w:tcPr>
          <w:p>
            <w:pPr>
              <w:pStyle w:val="TableParagraph"/>
              <w:spacing w:before="33"/>
              <w:ind w:left="421"/>
              <w:rPr>
                <w:sz w:val="18"/>
              </w:rPr>
            </w:pPr>
            <w:r>
              <w:rPr>
                <w:sz w:val="18"/>
              </w:rPr>
              <w:t>532</w:t>
            </w:r>
          </w:p>
        </w:tc>
      </w:tr>
      <w:tr>
        <w:trPr>
          <w:trHeight w:val="245" w:hRule="exact"/>
        </w:trPr>
        <w:tc>
          <w:tcPr>
            <w:tcW w:w="3362" w:type="dxa"/>
            <w:tcBorders>
              <w:bottom w:val="single" w:sz="4" w:space="0" w:color="000000"/>
            </w:tcBorders>
          </w:tcPr>
          <w:p>
            <w:pPr>
              <w:pStyle w:val="TableParagraph"/>
              <w:spacing w:before="33"/>
              <w:ind w:left="67"/>
              <w:rPr>
                <w:sz w:val="18"/>
              </w:rPr>
            </w:pPr>
            <w:r>
              <w:rPr>
                <w:sz w:val="18"/>
              </w:rPr>
              <w:t>Xalatlaco</w:t>
            </w:r>
          </w:p>
        </w:tc>
        <w:tc>
          <w:tcPr>
            <w:tcW w:w="1644" w:type="dxa"/>
            <w:tcBorders>
              <w:bottom w:val="single" w:sz="4" w:space="0" w:color="000000"/>
            </w:tcBorders>
          </w:tcPr>
          <w:p>
            <w:pPr>
              <w:pStyle w:val="TableParagraph"/>
              <w:spacing w:before="33"/>
              <w:ind w:left="394"/>
              <w:rPr>
                <w:sz w:val="18"/>
              </w:rPr>
            </w:pPr>
            <w:r>
              <w:rPr>
                <w:sz w:val="18"/>
              </w:rPr>
              <w:t>26</w:t>
            </w:r>
          </w:p>
        </w:tc>
        <w:tc>
          <w:tcPr>
            <w:tcW w:w="2932" w:type="dxa"/>
            <w:tcBorders>
              <w:bottom w:val="single" w:sz="4" w:space="0" w:color="000000"/>
            </w:tcBorders>
          </w:tcPr>
          <w:p>
            <w:pPr>
              <w:pStyle w:val="TableParagraph"/>
              <w:spacing w:before="33"/>
              <w:ind w:left="421"/>
              <w:rPr>
                <w:sz w:val="18"/>
              </w:rPr>
            </w:pPr>
            <w:r>
              <w:rPr>
                <w:sz w:val="18"/>
              </w:rPr>
              <w:t>36</w:t>
            </w:r>
          </w:p>
        </w:tc>
      </w:tr>
      <w:tr>
        <w:trPr>
          <w:trHeight w:val="218" w:hRule="exact"/>
        </w:trPr>
        <w:tc>
          <w:tcPr>
            <w:tcW w:w="3362" w:type="dxa"/>
            <w:tcBorders>
              <w:top w:val="single" w:sz="4" w:space="0" w:color="000000"/>
              <w:bottom w:val="single" w:sz="4" w:space="0" w:color="000000"/>
            </w:tcBorders>
          </w:tcPr>
          <w:p>
            <w:pPr>
              <w:pStyle w:val="TableParagraph"/>
              <w:spacing w:line="206" w:lineRule="exact"/>
              <w:ind w:left="67"/>
              <w:rPr>
                <w:sz w:val="18"/>
              </w:rPr>
            </w:pPr>
            <w:r>
              <w:rPr>
                <w:sz w:val="18"/>
              </w:rPr>
              <w:t>Resto municipios</w:t>
            </w:r>
          </w:p>
        </w:tc>
        <w:tc>
          <w:tcPr>
            <w:tcW w:w="1644" w:type="dxa"/>
            <w:tcBorders>
              <w:top w:val="single" w:sz="4" w:space="0" w:color="000000"/>
              <w:bottom w:val="single" w:sz="4" w:space="0" w:color="000000"/>
            </w:tcBorders>
          </w:tcPr>
          <w:p>
            <w:pPr>
              <w:pStyle w:val="TableParagraph"/>
              <w:spacing w:line="206" w:lineRule="exact"/>
              <w:ind w:left="394"/>
              <w:rPr>
                <w:sz w:val="18"/>
              </w:rPr>
            </w:pPr>
            <w:r>
              <w:rPr>
                <w:sz w:val="18"/>
              </w:rPr>
              <w:t>1686</w:t>
            </w:r>
          </w:p>
        </w:tc>
        <w:tc>
          <w:tcPr>
            <w:tcW w:w="2932" w:type="dxa"/>
            <w:tcBorders>
              <w:top w:val="single" w:sz="4" w:space="0" w:color="000000"/>
              <w:bottom w:val="single" w:sz="4" w:space="0" w:color="000000"/>
            </w:tcBorders>
          </w:tcPr>
          <w:p>
            <w:pPr>
              <w:pStyle w:val="TableParagraph"/>
              <w:spacing w:line="206" w:lineRule="exact"/>
              <w:ind w:left="421"/>
              <w:rPr>
                <w:sz w:val="18"/>
              </w:rPr>
            </w:pPr>
            <w:r>
              <w:rPr>
                <w:sz w:val="18"/>
              </w:rPr>
              <w:t>2310</w:t>
            </w:r>
          </w:p>
        </w:tc>
      </w:tr>
    </w:tbl>
    <w:p>
      <w:pPr>
        <w:spacing w:line="227" w:lineRule="exact" w:before="0"/>
        <w:ind w:left="214" w:right="299" w:firstLine="0"/>
        <w:jc w:val="center"/>
        <w:rPr>
          <w:sz w:val="20"/>
        </w:rPr>
      </w:pPr>
      <w:r>
        <w:rPr>
          <w:sz w:val="20"/>
        </w:rPr>
        <w:t>Fuente: Elaboración propia con información de la Junta de Caminos del Estado de México 2007.</w:t>
      </w:r>
    </w:p>
    <w:p>
      <w:pPr>
        <w:pStyle w:val="BodyText"/>
        <w:spacing w:before="9"/>
        <w:rPr>
          <w:sz w:val="19"/>
        </w:rPr>
      </w:pPr>
    </w:p>
    <w:p>
      <w:pPr>
        <w:spacing w:before="1" w:after="3"/>
        <w:ind w:left="215" w:right="299" w:firstLine="0"/>
        <w:jc w:val="center"/>
        <w:rPr>
          <w:sz w:val="20"/>
        </w:rPr>
      </w:pPr>
      <w:r>
        <w:rPr>
          <w:sz w:val="20"/>
        </w:rPr>
        <w:t>Cuadro A 4.19 Municipios origen de  desplazamientos nacionales</w:t>
      </w:r>
    </w:p>
    <w:tbl>
      <w:tblPr>
        <w:tblW w:w="0" w:type="auto"/>
        <w:jc w:val="left"/>
        <w:tblInd w:w="1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485"/>
        <w:gridCol w:w="1544"/>
        <w:gridCol w:w="1528"/>
        <w:gridCol w:w="1540"/>
        <w:gridCol w:w="1557"/>
        <w:gridCol w:w="1328"/>
      </w:tblGrid>
      <w:tr>
        <w:trPr>
          <w:trHeight w:val="362" w:hRule="exact"/>
        </w:trPr>
        <w:tc>
          <w:tcPr>
            <w:tcW w:w="1485" w:type="dxa"/>
            <w:tcBorders>
              <w:left w:val="nil"/>
              <w:right w:val="nil"/>
            </w:tcBorders>
          </w:tcPr>
          <w:p>
            <w:pPr>
              <w:pStyle w:val="TableParagraph"/>
              <w:spacing w:before="145"/>
              <w:ind w:left="84" w:right="390"/>
              <w:rPr>
                <w:sz w:val="18"/>
              </w:rPr>
            </w:pPr>
            <w:r>
              <w:rPr>
                <w:sz w:val="18"/>
              </w:rPr>
              <w:t>MUNICIPIO</w:t>
            </w:r>
          </w:p>
        </w:tc>
        <w:tc>
          <w:tcPr>
            <w:tcW w:w="1544" w:type="dxa"/>
            <w:tcBorders>
              <w:left w:val="nil"/>
            </w:tcBorders>
          </w:tcPr>
          <w:p>
            <w:pPr>
              <w:pStyle w:val="TableParagraph"/>
              <w:spacing w:before="145"/>
              <w:ind w:left="173"/>
              <w:rPr>
                <w:sz w:val="18"/>
              </w:rPr>
            </w:pPr>
            <w:r>
              <w:rPr>
                <w:sz w:val="18"/>
              </w:rPr>
              <w:t>FRECUENCIA</w:t>
            </w:r>
          </w:p>
        </w:tc>
        <w:tc>
          <w:tcPr>
            <w:tcW w:w="1528" w:type="dxa"/>
            <w:tcBorders>
              <w:right w:val="nil"/>
            </w:tcBorders>
          </w:tcPr>
          <w:p>
            <w:pPr>
              <w:pStyle w:val="TableParagraph"/>
              <w:spacing w:before="145"/>
              <w:ind w:left="64" w:right="268"/>
              <w:rPr>
                <w:sz w:val="18"/>
              </w:rPr>
            </w:pPr>
            <w:r>
              <w:rPr>
                <w:sz w:val="18"/>
              </w:rPr>
              <w:t>MUNICIPIO</w:t>
            </w:r>
          </w:p>
        </w:tc>
        <w:tc>
          <w:tcPr>
            <w:tcW w:w="1540" w:type="dxa"/>
            <w:tcBorders>
              <w:left w:val="nil"/>
            </w:tcBorders>
          </w:tcPr>
          <w:p>
            <w:pPr>
              <w:pStyle w:val="TableParagraph"/>
              <w:spacing w:before="145"/>
              <w:ind w:left="166"/>
              <w:rPr>
                <w:sz w:val="18"/>
              </w:rPr>
            </w:pPr>
            <w:r>
              <w:rPr>
                <w:sz w:val="18"/>
              </w:rPr>
              <w:t>FRECUENCIA</w:t>
            </w:r>
          </w:p>
        </w:tc>
        <w:tc>
          <w:tcPr>
            <w:tcW w:w="1557" w:type="dxa"/>
            <w:tcBorders>
              <w:right w:val="nil"/>
            </w:tcBorders>
          </w:tcPr>
          <w:p>
            <w:pPr>
              <w:pStyle w:val="TableParagraph"/>
              <w:spacing w:before="145"/>
              <w:ind w:left="62"/>
              <w:rPr>
                <w:sz w:val="18"/>
              </w:rPr>
            </w:pPr>
            <w:r>
              <w:rPr>
                <w:sz w:val="18"/>
              </w:rPr>
              <w:t>MUNICIPIO</w:t>
            </w:r>
          </w:p>
        </w:tc>
        <w:tc>
          <w:tcPr>
            <w:tcW w:w="1328" w:type="dxa"/>
            <w:tcBorders>
              <w:left w:val="nil"/>
              <w:right w:val="nil"/>
            </w:tcBorders>
          </w:tcPr>
          <w:p>
            <w:pPr>
              <w:pStyle w:val="TableParagraph"/>
              <w:spacing w:before="145"/>
              <w:ind w:left="87"/>
              <w:rPr>
                <w:sz w:val="18"/>
              </w:rPr>
            </w:pPr>
            <w:r>
              <w:rPr>
                <w:sz w:val="18"/>
              </w:rPr>
              <w:t>FRECUENCIA</w:t>
            </w:r>
          </w:p>
        </w:tc>
      </w:tr>
      <w:tr>
        <w:trPr>
          <w:trHeight w:val="473" w:hRule="exact"/>
        </w:trPr>
        <w:tc>
          <w:tcPr>
            <w:tcW w:w="1485" w:type="dxa"/>
            <w:tcBorders>
              <w:left w:val="nil"/>
              <w:bottom w:val="nil"/>
              <w:right w:val="nil"/>
            </w:tcBorders>
          </w:tcPr>
          <w:p>
            <w:pPr>
              <w:pStyle w:val="TableParagraph"/>
              <w:ind w:left="84" w:right="390"/>
              <w:rPr>
                <w:sz w:val="18"/>
              </w:rPr>
            </w:pPr>
            <w:r>
              <w:rPr>
                <w:sz w:val="18"/>
              </w:rPr>
              <w:t>Almoloya de Juárez</w:t>
            </w:r>
          </w:p>
        </w:tc>
        <w:tc>
          <w:tcPr>
            <w:tcW w:w="1544" w:type="dxa"/>
            <w:tcBorders>
              <w:left w:val="nil"/>
              <w:bottom w:val="nil"/>
            </w:tcBorders>
          </w:tcPr>
          <w:p>
            <w:pPr>
              <w:pStyle w:val="TableParagraph"/>
              <w:spacing w:before="10"/>
              <w:ind w:left="0"/>
              <w:rPr>
                <w:sz w:val="17"/>
              </w:rPr>
            </w:pPr>
          </w:p>
          <w:p>
            <w:pPr>
              <w:pStyle w:val="TableParagraph"/>
              <w:ind w:left="173"/>
              <w:rPr>
                <w:sz w:val="18"/>
              </w:rPr>
            </w:pPr>
            <w:r>
              <w:rPr>
                <w:sz w:val="18"/>
              </w:rPr>
              <w:t>76</w:t>
            </w:r>
          </w:p>
        </w:tc>
        <w:tc>
          <w:tcPr>
            <w:tcW w:w="1528" w:type="dxa"/>
            <w:tcBorders>
              <w:bottom w:val="nil"/>
              <w:right w:val="nil"/>
            </w:tcBorders>
          </w:tcPr>
          <w:p>
            <w:pPr>
              <w:pStyle w:val="TableParagraph"/>
              <w:spacing w:before="10"/>
              <w:ind w:left="0"/>
              <w:rPr>
                <w:sz w:val="17"/>
              </w:rPr>
            </w:pPr>
          </w:p>
          <w:p>
            <w:pPr>
              <w:pStyle w:val="TableParagraph"/>
              <w:ind w:left="64" w:right="268"/>
              <w:rPr>
                <w:sz w:val="18"/>
              </w:rPr>
            </w:pPr>
            <w:r>
              <w:rPr>
                <w:sz w:val="18"/>
              </w:rPr>
              <w:t>Chapultepec</w:t>
            </w:r>
          </w:p>
        </w:tc>
        <w:tc>
          <w:tcPr>
            <w:tcW w:w="1540" w:type="dxa"/>
            <w:tcBorders>
              <w:left w:val="nil"/>
              <w:bottom w:val="nil"/>
            </w:tcBorders>
          </w:tcPr>
          <w:p>
            <w:pPr>
              <w:pStyle w:val="TableParagraph"/>
              <w:spacing w:before="10"/>
              <w:ind w:left="0"/>
              <w:rPr>
                <w:sz w:val="17"/>
              </w:rPr>
            </w:pPr>
          </w:p>
          <w:p>
            <w:pPr>
              <w:pStyle w:val="TableParagraph"/>
              <w:ind w:left="166"/>
              <w:rPr>
                <w:sz w:val="18"/>
              </w:rPr>
            </w:pPr>
            <w:r>
              <w:rPr>
                <w:w w:val="99"/>
                <w:sz w:val="18"/>
              </w:rPr>
              <w:t>3</w:t>
            </w:r>
          </w:p>
        </w:tc>
        <w:tc>
          <w:tcPr>
            <w:tcW w:w="1557" w:type="dxa"/>
            <w:tcBorders>
              <w:bottom w:val="nil"/>
              <w:right w:val="nil"/>
            </w:tcBorders>
          </w:tcPr>
          <w:p>
            <w:pPr>
              <w:pStyle w:val="TableParagraph"/>
              <w:spacing w:before="10"/>
              <w:ind w:left="0"/>
              <w:rPr>
                <w:sz w:val="17"/>
              </w:rPr>
            </w:pPr>
          </w:p>
          <w:p>
            <w:pPr>
              <w:pStyle w:val="TableParagraph"/>
              <w:ind w:left="62"/>
              <w:rPr>
                <w:sz w:val="18"/>
              </w:rPr>
            </w:pPr>
            <w:r>
              <w:rPr>
                <w:sz w:val="18"/>
              </w:rPr>
              <w:t>Almoloya del Río</w:t>
            </w:r>
          </w:p>
        </w:tc>
        <w:tc>
          <w:tcPr>
            <w:tcW w:w="1328" w:type="dxa"/>
            <w:tcBorders>
              <w:left w:val="nil"/>
              <w:bottom w:val="nil"/>
              <w:right w:val="nil"/>
            </w:tcBorders>
          </w:tcPr>
          <w:p>
            <w:pPr>
              <w:pStyle w:val="TableParagraph"/>
              <w:spacing w:before="10"/>
              <w:ind w:left="0"/>
              <w:rPr>
                <w:sz w:val="17"/>
              </w:rPr>
            </w:pPr>
          </w:p>
          <w:p>
            <w:pPr>
              <w:pStyle w:val="TableParagraph"/>
              <w:ind w:left="87"/>
              <w:rPr>
                <w:sz w:val="18"/>
              </w:rPr>
            </w:pPr>
            <w:r>
              <w:rPr>
                <w:w w:val="99"/>
                <w:sz w:val="18"/>
              </w:rPr>
              <w:t>1</w:t>
            </w:r>
          </w:p>
        </w:tc>
      </w:tr>
      <w:tr>
        <w:trPr>
          <w:trHeight w:val="300" w:hRule="exact"/>
        </w:trPr>
        <w:tc>
          <w:tcPr>
            <w:tcW w:w="1485" w:type="dxa"/>
            <w:tcBorders>
              <w:top w:val="nil"/>
              <w:left w:val="nil"/>
              <w:bottom w:val="nil"/>
              <w:right w:val="nil"/>
            </w:tcBorders>
          </w:tcPr>
          <w:p>
            <w:pPr>
              <w:pStyle w:val="TableParagraph"/>
              <w:spacing w:before="37"/>
              <w:ind w:left="84" w:right="390"/>
              <w:rPr>
                <w:sz w:val="18"/>
              </w:rPr>
            </w:pPr>
            <w:r>
              <w:rPr>
                <w:sz w:val="18"/>
              </w:rPr>
              <w:t>Calimaya</w:t>
            </w:r>
          </w:p>
        </w:tc>
        <w:tc>
          <w:tcPr>
            <w:tcW w:w="1544" w:type="dxa"/>
            <w:tcBorders>
              <w:top w:val="nil"/>
              <w:left w:val="nil"/>
              <w:bottom w:val="nil"/>
            </w:tcBorders>
          </w:tcPr>
          <w:p>
            <w:pPr>
              <w:pStyle w:val="TableParagraph"/>
              <w:spacing w:before="37"/>
              <w:ind w:left="173"/>
              <w:rPr>
                <w:sz w:val="18"/>
              </w:rPr>
            </w:pPr>
            <w:r>
              <w:rPr>
                <w:sz w:val="18"/>
              </w:rPr>
              <w:t>61</w:t>
            </w:r>
          </w:p>
        </w:tc>
        <w:tc>
          <w:tcPr>
            <w:tcW w:w="1528" w:type="dxa"/>
            <w:tcBorders>
              <w:top w:val="nil"/>
              <w:bottom w:val="nil"/>
              <w:right w:val="nil"/>
            </w:tcBorders>
          </w:tcPr>
          <w:p>
            <w:pPr>
              <w:pStyle w:val="TableParagraph"/>
              <w:spacing w:before="37"/>
              <w:ind w:left="64" w:right="268"/>
              <w:rPr>
                <w:sz w:val="18"/>
              </w:rPr>
            </w:pPr>
            <w:r>
              <w:rPr>
                <w:sz w:val="18"/>
              </w:rPr>
              <w:t>Ocoyoacac</w:t>
            </w:r>
          </w:p>
        </w:tc>
        <w:tc>
          <w:tcPr>
            <w:tcW w:w="1540" w:type="dxa"/>
            <w:tcBorders>
              <w:top w:val="nil"/>
              <w:left w:val="nil"/>
              <w:bottom w:val="nil"/>
            </w:tcBorders>
          </w:tcPr>
          <w:p>
            <w:pPr>
              <w:pStyle w:val="TableParagraph"/>
              <w:spacing w:before="37"/>
              <w:ind w:left="166"/>
              <w:rPr>
                <w:sz w:val="18"/>
              </w:rPr>
            </w:pPr>
            <w:r>
              <w:rPr>
                <w:sz w:val="18"/>
              </w:rPr>
              <w:t>20</w:t>
            </w:r>
          </w:p>
        </w:tc>
        <w:tc>
          <w:tcPr>
            <w:tcW w:w="1557" w:type="dxa"/>
            <w:tcBorders>
              <w:top w:val="nil"/>
              <w:bottom w:val="nil"/>
              <w:right w:val="nil"/>
            </w:tcBorders>
          </w:tcPr>
          <w:p>
            <w:pPr>
              <w:pStyle w:val="TableParagraph"/>
              <w:spacing w:before="37"/>
              <w:ind w:left="62"/>
              <w:rPr>
                <w:sz w:val="18"/>
              </w:rPr>
            </w:pPr>
            <w:r>
              <w:rPr>
                <w:sz w:val="18"/>
              </w:rPr>
              <w:t>Atizapán</w:t>
            </w:r>
          </w:p>
        </w:tc>
        <w:tc>
          <w:tcPr>
            <w:tcW w:w="1328" w:type="dxa"/>
            <w:tcBorders>
              <w:top w:val="nil"/>
              <w:left w:val="nil"/>
              <w:bottom w:val="nil"/>
              <w:right w:val="nil"/>
            </w:tcBorders>
          </w:tcPr>
          <w:p>
            <w:pPr>
              <w:pStyle w:val="TableParagraph"/>
              <w:spacing w:before="37"/>
              <w:ind w:left="87"/>
              <w:rPr>
                <w:sz w:val="18"/>
              </w:rPr>
            </w:pPr>
            <w:r>
              <w:rPr>
                <w:w w:val="99"/>
                <w:sz w:val="18"/>
              </w:rPr>
              <w:t>3</w:t>
            </w:r>
          </w:p>
        </w:tc>
      </w:tr>
      <w:tr>
        <w:trPr>
          <w:trHeight w:val="253" w:hRule="exact"/>
        </w:trPr>
        <w:tc>
          <w:tcPr>
            <w:tcW w:w="1485" w:type="dxa"/>
            <w:tcBorders>
              <w:top w:val="nil"/>
              <w:left w:val="nil"/>
              <w:bottom w:val="nil"/>
              <w:right w:val="nil"/>
            </w:tcBorders>
          </w:tcPr>
          <w:p>
            <w:pPr>
              <w:pStyle w:val="TableParagraph"/>
              <w:spacing w:before="37"/>
              <w:ind w:left="84" w:right="390"/>
              <w:rPr>
                <w:sz w:val="18"/>
              </w:rPr>
            </w:pPr>
            <w:r>
              <w:rPr>
                <w:sz w:val="18"/>
              </w:rPr>
              <w:t>Lerma</w:t>
            </w:r>
          </w:p>
        </w:tc>
        <w:tc>
          <w:tcPr>
            <w:tcW w:w="1544" w:type="dxa"/>
            <w:tcBorders>
              <w:top w:val="nil"/>
              <w:left w:val="nil"/>
              <w:bottom w:val="nil"/>
            </w:tcBorders>
          </w:tcPr>
          <w:p>
            <w:pPr>
              <w:pStyle w:val="TableParagraph"/>
              <w:spacing w:before="37"/>
              <w:ind w:left="173"/>
              <w:rPr>
                <w:sz w:val="18"/>
              </w:rPr>
            </w:pPr>
            <w:r>
              <w:rPr>
                <w:sz w:val="18"/>
              </w:rPr>
              <w:t>342</w:t>
            </w:r>
          </w:p>
        </w:tc>
        <w:tc>
          <w:tcPr>
            <w:tcW w:w="1528" w:type="dxa"/>
            <w:tcBorders>
              <w:top w:val="nil"/>
              <w:bottom w:val="nil"/>
              <w:right w:val="nil"/>
            </w:tcBorders>
          </w:tcPr>
          <w:p>
            <w:pPr>
              <w:pStyle w:val="TableParagraph"/>
              <w:spacing w:before="37"/>
              <w:ind w:left="64" w:right="268"/>
              <w:rPr>
                <w:sz w:val="18"/>
              </w:rPr>
            </w:pPr>
            <w:r>
              <w:rPr>
                <w:sz w:val="18"/>
              </w:rPr>
              <w:t>Rayón</w:t>
            </w:r>
          </w:p>
        </w:tc>
        <w:tc>
          <w:tcPr>
            <w:tcW w:w="1540" w:type="dxa"/>
            <w:tcBorders>
              <w:top w:val="nil"/>
              <w:left w:val="nil"/>
              <w:bottom w:val="nil"/>
            </w:tcBorders>
          </w:tcPr>
          <w:p>
            <w:pPr>
              <w:pStyle w:val="TableParagraph"/>
              <w:spacing w:before="37"/>
              <w:ind w:left="166"/>
              <w:rPr>
                <w:sz w:val="18"/>
              </w:rPr>
            </w:pPr>
            <w:r>
              <w:rPr>
                <w:w w:val="99"/>
                <w:sz w:val="18"/>
              </w:rPr>
              <w:t>7</w:t>
            </w:r>
          </w:p>
        </w:tc>
        <w:tc>
          <w:tcPr>
            <w:tcW w:w="1557" w:type="dxa"/>
            <w:tcBorders>
              <w:top w:val="nil"/>
              <w:bottom w:val="nil"/>
              <w:right w:val="nil"/>
            </w:tcBorders>
          </w:tcPr>
          <w:p>
            <w:pPr>
              <w:pStyle w:val="TableParagraph"/>
              <w:spacing w:before="37"/>
              <w:ind w:left="62"/>
              <w:rPr>
                <w:sz w:val="18"/>
              </w:rPr>
            </w:pPr>
            <w:r>
              <w:rPr>
                <w:sz w:val="18"/>
              </w:rPr>
              <w:t>Capulhuac</w:t>
            </w:r>
          </w:p>
        </w:tc>
        <w:tc>
          <w:tcPr>
            <w:tcW w:w="1328" w:type="dxa"/>
            <w:tcBorders>
              <w:top w:val="nil"/>
              <w:left w:val="nil"/>
              <w:bottom w:val="nil"/>
              <w:right w:val="nil"/>
            </w:tcBorders>
          </w:tcPr>
          <w:p>
            <w:pPr>
              <w:pStyle w:val="TableParagraph"/>
              <w:spacing w:before="37"/>
              <w:ind w:left="87"/>
              <w:rPr>
                <w:sz w:val="18"/>
              </w:rPr>
            </w:pPr>
            <w:r>
              <w:rPr>
                <w:w w:val="99"/>
                <w:sz w:val="18"/>
              </w:rPr>
              <w:t>1</w:t>
            </w:r>
          </w:p>
        </w:tc>
      </w:tr>
      <w:tr>
        <w:trPr>
          <w:trHeight w:val="462" w:hRule="exact"/>
        </w:trPr>
        <w:tc>
          <w:tcPr>
            <w:tcW w:w="1485" w:type="dxa"/>
            <w:tcBorders>
              <w:top w:val="nil"/>
              <w:left w:val="nil"/>
              <w:bottom w:val="nil"/>
              <w:right w:val="nil"/>
            </w:tcBorders>
          </w:tcPr>
          <w:p>
            <w:pPr>
              <w:pStyle w:val="TableParagraph"/>
              <w:spacing w:before="3"/>
              <w:ind w:left="0"/>
              <w:rPr>
                <w:sz w:val="17"/>
              </w:rPr>
            </w:pPr>
          </w:p>
          <w:p>
            <w:pPr>
              <w:pStyle w:val="TableParagraph"/>
              <w:ind w:left="84" w:right="390"/>
              <w:rPr>
                <w:sz w:val="18"/>
              </w:rPr>
            </w:pPr>
            <w:r>
              <w:rPr>
                <w:sz w:val="18"/>
              </w:rPr>
              <w:t>Metepec</w:t>
            </w:r>
          </w:p>
        </w:tc>
        <w:tc>
          <w:tcPr>
            <w:tcW w:w="1544" w:type="dxa"/>
            <w:tcBorders>
              <w:top w:val="nil"/>
              <w:left w:val="nil"/>
              <w:bottom w:val="nil"/>
            </w:tcBorders>
          </w:tcPr>
          <w:p>
            <w:pPr>
              <w:pStyle w:val="TableParagraph"/>
              <w:spacing w:before="3"/>
              <w:ind w:left="0"/>
              <w:rPr>
                <w:sz w:val="17"/>
              </w:rPr>
            </w:pPr>
          </w:p>
          <w:p>
            <w:pPr>
              <w:pStyle w:val="TableParagraph"/>
              <w:ind w:left="173"/>
              <w:rPr>
                <w:sz w:val="18"/>
              </w:rPr>
            </w:pPr>
            <w:r>
              <w:rPr>
                <w:sz w:val="18"/>
              </w:rPr>
              <w:t>302</w:t>
            </w:r>
          </w:p>
        </w:tc>
        <w:tc>
          <w:tcPr>
            <w:tcW w:w="1528" w:type="dxa"/>
            <w:tcBorders>
              <w:top w:val="nil"/>
              <w:bottom w:val="nil"/>
              <w:right w:val="nil"/>
            </w:tcBorders>
          </w:tcPr>
          <w:p>
            <w:pPr>
              <w:pStyle w:val="TableParagraph"/>
              <w:spacing w:line="242" w:lineRule="auto"/>
              <w:ind w:left="64" w:right="268"/>
              <w:rPr>
                <w:sz w:val="18"/>
              </w:rPr>
            </w:pPr>
            <w:r>
              <w:rPr>
                <w:sz w:val="18"/>
              </w:rPr>
              <w:t>San Antonio la Isla</w:t>
            </w:r>
          </w:p>
        </w:tc>
        <w:tc>
          <w:tcPr>
            <w:tcW w:w="1540" w:type="dxa"/>
            <w:tcBorders>
              <w:top w:val="nil"/>
              <w:left w:val="nil"/>
              <w:bottom w:val="nil"/>
            </w:tcBorders>
          </w:tcPr>
          <w:p>
            <w:pPr>
              <w:pStyle w:val="TableParagraph"/>
              <w:spacing w:before="3"/>
              <w:ind w:left="0"/>
              <w:rPr>
                <w:sz w:val="17"/>
              </w:rPr>
            </w:pPr>
          </w:p>
          <w:p>
            <w:pPr>
              <w:pStyle w:val="TableParagraph"/>
              <w:ind w:left="166"/>
              <w:rPr>
                <w:sz w:val="18"/>
              </w:rPr>
            </w:pPr>
            <w:r>
              <w:rPr>
                <w:w w:val="99"/>
                <w:sz w:val="18"/>
              </w:rPr>
              <w:t>8</w:t>
            </w:r>
          </w:p>
        </w:tc>
        <w:tc>
          <w:tcPr>
            <w:tcW w:w="1557" w:type="dxa"/>
            <w:tcBorders>
              <w:top w:val="nil"/>
              <w:bottom w:val="nil"/>
              <w:right w:val="nil"/>
            </w:tcBorders>
          </w:tcPr>
          <w:p>
            <w:pPr>
              <w:pStyle w:val="TableParagraph"/>
              <w:spacing w:line="242" w:lineRule="auto"/>
              <w:ind w:left="62" w:right="469"/>
              <w:rPr>
                <w:sz w:val="18"/>
              </w:rPr>
            </w:pPr>
            <w:r>
              <w:rPr>
                <w:sz w:val="18"/>
              </w:rPr>
              <w:t>Tenango del Valle</w:t>
            </w:r>
          </w:p>
        </w:tc>
        <w:tc>
          <w:tcPr>
            <w:tcW w:w="1328" w:type="dxa"/>
            <w:tcBorders>
              <w:top w:val="nil"/>
              <w:left w:val="nil"/>
              <w:bottom w:val="nil"/>
              <w:right w:val="nil"/>
            </w:tcBorders>
          </w:tcPr>
          <w:p>
            <w:pPr>
              <w:pStyle w:val="TableParagraph"/>
              <w:spacing w:before="3"/>
              <w:ind w:left="0"/>
              <w:rPr>
                <w:sz w:val="17"/>
              </w:rPr>
            </w:pPr>
          </w:p>
          <w:p>
            <w:pPr>
              <w:pStyle w:val="TableParagraph"/>
              <w:ind w:left="87"/>
              <w:rPr>
                <w:sz w:val="18"/>
              </w:rPr>
            </w:pPr>
            <w:r>
              <w:rPr>
                <w:sz w:val="18"/>
              </w:rPr>
              <w:t>58</w:t>
            </w:r>
          </w:p>
        </w:tc>
      </w:tr>
      <w:tr>
        <w:trPr>
          <w:trHeight w:val="300" w:hRule="exact"/>
        </w:trPr>
        <w:tc>
          <w:tcPr>
            <w:tcW w:w="1485" w:type="dxa"/>
            <w:tcBorders>
              <w:top w:val="nil"/>
              <w:left w:val="nil"/>
              <w:bottom w:val="nil"/>
              <w:right w:val="nil"/>
            </w:tcBorders>
          </w:tcPr>
          <w:p>
            <w:pPr>
              <w:pStyle w:val="TableParagraph"/>
              <w:spacing w:before="37"/>
              <w:ind w:left="84" w:right="155"/>
              <w:rPr>
                <w:sz w:val="18"/>
              </w:rPr>
            </w:pPr>
            <w:r>
              <w:rPr>
                <w:sz w:val="18"/>
              </w:rPr>
              <w:t>Mexicaltzingo</w:t>
            </w:r>
          </w:p>
        </w:tc>
        <w:tc>
          <w:tcPr>
            <w:tcW w:w="1544" w:type="dxa"/>
            <w:tcBorders>
              <w:top w:val="nil"/>
              <w:left w:val="nil"/>
              <w:bottom w:val="nil"/>
            </w:tcBorders>
          </w:tcPr>
          <w:p>
            <w:pPr>
              <w:pStyle w:val="TableParagraph"/>
              <w:spacing w:before="37"/>
              <w:ind w:left="173"/>
              <w:rPr>
                <w:sz w:val="18"/>
              </w:rPr>
            </w:pPr>
            <w:r>
              <w:rPr>
                <w:sz w:val="18"/>
              </w:rPr>
              <w:t>25</w:t>
            </w:r>
          </w:p>
        </w:tc>
        <w:tc>
          <w:tcPr>
            <w:tcW w:w="1528" w:type="dxa"/>
            <w:tcBorders>
              <w:top w:val="nil"/>
              <w:bottom w:val="nil"/>
              <w:right w:val="nil"/>
            </w:tcBorders>
          </w:tcPr>
          <w:p>
            <w:pPr>
              <w:pStyle w:val="TableParagraph"/>
              <w:spacing w:before="37"/>
              <w:ind w:left="64" w:right="268"/>
              <w:rPr>
                <w:sz w:val="18"/>
              </w:rPr>
            </w:pPr>
            <w:r>
              <w:rPr>
                <w:sz w:val="18"/>
              </w:rPr>
              <w:t>Temoaya</w:t>
            </w:r>
          </w:p>
        </w:tc>
        <w:tc>
          <w:tcPr>
            <w:tcW w:w="1540" w:type="dxa"/>
            <w:tcBorders>
              <w:top w:val="nil"/>
              <w:left w:val="nil"/>
              <w:bottom w:val="nil"/>
            </w:tcBorders>
          </w:tcPr>
          <w:p>
            <w:pPr>
              <w:pStyle w:val="TableParagraph"/>
              <w:spacing w:before="37"/>
              <w:ind w:left="166"/>
              <w:rPr>
                <w:sz w:val="18"/>
              </w:rPr>
            </w:pPr>
            <w:r>
              <w:rPr>
                <w:sz w:val="18"/>
              </w:rPr>
              <w:t>46</w:t>
            </w:r>
          </w:p>
        </w:tc>
        <w:tc>
          <w:tcPr>
            <w:tcW w:w="1557" w:type="dxa"/>
            <w:tcBorders>
              <w:top w:val="nil"/>
              <w:bottom w:val="nil"/>
              <w:right w:val="nil"/>
            </w:tcBorders>
          </w:tcPr>
          <w:p>
            <w:pPr>
              <w:pStyle w:val="TableParagraph"/>
              <w:spacing w:before="37"/>
              <w:ind w:left="62"/>
              <w:rPr>
                <w:sz w:val="18"/>
              </w:rPr>
            </w:pPr>
            <w:r>
              <w:rPr>
                <w:sz w:val="18"/>
              </w:rPr>
              <w:t>Tianguistenco</w:t>
            </w:r>
          </w:p>
        </w:tc>
        <w:tc>
          <w:tcPr>
            <w:tcW w:w="1328" w:type="dxa"/>
            <w:tcBorders>
              <w:top w:val="nil"/>
              <w:left w:val="nil"/>
              <w:bottom w:val="nil"/>
              <w:right w:val="nil"/>
            </w:tcBorders>
          </w:tcPr>
          <w:p>
            <w:pPr>
              <w:pStyle w:val="TableParagraph"/>
              <w:spacing w:before="37"/>
              <w:ind w:left="87"/>
              <w:rPr>
                <w:sz w:val="18"/>
              </w:rPr>
            </w:pPr>
            <w:r>
              <w:rPr>
                <w:sz w:val="18"/>
              </w:rPr>
              <w:t>18</w:t>
            </w:r>
          </w:p>
        </w:tc>
      </w:tr>
      <w:tr>
        <w:trPr>
          <w:trHeight w:val="253" w:hRule="exact"/>
        </w:trPr>
        <w:tc>
          <w:tcPr>
            <w:tcW w:w="1485" w:type="dxa"/>
            <w:tcBorders>
              <w:top w:val="nil"/>
              <w:left w:val="nil"/>
              <w:bottom w:val="nil"/>
              <w:right w:val="nil"/>
            </w:tcBorders>
          </w:tcPr>
          <w:p>
            <w:pPr>
              <w:pStyle w:val="TableParagraph"/>
              <w:spacing w:before="37"/>
              <w:ind w:left="84" w:right="390"/>
              <w:rPr>
                <w:sz w:val="18"/>
              </w:rPr>
            </w:pPr>
            <w:r>
              <w:rPr>
                <w:sz w:val="18"/>
              </w:rPr>
              <w:t>Otzolotepec</w:t>
            </w:r>
          </w:p>
        </w:tc>
        <w:tc>
          <w:tcPr>
            <w:tcW w:w="1544" w:type="dxa"/>
            <w:tcBorders>
              <w:top w:val="nil"/>
              <w:left w:val="nil"/>
              <w:bottom w:val="nil"/>
            </w:tcBorders>
          </w:tcPr>
          <w:p>
            <w:pPr>
              <w:pStyle w:val="TableParagraph"/>
              <w:spacing w:before="37"/>
              <w:ind w:left="173"/>
              <w:rPr>
                <w:sz w:val="18"/>
              </w:rPr>
            </w:pPr>
            <w:r>
              <w:rPr>
                <w:sz w:val="18"/>
              </w:rPr>
              <w:t>58</w:t>
            </w:r>
          </w:p>
        </w:tc>
        <w:tc>
          <w:tcPr>
            <w:tcW w:w="1528" w:type="dxa"/>
            <w:tcBorders>
              <w:top w:val="nil"/>
              <w:bottom w:val="nil"/>
              <w:right w:val="nil"/>
            </w:tcBorders>
          </w:tcPr>
          <w:p>
            <w:pPr>
              <w:pStyle w:val="TableParagraph"/>
              <w:spacing w:before="37"/>
              <w:ind w:left="64" w:right="268"/>
              <w:rPr>
                <w:sz w:val="18"/>
              </w:rPr>
            </w:pPr>
            <w:r>
              <w:rPr>
                <w:sz w:val="18"/>
              </w:rPr>
              <w:t>Xonacatlán</w:t>
            </w:r>
          </w:p>
        </w:tc>
        <w:tc>
          <w:tcPr>
            <w:tcW w:w="1540" w:type="dxa"/>
            <w:tcBorders>
              <w:top w:val="nil"/>
              <w:left w:val="nil"/>
              <w:bottom w:val="nil"/>
            </w:tcBorders>
          </w:tcPr>
          <w:p>
            <w:pPr>
              <w:pStyle w:val="TableParagraph"/>
              <w:spacing w:before="37"/>
              <w:ind w:left="166"/>
              <w:rPr>
                <w:sz w:val="18"/>
              </w:rPr>
            </w:pPr>
            <w:r>
              <w:rPr>
                <w:sz w:val="18"/>
              </w:rPr>
              <w:t>68</w:t>
            </w:r>
          </w:p>
        </w:tc>
        <w:tc>
          <w:tcPr>
            <w:tcW w:w="1557" w:type="dxa"/>
            <w:tcBorders>
              <w:top w:val="nil"/>
              <w:bottom w:val="nil"/>
              <w:right w:val="nil"/>
            </w:tcBorders>
          </w:tcPr>
          <w:p>
            <w:pPr>
              <w:pStyle w:val="TableParagraph"/>
              <w:spacing w:before="37"/>
              <w:ind w:left="62"/>
              <w:rPr>
                <w:sz w:val="18"/>
              </w:rPr>
            </w:pPr>
            <w:r>
              <w:rPr>
                <w:sz w:val="18"/>
              </w:rPr>
              <w:t>Xalatlaco</w:t>
            </w:r>
          </w:p>
        </w:tc>
        <w:tc>
          <w:tcPr>
            <w:tcW w:w="1328" w:type="dxa"/>
            <w:tcBorders>
              <w:top w:val="nil"/>
              <w:left w:val="nil"/>
              <w:bottom w:val="nil"/>
              <w:right w:val="nil"/>
            </w:tcBorders>
          </w:tcPr>
          <w:p>
            <w:pPr>
              <w:pStyle w:val="TableParagraph"/>
              <w:spacing w:before="37"/>
              <w:ind w:left="87"/>
              <w:rPr>
                <w:sz w:val="18"/>
              </w:rPr>
            </w:pPr>
            <w:r>
              <w:rPr>
                <w:w w:val="99"/>
                <w:sz w:val="18"/>
              </w:rPr>
              <w:t>1</w:t>
            </w:r>
          </w:p>
        </w:tc>
      </w:tr>
      <w:tr>
        <w:trPr>
          <w:trHeight w:val="460" w:hRule="exact"/>
        </w:trPr>
        <w:tc>
          <w:tcPr>
            <w:tcW w:w="1485" w:type="dxa"/>
            <w:tcBorders>
              <w:top w:val="nil"/>
              <w:left w:val="nil"/>
              <w:bottom w:val="nil"/>
              <w:right w:val="nil"/>
            </w:tcBorders>
          </w:tcPr>
          <w:p>
            <w:pPr>
              <w:pStyle w:val="TableParagraph"/>
              <w:ind w:left="84" w:right="510"/>
              <w:rPr>
                <w:sz w:val="18"/>
              </w:rPr>
            </w:pPr>
            <w:r>
              <w:rPr>
                <w:sz w:val="18"/>
              </w:rPr>
              <w:t>San Mateo Atenco</w:t>
            </w:r>
          </w:p>
        </w:tc>
        <w:tc>
          <w:tcPr>
            <w:tcW w:w="1544" w:type="dxa"/>
            <w:tcBorders>
              <w:top w:val="nil"/>
              <w:left w:val="nil"/>
              <w:bottom w:val="nil"/>
            </w:tcBorders>
          </w:tcPr>
          <w:p>
            <w:pPr>
              <w:pStyle w:val="TableParagraph"/>
              <w:spacing w:before="1"/>
              <w:ind w:left="0"/>
              <w:rPr>
                <w:sz w:val="17"/>
              </w:rPr>
            </w:pPr>
          </w:p>
          <w:p>
            <w:pPr>
              <w:pStyle w:val="TableParagraph"/>
              <w:ind w:left="173"/>
              <w:rPr>
                <w:sz w:val="18"/>
              </w:rPr>
            </w:pPr>
            <w:r>
              <w:rPr>
                <w:sz w:val="18"/>
              </w:rPr>
              <w:t>212</w:t>
            </w:r>
          </w:p>
        </w:tc>
        <w:tc>
          <w:tcPr>
            <w:tcW w:w="1528" w:type="dxa"/>
            <w:tcBorders>
              <w:top w:val="nil"/>
              <w:bottom w:val="nil"/>
              <w:right w:val="nil"/>
            </w:tcBorders>
          </w:tcPr>
          <w:p>
            <w:pPr/>
          </w:p>
        </w:tc>
        <w:tc>
          <w:tcPr>
            <w:tcW w:w="1540" w:type="dxa"/>
            <w:tcBorders>
              <w:top w:val="nil"/>
              <w:left w:val="nil"/>
              <w:bottom w:val="nil"/>
            </w:tcBorders>
          </w:tcPr>
          <w:p>
            <w:pPr/>
          </w:p>
        </w:tc>
        <w:tc>
          <w:tcPr>
            <w:tcW w:w="1557" w:type="dxa"/>
            <w:tcBorders>
              <w:top w:val="nil"/>
              <w:bottom w:val="nil"/>
              <w:right w:val="nil"/>
            </w:tcBorders>
          </w:tcPr>
          <w:p>
            <w:pPr/>
          </w:p>
        </w:tc>
        <w:tc>
          <w:tcPr>
            <w:tcW w:w="1328" w:type="dxa"/>
            <w:tcBorders>
              <w:top w:val="nil"/>
              <w:left w:val="nil"/>
              <w:bottom w:val="nil"/>
              <w:right w:val="nil"/>
            </w:tcBorders>
          </w:tcPr>
          <w:p>
            <w:pPr/>
          </w:p>
        </w:tc>
      </w:tr>
      <w:tr>
        <w:trPr>
          <w:trHeight w:val="300" w:hRule="exact"/>
        </w:trPr>
        <w:tc>
          <w:tcPr>
            <w:tcW w:w="1485" w:type="dxa"/>
            <w:tcBorders>
              <w:top w:val="nil"/>
              <w:left w:val="nil"/>
              <w:bottom w:val="nil"/>
              <w:right w:val="nil"/>
            </w:tcBorders>
          </w:tcPr>
          <w:p>
            <w:pPr>
              <w:pStyle w:val="TableParagraph"/>
              <w:spacing w:before="37"/>
              <w:ind w:left="84" w:right="390"/>
              <w:rPr>
                <w:sz w:val="18"/>
              </w:rPr>
            </w:pPr>
            <w:r>
              <w:rPr>
                <w:sz w:val="18"/>
              </w:rPr>
              <w:t>Toluca</w:t>
            </w:r>
          </w:p>
        </w:tc>
        <w:tc>
          <w:tcPr>
            <w:tcW w:w="1544" w:type="dxa"/>
            <w:tcBorders>
              <w:top w:val="nil"/>
              <w:left w:val="nil"/>
              <w:bottom w:val="nil"/>
            </w:tcBorders>
          </w:tcPr>
          <w:p>
            <w:pPr>
              <w:pStyle w:val="TableParagraph"/>
              <w:spacing w:before="37"/>
              <w:ind w:left="173"/>
              <w:rPr>
                <w:sz w:val="18"/>
              </w:rPr>
            </w:pPr>
            <w:r>
              <w:rPr>
                <w:sz w:val="18"/>
              </w:rPr>
              <w:t>3488</w:t>
            </w:r>
          </w:p>
        </w:tc>
        <w:tc>
          <w:tcPr>
            <w:tcW w:w="1528" w:type="dxa"/>
            <w:tcBorders>
              <w:top w:val="nil"/>
              <w:bottom w:val="nil"/>
              <w:right w:val="nil"/>
            </w:tcBorders>
          </w:tcPr>
          <w:p>
            <w:pPr/>
          </w:p>
        </w:tc>
        <w:tc>
          <w:tcPr>
            <w:tcW w:w="1540" w:type="dxa"/>
            <w:tcBorders>
              <w:top w:val="nil"/>
              <w:left w:val="nil"/>
              <w:bottom w:val="nil"/>
            </w:tcBorders>
          </w:tcPr>
          <w:p>
            <w:pPr/>
          </w:p>
        </w:tc>
        <w:tc>
          <w:tcPr>
            <w:tcW w:w="1557" w:type="dxa"/>
            <w:tcBorders>
              <w:top w:val="nil"/>
              <w:bottom w:val="nil"/>
              <w:right w:val="nil"/>
            </w:tcBorders>
          </w:tcPr>
          <w:p>
            <w:pPr/>
          </w:p>
        </w:tc>
        <w:tc>
          <w:tcPr>
            <w:tcW w:w="1328" w:type="dxa"/>
            <w:tcBorders>
              <w:top w:val="nil"/>
              <w:left w:val="nil"/>
              <w:bottom w:val="nil"/>
              <w:right w:val="nil"/>
            </w:tcBorders>
          </w:tcPr>
          <w:p>
            <w:pPr/>
          </w:p>
        </w:tc>
      </w:tr>
      <w:tr>
        <w:trPr>
          <w:trHeight w:val="249" w:hRule="exact"/>
        </w:trPr>
        <w:tc>
          <w:tcPr>
            <w:tcW w:w="1485" w:type="dxa"/>
            <w:tcBorders>
              <w:top w:val="nil"/>
              <w:left w:val="nil"/>
              <w:right w:val="nil"/>
            </w:tcBorders>
          </w:tcPr>
          <w:p>
            <w:pPr>
              <w:pStyle w:val="TableParagraph"/>
              <w:spacing w:before="37"/>
              <w:ind w:left="84" w:right="155"/>
              <w:rPr>
                <w:sz w:val="18"/>
              </w:rPr>
            </w:pPr>
            <w:r>
              <w:rPr>
                <w:sz w:val="18"/>
              </w:rPr>
              <w:t>Zinacantepec</w:t>
            </w:r>
          </w:p>
        </w:tc>
        <w:tc>
          <w:tcPr>
            <w:tcW w:w="1544" w:type="dxa"/>
            <w:tcBorders>
              <w:top w:val="nil"/>
              <w:left w:val="nil"/>
            </w:tcBorders>
          </w:tcPr>
          <w:p>
            <w:pPr>
              <w:pStyle w:val="TableParagraph"/>
              <w:spacing w:before="37"/>
              <w:ind w:left="173"/>
              <w:rPr>
                <w:sz w:val="18"/>
              </w:rPr>
            </w:pPr>
            <w:r>
              <w:rPr>
                <w:sz w:val="18"/>
              </w:rPr>
              <w:t>121</w:t>
            </w:r>
          </w:p>
        </w:tc>
        <w:tc>
          <w:tcPr>
            <w:tcW w:w="1528" w:type="dxa"/>
            <w:tcBorders>
              <w:top w:val="nil"/>
              <w:right w:val="nil"/>
            </w:tcBorders>
          </w:tcPr>
          <w:p>
            <w:pPr/>
          </w:p>
        </w:tc>
        <w:tc>
          <w:tcPr>
            <w:tcW w:w="1540" w:type="dxa"/>
            <w:tcBorders>
              <w:top w:val="nil"/>
              <w:left w:val="nil"/>
            </w:tcBorders>
          </w:tcPr>
          <w:p>
            <w:pPr/>
          </w:p>
        </w:tc>
        <w:tc>
          <w:tcPr>
            <w:tcW w:w="1557" w:type="dxa"/>
            <w:tcBorders>
              <w:top w:val="nil"/>
              <w:right w:val="nil"/>
            </w:tcBorders>
          </w:tcPr>
          <w:p>
            <w:pPr/>
          </w:p>
        </w:tc>
        <w:tc>
          <w:tcPr>
            <w:tcW w:w="1328" w:type="dxa"/>
            <w:tcBorders>
              <w:top w:val="nil"/>
              <w:left w:val="nil"/>
              <w:right w:val="nil"/>
            </w:tcBorders>
          </w:tcPr>
          <w:p>
            <w:pPr/>
          </w:p>
        </w:tc>
      </w:tr>
      <w:tr>
        <w:trPr>
          <w:trHeight w:val="840" w:hRule="exact"/>
        </w:trPr>
        <w:tc>
          <w:tcPr>
            <w:tcW w:w="1485" w:type="dxa"/>
            <w:tcBorders>
              <w:left w:val="nil"/>
              <w:right w:val="nil"/>
            </w:tcBorders>
          </w:tcPr>
          <w:p>
            <w:pPr>
              <w:pStyle w:val="TableParagraph"/>
              <w:ind w:left="0"/>
              <w:rPr>
                <w:sz w:val="18"/>
              </w:rPr>
            </w:pPr>
          </w:p>
          <w:p>
            <w:pPr>
              <w:pStyle w:val="TableParagraph"/>
              <w:ind w:left="0"/>
              <w:rPr>
                <w:sz w:val="18"/>
              </w:rPr>
            </w:pPr>
          </w:p>
          <w:p>
            <w:pPr>
              <w:pStyle w:val="TableParagraph"/>
              <w:ind w:left="441" w:right="155" w:hanging="152"/>
              <w:rPr>
                <w:sz w:val="18"/>
              </w:rPr>
            </w:pPr>
            <w:r>
              <w:rPr>
                <w:sz w:val="18"/>
              </w:rPr>
              <w:t>Área Urbana Continua</w:t>
            </w:r>
          </w:p>
        </w:tc>
        <w:tc>
          <w:tcPr>
            <w:tcW w:w="1544" w:type="dxa"/>
            <w:tcBorders>
              <w:left w:val="nil"/>
            </w:tcBorders>
          </w:tcPr>
          <w:p>
            <w:pPr>
              <w:pStyle w:val="TableParagraph"/>
              <w:ind w:left="0"/>
              <w:rPr>
                <w:sz w:val="18"/>
              </w:rPr>
            </w:pPr>
          </w:p>
          <w:p>
            <w:pPr>
              <w:pStyle w:val="TableParagraph"/>
              <w:ind w:left="0"/>
              <w:rPr>
                <w:sz w:val="18"/>
              </w:rPr>
            </w:pPr>
          </w:p>
          <w:p>
            <w:pPr>
              <w:pStyle w:val="TableParagraph"/>
              <w:spacing w:before="11"/>
              <w:ind w:left="0"/>
              <w:rPr>
                <w:sz w:val="17"/>
              </w:rPr>
            </w:pPr>
          </w:p>
          <w:p>
            <w:pPr>
              <w:pStyle w:val="TableParagraph"/>
              <w:ind w:left="603" w:right="495"/>
              <w:jc w:val="center"/>
              <w:rPr>
                <w:sz w:val="18"/>
              </w:rPr>
            </w:pPr>
            <w:r>
              <w:rPr>
                <w:sz w:val="18"/>
              </w:rPr>
              <w:t>4685</w:t>
            </w:r>
          </w:p>
        </w:tc>
        <w:tc>
          <w:tcPr>
            <w:tcW w:w="1528" w:type="dxa"/>
            <w:tcBorders>
              <w:right w:val="nil"/>
            </w:tcBorders>
          </w:tcPr>
          <w:p>
            <w:pPr>
              <w:pStyle w:val="TableParagraph"/>
              <w:spacing w:before="1"/>
              <w:ind w:left="254" w:right="164"/>
              <w:jc w:val="center"/>
              <w:rPr>
                <w:sz w:val="18"/>
              </w:rPr>
            </w:pPr>
            <w:r>
              <w:rPr>
                <w:sz w:val="18"/>
              </w:rPr>
              <w:t>Municipios de interrelación funcional intermedia</w:t>
            </w:r>
          </w:p>
        </w:tc>
        <w:tc>
          <w:tcPr>
            <w:tcW w:w="1540" w:type="dxa"/>
            <w:tcBorders>
              <w:left w:val="nil"/>
            </w:tcBorders>
          </w:tcPr>
          <w:p>
            <w:pPr>
              <w:pStyle w:val="TableParagraph"/>
              <w:ind w:left="0"/>
              <w:rPr>
                <w:sz w:val="18"/>
              </w:rPr>
            </w:pPr>
          </w:p>
          <w:p>
            <w:pPr>
              <w:pStyle w:val="TableParagraph"/>
              <w:ind w:left="0"/>
              <w:rPr>
                <w:sz w:val="18"/>
              </w:rPr>
            </w:pPr>
          </w:p>
          <w:p>
            <w:pPr>
              <w:pStyle w:val="TableParagraph"/>
              <w:spacing w:before="11"/>
              <w:ind w:left="0"/>
              <w:rPr>
                <w:sz w:val="17"/>
              </w:rPr>
            </w:pPr>
          </w:p>
          <w:p>
            <w:pPr>
              <w:pStyle w:val="TableParagraph"/>
              <w:ind w:left="646" w:right="547"/>
              <w:jc w:val="center"/>
              <w:rPr>
                <w:sz w:val="18"/>
              </w:rPr>
            </w:pPr>
            <w:r>
              <w:rPr>
                <w:sz w:val="18"/>
              </w:rPr>
              <w:t>152</w:t>
            </w:r>
          </w:p>
        </w:tc>
        <w:tc>
          <w:tcPr>
            <w:tcW w:w="1557" w:type="dxa"/>
            <w:tcBorders>
              <w:right w:val="nil"/>
            </w:tcBorders>
          </w:tcPr>
          <w:p>
            <w:pPr>
              <w:pStyle w:val="TableParagraph"/>
              <w:ind w:left="0"/>
              <w:rPr>
                <w:sz w:val="18"/>
              </w:rPr>
            </w:pPr>
          </w:p>
          <w:p>
            <w:pPr>
              <w:pStyle w:val="TableParagraph"/>
              <w:spacing w:before="1"/>
              <w:ind w:left="93" w:right="85"/>
              <w:jc w:val="center"/>
              <w:rPr>
                <w:sz w:val="18"/>
              </w:rPr>
            </w:pPr>
            <w:r>
              <w:rPr>
                <w:sz w:val="18"/>
              </w:rPr>
              <w:t>Relacion Externa Resto de Municipios</w:t>
            </w:r>
          </w:p>
        </w:tc>
        <w:tc>
          <w:tcPr>
            <w:tcW w:w="1328" w:type="dxa"/>
            <w:tcBorders>
              <w:left w:val="nil"/>
              <w:right w:val="nil"/>
            </w:tcBorders>
          </w:tcPr>
          <w:p>
            <w:pPr>
              <w:pStyle w:val="TableParagraph"/>
              <w:ind w:left="0"/>
              <w:rPr>
                <w:sz w:val="18"/>
              </w:rPr>
            </w:pPr>
          </w:p>
          <w:p>
            <w:pPr>
              <w:pStyle w:val="TableParagraph"/>
              <w:ind w:left="0"/>
              <w:rPr>
                <w:sz w:val="18"/>
              </w:rPr>
            </w:pPr>
          </w:p>
          <w:p>
            <w:pPr>
              <w:pStyle w:val="TableParagraph"/>
              <w:spacing w:before="11"/>
              <w:ind w:left="0"/>
              <w:rPr>
                <w:sz w:val="17"/>
              </w:rPr>
            </w:pPr>
          </w:p>
          <w:p>
            <w:pPr>
              <w:pStyle w:val="TableParagraph"/>
              <w:ind w:left="553" w:right="535"/>
              <w:jc w:val="center"/>
              <w:rPr>
                <w:sz w:val="18"/>
              </w:rPr>
            </w:pPr>
            <w:r>
              <w:rPr>
                <w:sz w:val="18"/>
              </w:rPr>
              <w:t>82</w:t>
            </w:r>
          </w:p>
        </w:tc>
      </w:tr>
    </w:tbl>
    <w:p>
      <w:pPr>
        <w:spacing w:line="227" w:lineRule="exact" w:before="0"/>
        <w:ind w:left="283" w:right="0" w:firstLine="0"/>
        <w:jc w:val="left"/>
        <w:rPr>
          <w:sz w:val="20"/>
        </w:rPr>
      </w:pPr>
      <w:r>
        <w:rPr>
          <w:sz w:val="20"/>
        </w:rPr>
        <w:t>Fuente: Elaboración propia con información de la Junta de Caminos del Estado de México 2007.</w:t>
      </w:r>
    </w:p>
    <w:p>
      <w:pPr>
        <w:spacing w:after="0" w:line="227" w:lineRule="exact"/>
        <w:jc w:val="left"/>
        <w:rPr>
          <w:sz w:val="20"/>
        </w:rPr>
        <w:sectPr>
          <w:pgSz w:w="12240" w:h="15840"/>
          <w:pgMar w:header="0" w:footer="659" w:top="1360" w:bottom="840" w:left="1560" w:right="1480"/>
        </w:sectPr>
      </w:pPr>
    </w:p>
    <w:p>
      <w:pPr>
        <w:spacing w:before="53" w:after="4"/>
        <w:ind w:left="287" w:right="0" w:firstLine="0"/>
        <w:jc w:val="left"/>
        <w:rPr>
          <w:sz w:val="20"/>
        </w:rPr>
      </w:pPr>
      <w:r>
        <w:rPr>
          <w:sz w:val="20"/>
        </w:rPr>
        <w:t>Cuadro A 4.20  Participación relativa por origen y destinos de los movimientos ZMT- Nacionales</w:t>
      </w:r>
    </w:p>
    <w:tbl>
      <w:tblPr>
        <w:tblW w:w="0" w:type="auto"/>
        <w:jc w:val="left"/>
        <w:tblInd w:w="10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922"/>
        <w:gridCol w:w="2337"/>
        <w:gridCol w:w="1584"/>
        <w:gridCol w:w="2528"/>
      </w:tblGrid>
      <w:tr>
        <w:trPr>
          <w:trHeight w:val="290" w:hRule="exact"/>
        </w:trPr>
        <w:tc>
          <w:tcPr>
            <w:tcW w:w="5259" w:type="dxa"/>
            <w:gridSpan w:val="2"/>
            <w:tcBorders>
              <w:left w:val="nil"/>
            </w:tcBorders>
          </w:tcPr>
          <w:p>
            <w:pPr>
              <w:pStyle w:val="TableParagraph"/>
              <w:spacing w:before="71"/>
              <w:ind w:left="1687"/>
              <w:rPr>
                <w:sz w:val="18"/>
              </w:rPr>
            </w:pPr>
            <w:r>
              <w:rPr>
                <w:sz w:val="18"/>
              </w:rPr>
              <w:t>ORIGEN</w:t>
            </w:r>
          </w:p>
        </w:tc>
        <w:tc>
          <w:tcPr>
            <w:tcW w:w="4112" w:type="dxa"/>
            <w:gridSpan w:val="2"/>
            <w:tcBorders>
              <w:right w:val="nil"/>
            </w:tcBorders>
          </w:tcPr>
          <w:p>
            <w:pPr>
              <w:pStyle w:val="TableParagraph"/>
              <w:spacing w:before="71"/>
              <w:ind w:left="1630" w:right="1635"/>
              <w:jc w:val="center"/>
              <w:rPr>
                <w:sz w:val="18"/>
              </w:rPr>
            </w:pPr>
            <w:r>
              <w:rPr>
                <w:sz w:val="18"/>
              </w:rPr>
              <w:t>DESTINO</w:t>
            </w:r>
          </w:p>
        </w:tc>
      </w:tr>
      <w:tr>
        <w:trPr>
          <w:trHeight w:val="288" w:hRule="exact"/>
        </w:trPr>
        <w:tc>
          <w:tcPr>
            <w:tcW w:w="2922" w:type="dxa"/>
            <w:tcBorders>
              <w:left w:val="nil"/>
              <w:right w:val="nil"/>
            </w:tcBorders>
            <w:shd w:val="clear" w:color="auto" w:fill="EDEBE0"/>
          </w:tcPr>
          <w:p>
            <w:pPr>
              <w:pStyle w:val="TableParagraph"/>
              <w:spacing w:before="71"/>
              <w:rPr>
                <w:sz w:val="18"/>
              </w:rPr>
            </w:pPr>
            <w:r>
              <w:rPr>
                <w:sz w:val="18"/>
              </w:rPr>
              <w:t>municipio de la ZMT</w:t>
            </w:r>
          </w:p>
        </w:tc>
        <w:tc>
          <w:tcPr>
            <w:tcW w:w="2337" w:type="dxa"/>
            <w:tcBorders>
              <w:left w:val="nil"/>
            </w:tcBorders>
            <w:shd w:val="clear" w:color="auto" w:fill="EDEBE0"/>
          </w:tcPr>
          <w:p>
            <w:pPr>
              <w:pStyle w:val="TableParagraph"/>
              <w:spacing w:before="71"/>
              <w:ind w:left="1235"/>
              <w:rPr>
                <w:sz w:val="18"/>
              </w:rPr>
            </w:pPr>
            <w:r>
              <w:rPr>
                <w:w w:val="99"/>
                <w:sz w:val="18"/>
              </w:rPr>
              <w:t>%</w:t>
            </w:r>
          </w:p>
        </w:tc>
        <w:tc>
          <w:tcPr>
            <w:tcW w:w="1584" w:type="dxa"/>
            <w:tcBorders>
              <w:right w:val="nil"/>
            </w:tcBorders>
            <w:shd w:val="clear" w:color="auto" w:fill="EDEBE0"/>
          </w:tcPr>
          <w:p>
            <w:pPr>
              <w:pStyle w:val="TableParagraph"/>
              <w:spacing w:before="71"/>
              <w:ind w:left="64"/>
              <w:rPr>
                <w:sz w:val="18"/>
              </w:rPr>
            </w:pPr>
            <w:r>
              <w:rPr>
                <w:sz w:val="18"/>
              </w:rPr>
              <w:t>Estado</w:t>
            </w:r>
          </w:p>
        </w:tc>
        <w:tc>
          <w:tcPr>
            <w:tcW w:w="2528" w:type="dxa"/>
            <w:tcBorders>
              <w:left w:val="nil"/>
              <w:right w:val="nil"/>
            </w:tcBorders>
            <w:shd w:val="clear" w:color="auto" w:fill="EDEBE0"/>
          </w:tcPr>
          <w:p>
            <w:pPr>
              <w:pStyle w:val="TableParagraph"/>
              <w:spacing w:before="71"/>
              <w:ind w:left="897"/>
              <w:rPr>
                <w:sz w:val="18"/>
              </w:rPr>
            </w:pPr>
            <w:r>
              <w:rPr>
                <w:w w:val="99"/>
                <w:sz w:val="18"/>
              </w:rPr>
              <w:t>%</w:t>
            </w:r>
          </w:p>
        </w:tc>
      </w:tr>
      <w:tr>
        <w:trPr>
          <w:trHeight w:val="328" w:hRule="exact"/>
        </w:trPr>
        <w:tc>
          <w:tcPr>
            <w:tcW w:w="2922" w:type="dxa"/>
            <w:tcBorders>
              <w:left w:val="nil"/>
              <w:bottom w:val="nil"/>
              <w:right w:val="nil"/>
            </w:tcBorders>
          </w:tcPr>
          <w:p>
            <w:pPr>
              <w:pStyle w:val="TableParagraph"/>
              <w:spacing w:before="71"/>
              <w:rPr>
                <w:sz w:val="18"/>
              </w:rPr>
            </w:pPr>
            <w:r>
              <w:rPr>
                <w:sz w:val="18"/>
              </w:rPr>
              <w:t>Zinacantepec</w:t>
            </w:r>
          </w:p>
        </w:tc>
        <w:tc>
          <w:tcPr>
            <w:tcW w:w="2337" w:type="dxa"/>
            <w:tcBorders>
              <w:left w:val="nil"/>
              <w:bottom w:val="nil"/>
              <w:right w:val="nil"/>
            </w:tcBorders>
          </w:tcPr>
          <w:p>
            <w:pPr>
              <w:pStyle w:val="TableParagraph"/>
              <w:spacing w:before="71"/>
              <w:ind w:left="1235"/>
              <w:rPr>
                <w:sz w:val="18"/>
              </w:rPr>
            </w:pPr>
            <w:r>
              <w:rPr>
                <w:sz w:val="18"/>
              </w:rPr>
              <w:t>2.5</w:t>
            </w:r>
          </w:p>
        </w:tc>
        <w:tc>
          <w:tcPr>
            <w:tcW w:w="1584" w:type="dxa"/>
            <w:tcBorders>
              <w:left w:val="nil"/>
              <w:bottom w:val="nil"/>
              <w:right w:val="nil"/>
            </w:tcBorders>
          </w:tcPr>
          <w:p>
            <w:pPr>
              <w:pStyle w:val="TableParagraph"/>
              <w:spacing w:before="71"/>
              <w:rPr>
                <w:sz w:val="18"/>
              </w:rPr>
            </w:pPr>
            <w:r>
              <w:rPr>
                <w:sz w:val="18"/>
              </w:rPr>
              <w:t>AGS</w:t>
            </w:r>
          </w:p>
        </w:tc>
        <w:tc>
          <w:tcPr>
            <w:tcW w:w="2528" w:type="dxa"/>
            <w:tcBorders>
              <w:left w:val="nil"/>
              <w:bottom w:val="nil"/>
              <w:right w:val="nil"/>
            </w:tcBorders>
          </w:tcPr>
          <w:p>
            <w:pPr>
              <w:pStyle w:val="TableParagraph"/>
              <w:spacing w:before="71"/>
              <w:ind w:left="897"/>
              <w:rPr>
                <w:sz w:val="18"/>
              </w:rPr>
            </w:pPr>
            <w:r>
              <w:rPr>
                <w:sz w:val="18"/>
              </w:rPr>
              <w:t>0.3</w:t>
            </w:r>
          </w:p>
        </w:tc>
      </w:tr>
      <w:tr>
        <w:trPr>
          <w:trHeight w:val="280" w:hRule="exact"/>
        </w:trPr>
        <w:tc>
          <w:tcPr>
            <w:tcW w:w="2922" w:type="dxa"/>
            <w:tcBorders>
              <w:top w:val="nil"/>
              <w:left w:val="nil"/>
              <w:bottom w:val="nil"/>
              <w:right w:val="nil"/>
            </w:tcBorders>
          </w:tcPr>
          <w:p>
            <w:pPr>
              <w:pStyle w:val="TableParagraph"/>
              <w:spacing w:before="26"/>
              <w:rPr>
                <w:sz w:val="18"/>
              </w:rPr>
            </w:pPr>
            <w:r>
              <w:rPr>
                <w:sz w:val="18"/>
              </w:rPr>
              <w:t>Toluca</w:t>
            </w:r>
          </w:p>
        </w:tc>
        <w:tc>
          <w:tcPr>
            <w:tcW w:w="2337" w:type="dxa"/>
            <w:tcBorders>
              <w:top w:val="nil"/>
              <w:left w:val="nil"/>
              <w:bottom w:val="nil"/>
              <w:right w:val="nil"/>
            </w:tcBorders>
          </w:tcPr>
          <w:p>
            <w:pPr>
              <w:pStyle w:val="TableParagraph"/>
              <w:spacing w:before="26"/>
              <w:ind w:left="1235"/>
              <w:rPr>
                <w:sz w:val="18"/>
              </w:rPr>
            </w:pPr>
            <w:r>
              <w:rPr>
                <w:sz w:val="18"/>
              </w:rPr>
              <w:t>70.9</w:t>
            </w:r>
          </w:p>
        </w:tc>
        <w:tc>
          <w:tcPr>
            <w:tcW w:w="1584" w:type="dxa"/>
            <w:tcBorders>
              <w:top w:val="nil"/>
              <w:left w:val="nil"/>
              <w:bottom w:val="nil"/>
              <w:right w:val="nil"/>
            </w:tcBorders>
          </w:tcPr>
          <w:p>
            <w:pPr>
              <w:pStyle w:val="TableParagraph"/>
              <w:spacing w:before="26"/>
              <w:rPr>
                <w:sz w:val="18"/>
              </w:rPr>
            </w:pPr>
            <w:r>
              <w:rPr>
                <w:sz w:val="18"/>
              </w:rPr>
              <w:t>BCN</w:t>
            </w:r>
          </w:p>
        </w:tc>
        <w:tc>
          <w:tcPr>
            <w:tcW w:w="2528" w:type="dxa"/>
            <w:tcBorders>
              <w:top w:val="nil"/>
              <w:left w:val="nil"/>
              <w:bottom w:val="nil"/>
              <w:right w:val="nil"/>
            </w:tcBorders>
          </w:tcPr>
          <w:p>
            <w:pPr>
              <w:pStyle w:val="TableParagraph"/>
              <w:spacing w:before="26"/>
              <w:ind w:left="897"/>
              <w:rPr>
                <w:sz w:val="18"/>
              </w:rPr>
            </w:pPr>
            <w:r>
              <w:rPr>
                <w:sz w:val="18"/>
              </w:rPr>
              <w:t>0.2</w:t>
            </w:r>
          </w:p>
        </w:tc>
      </w:tr>
      <w:tr>
        <w:trPr>
          <w:trHeight w:val="280" w:hRule="exact"/>
        </w:trPr>
        <w:tc>
          <w:tcPr>
            <w:tcW w:w="2922" w:type="dxa"/>
            <w:tcBorders>
              <w:top w:val="nil"/>
              <w:left w:val="nil"/>
              <w:bottom w:val="nil"/>
              <w:right w:val="nil"/>
            </w:tcBorders>
          </w:tcPr>
          <w:p>
            <w:pPr>
              <w:pStyle w:val="TableParagraph"/>
              <w:spacing w:before="27"/>
              <w:rPr>
                <w:sz w:val="18"/>
              </w:rPr>
            </w:pPr>
            <w:r>
              <w:rPr>
                <w:sz w:val="18"/>
              </w:rPr>
              <w:t>San Mateo Atenco</w:t>
            </w:r>
          </w:p>
        </w:tc>
        <w:tc>
          <w:tcPr>
            <w:tcW w:w="2337" w:type="dxa"/>
            <w:tcBorders>
              <w:top w:val="nil"/>
              <w:left w:val="nil"/>
              <w:bottom w:val="nil"/>
              <w:right w:val="nil"/>
            </w:tcBorders>
          </w:tcPr>
          <w:p>
            <w:pPr>
              <w:pStyle w:val="TableParagraph"/>
              <w:spacing w:before="27"/>
              <w:ind w:left="1235"/>
              <w:rPr>
                <w:sz w:val="18"/>
              </w:rPr>
            </w:pPr>
            <w:r>
              <w:rPr>
                <w:sz w:val="18"/>
              </w:rPr>
              <w:t>4.3</w:t>
            </w:r>
          </w:p>
        </w:tc>
        <w:tc>
          <w:tcPr>
            <w:tcW w:w="1584" w:type="dxa"/>
            <w:tcBorders>
              <w:top w:val="nil"/>
              <w:left w:val="nil"/>
              <w:bottom w:val="nil"/>
              <w:right w:val="nil"/>
            </w:tcBorders>
          </w:tcPr>
          <w:p>
            <w:pPr>
              <w:pStyle w:val="TableParagraph"/>
              <w:spacing w:before="27"/>
              <w:rPr>
                <w:sz w:val="18"/>
              </w:rPr>
            </w:pPr>
            <w:r>
              <w:rPr>
                <w:sz w:val="18"/>
              </w:rPr>
              <w:t>BCS</w:t>
            </w:r>
          </w:p>
        </w:tc>
        <w:tc>
          <w:tcPr>
            <w:tcW w:w="2528" w:type="dxa"/>
            <w:tcBorders>
              <w:top w:val="nil"/>
              <w:left w:val="nil"/>
              <w:bottom w:val="nil"/>
              <w:right w:val="nil"/>
            </w:tcBorders>
          </w:tcPr>
          <w:p>
            <w:pPr>
              <w:pStyle w:val="TableParagraph"/>
              <w:spacing w:before="27"/>
              <w:ind w:left="897"/>
              <w:rPr>
                <w:sz w:val="18"/>
              </w:rPr>
            </w:pPr>
            <w:r>
              <w:rPr>
                <w:sz w:val="18"/>
              </w:rPr>
              <w:t>0.02</w:t>
            </w:r>
          </w:p>
        </w:tc>
      </w:tr>
      <w:tr>
        <w:trPr>
          <w:trHeight w:val="278" w:hRule="exact"/>
        </w:trPr>
        <w:tc>
          <w:tcPr>
            <w:tcW w:w="2922" w:type="dxa"/>
            <w:tcBorders>
              <w:top w:val="nil"/>
              <w:left w:val="nil"/>
              <w:bottom w:val="nil"/>
              <w:right w:val="nil"/>
            </w:tcBorders>
          </w:tcPr>
          <w:p>
            <w:pPr>
              <w:pStyle w:val="TableParagraph"/>
              <w:spacing w:before="26"/>
              <w:rPr>
                <w:sz w:val="18"/>
              </w:rPr>
            </w:pPr>
            <w:r>
              <w:rPr>
                <w:sz w:val="18"/>
              </w:rPr>
              <w:t>Almoloya de Juárez</w:t>
            </w:r>
          </w:p>
        </w:tc>
        <w:tc>
          <w:tcPr>
            <w:tcW w:w="2337" w:type="dxa"/>
            <w:tcBorders>
              <w:top w:val="nil"/>
              <w:left w:val="nil"/>
              <w:bottom w:val="nil"/>
              <w:right w:val="nil"/>
            </w:tcBorders>
          </w:tcPr>
          <w:p>
            <w:pPr>
              <w:pStyle w:val="TableParagraph"/>
              <w:spacing w:before="26"/>
              <w:ind w:left="1235"/>
              <w:rPr>
                <w:sz w:val="18"/>
              </w:rPr>
            </w:pPr>
            <w:r>
              <w:rPr>
                <w:sz w:val="18"/>
              </w:rPr>
              <w:t>1.5</w:t>
            </w:r>
          </w:p>
        </w:tc>
        <w:tc>
          <w:tcPr>
            <w:tcW w:w="1584" w:type="dxa"/>
            <w:tcBorders>
              <w:top w:val="nil"/>
              <w:left w:val="nil"/>
              <w:bottom w:val="nil"/>
              <w:right w:val="nil"/>
            </w:tcBorders>
          </w:tcPr>
          <w:p>
            <w:pPr>
              <w:pStyle w:val="TableParagraph"/>
              <w:spacing w:before="26"/>
              <w:rPr>
                <w:sz w:val="18"/>
              </w:rPr>
            </w:pPr>
            <w:r>
              <w:rPr>
                <w:sz w:val="18"/>
              </w:rPr>
              <w:t>CHIH</w:t>
            </w:r>
          </w:p>
        </w:tc>
        <w:tc>
          <w:tcPr>
            <w:tcW w:w="2528" w:type="dxa"/>
            <w:tcBorders>
              <w:top w:val="nil"/>
              <w:left w:val="nil"/>
              <w:bottom w:val="nil"/>
              <w:right w:val="nil"/>
            </w:tcBorders>
          </w:tcPr>
          <w:p>
            <w:pPr>
              <w:pStyle w:val="TableParagraph"/>
              <w:spacing w:before="26"/>
              <w:ind w:left="897"/>
              <w:rPr>
                <w:sz w:val="18"/>
              </w:rPr>
            </w:pPr>
            <w:r>
              <w:rPr>
                <w:sz w:val="18"/>
              </w:rPr>
              <w:t>0.1</w:t>
            </w:r>
          </w:p>
        </w:tc>
      </w:tr>
      <w:tr>
        <w:trPr>
          <w:trHeight w:val="278" w:hRule="exact"/>
        </w:trPr>
        <w:tc>
          <w:tcPr>
            <w:tcW w:w="2922" w:type="dxa"/>
            <w:tcBorders>
              <w:top w:val="nil"/>
              <w:left w:val="nil"/>
              <w:bottom w:val="nil"/>
              <w:right w:val="nil"/>
            </w:tcBorders>
          </w:tcPr>
          <w:p>
            <w:pPr>
              <w:pStyle w:val="TableParagraph"/>
              <w:spacing w:before="26"/>
              <w:rPr>
                <w:sz w:val="18"/>
              </w:rPr>
            </w:pPr>
            <w:r>
              <w:rPr>
                <w:sz w:val="18"/>
              </w:rPr>
              <w:t>Metepec</w:t>
            </w:r>
          </w:p>
        </w:tc>
        <w:tc>
          <w:tcPr>
            <w:tcW w:w="2337" w:type="dxa"/>
            <w:tcBorders>
              <w:top w:val="nil"/>
              <w:left w:val="nil"/>
              <w:bottom w:val="nil"/>
              <w:right w:val="nil"/>
            </w:tcBorders>
          </w:tcPr>
          <w:p>
            <w:pPr>
              <w:pStyle w:val="TableParagraph"/>
              <w:spacing w:before="26"/>
              <w:ind w:left="1235"/>
              <w:rPr>
                <w:sz w:val="18"/>
              </w:rPr>
            </w:pPr>
            <w:r>
              <w:rPr>
                <w:sz w:val="18"/>
              </w:rPr>
              <w:t>6.1</w:t>
            </w:r>
          </w:p>
        </w:tc>
        <w:tc>
          <w:tcPr>
            <w:tcW w:w="1584" w:type="dxa"/>
            <w:tcBorders>
              <w:top w:val="nil"/>
              <w:left w:val="nil"/>
              <w:bottom w:val="nil"/>
              <w:right w:val="nil"/>
            </w:tcBorders>
          </w:tcPr>
          <w:p>
            <w:pPr>
              <w:pStyle w:val="TableParagraph"/>
              <w:spacing w:before="26"/>
              <w:rPr>
                <w:sz w:val="18"/>
              </w:rPr>
            </w:pPr>
            <w:r>
              <w:rPr>
                <w:sz w:val="18"/>
              </w:rPr>
              <w:t>COAH</w:t>
            </w:r>
          </w:p>
        </w:tc>
        <w:tc>
          <w:tcPr>
            <w:tcW w:w="2528" w:type="dxa"/>
            <w:tcBorders>
              <w:top w:val="nil"/>
              <w:left w:val="nil"/>
              <w:bottom w:val="nil"/>
              <w:right w:val="nil"/>
            </w:tcBorders>
          </w:tcPr>
          <w:p>
            <w:pPr>
              <w:pStyle w:val="TableParagraph"/>
              <w:spacing w:before="26"/>
              <w:ind w:left="897"/>
              <w:rPr>
                <w:sz w:val="18"/>
              </w:rPr>
            </w:pPr>
            <w:r>
              <w:rPr>
                <w:sz w:val="18"/>
              </w:rPr>
              <w:t>0.2</w:t>
            </w:r>
          </w:p>
        </w:tc>
      </w:tr>
      <w:tr>
        <w:trPr>
          <w:trHeight w:val="280" w:hRule="exact"/>
        </w:trPr>
        <w:tc>
          <w:tcPr>
            <w:tcW w:w="2922" w:type="dxa"/>
            <w:tcBorders>
              <w:top w:val="nil"/>
              <w:left w:val="nil"/>
              <w:bottom w:val="nil"/>
              <w:right w:val="nil"/>
            </w:tcBorders>
          </w:tcPr>
          <w:p>
            <w:pPr>
              <w:pStyle w:val="TableParagraph"/>
              <w:spacing w:before="26"/>
              <w:rPr>
                <w:sz w:val="18"/>
              </w:rPr>
            </w:pPr>
            <w:r>
              <w:rPr>
                <w:sz w:val="18"/>
              </w:rPr>
              <w:t>Lerma</w:t>
            </w:r>
          </w:p>
        </w:tc>
        <w:tc>
          <w:tcPr>
            <w:tcW w:w="2337" w:type="dxa"/>
            <w:tcBorders>
              <w:top w:val="nil"/>
              <w:left w:val="nil"/>
              <w:bottom w:val="nil"/>
              <w:right w:val="nil"/>
            </w:tcBorders>
          </w:tcPr>
          <w:p>
            <w:pPr>
              <w:pStyle w:val="TableParagraph"/>
              <w:spacing w:before="26"/>
              <w:ind w:left="1235"/>
              <w:rPr>
                <w:sz w:val="18"/>
              </w:rPr>
            </w:pPr>
            <w:r>
              <w:rPr>
                <w:w w:val="99"/>
                <w:sz w:val="18"/>
              </w:rPr>
              <w:t>7</w:t>
            </w:r>
          </w:p>
        </w:tc>
        <w:tc>
          <w:tcPr>
            <w:tcW w:w="1584" w:type="dxa"/>
            <w:tcBorders>
              <w:top w:val="nil"/>
              <w:left w:val="nil"/>
              <w:bottom w:val="nil"/>
              <w:right w:val="nil"/>
            </w:tcBorders>
          </w:tcPr>
          <w:p>
            <w:pPr>
              <w:pStyle w:val="TableParagraph"/>
              <w:spacing w:before="26"/>
              <w:rPr>
                <w:sz w:val="18"/>
              </w:rPr>
            </w:pPr>
            <w:r>
              <w:rPr>
                <w:sz w:val="18"/>
              </w:rPr>
              <w:t>COL</w:t>
            </w:r>
          </w:p>
        </w:tc>
        <w:tc>
          <w:tcPr>
            <w:tcW w:w="2528" w:type="dxa"/>
            <w:tcBorders>
              <w:top w:val="nil"/>
              <w:left w:val="nil"/>
              <w:bottom w:val="nil"/>
              <w:right w:val="nil"/>
            </w:tcBorders>
          </w:tcPr>
          <w:p>
            <w:pPr>
              <w:pStyle w:val="TableParagraph"/>
              <w:spacing w:before="26"/>
              <w:ind w:left="897"/>
              <w:rPr>
                <w:sz w:val="18"/>
              </w:rPr>
            </w:pPr>
            <w:r>
              <w:rPr>
                <w:sz w:val="18"/>
              </w:rPr>
              <w:t>0.3</w:t>
            </w:r>
          </w:p>
        </w:tc>
      </w:tr>
      <w:tr>
        <w:trPr>
          <w:trHeight w:val="280" w:hRule="exact"/>
        </w:trPr>
        <w:tc>
          <w:tcPr>
            <w:tcW w:w="2922" w:type="dxa"/>
            <w:tcBorders>
              <w:top w:val="nil"/>
              <w:left w:val="nil"/>
              <w:bottom w:val="nil"/>
              <w:right w:val="nil"/>
            </w:tcBorders>
          </w:tcPr>
          <w:p>
            <w:pPr>
              <w:pStyle w:val="TableParagraph"/>
              <w:spacing w:before="27"/>
              <w:rPr>
                <w:sz w:val="18"/>
              </w:rPr>
            </w:pPr>
            <w:r>
              <w:rPr>
                <w:sz w:val="18"/>
              </w:rPr>
              <w:t>Mexicaltzingo</w:t>
            </w:r>
          </w:p>
        </w:tc>
        <w:tc>
          <w:tcPr>
            <w:tcW w:w="2337" w:type="dxa"/>
            <w:tcBorders>
              <w:top w:val="nil"/>
              <w:left w:val="nil"/>
              <w:bottom w:val="nil"/>
              <w:right w:val="nil"/>
            </w:tcBorders>
          </w:tcPr>
          <w:p>
            <w:pPr>
              <w:pStyle w:val="TableParagraph"/>
              <w:spacing w:before="27"/>
              <w:ind w:left="1235"/>
              <w:rPr>
                <w:sz w:val="18"/>
              </w:rPr>
            </w:pPr>
            <w:r>
              <w:rPr>
                <w:sz w:val="18"/>
              </w:rPr>
              <w:t>0.5</w:t>
            </w:r>
          </w:p>
        </w:tc>
        <w:tc>
          <w:tcPr>
            <w:tcW w:w="1584" w:type="dxa"/>
            <w:tcBorders>
              <w:top w:val="nil"/>
              <w:left w:val="nil"/>
              <w:bottom w:val="nil"/>
              <w:right w:val="nil"/>
            </w:tcBorders>
          </w:tcPr>
          <w:p>
            <w:pPr>
              <w:pStyle w:val="TableParagraph"/>
              <w:spacing w:before="27"/>
              <w:rPr>
                <w:sz w:val="18"/>
              </w:rPr>
            </w:pPr>
            <w:r>
              <w:rPr>
                <w:sz w:val="18"/>
              </w:rPr>
              <w:t>DF</w:t>
            </w:r>
          </w:p>
        </w:tc>
        <w:tc>
          <w:tcPr>
            <w:tcW w:w="2528" w:type="dxa"/>
            <w:tcBorders>
              <w:top w:val="nil"/>
              <w:left w:val="nil"/>
              <w:bottom w:val="nil"/>
              <w:right w:val="nil"/>
            </w:tcBorders>
          </w:tcPr>
          <w:p>
            <w:pPr>
              <w:pStyle w:val="TableParagraph"/>
              <w:spacing w:before="27"/>
              <w:ind w:left="897"/>
              <w:rPr>
                <w:sz w:val="18"/>
              </w:rPr>
            </w:pPr>
            <w:r>
              <w:rPr>
                <w:sz w:val="18"/>
              </w:rPr>
              <w:t>71.5</w:t>
            </w:r>
          </w:p>
        </w:tc>
      </w:tr>
      <w:tr>
        <w:trPr>
          <w:trHeight w:val="278" w:hRule="exact"/>
        </w:trPr>
        <w:tc>
          <w:tcPr>
            <w:tcW w:w="2922" w:type="dxa"/>
            <w:tcBorders>
              <w:top w:val="nil"/>
              <w:left w:val="nil"/>
              <w:bottom w:val="nil"/>
              <w:right w:val="nil"/>
            </w:tcBorders>
          </w:tcPr>
          <w:p>
            <w:pPr>
              <w:pStyle w:val="TableParagraph"/>
              <w:spacing w:before="26"/>
              <w:rPr>
                <w:sz w:val="18"/>
              </w:rPr>
            </w:pPr>
            <w:r>
              <w:rPr>
                <w:sz w:val="18"/>
              </w:rPr>
              <w:t>Calimaya</w:t>
            </w:r>
          </w:p>
        </w:tc>
        <w:tc>
          <w:tcPr>
            <w:tcW w:w="2337" w:type="dxa"/>
            <w:tcBorders>
              <w:top w:val="nil"/>
              <w:left w:val="nil"/>
              <w:bottom w:val="nil"/>
              <w:right w:val="nil"/>
            </w:tcBorders>
          </w:tcPr>
          <w:p>
            <w:pPr>
              <w:pStyle w:val="TableParagraph"/>
              <w:spacing w:before="26"/>
              <w:ind w:left="1235"/>
              <w:rPr>
                <w:sz w:val="18"/>
              </w:rPr>
            </w:pPr>
            <w:r>
              <w:rPr>
                <w:sz w:val="18"/>
              </w:rPr>
              <w:t>1.2</w:t>
            </w:r>
          </w:p>
        </w:tc>
        <w:tc>
          <w:tcPr>
            <w:tcW w:w="1584" w:type="dxa"/>
            <w:tcBorders>
              <w:top w:val="nil"/>
              <w:left w:val="nil"/>
              <w:bottom w:val="nil"/>
              <w:right w:val="nil"/>
            </w:tcBorders>
          </w:tcPr>
          <w:p>
            <w:pPr>
              <w:pStyle w:val="TableParagraph"/>
              <w:spacing w:before="26"/>
              <w:rPr>
                <w:sz w:val="18"/>
              </w:rPr>
            </w:pPr>
            <w:r>
              <w:rPr>
                <w:sz w:val="18"/>
              </w:rPr>
              <w:t>DGO</w:t>
            </w:r>
          </w:p>
        </w:tc>
        <w:tc>
          <w:tcPr>
            <w:tcW w:w="2528" w:type="dxa"/>
            <w:tcBorders>
              <w:top w:val="nil"/>
              <w:left w:val="nil"/>
              <w:bottom w:val="nil"/>
              <w:right w:val="nil"/>
            </w:tcBorders>
          </w:tcPr>
          <w:p>
            <w:pPr>
              <w:pStyle w:val="TableParagraph"/>
              <w:spacing w:before="26"/>
              <w:ind w:left="897"/>
              <w:rPr>
                <w:sz w:val="18"/>
              </w:rPr>
            </w:pPr>
            <w:r>
              <w:rPr>
                <w:sz w:val="18"/>
              </w:rPr>
              <w:t>0.1</w:t>
            </w:r>
          </w:p>
        </w:tc>
      </w:tr>
      <w:tr>
        <w:trPr>
          <w:trHeight w:val="278" w:hRule="exact"/>
        </w:trPr>
        <w:tc>
          <w:tcPr>
            <w:tcW w:w="2922" w:type="dxa"/>
            <w:tcBorders>
              <w:top w:val="nil"/>
              <w:left w:val="nil"/>
              <w:bottom w:val="nil"/>
              <w:right w:val="nil"/>
            </w:tcBorders>
          </w:tcPr>
          <w:p>
            <w:pPr>
              <w:pStyle w:val="TableParagraph"/>
              <w:spacing w:before="26"/>
              <w:rPr>
                <w:sz w:val="18"/>
              </w:rPr>
            </w:pPr>
            <w:r>
              <w:rPr>
                <w:sz w:val="18"/>
              </w:rPr>
              <w:t>Otzolotepec</w:t>
            </w:r>
          </w:p>
        </w:tc>
        <w:tc>
          <w:tcPr>
            <w:tcW w:w="2337" w:type="dxa"/>
            <w:tcBorders>
              <w:top w:val="nil"/>
              <w:left w:val="nil"/>
              <w:bottom w:val="nil"/>
              <w:right w:val="nil"/>
            </w:tcBorders>
          </w:tcPr>
          <w:p>
            <w:pPr>
              <w:pStyle w:val="TableParagraph"/>
              <w:spacing w:before="26"/>
              <w:ind w:left="1235"/>
              <w:rPr>
                <w:sz w:val="18"/>
              </w:rPr>
            </w:pPr>
            <w:r>
              <w:rPr>
                <w:sz w:val="18"/>
              </w:rPr>
              <w:t>1.2</w:t>
            </w:r>
          </w:p>
        </w:tc>
        <w:tc>
          <w:tcPr>
            <w:tcW w:w="1584" w:type="dxa"/>
            <w:tcBorders>
              <w:top w:val="nil"/>
              <w:left w:val="nil"/>
              <w:bottom w:val="nil"/>
              <w:right w:val="nil"/>
            </w:tcBorders>
          </w:tcPr>
          <w:p>
            <w:pPr>
              <w:pStyle w:val="TableParagraph"/>
              <w:spacing w:before="26"/>
              <w:rPr>
                <w:sz w:val="18"/>
              </w:rPr>
            </w:pPr>
            <w:r>
              <w:rPr>
                <w:sz w:val="18"/>
              </w:rPr>
              <w:t>GRO</w:t>
            </w:r>
          </w:p>
        </w:tc>
        <w:tc>
          <w:tcPr>
            <w:tcW w:w="2528" w:type="dxa"/>
            <w:tcBorders>
              <w:top w:val="nil"/>
              <w:left w:val="nil"/>
              <w:bottom w:val="nil"/>
              <w:right w:val="nil"/>
            </w:tcBorders>
          </w:tcPr>
          <w:p>
            <w:pPr>
              <w:pStyle w:val="TableParagraph"/>
              <w:spacing w:before="26"/>
              <w:ind w:left="897"/>
              <w:rPr>
                <w:sz w:val="18"/>
              </w:rPr>
            </w:pPr>
            <w:r>
              <w:rPr>
                <w:w w:val="99"/>
                <w:sz w:val="18"/>
              </w:rPr>
              <w:t>3</w:t>
            </w:r>
          </w:p>
        </w:tc>
      </w:tr>
      <w:tr>
        <w:trPr>
          <w:trHeight w:val="280" w:hRule="exact"/>
        </w:trPr>
        <w:tc>
          <w:tcPr>
            <w:tcW w:w="2922" w:type="dxa"/>
            <w:tcBorders>
              <w:top w:val="nil"/>
              <w:left w:val="nil"/>
              <w:bottom w:val="nil"/>
              <w:right w:val="nil"/>
            </w:tcBorders>
          </w:tcPr>
          <w:p>
            <w:pPr>
              <w:pStyle w:val="TableParagraph"/>
              <w:spacing w:before="26"/>
              <w:rPr>
                <w:sz w:val="18"/>
              </w:rPr>
            </w:pPr>
            <w:r>
              <w:rPr>
                <w:sz w:val="18"/>
              </w:rPr>
              <w:t>San Antonio la Isla</w:t>
            </w:r>
          </w:p>
        </w:tc>
        <w:tc>
          <w:tcPr>
            <w:tcW w:w="2337" w:type="dxa"/>
            <w:tcBorders>
              <w:top w:val="nil"/>
              <w:left w:val="nil"/>
              <w:bottom w:val="nil"/>
              <w:right w:val="nil"/>
            </w:tcBorders>
          </w:tcPr>
          <w:p>
            <w:pPr>
              <w:pStyle w:val="TableParagraph"/>
              <w:spacing w:before="26"/>
              <w:ind w:left="1235"/>
              <w:rPr>
                <w:sz w:val="18"/>
              </w:rPr>
            </w:pPr>
            <w:r>
              <w:rPr>
                <w:sz w:val="18"/>
              </w:rPr>
              <w:t>0.2</w:t>
            </w:r>
          </w:p>
        </w:tc>
        <w:tc>
          <w:tcPr>
            <w:tcW w:w="1584" w:type="dxa"/>
            <w:tcBorders>
              <w:top w:val="nil"/>
              <w:left w:val="nil"/>
              <w:bottom w:val="nil"/>
              <w:right w:val="nil"/>
            </w:tcBorders>
          </w:tcPr>
          <w:p>
            <w:pPr>
              <w:pStyle w:val="TableParagraph"/>
              <w:spacing w:before="26"/>
              <w:rPr>
                <w:sz w:val="18"/>
              </w:rPr>
            </w:pPr>
            <w:r>
              <w:rPr>
                <w:sz w:val="18"/>
              </w:rPr>
              <w:t>GTO</w:t>
            </w:r>
          </w:p>
        </w:tc>
        <w:tc>
          <w:tcPr>
            <w:tcW w:w="2528" w:type="dxa"/>
            <w:tcBorders>
              <w:top w:val="nil"/>
              <w:left w:val="nil"/>
              <w:bottom w:val="nil"/>
              <w:right w:val="nil"/>
            </w:tcBorders>
          </w:tcPr>
          <w:p>
            <w:pPr>
              <w:pStyle w:val="TableParagraph"/>
              <w:spacing w:before="26"/>
              <w:ind w:left="897"/>
              <w:rPr>
                <w:sz w:val="18"/>
              </w:rPr>
            </w:pPr>
            <w:r>
              <w:rPr>
                <w:sz w:val="18"/>
              </w:rPr>
              <w:t>1.4</w:t>
            </w:r>
          </w:p>
        </w:tc>
      </w:tr>
      <w:tr>
        <w:trPr>
          <w:trHeight w:val="280" w:hRule="exact"/>
        </w:trPr>
        <w:tc>
          <w:tcPr>
            <w:tcW w:w="2922" w:type="dxa"/>
            <w:tcBorders>
              <w:top w:val="nil"/>
              <w:left w:val="nil"/>
              <w:bottom w:val="nil"/>
              <w:right w:val="nil"/>
            </w:tcBorders>
          </w:tcPr>
          <w:p>
            <w:pPr>
              <w:pStyle w:val="TableParagraph"/>
              <w:spacing w:before="27"/>
              <w:rPr>
                <w:sz w:val="18"/>
              </w:rPr>
            </w:pPr>
            <w:r>
              <w:rPr>
                <w:sz w:val="18"/>
              </w:rPr>
              <w:t>Ocoyoacac</w:t>
            </w:r>
          </w:p>
        </w:tc>
        <w:tc>
          <w:tcPr>
            <w:tcW w:w="2337" w:type="dxa"/>
            <w:tcBorders>
              <w:top w:val="nil"/>
              <w:left w:val="nil"/>
              <w:bottom w:val="nil"/>
              <w:right w:val="nil"/>
            </w:tcBorders>
          </w:tcPr>
          <w:p>
            <w:pPr>
              <w:pStyle w:val="TableParagraph"/>
              <w:spacing w:before="27"/>
              <w:ind w:left="1235"/>
              <w:rPr>
                <w:sz w:val="18"/>
              </w:rPr>
            </w:pPr>
            <w:r>
              <w:rPr>
                <w:sz w:val="18"/>
              </w:rPr>
              <w:t>0.4</w:t>
            </w:r>
          </w:p>
        </w:tc>
        <w:tc>
          <w:tcPr>
            <w:tcW w:w="1584" w:type="dxa"/>
            <w:tcBorders>
              <w:top w:val="nil"/>
              <w:left w:val="nil"/>
              <w:bottom w:val="nil"/>
              <w:right w:val="nil"/>
            </w:tcBorders>
          </w:tcPr>
          <w:p>
            <w:pPr>
              <w:pStyle w:val="TableParagraph"/>
              <w:spacing w:before="27"/>
              <w:rPr>
                <w:sz w:val="18"/>
              </w:rPr>
            </w:pPr>
            <w:r>
              <w:rPr>
                <w:sz w:val="18"/>
              </w:rPr>
              <w:t>HGO</w:t>
            </w:r>
          </w:p>
        </w:tc>
        <w:tc>
          <w:tcPr>
            <w:tcW w:w="2528" w:type="dxa"/>
            <w:tcBorders>
              <w:top w:val="nil"/>
              <w:left w:val="nil"/>
              <w:bottom w:val="nil"/>
              <w:right w:val="nil"/>
            </w:tcBorders>
          </w:tcPr>
          <w:p>
            <w:pPr>
              <w:pStyle w:val="TableParagraph"/>
              <w:spacing w:before="27"/>
              <w:ind w:left="897"/>
              <w:rPr>
                <w:sz w:val="18"/>
              </w:rPr>
            </w:pPr>
            <w:r>
              <w:rPr>
                <w:w w:val="99"/>
                <w:sz w:val="18"/>
              </w:rPr>
              <w:t>1</w:t>
            </w:r>
          </w:p>
        </w:tc>
      </w:tr>
      <w:tr>
        <w:trPr>
          <w:trHeight w:val="278" w:hRule="exact"/>
        </w:trPr>
        <w:tc>
          <w:tcPr>
            <w:tcW w:w="2922" w:type="dxa"/>
            <w:tcBorders>
              <w:top w:val="nil"/>
              <w:left w:val="nil"/>
              <w:bottom w:val="nil"/>
              <w:right w:val="nil"/>
            </w:tcBorders>
          </w:tcPr>
          <w:p>
            <w:pPr>
              <w:pStyle w:val="TableParagraph"/>
              <w:spacing w:before="26"/>
              <w:rPr>
                <w:sz w:val="18"/>
              </w:rPr>
            </w:pPr>
            <w:r>
              <w:rPr>
                <w:sz w:val="18"/>
              </w:rPr>
              <w:t>Chapultepec</w:t>
            </w:r>
          </w:p>
        </w:tc>
        <w:tc>
          <w:tcPr>
            <w:tcW w:w="2337" w:type="dxa"/>
            <w:tcBorders>
              <w:top w:val="nil"/>
              <w:left w:val="nil"/>
              <w:bottom w:val="nil"/>
              <w:right w:val="nil"/>
            </w:tcBorders>
          </w:tcPr>
          <w:p>
            <w:pPr>
              <w:pStyle w:val="TableParagraph"/>
              <w:spacing w:before="26"/>
              <w:ind w:left="1235"/>
              <w:rPr>
                <w:sz w:val="18"/>
              </w:rPr>
            </w:pPr>
            <w:r>
              <w:rPr>
                <w:sz w:val="18"/>
              </w:rPr>
              <w:t>0.1</w:t>
            </w:r>
          </w:p>
        </w:tc>
        <w:tc>
          <w:tcPr>
            <w:tcW w:w="1584" w:type="dxa"/>
            <w:tcBorders>
              <w:top w:val="nil"/>
              <w:left w:val="nil"/>
              <w:bottom w:val="nil"/>
              <w:right w:val="nil"/>
            </w:tcBorders>
          </w:tcPr>
          <w:p>
            <w:pPr>
              <w:pStyle w:val="TableParagraph"/>
              <w:spacing w:before="26"/>
              <w:rPr>
                <w:sz w:val="18"/>
              </w:rPr>
            </w:pPr>
            <w:r>
              <w:rPr>
                <w:sz w:val="18"/>
              </w:rPr>
              <w:t>JAL</w:t>
            </w:r>
          </w:p>
        </w:tc>
        <w:tc>
          <w:tcPr>
            <w:tcW w:w="2528" w:type="dxa"/>
            <w:tcBorders>
              <w:top w:val="nil"/>
              <w:left w:val="nil"/>
              <w:bottom w:val="nil"/>
              <w:right w:val="nil"/>
            </w:tcBorders>
          </w:tcPr>
          <w:p>
            <w:pPr>
              <w:pStyle w:val="TableParagraph"/>
              <w:spacing w:before="26"/>
              <w:ind w:left="897"/>
              <w:rPr>
                <w:sz w:val="18"/>
              </w:rPr>
            </w:pPr>
            <w:r>
              <w:rPr>
                <w:sz w:val="18"/>
              </w:rPr>
              <w:t>1.6</w:t>
            </w:r>
          </w:p>
        </w:tc>
      </w:tr>
      <w:tr>
        <w:trPr>
          <w:trHeight w:val="278" w:hRule="exact"/>
        </w:trPr>
        <w:tc>
          <w:tcPr>
            <w:tcW w:w="2922" w:type="dxa"/>
            <w:tcBorders>
              <w:top w:val="nil"/>
              <w:left w:val="nil"/>
              <w:bottom w:val="nil"/>
              <w:right w:val="nil"/>
            </w:tcBorders>
          </w:tcPr>
          <w:p>
            <w:pPr>
              <w:pStyle w:val="TableParagraph"/>
              <w:spacing w:before="26"/>
              <w:rPr>
                <w:sz w:val="18"/>
              </w:rPr>
            </w:pPr>
            <w:r>
              <w:rPr>
                <w:sz w:val="18"/>
              </w:rPr>
              <w:t>Rayón</w:t>
            </w:r>
          </w:p>
        </w:tc>
        <w:tc>
          <w:tcPr>
            <w:tcW w:w="2337" w:type="dxa"/>
            <w:tcBorders>
              <w:top w:val="nil"/>
              <w:left w:val="nil"/>
              <w:bottom w:val="nil"/>
              <w:right w:val="nil"/>
            </w:tcBorders>
          </w:tcPr>
          <w:p>
            <w:pPr>
              <w:pStyle w:val="TableParagraph"/>
              <w:spacing w:before="26"/>
              <w:ind w:left="1235"/>
              <w:rPr>
                <w:sz w:val="18"/>
              </w:rPr>
            </w:pPr>
            <w:r>
              <w:rPr>
                <w:sz w:val="18"/>
              </w:rPr>
              <w:t>0.1</w:t>
            </w:r>
          </w:p>
        </w:tc>
        <w:tc>
          <w:tcPr>
            <w:tcW w:w="1584" w:type="dxa"/>
            <w:tcBorders>
              <w:top w:val="nil"/>
              <w:left w:val="nil"/>
              <w:bottom w:val="nil"/>
              <w:right w:val="nil"/>
            </w:tcBorders>
          </w:tcPr>
          <w:p>
            <w:pPr>
              <w:pStyle w:val="TableParagraph"/>
              <w:spacing w:before="26"/>
              <w:rPr>
                <w:sz w:val="18"/>
              </w:rPr>
            </w:pPr>
            <w:r>
              <w:rPr>
                <w:sz w:val="18"/>
              </w:rPr>
              <w:t>MICH</w:t>
            </w:r>
          </w:p>
        </w:tc>
        <w:tc>
          <w:tcPr>
            <w:tcW w:w="2528" w:type="dxa"/>
            <w:tcBorders>
              <w:top w:val="nil"/>
              <w:left w:val="nil"/>
              <w:bottom w:val="nil"/>
              <w:right w:val="nil"/>
            </w:tcBorders>
          </w:tcPr>
          <w:p>
            <w:pPr>
              <w:pStyle w:val="TableParagraph"/>
              <w:spacing w:before="26"/>
              <w:ind w:left="897"/>
              <w:rPr>
                <w:sz w:val="18"/>
              </w:rPr>
            </w:pPr>
            <w:r>
              <w:rPr>
                <w:sz w:val="18"/>
              </w:rPr>
              <w:t>9.4</w:t>
            </w:r>
          </w:p>
        </w:tc>
      </w:tr>
      <w:tr>
        <w:trPr>
          <w:trHeight w:val="280" w:hRule="exact"/>
        </w:trPr>
        <w:tc>
          <w:tcPr>
            <w:tcW w:w="2922" w:type="dxa"/>
            <w:tcBorders>
              <w:top w:val="nil"/>
              <w:left w:val="nil"/>
              <w:bottom w:val="nil"/>
              <w:right w:val="nil"/>
            </w:tcBorders>
          </w:tcPr>
          <w:p>
            <w:pPr>
              <w:pStyle w:val="TableParagraph"/>
              <w:spacing w:before="26"/>
              <w:rPr>
                <w:sz w:val="18"/>
              </w:rPr>
            </w:pPr>
            <w:r>
              <w:rPr>
                <w:sz w:val="18"/>
              </w:rPr>
              <w:t>Temoaya</w:t>
            </w:r>
          </w:p>
        </w:tc>
        <w:tc>
          <w:tcPr>
            <w:tcW w:w="2337" w:type="dxa"/>
            <w:tcBorders>
              <w:top w:val="nil"/>
              <w:left w:val="nil"/>
              <w:bottom w:val="nil"/>
              <w:right w:val="nil"/>
            </w:tcBorders>
          </w:tcPr>
          <w:p>
            <w:pPr>
              <w:pStyle w:val="TableParagraph"/>
              <w:spacing w:before="26"/>
              <w:ind w:left="1235"/>
              <w:rPr>
                <w:sz w:val="18"/>
              </w:rPr>
            </w:pPr>
            <w:r>
              <w:rPr>
                <w:sz w:val="18"/>
              </w:rPr>
              <w:t>0.9</w:t>
            </w:r>
          </w:p>
        </w:tc>
        <w:tc>
          <w:tcPr>
            <w:tcW w:w="1584" w:type="dxa"/>
            <w:tcBorders>
              <w:top w:val="nil"/>
              <w:left w:val="nil"/>
              <w:bottom w:val="nil"/>
              <w:right w:val="nil"/>
            </w:tcBorders>
          </w:tcPr>
          <w:p>
            <w:pPr>
              <w:pStyle w:val="TableParagraph"/>
              <w:spacing w:before="26"/>
              <w:rPr>
                <w:sz w:val="18"/>
              </w:rPr>
            </w:pPr>
            <w:r>
              <w:rPr>
                <w:sz w:val="18"/>
              </w:rPr>
              <w:t>MOR</w:t>
            </w:r>
          </w:p>
        </w:tc>
        <w:tc>
          <w:tcPr>
            <w:tcW w:w="2528" w:type="dxa"/>
            <w:tcBorders>
              <w:top w:val="nil"/>
              <w:left w:val="nil"/>
              <w:bottom w:val="nil"/>
              <w:right w:val="nil"/>
            </w:tcBorders>
          </w:tcPr>
          <w:p>
            <w:pPr>
              <w:pStyle w:val="TableParagraph"/>
              <w:spacing w:before="26"/>
              <w:ind w:left="897"/>
              <w:rPr>
                <w:sz w:val="18"/>
              </w:rPr>
            </w:pPr>
            <w:r>
              <w:rPr>
                <w:sz w:val="18"/>
              </w:rPr>
              <w:t>2.5</w:t>
            </w:r>
          </w:p>
        </w:tc>
      </w:tr>
      <w:tr>
        <w:trPr>
          <w:trHeight w:val="280" w:hRule="exact"/>
        </w:trPr>
        <w:tc>
          <w:tcPr>
            <w:tcW w:w="2922" w:type="dxa"/>
            <w:tcBorders>
              <w:top w:val="nil"/>
              <w:left w:val="nil"/>
              <w:bottom w:val="nil"/>
              <w:right w:val="nil"/>
            </w:tcBorders>
          </w:tcPr>
          <w:p>
            <w:pPr>
              <w:pStyle w:val="TableParagraph"/>
              <w:spacing w:before="27"/>
              <w:rPr>
                <w:sz w:val="18"/>
              </w:rPr>
            </w:pPr>
            <w:r>
              <w:rPr>
                <w:sz w:val="18"/>
              </w:rPr>
              <w:t>Xonacatlán</w:t>
            </w:r>
          </w:p>
        </w:tc>
        <w:tc>
          <w:tcPr>
            <w:tcW w:w="2337" w:type="dxa"/>
            <w:tcBorders>
              <w:top w:val="nil"/>
              <w:left w:val="nil"/>
              <w:bottom w:val="nil"/>
              <w:right w:val="nil"/>
            </w:tcBorders>
          </w:tcPr>
          <w:p>
            <w:pPr>
              <w:pStyle w:val="TableParagraph"/>
              <w:spacing w:before="27"/>
              <w:ind w:left="1235"/>
              <w:rPr>
                <w:sz w:val="18"/>
              </w:rPr>
            </w:pPr>
            <w:r>
              <w:rPr>
                <w:sz w:val="18"/>
              </w:rPr>
              <w:t>1.4</w:t>
            </w:r>
          </w:p>
        </w:tc>
        <w:tc>
          <w:tcPr>
            <w:tcW w:w="1584" w:type="dxa"/>
            <w:tcBorders>
              <w:top w:val="nil"/>
              <w:left w:val="nil"/>
              <w:bottom w:val="nil"/>
              <w:right w:val="nil"/>
            </w:tcBorders>
          </w:tcPr>
          <w:p>
            <w:pPr>
              <w:pStyle w:val="TableParagraph"/>
              <w:spacing w:before="27"/>
              <w:rPr>
                <w:sz w:val="18"/>
              </w:rPr>
            </w:pPr>
            <w:r>
              <w:rPr>
                <w:sz w:val="18"/>
              </w:rPr>
              <w:t>NAY</w:t>
            </w:r>
          </w:p>
        </w:tc>
        <w:tc>
          <w:tcPr>
            <w:tcW w:w="2528" w:type="dxa"/>
            <w:tcBorders>
              <w:top w:val="nil"/>
              <w:left w:val="nil"/>
              <w:bottom w:val="nil"/>
              <w:right w:val="nil"/>
            </w:tcBorders>
          </w:tcPr>
          <w:p>
            <w:pPr>
              <w:pStyle w:val="TableParagraph"/>
              <w:spacing w:before="27"/>
              <w:ind w:left="897"/>
              <w:rPr>
                <w:sz w:val="18"/>
              </w:rPr>
            </w:pPr>
            <w:r>
              <w:rPr>
                <w:sz w:val="18"/>
              </w:rPr>
              <w:t>0.02</w:t>
            </w:r>
          </w:p>
        </w:tc>
      </w:tr>
      <w:tr>
        <w:trPr>
          <w:trHeight w:val="278" w:hRule="exact"/>
        </w:trPr>
        <w:tc>
          <w:tcPr>
            <w:tcW w:w="2922" w:type="dxa"/>
            <w:tcBorders>
              <w:top w:val="nil"/>
              <w:left w:val="nil"/>
              <w:bottom w:val="nil"/>
              <w:right w:val="nil"/>
            </w:tcBorders>
          </w:tcPr>
          <w:p>
            <w:pPr>
              <w:pStyle w:val="TableParagraph"/>
              <w:spacing w:before="26"/>
              <w:rPr>
                <w:sz w:val="18"/>
              </w:rPr>
            </w:pPr>
            <w:r>
              <w:rPr>
                <w:sz w:val="18"/>
              </w:rPr>
              <w:t>Almoloya del Río</w:t>
            </w:r>
          </w:p>
        </w:tc>
        <w:tc>
          <w:tcPr>
            <w:tcW w:w="2337" w:type="dxa"/>
            <w:tcBorders>
              <w:top w:val="nil"/>
              <w:left w:val="nil"/>
              <w:bottom w:val="nil"/>
              <w:right w:val="nil"/>
            </w:tcBorders>
          </w:tcPr>
          <w:p>
            <w:pPr>
              <w:pStyle w:val="TableParagraph"/>
              <w:spacing w:before="26"/>
              <w:ind w:left="1235"/>
              <w:rPr>
                <w:sz w:val="18"/>
              </w:rPr>
            </w:pPr>
            <w:r>
              <w:rPr>
                <w:sz w:val="18"/>
              </w:rPr>
              <w:t>0.02</w:t>
            </w:r>
          </w:p>
        </w:tc>
        <w:tc>
          <w:tcPr>
            <w:tcW w:w="1584" w:type="dxa"/>
            <w:tcBorders>
              <w:top w:val="nil"/>
              <w:left w:val="nil"/>
              <w:bottom w:val="nil"/>
              <w:right w:val="nil"/>
            </w:tcBorders>
          </w:tcPr>
          <w:p>
            <w:pPr>
              <w:pStyle w:val="TableParagraph"/>
              <w:spacing w:before="26"/>
              <w:rPr>
                <w:sz w:val="18"/>
              </w:rPr>
            </w:pPr>
            <w:r>
              <w:rPr>
                <w:sz w:val="18"/>
              </w:rPr>
              <w:t>NL</w:t>
            </w:r>
          </w:p>
        </w:tc>
        <w:tc>
          <w:tcPr>
            <w:tcW w:w="2528" w:type="dxa"/>
            <w:tcBorders>
              <w:top w:val="nil"/>
              <w:left w:val="nil"/>
              <w:bottom w:val="nil"/>
              <w:right w:val="nil"/>
            </w:tcBorders>
          </w:tcPr>
          <w:p>
            <w:pPr>
              <w:pStyle w:val="TableParagraph"/>
              <w:spacing w:before="26"/>
              <w:ind w:left="897"/>
              <w:rPr>
                <w:sz w:val="18"/>
              </w:rPr>
            </w:pPr>
            <w:r>
              <w:rPr>
                <w:w w:val="99"/>
                <w:sz w:val="18"/>
              </w:rPr>
              <w:t>1</w:t>
            </w:r>
          </w:p>
        </w:tc>
      </w:tr>
      <w:tr>
        <w:trPr>
          <w:trHeight w:val="278" w:hRule="exact"/>
        </w:trPr>
        <w:tc>
          <w:tcPr>
            <w:tcW w:w="2922" w:type="dxa"/>
            <w:tcBorders>
              <w:top w:val="nil"/>
              <w:left w:val="nil"/>
              <w:bottom w:val="nil"/>
              <w:right w:val="nil"/>
            </w:tcBorders>
          </w:tcPr>
          <w:p>
            <w:pPr>
              <w:pStyle w:val="TableParagraph"/>
              <w:spacing w:before="26"/>
              <w:rPr>
                <w:sz w:val="18"/>
              </w:rPr>
            </w:pPr>
            <w:r>
              <w:rPr>
                <w:sz w:val="18"/>
              </w:rPr>
              <w:t>Atizapán</w:t>
            </w:r>
          </w:p>
        </w:tc>
        <w:tc>
          <w:tcPr>
            <w:tcW w:w="2337" w:type="dxa"/>
            <w:tcBorders>
              <w:top w:val="nil"/>
              <w:left w:val="nil"/>
              <w:bottom w:val="nil"/>
              <w:right w:val="nil"/>
            </w:tcBorders>
          </w:tcPr>
          <w:p>
            <w:pPr>
              <w:pStyle w:val="TableParagraph"/>
              <w:spacing w:before="26"/>
              <w:ind w:left="1235"/>
              <w:rPr>
                <w:sz w:val="18"/>
              </w:rPr>
            </w:pPr>
            <w:r>
              <w:rPr>
                <w:sz w:val="18"/>
              </w:rPr>
              <w:t>0.1</w:t>
            </w:r>
          </w:p>
        </w:tc>
        <w:tc>
          <w:tcPr>
            <w:tcW w:w="1584" w:type="dxa"/>
            <w:tcBorders>
              <w:top w:val="nil"/>
              <w:left w:val="nil"/>
              <w:bottom w:val="nil"/>
              <w:right w:val="nil"/>
            </w:tcBorders>
          </w:tcPr>
          <w:p>
            <w:pPr>
              <w:pStyle w:val="TableParagraph"/>
              <w:spacing w:before="26"/>
              <w:rPr>
                <w:sz w:val="18"/>
              </w:rPr>
            </w:pPr>
            <w:r>
              <w:rPr>
                <w:sz w:val="18"/>
              </w:rPr>
              <w:t>OAX</w:t>
            </w:r>
          </w:p>
        </w:tc>
        <w:tc>
          <w:tcPr>
            <w:tcW w:w="2528" w:type="dxa"/>
            <w:tcBorders>
              <w:top w:val="nil"/>
              <w:left w:val="nil"/>
              <w:bottom w:val="nil"/>
              <w:right w:val="nil"/>
            </w:tcBorders>
          </w:tcPr>
          <w:p>
            <w:pPr>
              <w:pStyle w:val="TableParagraph"/>
              <w:spacing w:before="26"/>
              <w:ind w:left="897"/>
              <w:rPr>
                <w:sz w:val="18"/>
              </w:rPr>
            </w:pPr>
            <w:r>
              <w:rPr>
                <w:sz w:val="18"/>
              </w:rPr>
              <w:t>0.1</w:t>
            </w:r>
          </w:p>
        </w:tc>
      </w:tr>
      <w:tr>
        <w:trPr>
          <w:trHeight w:val="280" w:hRule="exact"/>
        </w:trPr>
        <w:tc>
          <w:tcPr>
            <w:tcW w:w="2922" w:type="dxa"/>
            <w:tcBorders>
              <w:top w:val="nil"/>
              <w:left w:val="nil"/>
              <w:bottom w:val="nil"/>
              <w:right w:val="nil"/>
            </w:tcBorders>
          </w:tcPr>
          <w:p>
            <w:pPr>
              <w:pStyle w:val="TableParagraph"/>
              <w:spacing w:before="26"/>
              <w:rPr>
                <w:sz w:val="18"/>
              </w:rPr>
            </w:pPr>
            <w:r>
              <w:rPr>
                <w:sz w:val="18"/>
              </w:rPr>
              <w:t>Capulhuac</w:t>
            </w:r>
          </w:p>
        </w:tc>
        <w:tc>
          <w:tcPr>
            <w:tcW w:w="2337" w:type="dxa"/>
            <w:tcBorders>
              <w:top w:val="nil"/>
              <w:left w:val="nil"/>
              <w:bottom w:val="nil"/>
              <w:right w:val="nil"/>
            </w:tcBorders>
          </w:tcPr>
          <w:p>
            <w:pPr>
              <w:pStyle w:val="TableParagraph"/>
              <w:spacing w:before="26"/>
              <w:ind w:left="1235"/>
              <w:rPr>
                <w:sz w:val="18"/>
              </w:rPr>
            </w:pPr>
            <w:r>
              <w:rPr>
                <w:sz w:val="18"/>
              </w:rPr>
              <w:t>0.02</w:t>
            </w:r>
          </w:p>
        </w:tc>
        <w:tc>
          <w:tcPr>
            <w:tcW w:w="1584" w:type="dxa"/>
            <w:tcBorders>
              <w:top w:val="nil"/>
              <w:left w:val="nil"/>
              <w:bottom w:val="nil"/>
              <w:right w:val="nil"/>
            </w:tcBorders>
          </w:tcPr>
          <w:p>
            <w:pPr>
              <w:pStyle w:val="TableParagraph"/>
              <w:spacing w:before="26"/>
              <w:rPr>
                <w:sz w:val="18"/>
              </w:rPr>
            </w:pPr>
            <w:r>
              <w:rPr>
                <w:sz w:val="18"/>
              </w:rPr>
              <w:t>PUE</w:t>
            </w:r>
          </w:p>
        </w:tc>
        <w:tc>
          <w:tcPr>
            <w:tcW w:w="2528" w:type="dxa"/>
            <w:tcBorders>
              <w:top w:val="nil"/>
              <w:left w:val="nil"/>
              <w:bottom w:val="nil"/>
              <w:right w:val="nil"/>
            </w:tcBorders>
          </w:tcPr>
          <w:p>
            <w:pPr>
              <w:pStyle w:val="TableParagraph"/>
              <w:spacing w:before="26"/>
              <w:ind w:left="897"/>
              <w:rPr>
                <w:sz w:val="18"/>
              </w:rPr>
            </w:pPr>
            <w:r>
              <w:rPr>
                <w:sz w:val="18"/>
              </w:rPr>
              <w:t>1.6</w:t>
            </w:r>
          </w:p>
        </w:tc>
      </w:tr>
      <w:tr>
        <w:trPr>
          <w:trHeight w:val="280" w:hRule="exact"/>
        </w:trPr>
        <w:tc>
          <w:tcPr>
            <w:tcW w:w="2922" w:type="dxa"/>
            <w:tcBorders>
              <w:top w:val="nil"/>
              <w:left w:val="nil"/>
              <w:bottom w:val="nil"/>
              <w:right w:val="nil"/>
            </w:tcBorders>
          </w:tcPr>
          <w:p>
            <w:pPr>
              <w:pStyle w:val="TableParagraph"/>
              <w:spacing w:before="27"/>
              <w:rPr>
                <w:sz w:val="18"/>
              </w:rPr>
            </w:pPr>
            <w:r>
              <w:rPr>
                <w:sz w:val="18"/>
              </w:rPr>
              <w:t>Tenango del Valle</w:t>
            </w:r>
          </w:p>
        </w:tc>
        <w:tc>
          <w:tcPr>
            <w:tcW w:w="2337" w:type="dxa"/>
            <w:tcBorders>
              <w:top w:val="nil"/>
              <w:left w:val="nil"/>
              <w:bottom w:val="nil"/>
              <w:right w:val="nil"/>
            </w:tcBorders>
          </w:tcPr>
          <w:p>
            <w:pPr>
              <w:pStyle w:val="TableParagraph"/>
              <w:spacing w:before="27"/>
              <w:ind w:left="1235"/>
              <w:rPr>
                <w:sz w:val="18"/>
              </w:rPr>
            </w:pPr>
            <w:r>
              <w:rPr>
                <w:sz w:val="18"/>
              </w:rPr>
              <w:t>1.2</w:t>
            </w:r>
          </w:p>
        </w:tc>
        <w:tc>
          <w:tcPr>
            <w:tcW w:w="1584" w:type="dxa"/>
            <w:tcBorders>
              <w:top w:val="nil"/>
              <w:left w:val="nil"/>
              <w:bottom w:val="nil"/>
              <w:right w:val="nil"/>
            </w:tcBorders>
          </w:tcPr>
          <w:p>
            <w:pPr>
              <w:pStyle w:val="TableParagraph"/>
              <w:spacing w:before="27"/>
              <w:rPr>
                <w:sz w:val="18"/>
              </w:rPr>
            </w:pPr>
            <w:r>
              <w:rPr>
                <w:sz w:val="18"/>
              </w:rPr>
              <w:t>QRO</w:t>
            </w:r>
          </w:p>
        </w:tc>
        <w:tc>
          <w:tcPr>
            <w:tcW w:w="2528" w:type="dxa"/>
            <w:tcBorders>
              <w:top w:val="nil"/>
              <w:left w:val="nil"/>
              <w:bottom w:val="nil"/>
              <w:right w:val="nil"/>
            </w:tcBorders>
          </w:tcPr>
          <w:p>
            <w:pPr>
              <w:pStyle w:val="TableParagraph"/>
              <w:spacing w:before="27"/>
              <w:ind w:left="897"/>
              <w:rPr>
                <w:sz w:val="18"/>
              </w:rPr>
            </w:pPr>
            <w:r>
              <w:rPr>
                <w:sz w:val="18"/>
              </w:rPr>
              <w:t>3.4</w:t>
            </w:r>
          </w:p>
        </w:tc>
      </w:tr>
      <w:tr>
        <w:trPr>
          <w:trHeight w:val="278" w:hRule="exact"/>
        </w:trPr>
        <w:tc>
          <w:tcPr>
            <w:tcW w:w="2922" w:type="dxa"/>
            <w:tcBorders>
              <w:top w:val="nil"/>
              <w:left w:val="nil"/>
              <w:bottom w:val="nil"/>
              <w:right w:val="nil"/>
            </w:tcBorders>
          </w:tcPr>
          <w:p>
            <w:pPr>
              <w:pStyle w:val="TableParagraph"/>
              <w:spacing w:before="26"/>
              <w:rPr>
                <w:sz w:val="18"/>
              </w:rPr>
            </w:pPr>
            <w:r>
              <w:rPr>
                <w:sz w:val="18"/>
              </w:rPr>
              <w:t>Texcalyacac</w:t>
            </w:r>
          </w:p>
        </w:tc>
        <w:tc>
          <w:tcPr>
            <w:tcW w:w="2337" w:type="dxa"/>
            <w:tcBorders>
              <w:top w:val="nil"/>
              <w:left w:val="nil"/>
              <w:bottom w:val="nil"/>
              <w:right w:val="nil"/>
            </w:tcBorders>
          </w:tcPr>
          <w:p>
            <w:pPr/>
          </w:p>
        </w:tc>
        <w:tc>
          <w:tcPr>
            <w:tcW w:w="1584" w:type="dxa"/>
            <w:tcBorders>
              <w:top w:val="nil"/>
              <w:left w:val="nil"/>
              <w:bottom w:val="nil"/>
              <w:right w:val="nil"/>
            </w:tcBorders>
          </w:tcPr>
          <w:p>
            <w:pPr>
              <w:pStyle w:val="TableParagraph"/>
              <w:spacing w:before="26"/>
              <w:rPr>
                <w:sz w:val="18"/>
              </w:rPr>
            </w:pPr>
            <w:r>
              <w:rPr>
                <w:sz w:val="18"/>
              </w:rPr>
              <w:t>SIN</w:t>
            </w:r>
          </w:p>
        </w:tc>
        <w:tc>
          <w:tcPr>
            <w:tcW w:w="2528" w:type="dxa"/>
            <w:tcBorders>
              <w:top w:val="nil"/>
              <w:left w:val="nil"/>
              <w:bottom w:val="nil"/>
              <w:right w:val="nil"/>
            </w:tcBorders>
          </w:tcPr>
          <w:p>
            <w:pPr>
              <w:pStyle w:val="TableParagraph"/>
              <w:spacing w:before="26"/>
              <w:ind w:left="897"/>
              <w:rPr>
                <w:sz w:val="18"/>
              </w:rPr>
            </w:pPr>
            <w:r>
              <w:rPr>
                <w:sz w:val="18"/>
              </w:rPr>
              <w:t>0.1</w:t>
            </w:r>
          </w:p>
        </w:tc>
      </w:tr>
      <w:tr>
        <w:trPr>
          <w:trHeight w:val="278" w:hRule="exact"/>
        </w:trPr>
        <w:tc>
          <w:tcPr>
            <w:tcW w:w="2922" w:type="dxa"/>
            <w:tcBorders>
              <w:top w:val="nil"/>
              <w:left w:val="nil"/>
              <w:bottom w:val="nil"/>
              <w:right w:val="nil"/>
            </w:tcBorders>
          </w:tcPr>
          <w:p>
            <w:pPr>
              <w:pStyle w:val="TableParagraph"/>
              <w:spacing w:before="26"/>
              <w:rPr>
                <w:sz w:val="18"/>
              </w:rPr>
            </w:pPr>
            <w:r>
              <w:rPr>
                <w:sz w:val="18"/>
              </w:rPr>
              <w:t>Tianguistenco</w:t>
            </w:r>
          </w:p>
        </w:tc>
        <w:tc>
          <w:tcPr>
            <w:tcW w:w="2337" w:type="dxa"/>
            <w:tcBorders>
              <w:top w:val="nil"/>
              <w:left w:val="nil"/>
              <w:bottom w:val="nil"/>
              <w:right w:val="nil"/>
            </w:tcBorders>
          </w:tcPr>
          <w:p>
            <w:pPr>
              <w:pStyle w:val="TableParagraph"/>
              <w:spacing w:before="26"/>
              <w:ind w:left="1235"/>
              <w:rPr>
                <w:sz w:val="18"/>
              </w:rPr>
            </w:pPr>
            <w:r>
              <w:rPr>
                <w:sz w:val="18"/>
              </w:rPr>
              <w:t>0.4</w:t>
            </w:r>
          </w:p>
        </w:tc>
        <w:tc>
          <w:tcPr>
            <w:tcW w:w="1584" w:type="dxa"/>
            <w:tcBorders>
              <w:top w:val="nil"/>
              <w:left w:val="nil"/>
              <w:bottom w:val="nil"/>
              <w:right w:val="nil"/>
            </w:tcBorders>
          </w:tcPr>
          <w:p>
            <w:pPr>
              <w:pStyle w:val="TableParagraph"/>
              <w:spacing w:before="26"/>
              <w:rPr>
                <w:sz w:val="18"/>
              </w:rPr>
            </w:pPr>
            <w:r>
              <w:rPr>
                <w:sz w:val="18"/>
              </w:rPr>
              <w:t>SLP</w:t>
            </w:r>
          </w:p>
        </w:tc>
        <w:tc>
          <w:tcPr>
            <w:tcW w:w="2528" w:type="dxa"/>
            <w:tcBorders>
              <w:top w:val="nil"/>
              <w:left w:val="nil"/>
              <w:bottom w:val="nil"/>
              <w:right w:val="nil"/>
            </w:tcBorders>
          </w:tcPr>
          <w:p>
            <w:pPr>
              <w:pStyle w:val="TableParagraph"/>
              <w:spacing w:before="26"/>
              <w:ind w:left="897"/>
              <w:rPr>
                <w:sz w:val="18"/>
              </w:rPr>
            </w:pPr>
            <w:r>
              <w:rPr>
                <w:sz w:val="18"/>
              </w:rPr>
              <w:t>0.7</w:t>
            </w:r>
          </w:p>
        </w:tc>
      </w:tr>
      <w:tr>
        <w:trPr>
          <w:trHeight w:val="280" w:hRule="exact"/>
        </w:trPr>
        <w:tc>
          <w:tcPr>
            <w:tcW w:w="2922" w:type="dxa"/>
            <w:tcBorders>
              <w:top w:val="nil"/>
              <w:left w:val="nil"/>
              <w:bottom w:val="nil"/>
              <w:right w:val="nil"/>
            </w:tcBorders>
          </w:tcPr>
          <w:p>
            <w:pPr>
              <w:pStyle w:val="TableParagraph"/>
              <w:spacing w:before="26"/>
              <w:rPr>
                <w:sz w:val="18"/>
              </w:rPr>
            </w:pPr>
            <w:r>
              <w:rPr>
                <w:sz w:val="18"/>
              </w:rPr>
              <w:t>Xalatlaco</w:t>
            </w:r>
          </w:p>
        </w:tc>
        <w:tc>
          <w:tcPr>
            <w:tcW w:w="2337" w:type="dxa"/>
            <w:tcBorders>
              <w:top w:val="nil"/>
              <w:left w:val="nil"/>
              <w:bottom w:val="nil"/>
              <w:right w:val="nil"/>
            </w:tcBorders>
          </w:tcPr>
          <w:p>
            <w:pPr>
              <w:pStyle w:val="TableParagraph"/>
              <w:spacing w:before="26"/>
              <w:ind w:left="1235"/>
              <w:rPr>
                <w:sz w:val="18"/>
              </w:rPr>
            </w:pPr>
            <w:r>
              <w:rPr>
                <w:sz w:val="18"/>
              </w:rPr>
              <w:t>0.02</w:t>
            </w:r>
          </w:p>
        </w:tc>
        <w:tc>
          <w:tcPr>
            <w:tcW w:w="1584" w:type="dxa"/>
            <w:tcBorders>
              <w:top w:val="nil"/>
              <w:left w:val="nil"/>
              <w:bottom w:val="nil"/>
              <w:right w:val="nil"/>
            </w:tcBorders>
          </w:tcPr>
          <w:p>
            <w:pPr>
              <w:pStyle w:val="TableParagraph"/>
              <w:spacing w:before="26"/>
              <w:rPr>
                <w:sz w:val="18"/>
              </w:rPr>
            </w:pPr>
            <w:r>
              <w:rPr>
                <w:sz w:val="18"/>
              </w:rPr>
              <w:t>SON</w:t>
            </w:r>
          </w:p>
        </w:tc>
        <w:tc>
          <w:tcPr>
            <w:tcW w:w="2528" w:type="dxa"/>
            <w:tcBorders>
              <w:top w:val="nil"/>
              <w:left w:val="nil"/>
              <w:bottom w:val="nil"/>
              <w:right w:val="nil"/>
            </w:tcBorders>
          </w:tcPr>
          <w:p>
            <w:pPr>
              <w:pStyle w:val="TableParagraph"/>
              <w:spacing w:before="26"/>
              <w:ind w:left="897"/>
              <w:rPr>
                <w:sz w:val="18"/>
              </w:rPr>
            </w:pPr>
            <w:r>
              <w:rPr>
                <w:sz w:val="18"/>
              </w:rPr>
              <w:t>0.1</w:t>
            </w:r>
          </w:p>
        </w:tc>
      </w:tr>
      <w:tr>
        <w:trPr>
          <w:trHeight w:val="280" w:hRule="exact"/>
        </w:trPr>
        <w:tc>
          <w:tcPr>
            <w:tcW w:w="2922" w:type="dxa"/>
            <w:tcBorders>
              <w:top w:val="nil"/>
              <w:left w:val="nil"/>
              <w:bottom w:val="nil"/>
              <w:right w:val="nil"/>
            </w:tcBorders>
          </w:tcPr>
          <w:p>
            <w:pPr/>
          </w:p>
        </w:tc>
        <w:tc>
          <w:tcPr>
            <w:tcW w:w="2337" w:type="dxa"/>
            <w:tcBorders>
              <w:top w:val="nil"/>
              <w:left w:val="nil"/>
              <w:bottom w:val="nil"/>
              <w:right w:val="nil"/>
            </w:tcBorders>
          </w:tcPr>
          <w:p>
            <w:pPr/>
          </w:p>
        </w:tc>
        <w:tc>
          <w:tcPr>
            <w:tcW w:w="1584" w:type="dxa"/>
            <w:tcBorders>
              <w:top w:val="nil"/>
              <w:left w:val="nil"/>
              <w:bottom w:val="nil"/>
              <w:right w:val="nil"/>
            </w:tcBorders>
          </w:tcPr>
          <w:p>
            <w:pPr>
              <w:pStyle w:val="TableParagraph"/>
              <w:spacing w:before="27"/>
              <w:rPr>
                <w:sz w:val="18"/>
              </w:rPr>
            </w:pPr>
            <w:r>
              <w:rPr>
                <w:sz w:val="18"/>
              </w:rPr>
              <w:t>TAMPS</w:t>
            </w:r>
          </w:p>
        </w:tc>
        <w:tc>
          <w:tcPr>
            <w:tcW w:w="2528" w:type="dxa"/>
            <w:tcBorders>
              <w:top w:val="nil"/>
              <w:left w:val="nil"/>
              <w:bottom w:val="nil"/>
              <w:right w:val="nil"/>
            </w:tcBorders>
          </w:tcPr>
          <w:p>
            <w:pPr>
              <w:pStyle w:val="TableParagraph"/>
              <w:spacing w:before="27"/>
              <w:ind w:left="897"/>
              <w:rPr>
                <w:sz w:val="18"/>
              </w:rPr>
            </w:pPr>
            <w:r>
              <w:rPr>
                <w:sz w:val="18"/>
              </w:rPr>
              <w:t>0.6</w:t>
            </w:r>
          </w:p>
        </w:tc>
      </w:tr>
      <w:tr>
        <w:trPr>
          <w:trHeight w:val="278" w:hRule="exact"/>
        </w:trPr>
        <w:tc>
          <w:tcPr>
            <w:tcW w:w="2922" w:type="dxa"/>
            <w:tcBorders>
              <w:top w:val="nil"/>
              <w:left w:val="nil"/>
              <w:bottom w:val="nil"/>
              <w:right w:val="nil"/>
            </w:tcBorders>
          </w:tcPr>
          <w:p>
            <w:pPr/>
          </w:p>
        </w:tc>
        <w:tc>
          <w:tcPr>
            <w:tcW w:w="2337" w:type="dxa"/>
            <w:tcBorders>
              <w:top w:val="nil"/>
              <w:left w:val="nil"/>
              <w:bottom w:val="nil"/>
              <w:right w:val="nil"/>
            </w:tcBorders>
          </w:tcPr>
          <w:p>
            <w:pPr/>
          </w:p>
        </w:tc>
        <w:tc>
          <w:tcPr>
            <w:tcW w:w="1584" w:type="dxa"/>
            <w:tcBorders>
              <w:top w:val="nil"/>
              <w:left w:val="nil"/>
              <w:bottom w:val="nil"/>
              <w:right w:val="nil"/>
            </w:tcBorders>
          </w:tcPr>
          <w:p>
            <w:pPr>
              <w:pStyle w:val="TableParagraph"/>
              <w:spacing w:before="26"/>
              <w:rPr>
                <w:sz w:val="18"/>
              </w:rPr>
            </w:pPr>
            <w:r>
              <w:rPr>
                <w:sz w:val="18"/>
              </w:rPr>
              <w:t>TLAX</w:t>
            </w:r>
          </w:p>
        </w:tc>
        <w:tc>
          <w:tcPr>
            <w:tcW w:w="2528" w:type="dxa"/>
            <w:tcBorders>
              <w:top w:val="nil"/>
              <w:left w:val="nil"/>
              <w:bottom w:val="nil"/>
              <w:right w:val="nil"/>
            </w:tcBorders>
          </w:tcPr>
          <w:p>
            <w:pPr>
              <w:pStyle w:val="TableParagraph"/>
              <w:spacing w:before="26"/>
              <w:ind w:left="897"/>
              <w:rPr>
                <w:sz w:val="18"/>
              </w:rPr>
            </w:pPr>
            <w:r>
              <w:rPr>
                <w:sz w:val="18"/>
              </w:rPr>
              <w:t>0.1</w:t>
            </w:r>
          </w:p>
        </w:tc>
      </w:tr>
      <w:tr>
        <w:trPr>
          <w:trHeight w:val="278" w:hRule="exact"/>
        </w:trPr>
        <w:tc>
          <w:tcPr>
            <w:tcW w:w="2922" w:type="dxa"/>
            <w:tcBorders>
              <w:top w:val="nil"/>
              <w:left w:val="nil"/>
              <w:bottom w:val="nil"/>
              <w:right w:val="nil"/>
            </w:tcBorders>
          </w:tcPr>
          <w:p>
            <w:pPr/>
          </w:p>
        </w:tc>
        <w:tc>
          <w:tcPr>
            <w:tcW w:w="2337" w:type="dxa"/>
            <w:tcBorders>
              <w:top w:val="nil"/>
              <w:left w:val="nil"/>
              <w:bottom w:val="nil"/>
              <w:right w:val="nil"/>
            </w:tcBorders>
          </w:tcPr>
          <w:p>
            <w:pPr/>
          </w:p>
        </w:tc>
        <w:tc>
          <w:tcPr>
            <w:tcW w:w="1584" w:type="dxa"/>
            <w:tcBorders>
              <w:top w:val="nil"/>
              <w:left w:val="nil"/>
              <w:bottom w:val="nil"/>
              <w:right w:val="nil"/>
            </w:tcBorders>
          </w:tcPr>
          <w:p>
            <w:pPr>
              <w:pStyle w:val="TableParagraph"/>
              <w:spacing w:before="26"/>
              <w:rPr>
                <w:sz w:val="18"/>
              </w:rPr>
            </w:pPr>
            <w:r>
              <w:rPr>
                <w:sz w:val="18"/>
              </w:rPr>
              <w:t>VER</w:t>
            </w:r>
          </w:p>
        </w:tc>
        <w:tc>
          <w:tcPr>
            <w:tcW w:w="2528" w:type="dxa"/>
            <w:tcBorders>
              <w:top w:val="nil"/>
              <w:left w:val="nil"/>
              <w:bottom w:val="nil"/>
              <w:right w:val="nil"/>
            </w:tcBorders>
          </w:tcPr>
          <w:p>
            <w:pPr>
              <w:pStyle w:val="TableParagraph"/>
              <w:spacing w:before="26"/>
              <w:ind w:left="897"/>
              <w:rPr>
                <w:sz w:val="18"/>
              </w:rPr>
            </w:pPr>
            <w:r>
              <w:rPr>
                <w:sz w:val="18"/>
              </w:rPr>
              <w:t>0.7</w:t>
            </w:r>
          </w:p>
        </w:tc>
      </w:tr>
      <w:tr>
        <w:trPr>
          <w:trHeight w:val="280" w:hRule="exact"/>
        </w:trPr>
        <w:tc>
          <w:tcPr>
            <w:tcW w:w="2922" w:type="dxa"/>
            <w:tcBorders>
              <w:top w:val="nil"/>
              <w:left w:val="nil"/>
              <w:bottom w:val="nil"/>
              <w:right w:val="nil"/>
            </w:tcBorders>
          </w:tcPr>
          <w:p>
            <w:pPr/>
          </w:p>
        </w:tc>
        <w:tc>
          <w:tcPr>
            <w:tcW w:w="2337" w:type="dxa"/>
            <w:tcBorders>
              <w:top w:val="nil"/>
              <w:left w:val="nil"/>
              <w:bottom w:val="nil"/>
              <w:right w:val="nil"/>
            </w:tcBorders>
          </w:tcPr>
          <w:p>
            <w:pPr/>
          </w:p>
        </w:tc>
        <w:tc>
          <w:tcPr>
            <w:tcW w:w="1584" w:type="dxa"/>
            <w:tcBorders>
              <w:top w:val="nil"/>
              <w:left w:val="nil"/>
              <w:bottom w:val="nil"/>
              <w:right w:val="nil"/>
            </w:tcBorders>
          </w:tcPr>
          <w:p>
            <w:pPr>
              <w:pStyle w:val="TableParagraph"/>
              <w:spacing w:before="26"/>
              <w:rPr>
                <w:sz w:val="18"/>
              </w:rPr>
            </w:pPr>
            <w:r>
              <w:rPr>
                <w:sz w:val="18"/>
              </w:rPr>
              <w:t>YUC</w:t>
            </w:r>
          </w:p>
        </w:tc>
        <w:tc>
          <w:tcPr>
            <w:tcW w:w="2528" w:type="dxa"/>
            <w:tcBorders>
              <w:top w:val="nil"/>
              <w:left w:val="nil"/>
              <w:bottom w:val="nil"/>
              <w:right w:val="nil"/>
            </w:tcBorders>
          </w:tcPr>
          <w:p>
            <w:pPr>
              <w:pStyle w:val="TableParagraph"/>
              <w:spacing w:before="26"/>
              <w:ind w:left="897"/>
              <w:rPr>
                <w:sz w:val="18"/>
              </w:rPr>
            </w:pPr>
            <w:r>
              <w:rPr>
                <w:sz w:val="18"/>
              </w:rPr>
              <w:t>0.1</w:t>
            </w:r>
          </w:p>
        </w:tc>
      </w:tr>
      <w:tr>
        <w:trPr>
          <w:trHeight w:val="239" w:hRule="exact"/>
        </w:trPr>
        <w:tc>
          <w:tcPr>
            <w:tcW w:w="2922" w:type="dxa"/>
            <w:tcBorders>
              <w:top w:val="nil"/>
              <w:left w:val="nil"/>
              <w:right w:val="nil"/>
            </w:tcBorders>
          </w:tcPr>
          <w:p>
            <w:pPr/>
          </w:p>
        </w:tc>
        <w:tc>
          <w:tcPr>
            <w:tcW w:w="2337" w:type="dxa"/>
            <w:tcBorders>
              <w:top w:val="nil"/>
              <w:left w:val="nil"/>
            </w:tcBorders>
          </w:tcPr>
          <w:p>
            <w:pPr/>
          </w:p>
        </w:tc>
        <w:tc>
          <w:tcPr>
            <w:tcW w:w="1584" w:type="dxa"/>
            <w:tcBorders>
              <w:top w:val="nil"/>
              <w:right w:val="nil"/>
            </w:tcBorders>
          </w:tcPr>
          <w:p>
            <w:pPr>
              <w:pStyle w:val="TableParagraph"/>
              <w:spacing w:before="27"/>
              <w:ind w:left="64"/>
              <w:rPr>
                <w:sz w:val="18"/>
              </w:rPr>
            </w:pPr>
            <w:r>
              <w:rPr>
                <w:sz w:val="18"/>
              </w:rPr>
              <w:t>ZAC</w:t>
            </w:r>
          </w:p>
        </w:tc>
        <w:tc>
          <w:tcPr>
            <w:tcW w:w="2528" w:type="dxa"/>
            <w:tcBorders>
              <w:top w:val="nil"/>
              <w:left w:val="nil"/>
              <w:right w:val="nil"/>
            </w:tcBorders>
          </w:tcPr>
          <w:p>
            <w:pPr>
              <w:pStyle w:val="TableParagraph"/>
              <w:spacing w:before="27"/>
              <w:ind w:left="897"/>
              <w:rPr>
                <w:sz w:val="18"/>
              </w:rPr>
            </w:pPr>
            <w:r>
              <w:rPr>
                <w:sz w:val="18"/>
              </w:rPr>
              <w:t>0.02</w:t>
            </w:r>
          </w:p>
        </w:tc>
      </w:tr>
    </w:tbl>
    <w:p>
      <w:pPr>
        <w:spacing w:line="227" w:lineRule="exact" w:before="0"/>
        <w:ind w:left="263" w:right="0" w:firstLine="0"/>
        <w:jc w:val="left"/>
        <w:rPr>
          <w:sz w:val="20"/>
        </w:rPr>
      </w:pPr>
      <w:r>
        <w:rPr>
          <w:sz w:val="20"/>
        </w:rPr>
        <w:t>Fuente: Elaboración propia con información de la Junta de Caminos del Estado de México 2007.</w:t>
      </w:r>
    </w:p>
    <w:p>
      <w:pPr>
        <w:spacing w:after="0" w:line="227" w:lineRule="exact"/>
        <w:jc w:val="left"/>
        <w:rPr>
          <w:sz w:val="20"/>
        </w:rPr>
        <w:sectPr>
          <w:footerReference w:type="default" r:id="rId78"/>
          <w:pgSz w:w="12240" w:h="15840"/>
          <w:pgMar w:footer="659" w:header="0" w:top="1360" w:bottom="840" w:left="1580" w:right="1060"/>
          <w:pgNumType w:start="170"/>
        </w:sectPr>
      </w:pPr>
    </w:p>
    <w:p>
      <w:pPr>
        <w:spacing w:before="53" w:after="3"/>
        <w:ind w:left="3992" w:right="197" w:hanging="3723"/>
        <w:jc w:val="left"/>
        <w:rPr>
          <w:sz w:val="20"/>
        </w:rPr>
      </w:pPr>
      <w:r>
        <w:rPr>
          <w:sz w:val="20"/>
        </w:rPr>
        <w:t>Cuadro A 4. 21 Movimientos nacionales para los que la Zona Metropolitana de Toluca es nodo intermedio</w:t>
      </w:r>
    </w:p>
    <w:tbl>
      <w:tblPr>
        <w:tblW w:w="0" w:type="auto"/>
        <w:jc w:val="left"/>
        <w:tblInd w:w="118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437"/>
        <w:gridCol w:w="1929"/>
        <w:gridCol w:w="1483"/>
        <w:gridCol w:w="1685"/>
      </w:tblGrid>
      <w:tr>
        <w:trPr>
          <w:trHeight w:val="305" w:hRule="exact"/>
        </w:trPr>
        <w:tc>
          <w:tcPr>
            <w:tcW w:w="3366" w:type="dxa"/>
            <w:gridSpan w:val="2"/>
            <w:tcBorders>
              <w:left w:val="nil"/>
              <w:bottom w:val="nil"/>
              <w:right w:val="nil"/>
            </w:tcBorders>
            <w:shd w:val="clear" w:color="auto" w:fill="D9D9D9"/>
          </w:tcPr>
          <w:p>
            <w:pPr>
              <w:pStyle w:val="TableParagraph"/>
              <w:spacing w:before="67"/>
              <w:ind w:left="1364" w:right="1173"/>
              <w:jc w:val="center"/>
              <w:rPr>
                <w:sz w:val="20"/>
              </w:rPr>
            </w:pPr>
            <w:r>
              <w:rPr>
                <w:sz w:val="20"/>
              </w:rPr>
              <w:t>ORIGEN</w:t>
            </w:r>
          </w:p>
        </w:tc>
        <w:tc>
          <w:tcPr>
            <w:tcW w:w="3168" w:type="dxa"/>
            <w:gridSpan w:val="2"/>
            <w:tcBorders>
              <w:left w:val="nil"/>
              <w:bottom w:val="nil"/>
              <w:right w:val="nil"/>
            </w:tcBorders>
            <w:shd w:val="clear" w:color="auto" w:fill="D9D9D9"/>
          </w:tcPr>
          <w:p>
            <w:pPr>
              <w:pStyle w:val="TableParagraph"/>
              <w:spacing w:before="67"/>
              <w:ind w:left="1235"/>
              <w:rPr>
                <w:sz w:val="20"/>
              </w:rPr>
            </w:pPr>
            <w:r>
              <w:rPr>
                <w:sz w:val="20"/>
              </w:rPr>
              <w:t>DESTINO</w:t>
            </w:r>
          </w:p>
        </w:tc>
      </w:tr>
      <w:tr>
        <w:trPr>
          <w:trHeight w:val="302" w:hRule="exact"/>
        </w:trPr>
        <w:tc>
          <w:tcPr>
            <w:tcW w:w="1437" w:type="dxa"/>
            <w:tcBorders>
              <w:top w:val="nil"/>
              <w:left w:val="nil"/>
              <w:right w:val="nil"/>
            </w:tcBorders>
          </w:tcPr>
          <w:p>
            <w:pPr>
              <w:pStyle w:val="TableParagraph"/>
              <w:spacing w:before="67"/>
              <w:ind w:left="321"/>
              <w:rPr>
                <w:sz w:val="20"/>
              </w:rPr>
            </w:pPr>
            <w:r>
              <w:rPr>
                <w:sz w:val="20"/>
              </w:rPr>
              <w:t>estado</w:t>
            </w:r>
          </w:p>
        </w:tc>
        <w:tc>
          <w:tcPr>
            <w:tcW w:w="1929" w:type="dxa"/>
            <w:tcBorders>
              <w:top w:val="nil"/>
              <w:left w:val="nil"/>
              <w:right w:val="nil"/>
            </w:tcBorders>
          </w:tcPr>
          <w:p>
            <w:pPr>
              <w:pStyle w:val="TableParagraph"/>
              <w:spacing w:before="67"/>
              <w:ind w:left="449" w:right="449"/>
              <w:jc w:val="center"/>
              <w:rPr>
                <w:sz w:val="20"/>
              </w:rPr>
            </w:pPr>
            <w:r>
              <w:rPr>
                <w:sz w:val="20"/>
              </w:rPr>
              <w:t>Frecuencia</w:t>
            </w:r>
          </w:p>
        </w:tc>
        <w:tc>
          <w:tcPr>
            <w:tcW w:w="1483" w:type="dxa"/>
            <w:tcBorders>
              <w:top w:val="nil"/>
              <w:left w:val="nil"/>
              <w:right w:val="nil"/>
            </w:tcBorders>
          </w:tcPr>
          <w:p>
            <w:pPr>
              <w:pStyle w:val="TableParagraph"/>
              <w:spacing w:before="67"/>
              <w:ind w:left="515"/>
              <w:rPr>
                <w:sz w:val="20"/>
              </w:rPr>
            </w:pPr>
            <w:r>
              <w:rPr>
                <w:sz w:val="20"/>
              </w:rPr>
              <w:t>estado</w:t>
            </w:r>
          </w:p>
        </w:tc>
        <w:tc>
          <w:tcPr>
            <w:tcW w:w="1685" w:type="dxa"/>
            <w:tcBorders>
              <w:top w:val="nil"/>
              <w:left w:val="nil"/>
              <w:right w:val="nil"/>
            </w:tcBorders>
          </w:tcPr>
          <w:p>
            <w:pPr>
              <w:pStyle w:val="TableParagraph"/>
              <w:spacing w:before="67"/>
              <w:ind w:left="302" w:right="352"/>
              <w:jc w:val="center"/>
              <w:rPr>
                <w:sz w:val="20"/>
              </w:rPr>
            </w:pPr>
            <w:r>
              <w:rPr>
                <w:sz w:val="20"/>
              </w:rPr>
              <w:t>Frecuencia</w:t>
            </w:r>
          </w:p>
        </w:tc>
      </w:tr>
      <w:tr>
        <w:trPr>
          <w:trHeight w:val="347" w:hRule="exact"/>
        </w:trPr>
        <w:tc>
          <w:tcPr>
            <w:tcW w:w="1437" w:type="dxa"/>
            <w:tcBorders>
              <w:left w:val="nil"/>
              <w:bottom w:val="nil"/>
              <w:right w:val="nil"/>
            </w:tcBorders>
          </w:tcPr>
          <w:p>
            <w:pPr>
              <w:pStyle w:val="TableParagraph"/>
              <w:spacing w:before="67"/>
              <w:ind w:left="470" w:right="660"/>
              <w:jc w:val="center"/>
              <w:rPr>
                <w:sz w:val="20"/>
              </w:rPr>
            </w:pPr>
            <w:r>
              <w:rPr>
                <w:sz w:val="20"/>
              </w:rPr>
              <w:t>DF</w:t>
            </w:r>
          </w:p>
        </w:tc>
        <w:tc>
          <w:tcPr>
            <w:tcW w:w="1929" w:type="dxa"/>
            <w:tcBorders>
              <w:left w:val="nil"/>
              <w:bottom w:val="nil"/>
              <w:right w:val="nil"/>
            </w:tcBorders>
          </w:tcPr>
          <w:p>
            <w:pPr>
              <w:pStyle w:val="TableParagraph"/>
              <w:spacing w:before="67"/>
              <w:ind w:left="449" w:right="447"/>
              <w:jc w:val="center"/>
              <w:rPr>
                <w:sz w:val="20"/>
              </w:rPr>
            </w:pPr>
            <w:r>
              <w:rPr>
                <w:sz w:val="20"/>
              </w:rPr>
              <w:t>555</w:t>
            </w:r>
          </w:p>
        </w:tc>
        <w:tc>
          <w:tcPr>
            <w:tcW w:w="1483" w:type="dxa"/>
            <w:tcBorders>
              <w:left w:val="nil"/>
              <w:bottom w:val="nil"/>
              <w:right w:val="nil"/>
            </w:tcBorders>
          </w:tcPr>
          <w:p>
            <w:pPr>
              <w:pStyle w:val="TableParagraph"/>
              <w:spacing w:before="67"/>
              <w:ind w:left="560"/>
              <w:rPr>
                <w:sz w:val="20"/>
              </w:rPr>
            </w:pPr>
            <w:r>
              <w:rPr>
                <w:sz w:val="20"/>
              </w:rPr>
              <w:t>MICH</w:t>
            </w:r>
          </w:p>
        </w:tc>
        <w:tc>
          <w:tcPr>
            <w:tcW w:w="1685" w:type="dxa"/>
            <w:tcBorders>
              <w:left w:val="nil"/>
              <w:bottom w:val="nil"/>
              <w:right w:val="nil"/>
            </w:tcBorders>
          </w:tcPr>
          <w:p>
            <w:pPr>
              <w:pStyle w:val="TableParagraph"/>
              <w:spacing w:before="67"/>
              <w:ind w:left="302" w:right="349"/>
              <w:jc w:val="center"/>
              <w:rPr>
                <w:sz w:val="20"/>
              </w:rPr>
            </w:pPr>
            <w:r>
              <w:rPr>
                <w:sz w:val="20"/>
              </w:rPr>
              <w:t>409</w:t>
            </w:r>
          </w:p>
        </w:tc>
      </w:tr>
      <w:tr>
        <w:trPr>
          <w:trHeight w:val="299" w:hRule="exact"/>
        </w:trPr>
        <w:tc>
          <w:tcPr>
            <w:tcW w:w="1437" w:type="dxa"/>
            <w:tcBorders>
              <w:top w:val="nil"/>
              <w:left w:val="nil"/>
              <w:bottom w:val="nil"/>
              <w:right w:val="nil"/>
            </w:tcBorders>
          </w:tcPr>
          <w:p>
            <w:pPr>
              <w:pStyle w:val="TableParagraph"/>
              <w:spacing w:before="24"/>
              <w:ind w:left="367"/>
              <w:rPr>
                <w:sz w:val="20"/>
              </w:rPr>
            </w:pPr>
            <w:r>
              <w:rPr>
                <w:sz w:val="20"/>
              </w:rPr>
              <w:t>MICH</w:t>
            </w:r>
          </w:p>
        </w:tc>
        <w:tc>
          <w:tcPr>
            <w:tcW w:w="1929" w:type="dxa"/>
            <w:tcBorders>
              <w:top w:val="nil"/>
              <w:left w:val="nil"/>
              <w:bottom w:val="nil"/>
              <w:right w:val="nil"/>
            </w:tcBorders>
          </w:tcPr>
          <w:p>
            <w:pPr>
              <w:pStyle w:val="TableParagraph"/>
              <w:spacing w:before="24"/>
              <w:ind w:left="449" w:right="447"/>
              <w:jc w:val="center"/>
              <w:rPr>
                <w:sz w:val="20"/>
              </w:rPr>
            </w:pPr>
            <w:r>
              <w:rPr>
                <w:sz w:val="20"/>
              </w:rPr>
              <w:t>250</w:t>
            </w:r>
          </w:p>
        </w:tc>
        <w:tc>
          <w:tcPr>
            <w:tcW w:w="1483" w:type="dxa"/>
            <w:tcBorders>
              <w:top w:val="nil"/>
              <w:left w:val="nil"/>
              <w:bottom w:val="nil"/>
              <w:right w:val="nil"/>
            </w:tcBorders>
          </w:tcPr>
          <w:p>
            <w:pPr>
              <w:pStyle w:val="TableParagraph"/>
              <w:spacing w:before="24"/>
              <w:ind w:left="621" w:right="472"/>
              <w:jc w:val="center"/>
              <w:rPr>
                <w:sz w:val="20"/>
              </w:rPr>
            </w:pPr>
            <w:r>
              <w:rPr>
                <w:sz w:val="20"/>
              </w:rPr>
              <w:t>DF</w:t>
            </w:r>
          </w:p>
        </w:tc>
        <w:tc>
          <w:tcPr>
            <w:tcW w:w="1685" w:type="dxa"/>
            <w:tcBorders>
              <w:top w:val="nil"/>
              <w:left w:val="nil"/>
              <w:bottom w:val="nil"/>
              <w:right w:val="nil"/>
            </w:tcBorders>
          </w:tcPr>
          <w:p>
            <w:pPr>
              <w:pStyle w:val="TableParagraph"/>
              <w:spacing w:before="24"/>
              <w:ind w:left="302" w:right="349"/>
              <w:jc w:val="center"/>
              <w:rPr>
                <w:sz w:val="20"/>
              </w:rPr>
            </w:pPr>
            <w:r>
              <w:rPr>
                <w:sz w:val="20"/>
              </w:rPr>
              <w:t>373</w:t>
            </w:r>
          </w:p>
        </w:tc>
      </w:tr>
      <w:tr>
        <w:trPr>
          <w:trHeight w:val="299" w:hRule="exact"/>
        </w:trPr>
        <w:tc>
          <w:tcPr>
            <w:tcW w:w="1437" w:type="dxa"/>
            <w:tcBorders>
              <w:top w:val="nil"/>
              <w:left w:val="nil"/>
              <w:bottom w:val="nil"/>
              <w:right w:val="nil"/>
            </w:tcBorders>
          </w:tcPr>
          <w:p>
            <w:pPr>
              <w:pStyle w:val="TableParagraph"/>
              <w:spacing w:before="23"/>
              <w:ind w:left="393"/>
              <w:rPr>
                <w:sz w:val="20"/>
              </w:rPr>
            </w:pPr>
            <w:r>
              <w:rPr>
                <w:sz w:val="20"/>
              </w:rPr>
              <w:t>GRO</w:t>
            </w:r>
          </w:p>
        </w:tc>
        <w:tc>
          <w:tcPr>
            <w:tcW w:w="1929" w:type="dxa"/>
            <w:tcBorders>
              <w:top w:val="nil"/>
              <w:left w:val="nil"/>
              <w:bottom w:val="nil"/>
              <w:right w:val="nil"/>
            </w:tcBorders>
          </w:tcPr>
          <w:p>
            <w:pPr>
              <w:pStyle w:val="TableParagraph"/>
              <w:spacing w:before="23"/>
              <w:ind w:left="449" w:right="447"/>
              <w:jc w:val="center"/>
              <w:rPr>
                <w:sz w:val="20"/>
              </w:rPr>
            </w:pPr>
            <w:r>
              <w:rPr>
                <w:sz w:val="20"/>
              </w:rPr>
              <w:t>60</w:t>
            </w:r>
          </w:p>
        </w:tc>
        <w:tc>
          <w:tcPr>
            <w:tcW w:w="1483" w:type="dxa"/>
            <w:tcBorders>
              <w:top w:val="nil"/>
              <w:left w:val="nil"/>
              <w:bottom w:val="nil"/>
              <w:right w:val="nil"/>
            </w:tcBorders>
          </w:tcPr>
          <w:p>
            <w:pPr>
              <w:pStyle w:val="TableParagraph"/>
              <w:spacing w:before="23"/>
              <w:ind w:left="621" w:right="476"/>
              <w:jc w:val="center"/>
              <w:rPr>
                <w:sz w:val="20"/>
              </w:rPr>
            </w:pPr>
            <w:r>
              <w:rPr>
                <w:sz w:val="20"/>
              </w:rPr>
              <w:t>JAL</w:t>
            </w:r>
          </w:p>
        </w:tc>
        <w:tc>
          <w:tcPr>
            <w:tcW w:w="1685" w:type="dxa"/>
            <w:tcBorders>
              <w:top w:val="nil"/>
              <w:left w:val="nil"/>
              <w:bottom w:val="nil"/>
              <w:right w:val="nil"/>
            </w:tcBorders>
          </w:tcPr>
          <w:p>
            <w:pPr>
              <w:pStyle w:val="TableParagraph"/>
              <w:spacing w:before="23"/>
              <w:ind w:left="302" w:right="349"/>
              <w:jc w:val="center"/>
              <w:rPr>
                <w:sz w:val="20"/>
              </w:rPr>
            </w:pPr>
            <w:r>
              <w:rPr>
                <w:sz w:val="20"/>
              </w:rPr>
              <w:t>89</w:t>
            </w:r>
          </w:p>
        </w:tc>
      </w:tr>
      <w:tr>
        <w:trPr>
          <w:trHeight w:val="300" w:hRule="exact"/>
        </w:trPr>
        <w:tc>
          <w:tcPr>
            <w:tcW w:w="1437" w:type="dxa"/>
            <w:tcBorders>
              <w:top w:val="nil"/>
              <w:left w:val="nil"/>
              <w:bottom w:val="nil"/>
              <w:right w:val="nil"/>
            </w:tcBorders>
          </w:tcPr>
          <w:p>
            <w:pPr>
              <w:pStyle w:val="TableParagraph"/>
              <w:spacing w:before="24"/>
              <w:ind w:left="448"/>
              <w:rPr>
                <w:sz w:val="20"/>
              </w:rPr>
            </w:pPr>
            <w:r>
              <w:rPr>
                <w:sz w:val="20"/>
              </w:rPr>
              <w:t>JAL</w:t>
            </w:r>
          </w:p>
        </w:tc>
        <w:tc>
          <w:tcPr>
            <w:tcW w:w="1929" w:type="dxa"/>
            <w:tcBorders>
              <w:top w:val="nil"/>
              <w:left w:val="nil"/>
              <w:bottom w:val="nil"/>
              <w:right w:val="nil"/>
            </w:tcBorders>
          </w:tcPr>
          <w:p>
            <w:pPr>
              <w:pStyle w:val="TableParagraph"/>
              <w:spacing w:before="24"/>
              <w:ind w:left="449" w:right="447"/>
              <w:jc w:val="center"/>
              <w:rPr>
                <w:sz w:val="20"/>
              </w:rPr>
            </w:pPr>
            <w:r>
              <w:rPr>
                <w:sz w:val="20"/>
              </w:rPr>
              <w:t>47</w:t>
            </w:r>
          </w:p>
        </w:tc>
        <w:tc>
          <w:tcPr>
            <w:tcW w:w="1483" w:type="dxa"/>
            <w:tcBorders>
              <w:top w:val="nil"/>
              <w:left w:val="nil"/>
              <w:bottom w:val="nil"/>
              <w:right w:val="nil"/>
            </w:tcBorders>
          </w:tcPr>
          <w:p>
            <w:pPr>
              <w:pStyle w:val="TableParagraph"/>
              <w:spacing w:before="24"/>
              <w:ind w:left="587"/>
              <w:rPr>
                <w:sz w:val="20"/>
              </w:rPr>
            </w:pPr>
            <w:r>
              <w:rPr>
                <w:sz w:val="20"/>
              </w:rPr>
              <w:t>GRO</w:t>
            </w:r>
          </w:p>
        </w:tc>
        <w:tc>
          <w:tcPr>
            <w:tcW w:w="1685" w:type="dxa"/>
            <w:tcBorders>
              <w:top w:val="nil"/>
              <w:left w:val="nil"/>
              <w:bottom w:val="nil"/>
              <w:right w:val="nil"/>
            </w:tcBorders>
          </w:tcPr>
          <w:p>
            <w:pPr>
              <w:pStyle w:val="TableParagraph"/>
              <w:spacing w:before="24"/>
              <w:ind w:left="302" w:right="349"/>
              <w:jc w:val="center"/>
              <w:rPr>
                <w:sz w:val="20"/>
              </w:rPr>
            </w:pPr>
            <w:r>
              <w:rPr>
                <w:sz w:val="20"/>
              </w:rPr>
              <w:t>48</w:t>
            </w:r>
          </w:p>
        </w:tc>
      </w:tr>
      <w:tr>
        <w:trPr>
          <w:trHeight w:val="299" w:hRule="exact"/>
        </w:trPr>
        <w:tc>
          <w:tcPr>
            <w:tcW w:w="1437" w:type="dxa"/>
            <w:tcBorders>
              <w:top w:val="nil"/>
              <w:left w:val="nil"/>
              <w:bottom w:val="nil"/>
              <w:right w:val="nil"/>
            </w:tcBorders>
          </w:tcPr>
          <w:p>
            <w:pPr>
              <w:pStyle w:val="TableParagraph"/>
              <w:spacing w:before="24"/>
              <w:ind w:left="388"/>
              <w:rPr>
                <w:sz w:val="20"/>
              </w:rPr>
            </w:pPr>
            <w:r>
              <w:rPr>
                <w:sz w:val="20"/>
              </w:rPr>
              <w:t>MOR</w:t>
            </w:r>
          </w:p>
        </w:tc>
        <w:tc>
          <w:tcPr>
            <w:tcW w:w="1929" w:type="dxa"/>
            <w:tcBorders>
              <w:top w:val="nil"/>
              <w:left w:val="nil"/>
              <w:bottom w:val="nil"/>
              <w:right w:val="nil"/>
            </w:tcBorders>
          </w:tcPr>
          <w:p>
            <w:pPr>
              <w:pStyle w:val="TableParagraph"/>
              <w:spacing w:before="24"/>
              <w:ind w:left="449" w:right="447"/>
              <w:jc w:val="center"/>
              <w:rPr>
                <w:sz w:val="20"/>
              </w:rPr>
            </w:pPr>
            <w:r>
              <w:rPr>
                <w:sz w:val="20"/>
              </w:rPr>
              <w:t>25</w:t>
            </w:r>
          </w:p>
        </w:tc>
        <w:tc>
          <w:tcPr>
            <w:tcW w:w="1483" w:type="dxa"/>
            <w:tcBorders>
              <w:top w:val="nil"/>
              <w:left w:val="nil"/>
              <w:bottom w:val="nil"/>
              <w:right w:val="nil"/>
            </w:tcBorders>
          </w:tcPr>
          <w:p>
            <w:pPr>
              <w:pStyle w:val="TableParagraph"/>
              <w:spacing w:before="24"/>
              <w:ind w:left="582"/>
              <w:rPr>
                <w:sz w:val="20"/>
              </w:rPr>
            </w:pPr>
            <w:r>
              <w:rPr>
                <w:sz w:val="20"/>
              </w:rPr>
              <w:t>MOR</w:t>
            </w:r>
          </w:p>
        </w:tc>
        <w:tc>
          <w:tcPr>
            <w:tcW w:w="1685" w:type="dxa"/>
            <w:tcBorders>
              <w:top w:val="nil"/>
              <w:left w:val="nil"/>
              <w:bottom w:val="nil"/>
              <w:right w:val="nil"/>
            </w:tcBorders>
          </w:tcPr>
          <w:p>
            <w:pPr>
              <w:pStyle w:val="TableParagraph"/>
              <w:spacing w:before="24"/>
              <w:ind w:left="302" w:right="349"/>
              <w:jc w:val="center"/>
              <w:rPr>
                <w:sz w:val="20"/>
              </w:rPr>
            </w:pPr>
            <w:r>
              <w:rPr>
                <w:sz w:val="20"/>
              </w:rPr>
              <w:t>33</w:t>
            </w:r>
          </w:p>
        </w:tc>
      </w:tr>
      <w:tr>
        <w:trPr>
          <w:trHeight w:val="299" w:hRule="exact"/>
        </w:trPr>
        <w:tc>
          <w:tcPr>
            <w:tcW w:w="1437" w:type="dxa"/>
            <w:tcBorders>
              <w:top w:val="nil"/>
              <w:left w:val="nil"/>
              <w:bottom w:val="nil"/>
              <w:right w:val="nil"/>
            </w:tcBorders>
          </w:tcPr>
          <w:p>
            <w:pPr>
              <w:pStyle w:val="TableParagraph"/>
              <w:spacing w:before="23"/>
              <w:ind w:left="393"/>
              <w:rPr>
                <w:sz w:val="20"/>
              </w:rPr>
            </w:pPr>
            <w:r>
              <w:rPr>
                <w:sz w:val="20"/>
              </w:rPr>
              <w:t>QRO</w:t>
            </w:r>
          </w:p>
        </w:tc>
        <w:tc>
          <w:tcPr>
            <w:tcW w:w="1929" w:type="dxa"/>
            <w:tcBorders>
              <w:top w:val="nil"/>
              <w:left w:val="nil"/>
              <w:bottom w:val="nil"/>
              <w:right w:val="nil"/>
            </w:tcBorders>
          </w:tcPr>
          <w:p>
            <w:pPr>
              <w:pStyle w:val="TableParagraph"/>
              <w:spacing w:before="23"/>
              <w:ind w:left="449" w:right="447"/>
              <w:jc w:val="center"/>
              <w:rPr>
                <w:sz w:val="20"/>
              </w:rPr>
            </w:pPr>
            <w:r>
              <w:rPr>
                <w:sz w:val="20"/>
              </w:rPr>
              <w:t>24</w:t>
            </w:r>
          </w:p>
        </w:tc>
        <w:tc>
          <w:tcPr>
            <w:tcW w:w="1483" w:type="dxa"/>
            <w:tcBorders>
              <w:top w:val="nil"/>
              <w:left w:val="nil"/>
              <w:bottom w:val="nil"/>
              <w:right w:val="nil"/>
            </w:tcBorders>
          </w:tcPr>
          <w:p>
            <w:pPr>
              <w:pStyle w:val="TableParagraph"/>
              <w:spacing w:before="23"/>
              <w:ind w:left="587"/>
              <w:rPr>
                <w:sz w:val="20"/>
              </w:rPr>
            </w:pPr>
            <w:r>
              <w:rPr>
                <w:sz w:val="20"/>
              </w:rPr>
              <w:t>QRO</w:t>
            </w:r>
          </w:p>
        </w:tc>
        <w:tc>
          <w:tcPr>
            <w:tcW w:w="1685" w:type="dxa"/>
            <w:tcBorders>
              <w:top w:val="nil"/>
              <w:left w:val="nil"/>
              <w:bottom w:val="nil"/>
              <w:right w:val="nil"/>
            </w:tcBorders>
          </w:tcPr>
          <w:p>
            <w:pPr>
              <w:pStyle w:val="TableParagraph"/>
              <w:spacing w:before="23"/>
              <w:ind w:left="302" w:right="349"/>
              <w:jc w:val="center"/>
              <w:rPr>
                <w:sz w:val="20"/>
              </w:rPr>
            </w:pPr>
            <w:r>
              <w:rPr>
                <w:sz w:val="20"/>
              </w:rPr>
              <w:t>28</w:t>
            </w:r>
          </w:p>
        </w:tc>
      </w:tr>
      <w:tr>
        <w:trPr>
          <w:trHeight w:val="299" w:hRule="exact"/>
        </w:trPr>
        <w:tc>
          <w:tcPr>
            <w:tcW w:w="1437" w:type="dxa"/>
            <w:tcBorders>
              <w:top w:val="nil"/>
              <w:left w:val="nil"/>
              <w:bottom w:val="nil"/>
              <w:right w:val="nil"/>
            </w:tcBorders>
          </w:tcPr>
          <w:p>
            <w:pPr>
              <w:pStyle w:val="TableParagraph"/>
              <w:spacing w:before="24"/>
              <w:ind w:left="405"/>
              <w:rPr>
                <w:sz w:val="20"/>
              </w:rPr>
            </w:pPr>
            <w:r>
              <w:rPr>
                <w:sz w:val="20"/>
              </w:rPr>
              <w:t>GTO</w:t>
            </w:r>
          </w:p>
        </w:tc>
        <w:tc>
          <w:tcPr>
            <w:tcW w:w="1929" w:type="dxa"/>
            <w:tcBorders>
              <w:top w:val="nil"/>
              <w:left w:val="nil"/>
              <w:bottom w:val="nil"/>
              <w:right w:val="nil"/>
            </w:tcBorders>
          </w:tcPr>
          <w:p>
            <w:pPr>
              <w:pStyle w:val="TableParagraph"/>
              <w:spacing w:before="24"/>
              <w:ind w:left="449" w:right="447"/>
              <w:jc w:val="center"/>
              <w:rPr>
                <w:sz w:val="20"/>
              </w:rPr>
            </w:pPr>
            <w:r>
              <w:rPr>
                <w:sz w:val="20"/>
              </w:rPr>
              <w:t>19</w:t>
            </w:r>
          </w:p>
        </w:tc>
        <w:tc>
          <w:tcPr>
            <w:tcW w:w="1483" w:type="dxa"/>
            <w:tcBorders>
              <w:top w:val="nil"/>
              <w:left w:val="nil"/>
              <w:bottom w:val="nil"/>
              <w:right w:val="nil"/>
            </w:tcBorders>
          </w:tcPr>
          <w:p>
            <w:pPr>
              <w:pStyle w:val="TableParagraph"/>
              <w:spacing w:before="24"/>
              <w:ind w:left="599"/>
              <w:rPr>
                <w:sz w:val="20"/>
              </w:rPr>
            </w:pPr>
            <w:r>
              <w:rPr>
                <w:sz w:val="20"/>
              </w:rPr>
              <w:t>GTO</w:t>
            </w:r>
          </w:p>
        </w:tc>
        <w:tc>
          <w:tcPr>
            <w:tcW w:w="1685" w:type="dxa"/>
            <w:tcBorders>
              <w:top w:val="nil"/>
              <w:left w:val="nil"/>
              <w:bottom w:val="nil"/>
              <w:right w:val="nil"/>
            </w:tcBorders>
          </w:tcPr>
          <w:p>
            <w:pPr>
              <w:pStyle w:val="TableParagraph"/>
              <w:spacing w:before="24"/>
              <w:ind w:left="302" w:right="349"/>
              <w:jc w:val="center"/>
              <w:rPr>
                <w:sz w:val="20"/>
              </w:rPr>
            </w:pPr>
            <w:r>
              <w:rPr>
                <w:sz w:val="20"/>
              </w:rPr>
              <w:t>21</w:t>
            </w:r>
          </w:p>
        </w:tc>
      </w:tr>
      <w:tr>
        <w:trPr>
          <w:trHeight w:val="299" w:hRule="exact"/>
        </w:trPr>
        <w:tc>
          <w:tcPr>
            <w:tcW w:w="1437" w:type="dxa"/>
            <w:tcBorders>
              <w:top w:val="nil"/>
              <w:left w:val="nil"/>
              <w:bottom w:val="nil"/>
              <w:right w:val="nil"/>
            </w:tcBorders>
          </w:tcPr>
          <w:p>
            <w:pPr>
              <w:pStyle w:val="TableParagraph"/>
              <w:spacing w:before="23"/>
              <w:ind w:left="417"/>
              <w:rPr>
                <w:sz w:val="20"/>
              </w:rPr>
            </w:pPr>
            <w:r>
              <w:rPr>
                <w:sz w:val="20"/>
              </w:rPr>
              <w:t>PUE</w:t>
            </w:r>
          </w:p>
        </w:tc>
        <w:tc>
          <w:tcPr>
            <w:tcW w:w="1929" w:type="dxa"/>
            <w:tcBorders>
              <w:top w:val="nil"/>
              <w:left w:val="nil"/>
              <w:bottom w:val="nil"/>
              <w:right w:val="nil"/>
            </w:tcBorders>
          </w:tcPr>
          <w:p>
            <w:pPr>
              <w:pStyle w:val="TableParagraph"/>
              <w:spacing w:before="23"/>
              <w:ind w:left="449" w:right="447"/>
              <w:jc w:val="center"/>
              <w:rPr>
                <w:sz w:val="20"/>
              </w:rPr>
            </w:pPr>
            <w:r>
              <w:rPr>
                <w:sz w:val="20"/>
              </w:rPr>
              <w:t>19</w:t>
            </w:r>
          </w:p>
        </w:tc>
        <w:tc>
          <w:tcPr>
            <w:tcW w:w="1483" w:type="dxa"/>
            <w:tcBorders>
              <w:top w:val="nil"/>
              <w:left w:val="nil"/>
              <w:bottom w:val="nil"/>
              <w:right w:val="nil"/>
            </w:tcBorders>
          </w:tcPr>
          <w:p>
            <w:pPr>
              <w:pStyle w:val="TableParagraph"/>
              <w:spacing w:before="23"/>
              <w:ind w:left="621" w:right="473"/>
              <w:jc w:val="center"/>
              <w:rPr>
                <w:sz w:val="20"/>
              </w:rPr>
            </w:pPr>
            <w:r>
              <w:rPr>
                <w:sz w:val="20"/>
              </w:rPr>
              <w:t>NL</w:t>
            </w:r>
          </w:p>
        </w:tc>
        <w:tc>
          <w:tcPr>
            <w:tcW w:w="1685" w:type="dxa"/>
            <w:tcBorders>
              <w:top w:val="nil"/>
              <w:left w:val="nil"/>
              <w:bottom w:val="nil"/>
              <w:right w:val="nil"/>
            </w:tcBorders>
          </w:tcPr>
          <w:p>
            <w:pPr>
              <w:pStyle w:val="TableParagraph"/>
              <w:spacing w:before="23"/>
              <w:ind w:left="302" w:right="349"/>
              <w:jc w:val="center"/>
              <w:rPr>
                <w:sz w:val="20"/>
              </w:rPr>
            </w:pPr>
            <w:r>
              <w:rPr>
                <w:sz w:val="20"/>
              </w:rPr>
              <w:t>10</w:t>
            </w:r>
          </w:p>
        </w:tc>
      </w:tr>
      <w:tr>
        <w:trPr>
          <w:trHeight w:val="300" w:hRule="exact"/>
        </w:trPr>
        <w:tc>
          <w:tcPr>
            <w:tcW w:w="1437" w:type="dxa"/>
            <w:tcBorders>
              <w:top w:val="nil"/>
              <w:left w:val="nil"/>
              <w:bottom w:val="nil"/>
              <w:right w:val="nil"/>
            </w:tcBorders>
          </w:tcPr>
          <w:p>
            <w:pPr>
              <w:pStyle w:val="TableParagraph"/>
              <w:spacing w:before="24"/>
              <w:ind w:left="469" w:right="660"/>
              <w:jc w:val="center"/>
              <w:rPr>
                <w:sz w:val="20"/>
              </w:rPr>
            </w:pPr>
            <w:r>
              <w:rPr>
                <w:sz w:val="20"/>
              </w:rPr>
              <w:t>NL</w:t>
            </w:r>
          </w:p>
        </w:tc>
        <w:tc>
          <w:tcPr>
            <w:tcW w:w="1929" w:type="dxa"/>
            <w:tcBorders>
              <w:top w:val="nil"/>
              <w:left w:val="nil"/>
              <w:bottom w:val="nil"/>
              <w:right w:val="nil"/>
            </w:tcBorders>
          </w:tcPr>
          <w:p>
            <w:pPr>
              <w:pStyle w:val="TableParagraph"/>
              <w:spacing w:before="24"/>
              <w:ind w:left="449" w:right="447"/>
              <w:jc w:val="center"/>
              <w:rPr>
                <w:sz w:val="20"/>
              </w:rPr>
            </w:pPr>
            <w:r>
              <w:rPr>
                <w:sz w:val="20"/>
              </w:rPr>
              <w:t>15</w:t>
            </w:r>
          </w:p>
        </w:tc>
        <w:tc>
          <w:tcPr>
            <w:tcW w:w="1483" w:type="dxa"/>
            <w:tcBorders>
              <w:top w:val="nil"/>
              <w:left w:val="nil"/>
              <w:bottom w:val="nil"/>
              <w:right w:val="nil"/>
            </w:tcBorders>
          </w:tcPr>
          <w:p>
            <w:pPr>
              <w:pStyle w:val="TableParagraph"/>
              <w:spacing w:before="24"/>
              <w:ind w:left="604"/>
              <w:rPr>
                <w:sz w:val="20"/>
              </w:rPr>
            </w:pPr>
            <w:r>
              <w:rPr>
                <w:sz w:val="20"/>
              </w:rPr>
              <w:t>OAX</w:t>
            </w:r>
          </w:p>
        </w:tc>
        <w:tc>
          <w:tcPr>
            <w:tcW w:w="1685" w:type="dxa"/>
            <w:tcBorders>
              <w:top w:val="nil"/>
              <w:left w:val="nil"/>
              <w:bottom w:val="nil"/>
              <w:right w:val="nil"/>
            </w:tcBorders>
          </w:tcPr>
          <w:p>
            <w:pPr>
              <w:pStyle w:val="TableParagraph"/>
              <w:spacing w:before="24"/>
              <w:ind w:left="0" w:right="46"/>
              <w:jc w:val="center"/>
              <w:rPr>
                <w:sz w:val="20"/>
              </w:rPr>
            </w:pPr>
            <w:r>
              <w:rPr>
                <w:w w:val="99"/>
                <w:sz w:val="20"/>
              </w:rPr>
              <w:t>9</w:t>
            </w:r>
          </w:p>
        </w:tc>
      </w:tr>
      <w:tr>
        <w:trPr>
          <w:trHeight w:val="299" w:hRule="exact"/>
        </w:trPr>
        <w:tc>
          <w:tcPr>
            <w:tcW w:w="1437" w:type="dxa"/>
            <w:tcBorders>
              <w:top w:val="nil"/>
              <w:left w:val="nil"/>
              <w:bottom w:val="nil"/>
              <w:right w:val="nil"/>
            </w:tcBorders>
          </w:tcPr>
          <w:p>
            <w:pPr>
              <w:pStyle w:val="TableParagraph"/>
              <w:spacing w:before="24"/>
              <w:ind w:left="410"/>
              <w:rPr>
                <w:sz w:val="20"/>
              </w:rPr>
            </w:pPr>
            <w:r>
              <w:rPr>
                <w:sz w:val="20"/>
              </w:rPr>
              <w:t>BCN</w:t>
            </w:r>
          </w:p>
        </w:tc>
        <w:tc>
          <w:tcPr>
            <w:tcW w:w="1929" w:type="dxa"/>
            <w:tcBorders>
              <w:top w:val="nil"/>
              <w:left w:val="nil"/>
              <w:bottom w:val="nil"/>
              <w:right w:val="nil"/>
            </w:tcBorders>
          </w:tcPr>
          <w:p>
            <w:pPr>
              <w:pStyle w:val="TableParagraph"/>
              <w:spacing w:before="24"/>
              <w:ind w:left="449" w:right="447"/>
              <w:jc w:val="center"/>
              <w:rPr>
                <w:sz w:val="20"/>
              </w:rPr>
            </w:pPr>
            <w:r>
              <w:rPr>
                <w:sz w:val="20"/>
              </w:rPr>
              <w:t>14</w:t>
            </w:r>
          </w:p>
        </w:tc>
        <w:tc>
          <w:tcPr>
            <w:tcW w:w="1483" w:type="dxa"/>
            <w:tcBorders>
              <w:top w:val="nil"/>
              <w:left w:val="nil"/>
              <w:bottom w:val="nil"/>
              <w:right w:val="nil"/>
            </w:tcBorders>
          </w:tcPr>
          <w:p>
            <w:pPr>
              <w:pStyle w:val="TableParagraph"/>
              <w:spacing w:before="24"/>
              <w:ind w:left="611"/>
              <w:rPr>
                <w:sz w:val="20"/>
              </w:rPr>
            </w:pPr>
            <w:r>
              <w:rPr>
                <w:sz w:val="20"/>
              </w:rPr>
              <w:t>VER</w:t>
            </w:r>
          </w:p>
        </w:tc>
        <w:tc>
          <w:tcPr>
            <w:tcW w:w="1685" w:type="dxa"/>
            <w:tcBorders>
              <w:top w:val="nil"/>
              <w:left w:val="nil"/>
              <w:bottom w:val="nil"/>
              <w:right w:val="nil"/>
            </w:tcBorders>
          </w:tcPr>
          <w:p>
            <w:pPr>
              <w:pStyle w:val="TableParagraph"/>
              <w:spacing w:before="24"/>
              <w:ind w:left="0" w:right="46"/>
              <w:jc w:val="center"/>
              <w:rPr>
                <w:sz w:val="20"/>
              </w:rPr>
            </w:pPr>
            <w:r>
              <w:rPr>
                <w:w w:val="99"/>
                <w:sz w:val="20"/>
              </w:rPr>
              <w:t>8</w:t>
            </w:r>
          </w:p>
        </w:tc>
      </w:tr>
      <w:tr>
        <w:trPr>
          <w:trHeight w:val="299" w:hRule="exact"/>
        </w:trPr>
        <w:tc>
          <w:tcPr>
            <w:tcW w:w="1437" w:type="dxa"/>
            <w:tcBorders>
              <w:top w:val="nil"/>
              <w:left w:val="nil"/>
              <w:bottom w:val="nil"/>
              <w:right w:val="nil"/>
            </w:tcBorders>
          </w:tcPr>
          <w:p>
            <w:pPr>
              <w:pStyle w:val="TableParagraph"/>
              <w:spacing w:before="23"/>
              <w:ind w:left="417"/>
              <w:rPr>
                <w:sz w:val="20"/>
              </w:rPr>
            </w:pPr>
            <w:r>
              <w:rPr>
                <w:sz w:val="20"/>
              </w:rPr>
              <w:t>VER</w:t>
            </w:r>
          </w:p>
        </w:tc>
        <w:tc>
          <w:tcPr>
            <w:tcW w:w="1929" w:type="dxa"/>
            <w:tcBorders>
              <w:top w:val="nil"/>
              <w:left w:val="nil"/>
              <w:bottom w:val="nil"/>
              <w:right w:val="nil"/>
            </w:tcBorders>
          </w:tcPr>
          <w:p>
            <w:pPr>
              <w:pStyle w:val="TableParagraph"/>
              <w:spacing w:before="23"/>
              <w:ind w:left="449" w:right="447"/>
              <w:jc w:val="center"/>
              <w:rPr>
                <w:sz w:val="20"/>
              </w:rPr>
            </w:pPr>
            <w:r>
              <w:rPr>
                <w:sz w:val="20"/>
              </w:rPr>
              <w:t>11</w:t>
            </w:r>
          </w:p>
        </w:tc>
        <w:tc>
          <w:tcPr>
            <w:tcW w:w="1483" w:type="dxa"/>
            <w:tcBorders>
              <w:top w:val="nil"/>
              <w:left w:val="nil"/>
              <w:bottom w:val="nil"/>
              <w:right w:val="nil"/>
            </w:tcBorders>
          </w:tcPr>
          <w:p>
            <w:pPr>
              <w:pStyle w:val="TableParagraph"/>
              <w:spacing w:before="23"/>
              <w:ind w:left="611"/>
              <w:rPr>
                <w:sz w:val="20"/>
              </w:rPr>
            </w:pPr>
            <w:r>
              <w:rPr>
                <w:sz w:val="20"/>
              </w:rPr>
              <w:t>PUE</w:t>
            </w:r>
          </w:p>
        </w:tc>
        <w:tc>
          <w:tcPr>
            <w:tcW w:w="1685" w:type="dxa"/>
            <w:tcBorders>
              <w:top w:val="nil"/>
              <w:left w:val="nil"/>
              <w:bottom w:val="nil"/>
              <w:right w:val="nil"/>
            </w:tcBorders>
          </w:tcPr>
          <w:p>
            <w:pPr>
              <w:pStyle w:val="TableParagraph"/>
              <w:spacing w:before="23"/>
              <w:ind w:left="0" w:right="46"/>
              <w:jc w:val="center"/>
              <w:rPr>
                <w:sz w:val="20"/>
              </w:rPr>
            </w:pPr>
            <w:r>
              <w:rPr>
                <w:w w:val="99"/>
                <w:sz w:val="20"/>
              </w:rPr>
              <w:t>7</w:t>
            </w:r>
          </w:p>
        </w:tc>
      </w:tr>
      <w:tr>
        <w:trPr>
          <w:trHeight w:val="299" w:hRule="exact"/>
        </w:trPr>
        <w:tc>
          <w:tcPr>
            <w:tcW w:w="1437" w:type="dxa"/>
            <w:tcBorders>
              <w:top w:val="nil"/>
              <w:left w:val="nil"/>
              <w:bottom w:val="nil"/>
              <w:right w:val="nil"/>
            </w:tcBorders>
          </w:tcPr>
          <w:p>
            <w:pPr>
              <w:pStyle w:val="TableParagraph"/>
              <w:spacing w:before="24"/>
              <w:ind w:left="393"/>
              <w:rPr>
                <w:sz w:val="20"/>
              </w:rPr>
            </w:pPr>
            <w:r>
              <w:rPr>
                <w:sz w:val="20"/>
              </w:rPr>
              <w:t>HGO</w:t>
            </w:r>
          </w:p>
        </w:tc>
        <w:tc>
          <w:tcPr>
            <w:tcW w:w="1929" w:type="dxa"/>
            <w:tcBorders>
              <w:top w:val="nil"/>
              <w:left w:val="nil"/>
              <w:bottom w:val="nil"/>
              <w:right w:val="nil"/>
            </w:tcBorders>
          </w:tcPr>
          <w:p>
            <w:pPr>
              <w:pStyle w:val="TableParagraph"/>
              <w:spacing w:before="24"/>
              <w:ind w:left="2"/>
              <w:jc w:val="center"/>
              <w:rPr>
                <w:sz w:val="20"/>
              </w:rPr>
            </w:pPr>
            <w:r>
              <w:rPr>
                <w:w w:val="99"/>
                <w:sz w:val="20"/>
              </w:rPr>
              <w:t>8</w:t>
            </w:r>
          </w:p>
        </w:tc>
        <w:tc>
          <w:tcPr>
            <w:tcW w:w="1483" w:type="dxa"/>
            <w:tcBorders>
              <w:top w:val="nil"/>
              <w:left w:val="nil"/>
              <w:bottom w:val="nil"/>
              <w:right w:val="nil"/>
            </w:tcBorders>
          </w:tcPr>
          <w:p>
            <w:pPr>
              <w:pStyle w:val="TableParagraph"/>
              <w:spacing w:before="24"/>
              <w:ind w:left="472"/>
              <w:rPr>
                <w:sz w:val="20"/>
              </w:rPr>
            </w:pPr>
            <w:r>
              <w:rPr>
                <w:sz w:val="20"/>
              </w:rPr>
              <w:t>TAMPS</w:t>
            </w:r>
          </w:p>
        </w:tc>
        <w:tc>
          <w:tcPr>
            <w:tcW w:w="1685" w:type="dxa"/>
            <w:tcBorders>
              <w:top w:val="nil"/>
              <w:left w:val="nil"/>
              <w:bottom w:val="nil"/>
              <w:right w:val="nil"/>
            </w:tcBorders>
          </w:tcPr>
          <w:p>
            <w:pPr>
              <w:pStyle w:val="TableParagraph"/>
              <w:spacing w:before="24"/>
              <w:ind w:left="0" w:right="46"/>
              <w:jc w:val="center"/>
              <w:rPr>
                <w:sz w:val="20"/>
              </w:rPr>
            </w:pPr>
            <w:r>
              <w:rPr>
                <w:w w:val="99"/>
                <w:sz w:val="20"/>
              </w:rPr>
              <w:t>7</w:t>
            </w:r>
          </w:p>
        </w:tc>
      </w:tr>
      <w:tr>
        <w:trPr>
          <w:trHeight w:val="299" w:hRule="exact"/>
        </w:trPr>
        <w:tc>
          <w:tcPr>
            <w:tcW w:w="1437" w:type="dxa"/>
            <w:tcBorders>
              <w:top w:val="nil"/>
              <w:left w:val="nil"/>
              <w:bottom w:val="nil"/>
              <w:right w:val="nil"/>
            </w:tcBorders>
          </w:tcPr>
          <w:p>
            <w:pPr>
              <w:pStyle w:val="TableParagraph"/>
              <w:spacing w:before="23"/>
              <w:ind w:left="410"/>
              <w:rPr>
                <w:sz w:val="20"/>
              </w:rPr>
            </w:pPr>
            <w:r>
              <w:rPr>
                <w:sz w:val="20"/>
              </w:rPr>
              <w:t>OAX</w:t>
            </w:r>
          </w:p>
        </w:tc>
        <w:tc>
          <w:tcPr>
            <w:tcW w:w="1929" w:type="dxa"/>
            <w:tcBorders>
              <w:top w:val="nil"/>
              <w:left w:val="nil"/>
              <w:bottom w:val="nil"/>
              <w:right w:val="nil"/>
            </w:tcBorders>
          </w:tcPr>
          <w:p>
            <w:pPr>
              <w:pStyle w:val="TableParagraph"/>
              <w:spacing w:before="23"/>
              <w:ind w:left="2"/>
              <w:jc w:val="center"/>
              <w:rPr>
                <w:sz w:val="20"/>
              </w:rPr>
            </w:pPr>
            <w:r>
              <w:rPr>
                <w:w w:val="99"/>
                <w:sz w:val="20"/>
              </w:rPr>
              <w:t>6</w:t>
            </w:r>
          </w:p>
        </w:tc>
        <w:tc>
          <w:tcPr>
            <w:tcW w:w="1483" w:type="dxa"/>
            <w:tcBorders>
              <w:top w:val="nil"/>
              <w:left w:val="nil"/>
              <w:bottom w:val="nil"/>
              <w:right w:val="nil"/>
            </w:tcBorders>
          </w:tcPr>
          <w:p>
            <w:pPr>
              <w:pStyle w:val="TableParagraph"/>
              <w:spacing w:before="23"/>
              <w:ind w:left="611"/>
              <w:rPr>
                <w:sz w:val="20"/>
              </w:rPr>
            </w:pPr>
            <w:r>
              <w:rPr>
                <w:sz w:val="20"/>
              </w:rPr>
              <w:t>NAY</w:t>
            </w:r>
          </w:p>
        </w:tc>
        <w:tc>
          <w:tcPr>
            <w:tcW w:w="1685" w:type="dxa"/>
            <w:tcBorders>
              <w:top w:val="nil"/>
              <w:left w:val="nil"/>
              <w:bottom w:val="nil"/>
              <w:right w:val="nil"/>
            </w:tcBorders>
          </w:tcPr>
          <w:p>
            <w:pPr>
              <w:pStyle w:val="TableParagraph"/>
              <w:spacing w:before="23"/>
              <w:ind w:left="0" w:right="46"/>
              <w:jc w:val="center"/>
              <w:rPr>
                <w:sz w:val="20"/>
              </w:rPr>
            </w:pPr>
            <w:r>
              <w:rPr>
                <w:w w:val="99"/>
                <w:sz w:val="20"/>
              </w:rPr>
              <w:t>5</w:t>
            </w:r>
          </w:p>
        </w:tc>
      </w:tr>
      <w:tr>
        <w:trPr>
          <w:trHeight w:val="299" w:hRule="exact"/>
        </w:trPr>
        <w:tc>
          <w:tcPr>
            <w:tcW w:w="1437" w:type="dxa"/>
            <w:tcBorders>
              <w:top w:val="nil"/>
              <w:left w:val="nil"/>
              <w:bottom w:val="nil"/>
              <w:right w:val="nil"/>
            </w:tcBorders>
          </w:tcPr>
          <w:p>
            <w:pPr>
              <w:pStyle w:val="TableParagraph"/>
              <w:spacing w:before="24"/>
              <w:ind w:left="417"/>
              <w:rPr>
                <w:sz w:val="20"/>
              </w:rPr>
            </w:pPr>
            <w:r>
              <w:rPr>
                <w:sz w:val="20"/>
              </w:rPr>
              <w:t>COL</w:t>
            </w:r>
          </w:p>
        </w:tc>
        <w:tc>
          <w:tcPr>
            <w:tcW w:w="1929" w:type="dxa"/>
            <w:tcBorders>
              <w:top w:val="nil"/>
              <w:left w:val="nil"/>
              <w:bottom w:val="nil"/>
              <w:right w:val="nil"/>
            </w:tcBorders>
          </w:tcPr>
          <w:p>
            <w:pPr>
              <w:pStyle w:val="TableParagraph"/>
              <w:spacing w:before="24"/>
              <w:ind w:left="2"/>
              <w:jc w:val="center"/>
              <w:rPr>
                <w:sz w:val="20"/>
              </w:rPr>
            </w:pPr>
            <w:r>
              <w:rPr>
                <w:w w:val="99"/>
                <w:sz w:val="20"/>
              </w:rPr>
              <w:t>3</w:t>
            </w:r>
          </w:p>
        </w:tc>
        <w:tc>
          <w:tcPr>
            <w:tcW w:w="1483" w:type="dxa"/>
            <w:tcBorders>
              <w:top w:val="nil"/>
              <w:left w:val="nil"/>
              <w:bottom w:val="nil"/>
              <w:right w:val="nil"/>
            </w:tcBorders>
          </w:tcPr>
          <w:p>
            <w:pPr>
              <w:pStyle w:val="TableParagraph"/>
              <w:spacing w:before="24"/>
              <w:ind w:left="604"/>
              <w:rPr>
                <w:sz w:val="20"/>
              </w:rPr>
            </w:pPr>
            <w:r>
              <w:rPr>
                <w:sz w:val="20"/>
              </w:rPr>
              <w:t>BCN</w:t>
            </w:r>
          </w:p>
        </w:tc>
        <w:tc>
          <w:tcPr>
            <w:tcW w:w="1685" w:type="dxa"/>
            <w:tcBorders>
              <w:top w:val="nil"/>
              <w:left w:val="nil"/>
              <w:bottom w:val="nil"/>
              <w:right w:val="nil"/>
            </w:tcBorders>
          </w:tcPr>
          <w:p>
            <w:pPr>
              <w:pStyle w:val="TableParagraph"/>
              <w:spacing w:before="24"/>
              <w:ind w:left="0" w:right="46"/>
              <w:jc w:val="center"/>
              <w:rPr>
                <w:sz w:val="20"/>
              </w:rPr>
            </w:pPr>
            <w:r>
              <w:rPr>
                <w:w w:val="99"/>
                <w:sz w:val="20"/>
              </w:rPr>
              <w:t>4</w:t>
            </w:r>
          </w:p>
        </w:tc>
      </w:tr>
      <w:tr>
        <w:trPr>
          <w:trHeight w:val="299" w:hRule="exact"/>
        </w:trPr>
        <w:tc>
          <w:tcPr>
            <w:tcW w:w="1437" w:type="dxa"/>
            <w:tcBorders>
              <w:top w:val="nil"/>
              <w:left w:val="nil"/>
              <w:bottom w:val="nil"/>
              <w:right w:val="nil"/>
            </w:tcBorders>
          </w:tcPr>
          <w:p>
            <w:pPr>
              <w:pStyle w:val="TableParagraph"/>
              <w:spacing w:before="23"/>
              <w:ind w:left="432"/>
              <w:rPr>
                <w:sz w:val="20"/>
              </w:rPr>
            </w:pPr>
            <w:r>
              <w:rPr>
                <w:sz w:val="20"/>
              </w:rPr>
              <w:t>SLP</w:t>
            </w:r>
          </w:p>
        </w:tc>
        <w:tc>
          <w:tcPr>
            <w:tcW w:w="1929" w:type="dxa"/>
            <w:tcBorders>
              <w:top w:val="nil"/>
              <w:left w:val="nil"/>
              <w:bottom w:val="nil"/>
              <w:right w:val="nil"/>
            </w:tcBorders>
          </w:tcPr>
          <w:p>
            <w:pPr>
              <w:pStyle w:val="TableParagraph"/>
              <w:spacing w:before="23"/>
              <w:ind w:left="2"/>
              <w:jc w:val="center"/>
              <w:rPr>
                <w:sz w:val="20"/>
              </w:rPr>
            </w:pPr>
            <w:r>
              <w:rPr>
                <w:w w:val="99"/>
                <w:sz w:val="20"/>
              </w:rPr>
              <w:t>3</w:t>
            </w:r>
          </w:p>
        </w:tc>
        <w:tc>
          <w:tcPr>
            <w:tcW w:w="1483" w:type="dxa"/>
            <w:tcBorders>
              <w:top w:val="nil"/>
              <w:left w:val="nil"/>
              <w:bottom w:val="nil"/>
              <w:right w:val="nil"/>
            </w:tcBorders>
          </w:tcPr>
          <w:p>
            <w:pPr>
              <w:pStyle w:val="TableParagraph"/>
              <w:spacing w:before="23"/>
              <w:ind w:left="611"/>
              <w:rPr>
                <w:sz w:val="20"/>
              </w:rPr>
            </w:pPr>
            <w:r>
              <w:rPr>
                <w:sz w:val="20"/>
              </w:rPr>
              <w:t>BCS</w:t>
            </w:r>
          </w:p>
        </w:tc>
        <w:tc>
          <w:tcPr>
            <w:tcW w:w="1685" w:type="dxa"/>
            <w:tcBorders>
              <w:top w:val="nil"/>
              <w:left w:val="nil"/>
              <w:bottom w:val="nil"/>
              <w:right w:val="nil"/>
            </w:tcBorders>
          </w:tcPr>
          <w:p>
            <w:pPr>
              <w:pStyle w:val="TableParagraph"/>
              <w:spacing w:before="23"/>
              <w:ind w:left="0" w:right="46"/>
              <w:jc w:val="center"/>
              <w:rPr>
                <w:sz w:val="20"/>
              </w:rPr>
            </w:pPr>
            <w:r>
              <w:rPr>
                <w:w w:val="99"/>
                <w:sz w:val="20"/>
              </w:rPr>
              <w:t>4</w:t>
            </w:r>
          </w:p>
        </w:tc>
      </w:tr>
      <w:tr>
        <w:trPr>
          <w:trHeight w:val="300" w:hRule="exact"/>
        </w:trPr>
        <w:tc>
          <w:tcPr>
            <w:tcW w:w="1437" w:type="dxa"/>
            <w:tcBorders>
              <w:top w:val="nil"/>
              <w:left w:val="nil"/>
              <w:bottom w:val="nil"/>
              <w:right w:val="nil"/>
            </w:tcBorders>
          </w:tcPr>
          <w:p>
            <w:pPr>
              <w:pStyle w:val="TableParagraph"/>
              <w:spacing w:before="24"/>
              <w:ind w:left="372"/>
              <w:rPr>
                <w:sz w:val="20"/>
              </w:rPr>
            </w:pPr>
            <w:r>
              <w:rPr>
                <w:sz w:val="20"/>
              </w:rPr>
              <w:t>TLAX</w:t>
            </w:r>
          </w:p>
        </w:tc>
        <w:tc>
          <w:tcPr>
            <w:tcW w:w="1929" w:type="dxa"/>
            <w:tcBorders>
              <w:top w:val="nil"/>
              <w:left w:val="nil"/>
              <w:bottom w:val="nil"/>
              <w:right w:val="nil"/>
            </w:tcBorders>
          </w:tcPr>
          <w:p>
            <w:pPr>
              <w:pStyle w:val="TableParagraph"/>
              <w:spacing w:before="24"/>
              <w:ind w:left="2"/>
              <w:jc w:val="center"/>
              <w:rPr>
                <w:sz w:val="20"/>
              </w:rPr>
            </w:pPr>
            <w:r>
              <w:rPr>
                <w:w w:val="99"/>
                <w:sz w:val="20"/>
              </w:rPr>
              <w:t>3</w:t>
            </w:r>
          </w:p>
        </w:tc>
        <w:tc>
          <w:tcPr>
            <w:tcW w:w="1483" w:type="dxa"/>
            <w:tcBorders>
              <w:top w:val="nil"/>
              <w:left w:val="nil"/>
              <w:bottom w:val="nil"/>
              <w:right w:val="nil"/>
            </w:tcBorders>
          </w:tcPr>
          <w:p>
            <w:pPr>
              <w:pStyle w:val="TableParagraph"/>
              <w:spacing w:before="24"/>
              <w:ind w:left="587"/>
              <w:rPr>
                <w:sz w:val="20"/>
              </w:rPr>
            </w:pPr>
            <w:r>
              <w:rPr>
                <w:sz w:val="20"/>
              </w:rPr>
              <w:t>HGO</w:t>
            </w:r>
          </w:p>
        </w:tc>
        <w:tc>
          <w:tcPr>
            <w:tcW w:w="1685" w:type="dxa"/>
            <w:tcBorders>
              <w:top w:val="nil"/>
              <w:left w:val="nil"/>
              <w:bottom w:val="nil"/>
              <w:right w:val="nil"/>
            </w:tcBorders>
          </w:tcPr>
          <w:p>
            <w:pPr>
              <w:pStyle w:val="TableParagraph"/>
              <w:spacing w:before="24"/>
              <w:ind w:left="0" w:right="46"/>
              <w:jc w:val="center"/>
              <w:rPr>
                <w:sz w:val="20"/>
              </w:rPr>
            </w:pPr>
            <w:r>
              <w:rPr>
                <w:w w:val="99"/>
                <w:sz w:val="20"/>
              </w:rPr>
              <w:t>4</w:t>
            </w:r>
          </w:p>
        </w:tc>
      </w:tr>
      <w:tr>
        <w:trPr>
          <w:trHeight w:val="299" w:hRule="exact"/>
        </w:trPr>
        <w:tc>
          <w:tcPr>
            <w:tcW w:w="1437" w:type="dxa"/>
            <w:tcBorders>
              <w:top w:val="nil"/>
              <w:left w:val="nil"/>
              <w:bottom w:val="nil"/>
              <w:right w:val="nil"/>
            </w:tcBorders>
          </w:tcPr>
          <w:p>
            <w:pPr>
              <w:pStyle w:val="TableParagraph"/>
              <w:spacing w:before="24"/>
              <w:ind w:left="278"/>
              <w:rPr>
                <w:sz w:val="20"/>
              </w:rPr>
            </w:pPr>
            <w:r>
              <w:rPr>
                <w:sz w:val="20"/>
              </w:rPr>
              <w:t>TAMPS</w:t>
            </w:r>
          </w:p>
        </w:tc>
        <w:tc>
          <w:tcPr>
            <w:tcW w:w="1929" w:type="dxa"/>
            <w:tcBorders>
              <w:top w:val="nil"/>
              <w:left w:val="nil"/>
              <w:bottom w:val="nil"/>
              <w:right w:val="nil"/>
            </w:tcBorders>
          </w:tcPr>
          <w:p>
            <w:pPr>
              <w:pStyle w:val="TableParagraph"/>
              <w:spacing w:before="24"/>
              <w:ind w:left="2"/>
              <w:jc w:val="center"/>
              <w:rPr>
                <w:sz w:val="20"/>
              </w:rPr>
            </w:pPr>
            <w:r>
              <w:rPr>
                <w:w w:val="99"/>
                <w:sz w:val="20"/>
              </w:rPr>
              <w:t>2</w:t>
            </w:r>
          </w:p>
        </w:tc>
        <w:tc>
          <w:tcPr>
            <w:tcW w:w="1483" w:type="dxa"/>
            <w:tcBorders>
              <w:top w:val="nil"/>
              <w:left w:val="nil"/>
              <w:bottom w:val="nil"/>
              <w:right w:val="nil"/>
            </w:tcBorders>
          </w:tcPr>
          <w:p>
            <w:pPr>
              <w:pStyle w:val="TableParagraph"/>
              <w:spacing w:before="24"/>
              <w:ind w:left="621" w:right="474"/>
              <w:jc w:val="center"/>
              <w:rPr>
                <w:sz w:val="20"/>
              </w:rPr>
            </w:pPr>
            <w:r>
              <w:rPr>
                <w:sz w:val="20"/>
              </w:rPr>
              <w:t>SIN</w:t>
            </w:r>
          </w:p>
        </w:tc>
        <w:tc>
          <w:tcPr>
            <w:tcW w:w="1685" w:type="dxa"/>
            <w:tcBorders>
              <w:top w:val="nil"/>
              <w:left w:val="nil"/>
              <w:bottom w:val="nil"/>
              <w:right w:val="nil"/>
            </w:tcBorders>
          </w:tcPr>
          <w:p>
            <w:pPr>
              <w:pStyle w:val="TableParagraph"/>
              <w:spacing w:before="24"/>
              <w:ind w:left="0" w:right="46"/>
              <w:jc w:val="center"/>
              <w:rPr>
                <w:sz w:val="20"/>
              </w:rPr>
            </w:pPr>
            <w:r>
              <w:rPr>
                <w:w w:val="99"/>
                <w:sz w:val="20"/>
              </w:rPr>
              <w:t>4</w:t>
            </w:r>
          </w:p>
        </w:tc>
      </w:tr>
      <w:tr>
        <w:trPr>
          <w:trHeight w:val="299" w:hRule="exact"/>
        </w:trPr>
        <w:tc>
          <w:tcPr>
            <w:tcW w:w="1437" w:type="dxa"/>
            <w:tcBorders>
              <w:top w:val="nil"/>
              <w:left w:val="nil"/>
              <w:bottom w:val="nil"/>
              <w:right w:val="nil"/>
            </w:tcBorders>
          </w:tcPr>
          <w:p>
            <w:pPr>
              <w:pStyle w:val="TableParagraph"/>
              <w:spacing w:before="23"/>
              <w:ind w:left="410"/>
              <w:rPr>
                <w:sz w:val="20"/>
              </w:rPr>
            </w:pPr>
            <w:r>
              <w:rPr>
                <w:sz w:val="20"/>
              </w:rPr>
              <w:t>AGS</w:t>
            </w:r>
          </w:p>
        </w:tc>
        <w:tc>
          <w:tcPr>
            <w:tcW w:w="1929" w:type="dxa"/>
            <w:tcBorders>
              <w:top w:val="nil"/>
              <w:left w:val="nil"/>
              <w:bottom w:val="nil"/>
              <w:right w:val="nil"/>
            </w:tcBorders>
          </w:tcPr>
          <w:p>
            <w:pPr>
              <w:pStyle w:val="TableParagraph"/>
              <w:spacing w:before="23"/>
              <w:ind w:left="2"/>
              <w:jc w:val="center"/>
              <w:rPr>
                <w:sz w:val="20"/>
              </w:rPr>
            </w:pPr>
            <w:r>
              <w:rPr>
                <w:w w:val="99"/>
                <w:sz w:val="20"/>
              </w:rPr>
              <w:t>1</w:t>
            </w:r>
          </w:p>
        </w:tc>
        <w:tc>
          <w:tcPr>
            <w:tcW w:w="1483" w:type="dxa"/>
            <w:tcBorders>
              <w:top w:val="nil"/>
              <w:left w:val="nil"/>
              <w:bottom w:val="nil"/>
              <w:right w:val="nil"/>
            </w:tcBorders>
          </w:tcPr>
          <w:p>
            <w:pPr>
              <w:pStyle w:val="TableParagraph"/>
              <w:spacing w:before="23"/>
              <w:ind w:left="625"/>
              <w:rPr>
                <w:sz w:val="20"/>
              </w:rPr>
            </w:pPr>
            <w:r>
              <w:rPr>
                <w:sz w:val="20"/>
              </w:rPr>
              <w:t>SLP</w:t>
            </w:r>
          </w:p>
        </w:tc>
        <w:tc>
          <w:tcPr>
            <w:tcW w:w="1685" w:type="dxa"/>
            <w:tcBorders>
              <w:top w:val="nil"/>
              <w:left w:val="nil"/>
              <w:bottom w:val="nil"/>
              <w:right w:val="nil"/>
            </w:tcBorders>
          </w:tcPr>
          <w:p>
            <w:pPr>
              <w:pStyle w:val="TableParagraph"/>
              <w:spacing w:before="23"/>
              <w:ind w:left="0" w:right="46"/>
              <w:jc w:val="center"/>
              <w:rPr>
                <w:sz w:val="20"/>
              </w:rPr>
            </w:pPr>
            <w:r>
              <w:rPr>
                <w:w w:val="99"/>
                <w:sz w:val="20"/>
              </w:rPr>
              <w:t>4</w:t>
            </w:r>
          </w:p>
        </w:tc>
      </w:tr>
      <w:tr>
        <w:trPr>
          <w:trHeight w:val="299" w:hRule="exact"/>
        </w:trPr>
        <w:tc>
          <w:tcPr>
            <w:tcW w:w="1437" w:type="dxa"/>
            <w:tcBorders>
              <w:top w:val="nil"/>
              <w:left w:val="nil"/>
              <w:bottom w:val="nil"/>
              <w:right w:val="nil"/>
            </w:tcBorders>
          </w:tcPr>
          <w:p>
            <w:pPr>
              <w:pStyle w:val="TableParagraph"/>
              <w:spacing w:before="24"/>
              <w:ind w:left="417"/>
              <w:rPr>
                <w:sz w:val="20"/>
              </w:rPr>
            </w:pPr>
            <w:r>
              <w:rPr>
                <w:sz w:val="20"/>
              </w:rPr>
              <w:t>BCS</w:t>
            </w:r>
          </w:p>
        </w:tc>
        <w:tc>
          <w:tcPr>
            <w:tcW w:w="1929" w:type="dxa"/>
            <w:tcBorders>
              <w:top w:val="nil"/>
              <w:left w:val="nil"/>
              <w:bottom w:val="nil"/>
              <w:right w:val="nil"/>
            </w:tcBorders>
          </w:tcPr>
          <w:p>
            <w:pPr>
              <w:pStyle w:val="TableParagraph"/>
              <w:spacing w:before="24"/>
              <w:ind w:left="2"/>
              <w:jc w:val="center"/>
              <w:rPr>
                <w:sz w:val="20"/>
              </w:rPr>
            </w:pPr>
            <w:r>
              <w:rPr>
                <w:w w:val="99"/>
                <w:sz w:val="20"/>
              </w:rPr>
              <w:t>1</w:t>
            </w:r>
          </w:p>
        </w:tc>
        <w:tc>
          <w:tcPr>
            <w:tcW w:w="1483" w:type="dxa"/>
            <w:tcBorders>
              <w:top w:val="nil"/>
              <w:left w:val="nil"/>
              <w:bottom w:val="nil"/>
              <w:right w:val="nil"/>
            </w:tcBorders>
          </w:tcPr>
          <w:p>
            <w:pPr>
              <w:pStyle w:val="TableParagraph"/>
              <w:spacing w:before="24"/>
              <w:ind w:left="611"/>
              <w:rPr>
                <w:sz w:val="20"/>
              </w:rPr>
            </w:pPr>
            <w:r>
              <w:rPr>
                <w:sz w:val="20"/>
              </w:rPr>
              <w:t>COL</w:t>
            </w:r>
          </w:p>
        </w:tc>
        <w:tc>
          <w:tcPr>
            <w:tcW w:w="1685" w:type="dxa"/>
            <w:tcBorders>
              <w:top w:val="nil"/>
              <w:left w:val="nil"/>
              <w:bottom w:val="nil"/>
              <w:right w:val="nil"/>
            </w:tcBorders>
          </w:tcPr>
          <w:p>
            <w:pPr>
              <w:pStyle w:val="TableParagraph"/>
              <w:spacing w:before="24"/>
              <w:ind w:left="0" w:right="46"/>
              <w:jc w:val="center"/>
              <w:rPr>
                <w:sz w:val="20"/>
              </w:rPr>
            </w:pPr>
            <w:r>
              <w:rPr>
                <w:w w:val="99"/>
                <w:sz w:val="20"/>
              </w:rPr>
              <w:t>1</w:t>
            </w:r>
          </w:p>
        </w:tc>
      </w:tr>
      <w:tr>
        <w:trPr>
          <w:trHeight w:val="299" w:hRule="exact"/>
        </w:trPr>
        <w:tc>
          <w:tcPr>
            <w:tcW w:w="1437" w:type="dxa"/>
            <w:tcBorders>
              <w:top w:val="nil"/>
              <w:left w:val="nil"/>
              <w:bottom w:val="nil"/>
              <w:right w:val="nil"/>
            </w:tcBorders>
          </w:tcPr>
          <w:p>
            <w:pPr>
              <w:pStyle w:val="TableParagraph"/>
              <w:spacing w:before="23"/>
              <w:ind w:left="393"/>
              <w:rPr>
                <w:sz w:val="20"/>
              </w:rPr>
            </w:pPr>
            <w:r>
              <w:rPr>
                <w:sz w:val="20"/>
              </w:rPr>
              <w:t>DGO</w:t>
            </w:r>
          </w:p>
        </w:tc>
        <w:tc>
          <w:tcPr>
            <w:tcW w:w="1929" w:type="dxa"/>
            <w:tcBorders>
              <w:top w:val="nil"/>
              <w:left w:val="nil"/>
              <w:bottom w:val="nil"/>
              <w:right w:val="nil"/>
            </w:tcBorders>
          </w:tcPr>
          <w:p>
            <w:pPr>
              <w:pStyle w:val="TableParagraph"/>
              <w:spacing w:before="23"/>
              <w:ind w:left="2"/>
              <w:jc w:val="center"/>
              <w:rPr>
                <w:sz w:val="20"/>
              </w:rPr>
            </w:pPr>
            <w:r>
              <w:rPr>
                <w:w w:val="99"/>
                <w:sz w:val="20"/>
              </w:rPr>
              <w:t>1</w:t>
            </w:r>
          </w:p>
        </w:tc>
        <w:tc>
          <w:tcPr>
            <w:tcW w:w="1483" w:type="dxa"/>
            <w:tcBorders>
              <w:top w:val="nil"/>
              <w:left w:val="nil"/>
              <w:bottom w:val="nil"/>
              <w:right w:val="nil"/>
            </w:tcBorders>
          </w:tcPr>
          <w:p>
            <w:pPr>
              <w:pStyle w:val="TableParagraph"/>
              <w:spacing w:before="23"/>
              <w:ind w:left="565"/>
              <w:rPr>
                <w:sz w:val="20"/>
              </w:rPr>
            </w:pPr>
            <w:r>
              <w:rPr>
                <w:sz w:val="20"/>
              </w:rPr>
              <w:t>TLAX</w:t>
            </w:r>
          </w:p>
        </w:tc>
        <w:tc>
          <w:tcPr>
            <w:tcW w:w="1685" w:type="dxa"/>
            <w:tcBorders>
              <w:top w:val="nil"/>
              <w:left w:val="nil"/>
              <w:bottom w:val="nil"/>
              <w:right w:val="nil"/>
            </w:tcBorders>
          </w:tcPr>
          <w:p>
            <w:pPr>
              <w:pStyle w:val="TableParagraph"/>
              <w:spacing w:before="23"/>
              <w:ind w:left="0" w:right="46"/>
              <w:jc w:val="center"/>
              <w:rPr>
                <w:sz w:val="20"/>
              </w:rPr>
            </w:pPr>
            <w:r>
              <w:rPr>
                <w:w w:val="99"/>
                <w:sz w:val="20"/>
              </w:rPr>
              <w:t>1</w:t>
            </w:r>
          </w:p>
        </w:tc>
      </w:tr>
      <w:tr>
        <w:trPr>
          <w:trHeight w:val="300" w:hRule="exact"/>
        </w:trPr>
        <w:tc>
          <w:tcPr>
            <w:tcW w:w="1437" w:type="dxa"/>
            <w:tcBorders>
              <w:top w:val="nil"/>
              <w:left w:val="nil"/>
              <w:bottom w:val="nil"/>
              <w:right w:val="nil"/>
            </w:tcBorders>
          </w:tcPr>
          <w:p>
            <w:pPr>
              <w:pStyle w:val="TableParagraph"/>
              <w:spacing w:before="24"/>
              <w:ind w:left="472"/>
              <w:rPr>
                <w:sz w:val="20"/>
              </w:rPr>
            </w:pPr>
            <w:r>
              <w:rPr>
                <w:sz w:val="20"/>
              </w:rPr>
              <w:t>QR</w:t>
            </w:r>
          </w:p>
        </w:tc>
        <w:tc>
          <w:tcPr>
            <w:tcW w:w="1929" w:type="dxa"/>
            <w:tcBorders>
              <w:top w:val="nil"/>
              <w:left w:val="nil"/>
              <w:bottom w:val="nil"/>
              <w:right w:val="nil"/>
            </w:tcBorders>
          </w:tcPr>
          <w:p>
            <w:pPr>
              <w:pStyle w:val="TableParagraph"/>
              <w:spacing w:before="24"/>
              <w:ind w:left="2"/>
              <w:jc w:val="center"/>
              <w:rPr>
                <w:sz w:val="20"/>
              </w:rPr>
            </w:pPr>
            <w:r>
              <w:rPr>
                <w:w w:val="99"/>
                <w:sz w:val="20"/>
              </w:rPr>
              <w:t>1</w:t>
            </w:r>
          </w:p>
        </w:tc>
        <w:tc>
          <w:tcPr>
            <w:tcW w:w="1483" w:type="dxa"/>
            <w:tcBorders>
              <w:top w:val="nil"/>
              <w:left w:val="nil"/>
              <w:bottom w:val="nil"/>
              <w:right w:val="nil"/>
            </w:tcBorders>
          </w:tcPr>
          <w:p>
            <w:pPr/>
          </w:p>
        </w:tc>
        <w:tc>
          <w:tcPr>
            <w:tcW w:w="1685" w:type="dxa"/>
            <w:tcBorders>
              <w:top w:val="nil"/>
              <w:left w:val="nil"/>
              <w:bottom w:val="nil"/>
              <w:right w:val="nil"/>
            </w:tcBorders>
          </w:tcPr>
          <w:p>
            <w:pPr/>
          </w:p>
        </w:tc>
      </w:tr>
      <w:tr>
        <w:trPr>
          <w:trHeight w:val="260" w:hRule="exact"/>
        </w:trPr>
        <w:tc>
          <w:tcPr>
            <w:tcW w:w="1437" w:type="dxa"/>
            <w:tcBorders>
              <w:top w:val="nil"/>
              <w:left w:val="nil"/>
              <w:right w:val="nil"/>
            </w:tcBorders>
          </w:tcPr>
          <w:p>
            <w:pPr>
              <w:pStyle w:val="TableParagraph"/>
              <w:spacing w:before="24"/>
              <w:ind w:left="422"/>
              <w:rPr>
                <w:sz w:val="20"/>
              </w:rPr>
            </w:pPr>
            <w:r>
              <w:rPr>
                <w:sz w:val="20"/>
              </w:rPr>
              <w:t>ZAC</w:t>
            </w:r>
          </w:p>
        </w:tc>
        <w:tc>
          <w:tcPr>
            <w:tcW w:w="1929" w:type="dxa"/>
            <w:tcBorders>
              <w:top w:val="nil"/>
              <w:left w:val="nil"/>
              <w:right w:val="nil"/>
            </w:tcBorders>
          </w:tcPr>
          <w:p>
            <w:pPr>
              <w:pStyle w:val="TableParagraph"/>
              <w:spacing w:before="24"/>
              <w:ind w:left="2"/>
              <w:jc w:val="center"/>
              <w:rPr>
                <w:sz w:val="20"/>
              </w:rPr>
            </w:pPr>
            <w:r>
              <w:rPr>
                <w:w w:val="99"/>
                <w:sz w:val="20"/>
              </w:rPr>
              <w:t>1</w:t>
            </w:r>
          </w:p>
        </w:tc>
        <w:tc>
          <w:tcPr>
            <w:tcW w:w="1483" w:type="dxa"/>
            <w:tcBorders>
              <w:top w:val="nil"/>
              <w:left w:val="nil"/>
              <w:right w:val="nil"/>
            </w:tcBorders>
          </w:tcPr>
          <w:p>
            <w:pPr/>
          </w:p>
        </w:tc>
        <w:tc>
          <w:tcPr>
            <w:tcW w:w="1685" w:type="dxa"/>
            <w:tcBorders>
              <w:top w:val="nil"/>
              <w:left w:val="nil"/>
              <w:right w:val="nil"/>
            </w:tcBorders>
          </w:tcPr>
          <w:p>
            <w:pPr/>
          </w:p>
        </w:tc>
      </w:tr>
      <w:tr>
        <w:trPr>
          <w:trHeight w:val="310" w:hRule="exact"/>
        </w:trPr>
        <w:tc>
          <w:tcPr>
            <w:tcW w:w="1437" w:type="dxa"/>
            <w:tcBorders>
              <w:left w:val="nil"/>
              <w:right w:val="nil"/>
            </w:tcBorders>
          </w:tcPr>
          <w:p>
            <w:pPr>
              <w:pStyle w:val="TableParagraph"/>
              <w:spacing w:before="67"/>
              <w:ind w:left="400"/>
              <w:rPr>
                <w:sz w:val="20"/>
              </w:rPr>
            </w:pPr>
            <w:r>
              <w:rPr>
                <w:sz w:val="20"/>
              </w:rPr>
              <w:t>Total</w:t>
            </w:r>
          </w:p>
        </w:tc>
        <w:tc>
          <w:tcPr>
            <w:tcW w:w="1929" w:type="dxa"/>
            <w:tcBorders>
              <w:left w:val="nil"/>
              <w:right w:val="nil"/>
            </w:tcBorders>
          </w:tcPr>
          <w:p>
            <w:pPr>
              <w:pStyle w:val="TableParagraph"/>
              <w:spacing w:before="67"/>
              <w:ind w:left="449" w:right="447"/>
              <w:jc w:val="center"/>
              <w:rPr>
                <w:sz w:val="20"/>
              </w:rPr>
            </w:pPr>
            <w:r>
              <w:rPr>
                <w:sz w:val="20"/>
              </w:rPr>
              <w:t>1069</w:t>
            </w:r>
          </w:p>
        </w:tc>
        <w:tc>
          <w:tcPr>
            <w:tcW w:w="1483" w:type="dxa"/>
            <w:tcBorders>
              <w:left w:val="nil"/>
              <w:right w:val="nil"/>
            </w:tcBorders>
          </w:tcPr>
          <w:p>
            <w:pPr>
              <w:pStyle w:val="TableParagraph"/>
              <w:spacing w:before="67"/>
              <w:ind w:left="594"/>
              <w:rPr>
                <w:sz w:val="20"/>
              </w:rPr>
            </w:pPr>
            <w:r>
              <w:rPr>
                <w:sz w:val="20"/>
              </w:rPr>
              <w:t>Total</w:t>
            </w:r>
          </w:p>
        </w:tc>
        <w:tc>
          <w:tcPr>
            <w:tcW w:w="1685" w:type="dxa"/>
            <w:tcBorders>
              <w:left w:val="nil"/>
              <w:right w:val="nil"/>
            </w:tcBorders>
          </w:tcPr>
          <w:p>
            <w:pPr>
              <w:pStyle w:val="TableParagraph"/>
              <w:spacing w:before="67"/>
              <w:ind w:left="302" w:right="349"/>
              <w:jc w:val="center"/>
              <w:rPr>
                <w:sz w:val="20"/>
              </w:rPr>
            </w:pPr>
            <w:r>
              <w:rPr>
                <w:sz w:val="20"/>
              </w:rPr>
              <w:t>1069</w:t>
            </w:r>
          </w:p>
        </w:tc>
      </w:tr>
    </w:tbl>
    <w:p>
      <w:pPr>
        <w:spacing w:line="227" w:lineRule="exact" w:before="0"/>
        <w:ind w:left="183" w:right="0" w:firstLine="0"/>
        <w:jc w:val="left"/>
        <w:rPr>
          <w:sz w:val="20"/>
        </w:rPr>
      </w:pPr>
      <w:r>
        <w:rPr>
          <w:sz w:val="20"/>
        </w:rPr>
        <w:t>Fuente: Elaboración propia con información de la Junta de Caminos del Estado de México 2007.</w:t>
      </w:r>
    </w:p>
    <w:p>
      <w:pPr>
        <w:spacing w:after="0" w:line="227" w:lineRule="exact"/>
        <w:jc w:val="left"/>
        <w:rPr>
          <w:sz w:val="20"/>
        </w:rPr>
        <w:sectPr>
          <w:pgSz w:w="12240" w:h="15840"/>
          <w:pgMar w:header="0" w:footer="659" w:top="1360" w:bottom="840" w:left="1660" w:right="1660"/>
        </w:sectPr>
      </w:pPr>
    </w:p>
    <w:p>
      <w:pPr>
        <w:spacing w:before="53"/>
        <w:ind w:left="752" w:right="462" w:firstLine="0"/>
        <w:jc w:val="left"/>
        <w:rPr>
          <w:sz w:val="20"/>
        </w:rPr>
      </w:pPr>
      <w:r>
        <w:rPr>
          <w:sz w:val="20"/>
        </w:rPr>
        <w:t>Cuadro A 4. 2</w:t>
      </w:r>
      <w:r>
        <w:rPr>
          <w:sz w:val="20"/>
          <w:u w:val="single"/>
        </w:rPr>
        <w:t>2 Motivos de los movimientos nacionales con nodo inter</w:t>
      </w:r>
      <w:r>
        <w:rPr>
          <w:sz w:val="20"/>
        </w:rPr>
        <w:t>medio la ZMT</w:t>
      </w:r>
    </w:p>
    <w:p>
      <w:pPr>
        <w:pStyle w:val="BodyText"/>
        <w:spacing w:before="7"/>
        <w:rPr>
          <w:sz w:val="6"/>
        </w:rPr>
      </w:pPr>
    </w:p>
    <w:tbl>
      <w:tblPr>
        <w:tblW w:w="0" w:type="auto"/>
        <w:jc w:val="left"/>
        <w:tblInd w:w="1971"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531"/>
        <w:gridCol w:w="2448"/>
      </w:tblGrid>
      <w:tr>
        <w:trPr>
          <w:trHeight w:val="189" w:hRule="exact"/>
        </w:trPr>
        <w:tc>
          <w:tcPr>
            <w:tcW w:w="2531" w:type="dxa"/>
            <w:tcBorders>
              <w:bottom w:val="single" w:sz="4" w:space="0" w:color="000000"/>
            </w:tcBorders>
          </w:tcPr>
          <w:p>
            <w:pPr>
              <w:pStyle w:val="TableParagraph"/>
              <w:spacing w:line="184" w:lineRule="exact"/>
              <w:ind w:right="-2078"/>
              <w:rPr>
                <w:sz w:val="18"/>
              </w:rPr>
            </w:pPr>
            <w:r>
              <w:rPr>
                <w:sz w:val="18"/>
              </w:rPr>
              <w:t>MOTIVO</w:t>
            </w:r>
          </w:p>
        </w:tc>
        <w:tc>
          <w:tcPr>
            <w:tcW w:w="2448" w:type="dxa"/>
            <w:tcBorders>
              <w:bottom w:val="single" w:sz="4" w:space="0" w:color="000000"/>
            </w:tcBorders>
          </w:tcPr>
          <w:p>
            <w:pPr>
              <w:pStyle w:val="TableParagraph"/>
              <w:spacing w:line="184" w:lineRule="exact"/>
              <w:ind w:left="0" w:right="70"/>
              <w:jc w:val="right"/>
              <w:rPr>
                <w:sz w:val="18"/>
              </w:rPr>
            </w:pPr>
            <w:r>
              <w:rPr>
                <w:sz w:val="18"/>
              </w:rPr>
              <w:t>FRECUENCIAS</w:t>
            </w:r>
          </w:p>
        </w:tc>
      </w:tr>
      <w:tr>
        <w:trPr>
          <w:trHeight w:val="272" w:hRule="exact"/>
        </w:trPr>
        <w:tc>
          <w:tcPr>
            <w:tcW w:w="2531" w:type="dxa"/>
            <w:tcBorders>
              <w:top w:val="single" w:sz="4" w:space="0" w:color="000000"/>
            </w:tcBorders>
          </w:tcPr>
          <w:p>
            <w:pPr>
              <w:pStyle w:val="TableParagraph"/>
              <w:spacing w:line="206" w:lineRule="exact"/>
              <w:ind w:right="-2078"/>
              <w:rPr>
                <w:sz w:val="18"/>
              </w:rPr>
            </w:pPr>
            <w:r>
              <w:rPr>
                <w:sz w:val="18"/>
              </w:rPr>
              <w:t>Compras</w:t>
            </w:r>
          </w:p>
        </w:tc>
        <w:tc>
          <w:tcPr>
            <w:tcW w:w="2448" w:type="dxa"/>
            <w:tcBorders>
              <w:top w:val="single" w:sz="4" w:space="0" w:color="000000"/>
            </w:tcBorders>
          </w:tcPr>
          <w:p>
            <w:pPr>
              <w:pStyle w:val="TableParagraph"/>
              <w:spacing w:line="206" w:lineRule="exact"/>
              <w:ind w:left="0" w:right="65"/>
              <w:jc w:val="right"/>
              <w:rPr>
                <w:sz w:val="18"/>
              </w:rPr>
            </w:pPr>
            <w:r>
              <w:rPr>
                <w:w w:val="95"/>
                <w:sz w:val="18"/>
              </w:rPr>
              <w:t>12</w:t>
            </w:r>
          </w:p>
        </w:tc>
      </w:tr>
      <w:tr>
        <w:trPr>
          <w:trHeight w:val="266" w:hRule="exact"/>
        </w:trPr>
        <w:tc>
          <w:tcPr>
            <w:tcW w:w="2531" w:type="dxa"/>
          </w:tcPr>
          <w:p>
            <w:pPr>
              <w:pStyle w:val="TableParagraph"/>
              <w:spacing w:before="42"/>
              <w:ind w:right="-2078"/>
              <w:rPr>
                <w:sz w:val="18"/>
              </w:rPr>
            </w:pPr>
            <w:r>
              <w:rPr>
                <w:sz w:val="18"/>
              </w:rPr>
              <w:t>Educación</w:t>
            </w:r>
          </w:p>
        </w:tc>
        <w:tc>
          <w:tcPr>
            <w:tcW w:w="2448" w:type="dxa"/>
          </w:tcPr>
          <w:p>
            <w:pPr>
              <w:pStyle w:val="TableParagraph"/>
              <w:spacing w:before="42"/>
              <w:ind w:left="0" w:right="68"/>
              <w:jc w:val="right"/>
              <w:rPr>
                <w:sz w:val="18"/>
              </w:rPr>
            </w:pPr>
            <w:r>
              <w:rPr>
                <w:w w:val="99"/>
                <w:sz w:val="18"/>
              </w:rPr>
              <w:t>1</w:t>
            </w:r>
          </w:p>
        </w:tc>
      </w:tr>
      <w:tr>
        <w:trPr>
          <w:trHeight w:val="224" w:hRule="exact"/>
        </w:trPr>
        <w:tc>
          <w:tcPr>
            <w:tcW w:w="2531" w:type="dxa"/>
          </w:tcPr>
          <w:p>
            <w:pPr>
              <w:pStyle w:val="TableParagraph"/>
              <w:spacing w:line="206" w:lineRule="exact"/>
              <w:ind w:right="-2078"/>
              <w:rPr>
                <w:sz w:val="18"/>
              </w:rPr>
            </w:pPr>
            <w:r>
              <w:rPr>
                <w:sz w:val="18"/>
              </w:rPr>
              <w:t>Paseo</w:t>
            </w:r>
          </w:p>
        </w:tc>
        <w:tc>
          <w:tcPr>
            <w:tcW w:w="2448" w:type="dxa"/>
          </w:tcPr>
          <w:p>
            <w:pPr>
              <w:pStyle w:val="TableParagraph"/>
              <w:spacing w:line="206" w:lineRule="exact"/>
              <w:ind w:left="0" w:right="65"/>
              <w:jc w:val="right"/>
              <w:rPr>
                <w:sz w:val="18"/>
              </w:rPr>
            </w:pPr>
            <w:r>
              <w:rPr>
                <w:w w:val="95"/>
                <w:sz w:val="18"/>
              </w:rPr>
              <w:t>449</w:t>
            </w:r>
          </w:p>
        </w:tc>
      </w:tr>
      <w:tr>
        <w:trPr>
          <w:trHeight w:val="232" w:hRule="exact"/>
        </w:trPr>
        <w:tc>
          <w:tcPr>
            <w:tcW w:w="2531" w:type="dxa"/>
          </w:tcPr>
          <w:p>
            <w:pPr>
              <w:pStyle w:val="TableParagraph"/>
              <w:tabs>
                <w:tab w:pos="4608" w:val="left" w:leader="none"/>
              </w:tabs>
              <w:ind w:left="0" w:right="-2078"/>
              <w:rPr>
                <w:sz w:val="18"/>
              </w:rPr>
            </w:pPr>
            <w:r>
              <w:rPr>
                <w:w w:val="100"/>
                <w:sz w:val="18"/>
                <w:u w:val="single"/>
              </w:rPr>
              <w:t> </w:t>
            </w:r>
            <w:r>
              <w:rPr>
                <w:spacing w:val="-31"/>
                <w:sz w:val="18"/>
                <w:u w:val="single"/>
              </w:rPr>
              <w:t> </w:t>
            </w:r>
            <w:r>
              <w:rPr>
                <w:sz w:val="18"/>
                <w:u w:val="single"/>
              </w:rPr>
              <w:t>Trabajo</w:t>
              <w:tab/>
            </w:r>
          </w:p>
        </w:tc>
        <w:tc>
          <w:tcPr>
            <w:tcW w:w="2448" w:type="dxa"/>
          </w:tcPr>
          <w:p>
            <w:pPr>
              <w:pStyle w:val="TableParagraph"/>
              <w:ind w:left="0"/>
              <w:jc w:val="right"/>
              <w:rPr>
                <w:sz w:val="18"/>
              </w:rPr>
            </w:pPr>
            <w:r>
              <w:rPr>
                <w:w w:val="95"/>
                <w:sz w:val="18"/>
                <w:u w:val="single"/>
              </w:rPr>
              <w:t>607</w:t>
            </w:r>
            <w:r>
              <w:rPr>
                <w:sz w:val="18"/>
                <w:u w:val="single"/>
              </w:rPr>
              <w:t> </w:t>
            </w:r>
          </w:p>
        </w:tc>
      </w:tr>
      <w:tr>
        <w:trPr>
          <w:trHeight w:val="218" w:hRule="exact"/>
        </w:trPr>
        <w:tc>
          <w:tcPr>
            <w:tcW w:w="2531" w:type="dxa"/>
            <w:tcBorders>
              <w:bottom w:val="single" w:sz="4" w:space="0" w:color="000000"/>
            </w:tcBorders>
          </w:tcPr>
          <w:p>
            <w:pPr>
              <w:pStyle w:val="TableParagraph"/>
              <w:spacing w:before="6"/>
              <w:ind w:left="1025" w:right="1065"/>
              <w:jc w:val="center"/>
              <w:rPr>
                <w:sz w:val="18"/>
              </w:rPr>
            </w:pPr>
            <w:r>
              <w:rPr>
                <w:sz w:val="18"/>
              </w:rPr>
              <w:t>Total</w:t>
            </w:r>
          </w:p>
        </w:tc>
        <w:tc>
          <w:tcPr>
            <w:tcW w:w="2448" w:type="dxa"/>
            <w:tcBorders>
              <w:bottom w:val="single" w:sz="4" w:space="0" w:color="000000"/>
            </w:tcBorders>
          </w:tcPr>
          <w:p>
            <w:pPr>
              <w:pStyle w:val="TableParagraph"/>
              <w:spacing w:before="6"/>
              <w:ind w:left="0" w:right="65"/>
              <w:jc w:val="right"/>
              <w:rPr>
                <w:sz w:val="18"/>
              </w:rPr>
            </w:pPr>
            <w:r>
              <w:rPr>
                <w:sz w:val="18"/>
              </w:rPr>
              <w:t>1069</w:t>
            </w:r>
          </w:p>
        </w:tc>
      </w:tr>
    </w:tbl>
    <w:p>
      <w:pPr>
        <w:spacing w:line="227" w:lineRule="exact" w:before="0"/>
        <w:ind w:left="160" w:right="168" w:firstLine="0"/>
        <w:jc w:val="center"/>
        <w:rPr>
          <w:sz w:val="20"/>
        </w:rPr>
      </w:pPr>
      <w:r>
        <w:rPr>
          <w:sz w:val="20"/>
        </w:rPr>
        <w:t>Fuente: Elaboración propia con información de la Junta de Caminos del Estado de México 2007.</w:t>
      </w:r>
    </w:p>
    <w:p>
      <w:pPr>
        <w:pStyle w:val="BodyText"/>
        <w:rPr>
          <w:sz w:val="20"/>
        </w:rPr>
      </w:pPr>
    </w:p>
    <w:p>
      <w:pPr>
        <w:pStyle w:val="BodyText"/>
        <w:spacing w:before="1"/>
        <w:rPr>
          <w:sz w:val="20"/>
        </w:rPr>
      </w:pPr>
    </w:p>
    <w:p>
      <w:pPr>
        <w:spacing w:before="0"/>
        <w:ind w:left="161" w:right="167" w:firstLine="0"/>
        <w:jc w:val="center"/>
        <w:rPr>
          <w:sz w:val="20"/>
        </w:rPr>
      </w:pPr>
      <w:r>
        <w:rPr>
          <w:sz w:val="20"/>
        </w:rPr>
        <w:t>Cuadro A 4.23 Productos que se distribuyen en los desplazamientos nacionales con nodo intermedio la ZMT</w:t>
      </w:r>
    </w:p>
    <w:p>
      <w:pPr>
        <w:pStyle w:val="BodyText"/>
        <w:spacing w:before="1"/>
        <w:rPr>
          <w:sz w:val="20"/>
        </w:rPr>
      </w:pPr>
    </w:p>
    <w:tbl>
      <w:tblPr>
        <w:tblW w:w="0" w:type="auto"/>
        <w:jc w:val="left"/>
        <w:tblInd w:w="128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483"/>
        <w:gridCol w:w="2874"/>
      </w:tblGrid>
      <w:tr>
        <w:trPr>
          <w:trHeight w:val="218" w:hRule="exact"/>
        </w:trPr>
        <w:tc>
          <w:tcPr>
            <w:tcW w:w="3483" w:type="dxa"/>
            <w:tcBorders>
              <w:left w:val="nil"/>
              <w:right w:val="nil"/>
            </w:tcBorders>
          </w:tcPr>
          <w:p>
            <w:pPr>
              <w:pStyle w:val="TableParagraph"/>
              <w:spacing w:before="1"/>
              <w:rPr>
                <w:sz w:val="18"/>
              </w:rPr>
            </w:pPr>
            <w:r>
              <w:rPr>
                <w:sz w:val="18"/>
              </w:rPr>
              <w:t>Productos</w:t>
            </w:r>
          </w:p>
        </w:tc>
        <w:tc>
          <w:tcPr>
            <w:tcW w:w="2874" w:type="dxa"/>
            <w:tcBorders>
              <w:left w:val="nil"/>
              <w:right w:val="nil"/>
            </w:tcBorders>
          </w:tcPr>
          <w:p>
            <w:pPr>
              <w:pStyle w:val="TableParagraph"/>
              <w:spacing w:before="1"/>
              <w:ind w:left="1051"/>
              <w:rPr>
                <w:sz w:val="18"/>
              </w:rPr>
            </w:pPr>
            <w:r>
              <w:rPr>
                <w:sz w:val="18"/>
              </w:rPr>
              <w:t>Frecuencias</w:t>
            </w:r>
          </w:p>
        </w:tc>
      </w:tr>
      <w:tr>
        <w:trPr>
          <w:trHeight w:val="244" w:hRule="exact"/>
        </w:trPr>
        <w:tc>
          <w:tcPr>
            <w:tcW w:w="3483" w:type="dxa"/>
            <w:tcBorders>
              <w:left w:val="nil"/>
              <w:bottom w:val="nil"/>
              <w:right w:val="nil"/>
            </w:tcBorders>
          </w:tcPr>
          <w:p>
            <w:pPr>
              <w:pStyle w:val="TableParagraph"/>
              <w:spacing w:before="23"/>
              <w:rPr>
                <w:sz w:val="18"/>
              </w:rPr>
            </w:pPr>
            <w:r>
              <w:rPr>
                <w:sz w:val="18"/>
              </w:rPr>
              <w:t>Prod. Forestales</w:t>
            </w:r>
          </w:p>
        </w:tc>
        <w:tc>
          <w:tcPr>
            <w:tcW w:w="2874" w:type="dxa"/>
            <w:tcBorders>
              <w:left w:val="nil"/>
              <w:bottom w:val="nil"/>
              <w:right w:val="nil"/>
            </w:tcBorders>
          </w:tcPr>
          <w:p>
            <w:pPr>
              <w:pStyle w:val="TableParagraph"/>
              <w:spacing w:before="23"/>
              <w:ind w:left="1051"/>
              <w:rPr>
                <w:sz w:val="18"/>
              </w:rPr>
            </w:pPr>
            <w:r>
              <w:rPr>
                <w:sz w:val="18"/>
              </w:rPr>
              <w:t>18</w:t>
            </w:r>
          </w:p>
        </w:tc>
      </w:tr>
      <w:tr>
        <w:trPr>
          <w:trHeight w:val="208" w:hRule="exact"/>
        </w:trPr>
        <w:tc>
          <w:tcPr>
            <w:tcW w:w="3483" w:type="dxa"/>
            <w:tcBorders>
              <w:top w:val="nil"/>
              <w:left w:val="nil"/>
              <w:bottom w:val="nil"/>
              <w:right w:val="nil"/>
            </w:tcBorders>
          </w:tcPr>
          <w:p>
            <w:pPr>
              <w:pStyle w:val="TableParagraph"/>
              <w:spacing w:line="198" w:lineRule="exact"/>
              <w:rPr>
                <w:sz w:val="18"/>
              </w:rPr>
            </w:pPr>
            <w:r>
              <w:rPr>
                <w:sz w:val="18"/>
              </w:rPr>
              <w:t>Prod. Agrícolas</w:t>
            </w:r>
          </w:p>
        </w:tc>
        <w:tc>
          <w:tcPr>
            <w:tcW w:w="2874" w:type="dxa"/>
            <w:tcBorders>
              <w:top w:val="nil"/>
              <w:left w:val="nil"/>
              <w:bottom w:val="nil"/>
              <w:right w:val="nil"/>
            </w:tcBorders>
          </w:tcPr>
          <w:p>
            <w:pPr>
              <w:pStyle w:val="TableParagraph"/>
              <w:spacing w:line="198" w:lineRule="exact"/>
              <w:ind w:left="1051"/>
              <w:rPr>
                <w:sz w:val="18"/>
              </w:rPr>
            </w:pPr>
            <w:r>
              <w:rPr>
                <w:sz w:val="18"/>
              </w:rPr>
              <w:t>15</w:t>
            </w:r>
          </w:p>
        </w:tc>
      </w:tr>
      <w:tr>
        <w:trPr>
          <w:trHeight w:val="208" w:hRule="exact"/>
        </w:trPr>
        <w:tc>
          <w:tcPr>
            <w:tcW w:w="3483" w:type="dxa"/>
            <w:tcBorders>
              <w:top w:val="nil"/>
              <w:left w:val="nil"/>
              <w:bottom w:val="nil"/>
              <w:right w:val="nil"/>
            </w:tcBorders>
          </w:tcPr>
          <w:p>
            <w:pPr>
              <w:pStyle w:val="TableParagraph"/>
              <w:spacing w:line="198" w:lineRule="exact"/>
              <w:rPr>
                <w:sz w:val="18"/>
              </w:rPr>
            </w:pPr>
            <w:r>
              <w:rPr>
                <w:sz w:val="18"/>
              </w:rPr>
              <w:t>Animales y sus derivados</w:t>
            </w:r>
          </w:p>
        </w:tc>
        <w:tc>
          <w:tcPr>
            <w:tcW w:w="2874" w:type="dxa"/>
            <w:tcBorders>
              <w:top w:val="nil"/>
              <w:left w:val="nil"/>
              <w:bottom w:val="nil"/>
              <w:right w:val="nil"/>
            </w:tcBorders>
          </w:tcPr>
          <w:p>
            <w:pPr>
              <w:pStyle w:val="TableParagraph"/>
              <w:spacing w:line="198" w:lineRule="exact"/>
              <w:ind w:left="1051"/>
              <w:rPr>
                <w:sz w:val="18"/>
              </w:rPr>
            </w:pPr>
            <w:r>
              <w:rPr>
                <w:w w:val="99"/>
                <w:sz w:val="18"/>
              </w:rPr>
              <w:t>2</w:t>
            </w:r>
          </w:p>
        </w:tc>
      </w:tr>
      <w:tr>
        <w:trPr>
          <w:trHeight w:val="206" w:hRule="exact"/>
        </w:trPr>
        <w:tc>
          <w:tcPr>
            <w:tcW w:w="3483" w:type="dxa"/>
            <w:tcBorders>
              <w:top w:val="nil"/>
              <w:left w:val="nil"/>
              <w:bottom w:val="nil"/>
              <w:right w:val="nil"/>
            </w:tcBorders>
          </w:tcPr>
          <w:p>
            <w:pPr>
              <w:pStyle w:val="TableParagraph"/>
              <w:spacing w:line="197" w:lineRule="exact"/>
              <w:rPr>
                <w:sz w:val="18"/>
              </w:rPr>
            </w:pPr>
            <w:r>
              <w:rPr>
                <w:sz w:val="18"/>
              </w:rPr>
              <w:t>Prod. Minerales</w:t>
            </w:r>
          </w:p>
        </w:tc>
        <w:tc>
          <w:tcPr>
            <w:tcW w:w="2874" w:type="dxa"/>
            <w:tcBorders>
              <w:top w:val="nil"/>
              <w:left w:val="nil"/>
              <w:bottom w:val="nil"/>
              <w:right w:val="nil"/>
            </w:tcBorders>
          </w:tcPr>
          <w:p>
            <w:pPr>
              <w:pStyle w:val="TableParagraph"/>
              <w:spacing w:line="197" w:lineRule="exact"/>
              <w:ind w:left="1051"/>
              <w:rPr>
                <w:sz w:val="18"/>
              </w:rPr>
            </w:pPr>
            <w:r>
              <w:rPr>
                <w:w w:val="99"/>
                <w:sz w:val="18"/>
              </w:rPr>
              <w:t>4</w:t>
            </w:r>
          </w:p>
        </w:tc>
      </w:tr>
      <w:tr>
        <w:trPr>
          <w:trHeight w:val="212" w:hRule="exact"/>
        </w:trPr>
        <w:tc>
          <w:tcPr>
            <w:tcW w:w="3483" w:type="dxa"/>
            <w:tcBorders>
              <w:top w:val="nil"/>
              <w:left w:val="nil"/>
              <w:bottom w:val="nil"/>
              <w:right w:val="nil"/>
            </w:tcBorders>
          </w:tcPr>
          <w:p>
            <w:pPr>
              <w:pStyle w:val="TableParagraph"/>
              <w:spacing w:line="197" w:lineRule="exact"/>
              <w:rPr>
                <w:sz w:val="18"/>
              </w:rPr>
            </w:pPr>
            <w:r>
              <w:rPr>
                <w:sz w:val="18"/>
              </w:rPr>
              <w:t>Petróleo y sus derivados</w:t>
            </w:r>
          </w:p>
        </w:tc>
        <w:tc>
          <w:tcPr>
            <w:tcW w:w="2874" w:type="dxa"/>
            <w:tcBorders>
              <w:top w:val="nil"/>
              <w:left w:val="nil"/>
              <w:bottom w:val="nil"/>
              <w:right w:val="nil"/>
            </w:tcBorders>
          </w:tcPr>
          <w:p>
            <w:pPr>
              <w:pStyle w:val="TableParagraph"/>
              <w:spacing w:line="197" w:lineRule="exact"/>
              <w:ind w:left="1051"/>
              <w:rPr>
                <w:sz w:val="18"/>
              </w:rPr>
            </w:pPr>
            <w:r>
              <w:rPr>
                <w:w w:val="99"/>
                <w:sz w:val="18"/>
              </w:rPr>
              <w:t>3</w:t>
            </w:r>
          </w:p>
        </w:tc>
      </w:tr>
      <w:tr>
        <w:trPr>
          <w:trHeight w:val="220" w:hRule="exact"/>
        </w:trPr>
        <w:tc>
          <w:tcPr>
            <w:tcW w:w="3483" w:type="dxa"/>
            <w:tcBorders>
              <w:top w:val="nil"/>
              <w:left w:val="nil"/>
              <w:bottom w:val="nil"/>
              <w:right w:val="nil"/>
            </w:tcBorders>
          </w:tcPr>
          <w:p>
            <w:pPr>
              <w:pStyle w:val="TableParagraph"/>
              <w:spacing w:line="203" w:lineRule="exact"/>
              <w:rPr>
                <w:sz w:val="18"/>
              </w:rPr>
            </w:pPr>
            <w:r>
              <w:rPr>
                <w:sz w:val="18"/>
              </w:rPr>
              <w:t>Prod. Inorgánicos</w:t>
            </w:r>
          </w:p>
        </w:tc>
        <w:tc>
          <w:tcPr>
            <w:tcW w:w="2874" w:type="dxa"/>
            <w:tcBorders>
              <w:top w:val="nil"/>
              <w:left w:val="nil"/>
              <w:bottom w:val="nil"/>
              <w:right w:val="nil"/>
            </w:tcBorders>
          </w:tcPr>
          <w:p>
            <w:pPr>
              <w:pStyle w:val="TableParagraph"/>
              <w:spacing w:line="203" w:lineRule="exact"/>
              <w:ind w:left="1051"/>
              <w:rPr>
                <w:sz w:val="18"/>
              </w:rPr>
            </w:pPr>
            <w:r>
              <w:rPr>
                <w:w w:val="99"/>
                <w:sz w:val="18"/>
              </w:rPr>
              <w:t>1</w:t>
            </w:r>
          </w:p>
        </w:tc>
      </w:tr>
      <w:tr>
        <w:trPr>
          <w:trHeight w:val="215" w:hRule="exact"/>
        </w:trPr>
        <w:tc>
          <w:tcPr>
            <w:tcW w:w="3483" w:type="dxa"/>
            <w:tcBorders>
              <w:top w:val="nil"/>
              <w:left w:val="nil"/>
              <w:bottom w:val="nil"/>
              <w:right w:val="nil"/>
            </w:tcBorders>
          </w:tcPr>
          <w:p>
            <w:pPr>
              <w:pStyle w:val="TableParagraph"/>
              <w:spacing w:line="204" w:lineRule="exact"/>
              <w:rPr>
                <w:sz w:val="18"/>
              </w:rPr>
            </w:pPr>
            <w:r>
              <w:rPr>
                <w:sz w:val="18"/>
              </w:rPr>
              <w:t>Prod. Industriales</w:t>
            </w:r>
          </w:p>
        </w:tc>
        <w:tc>
          <w:tcPr>
            <w:tcW w:w="2874" w:type="dxa"/>
            <w:tcBorders>
              <w:top w:val="nil"/>
              <w:left w:val="nil"/>
              <w:bottom w:val="nil"/>
              <w:right w:val="nil"/>
            </w:tcBorders>
          </w:tcPr>
          <w:p>
            <w:pPr>
              <w:pStyle w:val="TableParagraph"/>
              <w:spacing w:line="204" w:lineRule="exact"/>
              <w:ind w:left="1051"/>
              <w:rPr>
                <w:sz w:val="18"/>
              </w:rPr>
            </w:pPr>
            <w:r>
              <w:rPr>
                <w:sz w:val="18"/>
              </w:rPr>
              <w:t>23</w:t>
            </w:r>
          </w:p>
        </w:tc>
      </w:tr>
      <w:tr>
        <w:trPr>
          <w:trHeight w:val="208" w:hRule="exact"/>
        </w:trPr>
        <w:tc>
          <w:tcPr>
            <w:tcW w:w="3483" w:type="dxa"/>
            <w:tcBorders>
              <w:top w:val="nil"/>
              <w:left w:val="nil"/>
              <w:bottom w:val="nil"/>
              <w:right w:val="nil"/>
            </w:tcBorders>
          </w:tcPr>
          <w:p>
            <w:pPr>
              <w:pStyle w:val="TableParagraph"/>
              <w:spacing w:line="198" w:lineRule="exact"/>
              <w:rPr>
                <w:sz w:val="18"/>
              </w:rPr>
            </w:pPr>
            <w:r>
              <w:rPr>
                <w:sz w:val="18"/>
              </w:rPr>
              <w:t>Otros productos</w:t>
            </w:r>
          </w:p>
        </w:tc>
        <w:tc>
          <w:tcPr>
            <w:tcW w:w="2874" w:type="dxa"/>
            <w:tcBorders>
              <w:top w:val="nil"/>
              <w:left w:val="nil"/>
              <w:bottom w:val="nil"/>
              <w:right w:val="nil"/>
            </w:tcBorders>
          </w:tcPr>
          <w:p>
            <w:pPr>
              <w:pStyle w:val="TableParagraph"/>
              <w:spacing w:line="198" w:lineRule="exact"/>
              <w:ind w:left="1051"/>
              <w:rPr>
                <w:sz w:val="18"/>
              </w:rPr>
            </w:pPr>
            <w:r>
              <w:rPr>
                <w:sz w:val="18"/>
              </w:rPr>
              <w:t>35</w:t>
            </w:r>
          </w:p>
        </w:tc>
      </w:tr>
      <w:tr>
        <w:trPr>
          <w:trHeight w:val="202" w:hRule="exact"/>
        </w:trPr>
        <w:tc>
          <w:tcPr>
            <w:tcW w:w="3483" w:type="dxa"/>
            <w:tcBorders>
              <w:top w:val="nil"/>
              <w:left w:val="nil"/>
              <w:right w:val="nil"/>
            </w:tcBorders>
          </w:tcPr>
          <w:p>
            <w:pPr>
              <w:pStyle w:val="TableParagraph"/>
              <w:spacing w:line="197" w:lineRule="exact"/>
              <w:rPr>
                <w:sz w:val="18"/>
              </w:rPr>
            </w:pPr>
            <w:r>
              <w:rPr>
                <w:sz w:val="18"/>
              </w:rPr>
              <w:t>Ninguna</w:t>
            </w:r>
          </w:p>
        </w:tc>
        <w:tc>
          <w:tcPr>
            <w:tcW w:w="2874" w:type="dxa"/>
            <w:tcBorders>
              <w:top w:val="nil"/>
              <w:left w:val="nil"/>
              <w:right w:val="nil"/>
            </w:tcBorders>
          </w:tcPr>
          <w:p>
            <w:pPr>
              <w:pStyle w:val="TableParagraph"/>
              <w:spacing w:line="197" w:lineRule="exact"/>
              <w:ind w:left="1051"/>
              <w:rPr>
                <w:sz w:val="18"/>
              </w:rPr>
            </w:pPr>
            <w:r>
              <w:rPr>
                <w:sz w:val="18"/>
              </w:rPr>
              <w:t>968</w:t>
            </w:r>
          </w:p>
        </w:tc>
      </w:tr>
      <w:tr>
        <w:trPr>
          <w:trHeight w:val="218" w:hRule="exact"/>
        </w:trPr>
        <w:tc>
          <w:tcPr>
            <w:tcW w:w="3483" w:type="dxa"/>
            <w:tcBorders>
              <w:left w:val="nil"/>
              <w:right w:val="nil"/>
            </w:tcBorders>
          </w:tcPr>
          <w:p>
            <w:pPr>
              <w:pStyle w:val="TableParagraph"/>
              <w:spacing w:line="206" w:lineRule="exact"/>
              <w:ind w:left="2031"/>
              <w:rPr>
                <w:sz w:val="18"/>
              </w:rPr>
            </w:pPr>
            <w:r>
              <w:rPr>
                <w:sz w:val="18"/>
              </w:rPr>
              <w:t>Total</w:t>
            </w:r>
          </w:p>
        </w:tc>
        <w:tc>
          <w:tcPr>
            <w:tcW w:w="2874" w:type="dxa"/>
            <w:tcBorders>
              <w:left w:val="nil"/>
              <w:right w:val="nil"/>
            </w:tcBorders>
          </w:tcPr>
          <w:p>
            <w:pPr>
              <w:pStyle w:val="TableParagraph"/>
              <w:spacing w:line="206" w:lineRule="exact"/>
              <w:ind w:left="1051"/>
              <w:rPr>
                <w:sz w:val="18"/>
              </w:rPr>
            </w:pPr>
            <w:r>
              <w:rPr>
                <w:sz w:val="18"/>
              </w:rPr>
              <w:t>1069</w:t>
            </w:r>
          </w:p>
        </w:tc>
      </w:tr>
    </w:tbl>
    <w:p>
      <w:pPr>
        <w:spacing w:line="227" w:lineRule="exact" w:before="0"/>
        <w:ind w:left="183" w:right="0" w:firstLine="0"/>
        <w:jc w:val="left"/>
        <w:rPr>
          <w:sz w:val="20"/>
        </w:rPr>
      </w:pPr>
      <w:r>
        <w:rPr>
          <w:sz w:val="20"/>
        </w:rPr>
        <w:t>Fuente: Elaboración propia con información de la Junta de Caminos del Estado de México 2007.</w:t>
      </w:r>
    </w:p>
    <w:p>
      <w:pPr>
        <w:spacing w:after="0" w:line="227" w:lineRule="exact"/>
        <w:jc w:val="left"/>
        <w:rPr>
          <w:sz w:val="20"/>
        </w:rPr>
        <w:sectPr>
          <w:pgSz w:w="12240" w:h="15840"/>
          <w:pgMar w:header="0" w:footer="659" w:top="1360" w:bottom="840" w:left="1660" w:right="1660"/>
        </w:sectPr>
      </w:pPr>
    </w:p>
    <w:p>
      <w:pPr>
        <w:pStyle w:val="Heading4"/>
        <w:spacing w:before="50"/>
        <w:ind w:left="2287"/>
        <w:jc w:val="left"/>
      </w:pPr>
      <w:r>
        <w:rPr/>
        <w:t>Anexo de impactos del capítulo IV</w:t>
      </w:r>
    </w:p>
    <w:p>
      <w:pPr>
        <w:pStyle w:val="BodyText"/>
        <w:spacing w:before="7"/>
        <w:rPr>
          <w:b/>
          <w:sz w:val="38"/>
        </w:rPr>
      </w:pPr>
    </w:p>
    <w:p>
      <w:pPr>
        <w:tabs>
          <w:tab w:pos="1980" w:val="left" w:leader="none"/>
          <w:tab w:pos="8790" w:val="left" w:leader="none"/>
        </w:tabs>
        <w:spacing w:before="0"/>
        <w:ind w:left="127" w:right="0" w:firstLine="0"/>
        <w:jc w:val="left"/>
        <w:rPr>
          <w:sz w:val="20"/>
        </w:rPr>
      </w:pPr>
      <w:r>
        <w:rPr>
          <w:w w:val="99"/>
          <w:sz w:val="20"/>
          <w:u w:val="single"/>
        </w:rPr>
        <w:t> </w:t>
      </w:r>
      <w:r>
        <w:rPr>
          <w:sz w:val="20"/>
          <w:u w:val="single"/>
        </w:rPr>
        <w:tab/>
        <w:t>Cuadro A.24 Superficie de los usos de suelo en</w:t>
      </w:r>
      <w:r>
        <w:rPr>
          <w:spacing w:val="-17"/>
          <w:sz w:val="20"/>
          <w:u w:val="single"/>
        </w:rPr>
        <w:t> </w:t>
      </w:r>
      <w:r>
        <w:rPr>
          <w:sz w:val="20"/>
          <w:u w:val="single"/>
        </w:rPr>
        <w:t>hectáreas</w:t>
        <w:tab/>
      </w:r>
    </w:p>
    <w:p>
      <w:pPr>
        <w:pStyle w:val="BodyText"/>
        <w:spacing w:before="2"/>
        <w:rPr>
          <w:sz w:val="11"/>
        </w:rPr>
      </w:pPr>
    </w:p>
    <w:tbl>
      <w:tblPr>
        <w:tblW w:w="0" w:type="auto"/>
        <w:jc w:val="left"/>
        <w:tblInd w:w="113"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731"/>
        <w:gridCol w:w="1514"/>
        <w:gridCol w:w="1488"/>
        <w:gridCol w:w="1489"/>
        <w:gridCol w:w="1456"/>
      </w:tblGrid>
      <w:tr>
        <w:trPr>
          <w:trHeight w:val="189" w:hRule="exact"/>
        </w:trPr>
        <w:tc>
          <w:tcPr>
            <w:tcW w:w="2731" w:type="dxa"/>
            <w:tcBorders>
              <w:bottom w:val="single" w:sz="4" w:space="0" w:color="000000"/>
            </w:tcBorders>
          </w:tcPr>
          <w:p>
            <w:pPr>
              <w:pStyle w:val="TableParagraph"/>
              <w:spacing w:line="184" w:lineRule="exact"/>
              <w:ind w:left="325" w:right="320"/>
              <w:jc w:val="center"/>
              <w:rPr>
                <w:sz w:val="18"/>
              </w:rPr>
            </w:pPr>
            <w:r>
              <w:rPr>
                <w:sz w:val="18"/>
              </w:rPr>
              <w:t>Entidad</w:t>
            </w:r>
          </w:p>
        </w:tc>
        <w:tc>
          <w:tcPr>
            <w:tcW w:w="1514" w:type="dxa"/>
            <w:tcBorders>
              <w:bottom w:val="single" w:sz="4" w:space="0" w:color="000000"/>
            </w:tcBorders>
          </w:tcPr>
          <w:p>
            <w:pPr>
              <w:pStyle w:val="TableParagraph"/>
              <w:spacing w:line="184" w:lineRule="exact"/>
              <w:ind w:left="324" w:right="297"/>
              <w:jc w:val="center"/>
              <w:rPr>
                <w:sz w:val="18"/>
              </w:rPr>
            </w:pPr>
            <w:r>
              <w:rPr>
                <w:sz w:val="18"/>
              </w:rPr>
              <w:t>1992</w:t>
            </w:r>
          </w:p>
        </w:tc>
        <w:tc>
          <w:tcPr>
            <w:tcW w:w="1488" w:type="dxa"/>
            <w:tcBorders>
              <w:bottom w:val="single" w:sz="4" w:space="0" w:color="000000"/>
            </w:tcBorders>
          </w:tcPr>
          <w:p>
            <w:pPr>
              <w:pStyle w:val="TableParagraph"/>
              <w:spacing w:line="184" w:lineRule="exact"/>
              <w:ind w:left="298" w:right="297"/>
              <w:jc w:val="center"/>
              <w:rPr>
                <w:sz w:val="18"/>
              </w:rPr>
            </w:pPr>
            <w:r>
              <w:rPr>
                <w:sz w:val="18"/>
              </w:rPr>
              <w:t>1997</w:t>
            </w:r>
          </w:p>
        </w:tc>
        <w:tc>
          <w:tcPr>
            <w:tcW w:w="1489" w:type="dxa"/>
            <w:tcBorders>
              <w:bottom w:val="single" w:sz="4" w:space="0" w:color="000000"/>
            </w:tcBorders>
          </w:tcPr>
          <w:p>
            <w:pPr>
              <w:pStyle w:val="TableParagraph"/>
              <w:spacing w:line="184" w:lineRule="exact"/>
              <w:ind w:left="298" w:right="297"/>
              <w:jc w:val="center"/>
              <w:rPr>
                <w:sz w:val="18"/>
              </w:rPr>
            </w:pPr>
            <w:r>
              <w:rPr>
                <w:sz w:val="18"/>
              </w:rPr>
              <w:t>2003</w:t>
            </w:r>
          </w:p>
        </w:tc>
        <w:tc>
          <w:tcPr>
            <w:tcW w:w="1456" w:type="dxa"/>
            <w:tcBorders>
              <w:bottom w:val="single" w:sz="4" w:space="0" w:color="000000"/>
            </w:tcBorders>
          </w:tcPr>
          <w:p>
            <w:pPr>
              <w:pStyle w:val="TableParagraph"/>
              <w:spacing w:line="184" w:lineRule="exact"/>
              <w:ind w:left="298" w:right="264"/>
              <w:jc w:val="center"/>
              <w:rPr>
                <w:sz w:val="18"/>
              </w:rPr>
            </w:pPr>
            <w:r>
              <w:rPr>
                <w:sz w:val="18"/>
              </w:rPr>
              <w:t>2010</w:t>
            </w:r>
          </w:p>
        </w:tc>
      </w:tr>
      <w:tr>
        <w:trPr>
          <w:trHeight w:val="361" w:hRule="exact"/>
        </w:trPr>
        <w:tc>
          <w:tcPr>
            <w:tcW w:w="2731" w:type="dxa"/>
            <w:tcBorders>
              <w:top w:val="single" w:sz="4" w:space="0" w:color="000000"/>
            </w:tcBorders>
          </w:tcPr>
          <w:p>
            <w:pPr>
              <w:pStyle w:val="TableParagraph"/>
              <w:spacing w:before="92"/>
              <w:ind w:left="325" w:right="320"/>
              <w:jc w:val="center"/>
              <w:rPr>
                <w:sz w:val="18"/>
              </w:rPr>
            </w:pPr>
            <w:r>
              <w:rPr>
                <w:sz w:val="18"/>
              </w:rPr>
              <w:t>Área agrícola</w:t>
            </w:r>
          </w:p>
        </w:tc>
        <w:tc>
          <w:tcPr>
            <w:tcW w:w="1514" w:type="dxa"/>
            <w:tcBorders>
              <w:top w:val="single" w:sz="4" w:space="0" w:color="000000"/>
            </w:tcBorders>
          </w:tcPr>
          <w:p>
            <w:pPr>
              <w:pStyle w:val="TableParagraph"/>
              <w:spacing w:before="92"/>
              <w:ind w:left="324" w:right="298"/>
              <w:jc w:val="center"/>
              <w:rPr>
                <w:sz w:val="18"/>
              </w:rPr>
            </w:pPr>
            <w:r>
              <w:rPr>
                <w:sz w:val="18"/>
              </w:rPr>
              <w:t>174739.26</w:t>
            </w:r>
          </w:p>
        </w:tc>
        <w:tc>
          <w:tcPr>
            <w:tcW w:w="1488" w:type="dxa"/>
            <w:tcBorders>
              <w:top w:val="single" w:sz="4" w:space="0" w:color="000000"/>
            </w:tcBorders>
          </w:tcPr>
          <w:p>
            <w:pPr>
              <w:pStyle w:val="TableParagraph"/>
              <w:spacing w:before="92"/>
              <w:ind w:left="298" w:right="298"/>
              <w:jc w:val="center"/>
              <w:rPr>
                <w:sz w:val="18"/>
              </w:rPr>
            </w:pPr>
            <w:r>
              <w:rPr>
                <w:sz w:val="18"/>
              </w:rPr>
              <w:t>172683.61</w:t>
            </w:r>
          </w:p>
        </w:tc>
        <w:tc>
          <w:tcPr>
            <w:tcW w:w="1489" w:type="dxa"/>
            <w:tcBorders>
              <w:top w:val="single" w:sz="4" w:space="0" w:color="000000"/>
            </w:tcBorders>
          </w:tcPr>
          <w:p>
            <w:pPr>
              <w:pStyle w:val="TableParagraph"/>
              <w:spacing w:before="92"/>
              <w:ind w:left="298" w:right="298"/>
              <w:jc w:val="center"/>
              <w:rPr>
                <w:sz w:val="18"/>
              </w:rPr>
            </w:pPr>
            <w:r>
              <w:rPr>
                <w:sz w:val="18"/>
              </w:rPr>
              <w:t>177911.38</w:t>
            </w:r>
          </w:p>
        </w:tc>
        <w:tc>
          <w:tcPr>
            <w:tcW w:w="1456" w:type="dxa"/>
            <w:tcBorders>
              <w:top w:val="single" w:sz="4" w:space="0" w:color="000000"/>
            </w:tcBorders>
          </w:tcPr>
          <w:p>
            <w:pPr>
              <w:pStyle w:val="TableParagraph"/>
              <w:spacing w:before="92"/>
              <w:ind w:left="298" w:right="265"/>
              <w:jc w:val="center"/>
              <w:rPr>
                <w:sz w:val="18"/>
              </w:rPr>
            </w:pPr>
            <w:r>
              <w:rPr>
                <w:sz w:val="18"/>
              </w:rPr>
              <w:t>179153.54</w:t>
            </w:r>
          </w:p>
        </w:tc>
      </w:tr>
      <w:tr>
        <w:trPr>
          <w:trHeight w:val="300" w:hRule="exact"/>
        </w:trPr>
        <w:tc>
          <w:tcPr>
            <w:tcW w:w="2731" w:type="dxa"/>
          </w:tcPr>
          <w:p>
            <w:pPr>
              <w:pStyle w:val="TableParagraph"/>
              <w:spacing w:before="37"/>
              <w:ind w:left="325" w:right="322"/>
              <w:jc w:val="center"/>
              <w:rPr>
                <w:sz w:val="18"/>
              </w:rPr>
            </w:pPr>
            <w:r>
              <w:rPr>
                <w:sz w:val="18"/>
              </w:rPr>
              <w:t>Área sin vegetación</w:t>
            </w:r>
          </w:p>
        </w:tc>
        <w:tc>
          <w:tcPr>
            <w:tcW w:w="1514" w:type="dxa"/>
          </w:tcPr>
          <w:p>
            <w:pPr>
              <w:pStyle w:val="TableParagraph"/>
              <w:spacing w:before="37"/>
              <w:ind w:left="324" w:right="298"/>
              <w:jc w:val="center"/>
              <w:rPr>
                <w:sz w:val="18"/>
              </w:rPr>
            </w:pPr>
            <w:r>
              <w:rPr>
                <w:sz w:val="18"/>
              </w:rPr>
              <w:t>662.93</w:t>
            </w:r>
          </w:p>
        </w:tc>
        <w:tc>
          <w:tcPr>
            <w:tcW w:w="1488" w:type="dxa"/>
          </w:tcPr>
          <w:p>
            <w:pPr>
              <w:pStyle w:val="TableParagraph"/>
              <w:spacing w:before="37"/>
              <w:ind w:left="298" w:right="298"/>
              <w:jc w:val="center"/>
              <w:rPr>
                <w:sz w:val="18"/>
              </w:rPr>
            </w:pPr>
            <w:r>
              <w:rPr>
                <w:sz w:val="18"/>
              </w:rPr>
              <w:t>564.66</w:t>
            </w:r>
          </w:p>
        </w:tc>
        <w:tc>
          <w:tcPr>
            <w:tcW w:w="1489" w:type="dxa"/>
          </w:tcPr>
          <w:p>
            <w:pPr>
              <w:pStyle w:val="TableParagraph"/>
              <w:spacing w:before="37"/>
              <w:ind w:left="298" w:right="298"/>
              <w:jc w:val="center"/>
              <w:rPr>
                <w:sz w:val="18"/>
              </w:rPr>
            </w:pPr>
            <w:r>
              <w:rPr>
                <w:sz w:val="18"/>
              </w:rPr>
              <w:t>552.49</w:t>
            </w:r>
          </w:p>
        </w:tc>
        <w:tc>
          <w:tcPr>
            <w:tcW w:w="1456" w:type="dxa"/>
          </w:tcPr>
          <w:p>
            <w:pPr>
              <w:pStyle w:val="TableParagraph"/>
              <w:spacing w:before="37"/>
              <w:ind w:left="298" w:right="265"/>
              <w:jc w:val="center"/>
              <w:rPr>
                <w:sz w:val="18"/>
              </w:rPr>
            </w:pPr>
            <w:r>
              <w:rPr>
                <w:sz w:val="18"/>
              </w:rPr>
              <w:t>552.53</w:t>
            </w:r>
          </w:p>
        </w:tc>
      </w:tr>
      <w:tr>
        <w:trPr>
          <w:trHeight w:val="300" w:hRule="exact"/>
        </w:trPr>
        <w:tc>
          <w:tcPr>
            <w:tcW w:w="2731" w:type="dxa"/>
          </w:tcPr>
          <w:p>
            <w:pPr>
              <w:pStyle w:val="TableParagraph"/>
              <w:spacing w:before="37"/>
              <w:ind w:left="325" w:right="320"/>
              <w:jc w:val="center"/>
              <w:rPr>
                <w:sz w:val="18"/>
              </w:rPr>
            </w:pPr>
            <w:r>
              <w:rPr>
                <w:sz w:val="18"/>
              </w:rPr>
              <w:t>Bosque</w:t>
            </w:r>
          </w:p>
        </w:tc>
        <w:tc>
          <w:tcPr>
            <w:tcW w:w="1514" w:type="dxa"/>
          </w:tcPr>
          <w:p>
            <w:pPr>
              <w:pStyle w:val="TableParagraph"/>
              <w:spacing w:before="37"/>
              <w:ind w:left="324" w:right="298"/>
              <w:jc w:val="center"/>
              <w:rPr>
                <w:sz w:val="18"/>
              </w:rPr>
            </w:pPr>
            <w:r>
              <w:rPr>
                <w:sz w:val="18"/>
              </w:rPr>
              <w:t>54326.56</w:t>
            </w:r>
          </w:p>
        </w:tc>
        <w:tc>
          <w:tcPr>
            <w:tcW w:w="1488" w:type="dxa"/>
          </w:tcPr>
          <w:p>
            <w:pPr>
              <w:pStyle w:val="TableParagraph"/>
              <w:spacing w:before="37"/>
              <w:ind w:left="298" w:right="298"/>
              <w:jc w:val="center"/>
              <w:rPr>
                <w:sz w:val="18"/>
              </w:rPr>
            </w:pPr>
            <w:r>
              <w:rPr>
                <w:sz w:val="18"/>
              </w:rPr>
              <w:t>49984.70</w:t>
            </w:r>
          </w:p>
        </w:tc>
        <w:tc>
          <w:tcPr>
            <w:tcW w:w="1489" w:type="dxa"/>
          </w:tcPr>
          <w:p>
            <w:pPr>
              <w:pStyle w:val="TableParagraph"/>
              <w:spacing w:before="37"/>
              <w:ind w:left="298" w:right="298"/>
              <w:jc w:val="center"/>
              <w:rPr>
                <w:sz w:val="18"/>
              </w:rPr>
            </w:pPr>
            <w:r>
              <w:rPr>
                <w:sz w:val="18"/>
              </w:rPr>
              <w:t>50038.95</w:t>
            </w:r>
          </w:p>
        </w:tc>
        <w:tc>
          <w:tcPr>
            <w:tcW w:w="1456" w:type="dxa"/>
          </w:tcPr>
          <w:p>
            <w:pPr>
              <w:pStyle w:val="TableParagraph"/>
              <w:spacing w:before="37"/>
              <w:ind w:left="298" w:right="265"/>
              <w:jc w:val="center"/>
              <w:rPr>
                <w:sz w:val="18"/>
              </w:rPr>
            </w:pPr>
            <w:r>
              <w:rPr>
                <w:sz w:val="18"/>
              </w:rPr>
              <w:t>51796.70</w:t>
            </w:r>
          </w:p>
        </w:tc>
      </w:tr>
      <w:tr>
        <w:trPr>
          <w:trHeight w:val="300" w:hRule="exact"/>
        </w:trPr>
        <w:tc>
          <w:tcPr>
            <w:tcW w:w="2731" w:type="dxa"/>
          </w:tcPr>
          <w:p>
            <w:pPr>
              <w:pStyle w:val="TableParagraph"/>
              <w:spacing w:before="37"/>
              <w:ind w:left="325" w:right="320"/>
              <w:jc w:val="center"/>
              <w:rPr>
                <w:sz w:val="18"/>
              </w:rPr>
            </w:pPr>
            <w:r>
              <w:rPr>
                <w:sz w:val="18"/>
              </w:rPr>
              <w:t>Cuerpo de agua</w:t>
            </w:r>
          </w:p>
        </w:tc>
        <w:tc>
          <w:tcPr>
            <w:tcW w:w="1514" w:type="dxa"/>
          </w:tcPr>
          <w:p>
            <w:pPr>
              <w:pStyle w:val="TableParagraph"/>
              <w:spacing w:before="37"/>
              <w:ind w:left="324" w:right="298"/>
              <w:jc w:val="center"/>
              <w:rPr>
                <w:sz w:val="18"/>
              </w:rPr>
            </w:pPr>
            <w:r>
              <w:rPr>
                <w:sz w:val="18"/>
              </w:rPr>
              <w:t>1960.39</w:t>
            </w:r>
          </w:p>
        </w:tc>
        <w:tc>
          <w:tcPr>
            <w:tcW w:w="1488" w:type="dxa"/>
          </w:tcPr>
          <w:p>
            <w:pPr>
              <w:pStyle w:val="TableParagraph"/>
              <w:spacing w:before="37"/>
              <w:ind w:left="298" w:right="298"/>
              <w:jc w:val="center"/>
              <w:rPr>
                <w:sz w:val="18"/>
              </w:rPr>
            </w:pPr>
            <w:r>
              <w:rPr>
                <w:sz w:val="18"/>
              </w:rPr>
              <w:t>2101.80</w:t>
            </w:r>
          </w:p>
        </w:tc>
        <w:tc>
          <w:tcPr>
            <w:tcW w:w="1489" w:type="dxa"/>
          </w:tcPr>
          <w:p>
            <w:pPr>
              <w:pStyle w:val="TableParagraph"/>
              <w:spacing w:before="37"/>
              <w:ind w:left="298" w:right="298"/>
              <w:jc w:val="center"/>
              <w:rPr>
                <w:sz w:val="18"/>
              </w:rPr>
            </w:pPr>
            <w:r>
              <w:rPr>
                <w:sz w:val="18"/>
              </w:rPr>
              <w:t>2101.75</w:t>
            </w:r>
          </w:p>
        </w:tc>
        <w:tc>
          <w:tcPr>
            <w:tcW w:w="1456" w:type="dxa"/>
          </w:tcPr>
          <w:p>
            <w:pPr>
              <w:pStyle w:val="TableParagraph"/>
              <w:spacing w:before="37"/>
              <w:ind w:left="298" w:right="265"/>
              <w:jc w:val="center"/>
              <w:rPr>
                <w:sz w:val="18"/>
              </w:rPr>
            </w:pPr>
            <w:r>
              <w:rPr>
                <w:sz w:val="18"/>
              </w:rPr>
              <w:t>2104.89</w:t>
            </w:r>
          </w:p>
        </w:tc>
      </w:tr>
      <w:tr>
        <w:trPr>
          <w:trHeight w:val="300" w:hRule="exact"/>
        </w:trPr>
        <w:tc>
          <w:tcPr>
            <w:tcW w:w="2731" w:type="dxa"/>
          </w:tcPr>
          <w:p>
            <w:pPr>
              <w:pStyle w:val="TableParagraph"/>
              <w:spacing w:before="37"/>
              <w:ind w:left="325" w:right="322"/>
              <w:jc w:val="center"/>
              <w:rPr>
                <w:sz w:val="18"/>
              </w:rPr>
            </w:pPr>
            <w:r>
              <w:rPr>
                <w:sz w:val="18"/>
              </w:rPr>
              <w:t>Zona urbana</w:t>
            </w:r>
          </w:p>
        </w:tc>
        <w:tc>
          <w:tcPr>
            <w:tcW w:w="1514" w:type="dxa"/>
          </w:tcPr>
          <w:p>
            <w:pPr>
              <w:pStyle w:val="TableParagraph"/>
              <w:spacing w:before="37"/>
              <w:ind w:left="324" w:right="298"/>
              <w:jc w:val="center"/>
              <w:rPr>
                <w:sz w:val="18"/>
              </w:rPr>
            </w:pPr>
            <w:r>
              <w:rPr>
                <w:sz w:val="18"/>
              </w:rPr>
              <w:t>880.46</w:t>
            </w:r>
          </w:p>
        </w:tc>
        <w:tc>
          <w:tcPr>
            <w:tcW w:w="1488" w:type="dxa"/>
          </w:tcPr>
          <w:p>
            <w:pPr>
              <w:pStyle w:val="TableParagraph"/>
              <w:spacing w:before="37"/>
              <w:ind w:left="298" w:right="298"/>
              <w:jc w:val="center"/>
              <w:rPr>
                <w:sz w:val="18"/>
              </w:rPr>
            </w:pPr>
            <w:r>
              <w:rPr>
                <w:sz w:val="18"/>
              </w:rPr>
              <w:t>9888.13</w:t>
            </w:r>
          </w:p>
        </w:tc>
        <w:tc>
          <w:tcPr>
            <w:tcW w:w="1489" w:type="dxa"/>
          </w:tcPr>
          <w:p>
            <w:pPr>
              <w:pStyle w:val="TableParagraph"/>
              <w:spacing w:before="37"/>
              <w:ind w:left="298" w:right="298"/>
              <w:jc w:val="center"/>
              <w:rPr>
                <w:sz w:val="18"/>
              </w:rPr>
            </w:pPr>
            <w:r>
              <w:rPr>
                <w:sz w:val="18"/>
              </w:rPr>
              <w:t>13277.37</w:t>
            </w:r>
          </w:p>
        </w:tc>
        <w:tc>
          <w:tcPr>
            <w:tcW w:w="1456" w:type="dxa"/>
          </w:tcPr>
          <w:p>
            <w:pPr>
              <w:pStyle w:val="TableParagraph"/>
              <w:spacing w:before="37"/>
              <w:ind w:left="298" w:right="265"/>
              <w:jc w:val="center"/>
              <w:rPr>
                <w:sz w:val="18"/>
              </w:rPr>
            </w:pPr>
            <w:r>
              <w:rPr>
                <w:sz w:val="18"/>
              </w:rPr>
              <w:t>15264.48</w:t>
            </w:r>
          </w:p>
        </w:tc>
      </w:tr>
      <w:tr>
        <w:trPr>
          <w:trHeight w:val="300" w:hRule="exact"/>
        </w:trPr>
        <w:tc>
          <w:tcPr>
            <w:tcW w:w="2731" w:type="dxa"/>
          </w:tcPr>
          <w:p>
            <w:pPr>
              <w:pStyle w:val="TableParagraph"/>
              <w:spacing w:before="37"/>
              <w:ind w:left="325" w:right="324"/>
              <w:jc w:val="center"/>
              <w:rPr>
                <w:sz w:val="18"/>
              </w:rPr>
            </w:pPr>
            <w:r>
              <w:rPr>
                <w:sz w:val="18"/>
              </w:rPr>
              <w:t>Otros tipos de vegetación</w:t>
            </w:r>
          </w:p>
        </w:tc>
        <w:tc>
          <w:tcPr>
            <w:tcW w:w="1514" w:type="dxa"/>
          </w:tcPr>
          <w:p>
            <w:pPr>
              <w:pStyle w:val="TableParagraph"/>
              <w:spacing w:before="37"/>
              <w:ind w:left="324" w:right="298"/>
              <w:jc w:val="center"/>
              <w:rPr>
                <w:sz w:val="18"/>
              </w:rPr>
            </w:pPr>
            <w:r>
              <w:rPr>
                <w:sz w:val="18"/>
              </w:rPr>
              <w:t>4954.19</w:t>
            </w:r>
          </w:p>
        </w:tc>
        <w:tc>
          <w:tcPr>
            <w:tcW w:w="1488" w:type="dxa"/>
          </w:tcPr>
          <w:p>
            <w:pPr>
              <w:pStyle w:val="TableParagraph"/>
              <w:spacing w:before="37"/>
              <w:ind w:left="298" w:right="298"/>
              <w:jc w:val="center"/>
              <w:rPr>
                <w:sz w:val="18"/>
              </w:rPr>
            </w:pPr>
            <w:r>
              <w:rPr>
                <w:sz w:val="18"/>
              </w:rPr>
              <w:t>752.81</w:t>
            </w:r>
          </w:p>
        </w:tc>
        <w:tc>
          <w:tcPr>
            <w:tcW w:w="1489" w:type="dxa"/>
          </w:tcPr>
          <w:p>
            <w:pPr>
              <w:pStyle w:val="TableParagraph"/>
              <w:spacing w:before="37"/>
              <w:ind w:left="298" w:right="298"/>
              <w:jc w:val="center"/>
              <w:rPr>
                <w:sz w:val="18"/>
              </w:rPr>
            </w:pPr>
            <w:r>
              <w:rPr>
                <w:sz w:val="18"/>
              </w:rPr>
              <w:t>752.80</w:t>
            </w:r>
          </w:p>
        </w:tc>
        <w:tc>
          <w:tcPr>
            <w:tcW w:w="1456" w:type="dxa"/>
          </w:tcPr>
          <w:p>
            <w:pPr>
              <w:pStyle w:val="TableParagraph"/>
              <w:spacing w:before="37"/>
              <w:ind w:left="298" w:right="265"/>
              <w:jc w:val="center"/>
              <w:rPr>
                <w:sz w:val="18"/>
              </w:rPr>
            </w:pPr>
            <w:r>
              <w:rPr>
                <w:sz w:val="18"/>
              </w:rPr>
              <w:t>847.93</w:t>
            </w:r>
          </w:p>
        </w:tc>
      </w:tr>
      <w:tr>
        <w:trPr>
          <w:trHeight w:val="249" w:hRule="exact"/>
        </w:trPr>
        <w:tc>
          <w:tcPr>
            <w:tcW w:w="2731" w:type="dxa"/>
            <w:tcBorders>
              <w:bottom w:val="single" w:sz="4" w:space="0" w:color="000000"/>
            </w:tcBorders>
          </w:tcPr>
          <w:p>
            <w:pPr>
              <w:pStyle w:val="TableParagraph"/>
              <w:spacing w:before="37"/>
              <w:ind w:left="325" w:right="322"/>
              <w:jc w:val="center"/>
              <w:rPr>
                <w:sz w:val="18"/>
              </w:rPr>
            </w:pPr>
            <w:r>
              <w:rPr>
                <w:sz w:val="18"/>
              </w:rPr>
              <w:t>Pastizal</w:t>
            </w:r>
          </w:p>
        </w:tc>
        <w:tc>
          <w:tcPr>
            <w:tcW w:w="1514" w:type="dxa"/>
            <w:tcBorders>
              <w:bottom w:val="single" w:sz="4" w:space="0" w:color="000000"/>
            </w:tcBorders>
          </w:tcPr>
          <w:p>
            <w:pPr>
              <w:pStyle w:val="TableParagraph"/>
              <w:spacing w:before="37"/>
              <w:ind w:left="324" w:right="298"/>
              <w:jc w:val="center"/>
              <w:rPr>
                <w:sz w:val="18"/>
              </w:rPr>
            </w:pPr>
            <w:r>
              <w:rPr>
                <w:sz w:val="18"/>
              </w:rPr>
              <w:t>33786.38</w:t>
            </w:r>
          </w:p>
        </w:tc>
        <w:tc>
          <w:tcPr>
            <w:tcW w:w="1488" w:type="dxa"/>
            <w:tcBorders>
              <w:bottom w:val="single" w:sz="4" w:space="0" w:color="000000"/>
            </w:tcBorders>
          </w:tcPr>
          <w:p>
            <w:pPr>
              <w:pStyle w:val="TableParagraph"/>
              <w:spacing w:before="37"/>
              <w:ind w:left="298" w:right="298"/>
              <w:jc w:val="center"/>
              <w:rPr>
                <w:sz w:val="18"/>
              </w:rPr>
            </w:pPr>
            <w:r>
              <w:rPr>
                <w:sz w:val="18"/>
              </w:rPr>
              <w:t>35334.48</w:t>
            </w:r>
          </w:p>
        </w:tc>
        <w:tc>
          <w:tcPr>
            <w:tcW w:w="1489" w:type="dxa"/>
            <w:tcBorders>
              <w:bottom w:val="single" w:sz="4" w:space="0" w:color="000000"/>
            </w:tcBorders>
          </w:tcPr>
          <w:p>
            <w:pPr>
              <w:pStyle w:val="TableParagraph"/>
              <w:spacing w:before="37"/>
              <w:ind w:left="298" w:right="298"/>
              <w:jc w:val="center"/>
              <w:rPr>
                <w:sz w:val="18"/>
              </w:rPr>
            </w:pPr>
            <w:r>
              <w:rPr>
                <w:sz w:val="18"/>
              </w:rPr>
              <w:t>26675.42</w:t>
            </w:r>
          </w:p>
        </w:tc>
        <w:tc>
          <w:tcPr>
            <w:tcW w:w="1456" w:type="dxa"/>
            <w:tcBorders>
              <w:bottom w:val="single" w:sz="4" w:space="0" w:color="000000"/>
            </w:tcBorders>
          </w:tcPr>
          <w:p>
            <w:pPr>
              <w:pStyle w:val="TableParagraph"/>
              <w:spacing w:before="37"/>
              <w:ind w:left="298" w:right="265"/>
              <w:jc w:val="center"/>
              <w:rPr>
                <w:sz w:val="18"/>
              </w:rPr>
            </w:pPr>
            <w:r>
              <w:rPr>
                <w:sz w:val="18"/>
              </w:rPr>
              <w:t>23593.09</w:t>
            </w:r>
          </w:p>
        </w:tc>
      </w:tr>
      <w:tr>
        <w:trPr>
          <w:trHeight w:val="313" w:hRule="exact"/>
        </w:trPr>
        <w:tc>
          <w:tcPr>
            <w:tcW w:w="2731" w:type="dxa"/>
            <w:tcBorders>
              <w:top w:val="single" w:sz="4" w:space="0" w:color="000000"/>
              <w:bottom w:val="single" w:sz="4" w:space="0" w:color="000000"/>
            </w:tcBorders>
          </w:tcPr>
          <w:p>
            <w:pPr>
              <w:pStyle w:val="TableParagraph"/>
              <w:spacing w:before="93"/>
              <w:ind w:left="325" w:right="320"/>
              <w:jc w:val="center"/>
              <w:rPr>
                <w:sz w:val="18"/>
              </w:rPr>
            </w:pPr>
            <w:r>
              <w:rPr>
                <w:sz w:val="18"/>
              </w:rPr>
              <w:t>Superficie total</w:t>
            </w:r>
          </w:p>
        </w:tc>
        <w:tc>
          <w:tcPr>
            <w:tcW w:w="1514" w:type="dxa"/>
            <w:tcBorders>
              <w:top w:val="single" w:sz="4" w:space="0" w:color="000000"/>
              <w:bottom w:val="single" w:sz="4" w:space="0" w:color="000000"/>
            </w:tcBorders>
          </w:tcPr>
          <w:p>
            <w:pPr/>
          </w:p>
        </w:tc>
        <w:tc>
          <w:tcPr>
            <w:tcW w:w="2977" w:type="dxa"/>
            <w:gridSpan w:val="2"/>
            <w:tcBorders>
              <w:top w:val="single" w:sz="4" w:space="0" w:color="000000"/>
              <w:bottom w:val="single" w:sz="4" w:space="0" w:color="000000"/>
            </w:tcBorders>
          </w:tcPr>
          <w:p>
            <w:pPr>
              <w:pStyle w:val="TableParagraph"/>
              <w:spacing w:before="93"/>
              <w:ind w:left="1008" w:right="1077"/>
              <w:jc w:val="center"/>
              <w:rPr>
                <w:sz w:val="18"/>
              </w:rPr>
            </w:pPr>
            <w:r>
              <w:rPr>
                <w:sz w:val="18"/>
              </w:rPr>
              <w:t>273313.17</w:t>
            </w:r>
          </w:p>
        </w:tc>
        <w:tc>
          <w:tcPr>
            <w:tcW w:w="1456" w:type="dxa"/>
            <w:tcBorders>
              <w:top w:val="single" w:sz="4" w:space="0" w:color="000000"/>
              <w:bottom w:val="single" w:sz="4" w:space="0" w:color="000000"/>
            </w:tcBorders>
          </w:tcPr>
          <w:p>
            <w:pPr/>
          </w:p>
        </w:tc>
      </w:tr>
    </w:tbl>
    <w:p>
      <w:pPr>
        <w:spacing w:line="227" w:lineRule="exact" w:before="0"/>
        <w:ind w:left="994" w:right="0" w:firstLine="0"/>
        <w:jc w:val="left"/>
        <w:rPr>
          <w:sz w:val="20"/>
        </w:rPr>
      </w:pPr>
      <w:r>
        <w:rPr>
          <w:sz w:val="20"/>
        </w:rPr>
        <w:t>Fuente: Elaboración propia con información de INEGI, 1992, 1997, 2003 y 2010.</w:t>
      </w:r>
    </w:p>
    <w:sectPr>
      <w:pgSz w:w="12240" w:h="15840"/>
      <w:pgMar w:header="0" w:footer="659" w:top="1360" w:bottom="840" w:left="1560" w:right="166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Calibri">
    <w:altName w:val="Calibri"/>
    <w:charset w:val="0"/>
    <w:family w:val="swiss"/>
    <w:pitch w:val="variable"/>
  </w:font>
  <w:font w:name="Symbol">
    <w:altName w:val="Symbol"/>
    <w:charset w:val="2"/>
    <w:family w:val="roman"/>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88.375pt;margin-top:746.075012pt;width:435.55pt;height:21.05pt;mso-position-horizontal-relative:page;mso-position-vertical-relative:page;z-index:-301768" coordorigin="1768,14922" coordsize="8711,421">
          <v:line style="position:absolute" from="1778,15132" to="10468,15132" stroked="true" strokeweight="1pt" strokecolor="#808080"/>
          <v:shape style="position:absolute;left:5708;top:14944;width:817;height:376" coordorigin="5708,14944" coordsize="817,376" path="m6462,14944l5771,14944,5746,14949,5726,14962,5713,14982,5708,15007,5708,15257,5713,15282,5726,15302,5746,15315,5771,15320,6462,15320,6487,15315,6507,15302,6520,15282,6525,15257,6525,15007,6520,14982,6507,14962,6487,14949,6462,14944xe" filled="true" fillcolor="#ffffff" stroked="false">
            <v:path arrowok="t"/>
            <v:fill type="solid"/>
          </v:shape>
          <v:shape style="position:absolute;left:5685;top:14922;width:108;height:421" type="#_x0000_t75" stroked="false">
            <v:imagedata r:id="rId1" o:title=""/>
          </v:shape>
          <v:shape style="position:absolute;left:6440;top:14922;width:108;height:421" type="#_x0000_t75" stroked="false">
            <v:imagedata r:id="rId2" o:title=""/>
          </v:shape>
          <w10:wrap type="none"/>
        </v:group>
      </w:pict>
    </w:r>
    <w:r>
      <w:rPr/>
      <w:pict>
        <v:shapetype id="_x0000_t202" o:spt="202" coordsize="21600,21600" path="m,l,21600r21600,l21600,xe">
          <v:stroke joinstyle="miter"/>
          <v:path gradientshapeok="t" o:connecttype="rect"/>
        </v:shapetype>
        <v:shape style="position:absolute;margin-left:301.049988pt;margin-top:750.416016pt;width:9.6pt;height:13.05pt;mso-position-horizontal-relative:page;mso-position-vertical-relative:page;z-index:-301744"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w w:val="100"/>
                    <w:sz w:val="22"/>
                  </w:rPr>
                  <w:instrText> PAGE </w:instrText>
                </w:r>
                <w:r>
                  <w:rPr/>
                  <w:fldChar w:fldCharType="separate"/>
                </w:r>
                <w:r>
                  <w:rPr/>
                  <w:t>1</w:t>
                </w:r>
                <w:r>
                  <w:rPr/>
                  <w:fldChar w:fldCharType="end"/>
                </w:r>
              </w:p>
            </w:txbxContent>
          </v:textbox>
          <w10:wrap type="none"/>
        </v:shape>
      </w:pict>
    </w: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88.375pt;margin-top:746.075012pt;width:435.55pt;height:21.05pt;mso-position-horizontal-relative:page;mso-position-vertical-relative:page;z-index:-301336" coordorigin="1768,14922" coordsize="8711,421">
          <v:line style="position:absolute" from="1778,15132" to="10468,15132" stroked="true" strokeweight="1pt" strokecolor="#808080"/>
          <v:shape style="position:absolute;left:5708;top:14944;width:817;height:376" coordorigin="5708,14944" coordsize="817,376" path="m6462,14944l5771,14944,5746,14949,5726,14962,5713,14982,5708,15007,5708,15257,5713,15282,5726,15302,5746,15315,5771,15320,6462,15320,6487,15315,6507,15302,6520,15282,6525,15257,6525,15007,6520,14982,6507,14962,6487,14949,6462,14944xe" filled="true" fillcolor="#ffffff" stroked="false">
            <v:path arrowok="t"/>
            <v:fill type="solid"/>
          </v:shape>
          <v:shape style="position:absolute;left:5685;top:14922;width:108;height:421" type="#_x0000_t75" stroked="false">
            <v:imagedata r:id="rId1" o:title=""/>
          </v:shape>
          <v:shape style="position:absolute;left:6440;top:14922;width:108;height:421" type="#_x0000_t75" stroked="false">
            <v:imagedata r:id="rId2" o:title=""/>
          </v:shape>
          <w10:wrap type="none"/>
        </v:group>
      </w:pict>
    </w:r>
    <w:r>
      <w:rPr/>
      <w:pict>
        <v:shape style="position:absolute;margin-left:299.170013pt;margin-top:750.416016pt;width:13.3pt;height:13.05pt;mso-position-horizontal-relative:page;mso-position-vertical-relative:page;z-index:-301312" type="#_x0000_t202" filled="false" stroked="false">
          <v:textbox inset="0,0,0,0">
            <w:txbxContent>
              <w:p>
                <w:pPr>
                  <w:spacing w:line="245" w:lineRule="exact" w:before="0"/>
                  <w:ind w:left="20" w:right="0" w:firstLine="0"/>
                  <w:jc w:val="left"/>
                  <w:rPr>
                    <w:rFonts w:ascii="Calibri"/>
                    <w:sz w:val="22"/>
                  </w:rPr>
                </w:pPr>
                <w:r>
                  <w:rPr>
                    <w:rFonts w:ascii="Calibri"/>
                    <w:sz w:val="22"/>
                  </w:rPr>
                  <w:t>50</w:t>
                </w:r>
              </w:p>
            </w:txbxContent>
          </v:textbox>
          <w10:wrap type="none"/>
        </v:shape>
      </w:pict>
    </w: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88.375pt;margin-top:746.075012pt;width:435.55pt;height:21.05pt;mso-position-horizontal-relative:page;mso-position-vertical-relative:page;z-index:-301288" coordorigin="1768,14922" coordsize="8711,421">
          <v:line style="position:absolute" from="1778,15132" to="10468,15132" stroked="true" strokeweight="1pt" strokecolor="#808080"/>
          <v:shape style="position:absolute;left:5708;top:14944;width:817;height:376" coordorigin="5708,14944" coordsize="817,376" path="m6462,14944l5771,14944,5746,14949,5726,14962,5713,14982,5708,15007,5708,15257,5713,15282,5726,15302,5746,15315,5771,15320,6462,15320,6487,15315,6507,15302,6520,15282,6525,15257,6525,15007,6520,14982,6507,14962,6487,14949,6462,14944xe" filled="true" fillcolor="#ffffff" stroked="false">
            <v:path arrowok="t"/>
            <v:fill type="solid"/>
          </v:shape>
          <v:shape style="position:absolute;left:5685;top:14922;width:108;height:421" type="#_x0000_t75" stroked="false">
            <v:imagedata r:id="rId1" o:title=""/>
          </v:shape>
          <v:shape style="position:absolute;left:6440;top:14922;width:108;height:421" type="#_x0000_t75" stroked="false">
            <v:imagedata r:id="rId2" o:title=""/>
          </v:shape>
          <w10:wrap type="none"/>
        </v:group>
      </w:pict>
    </w:r>
    <w:r>
      <w:rPr/>
      <w:pict>
        <v:shape style="position:absolute;margin-left:298.170013pt;margin-top:750.416016pt;width:15.3pt;height:13.05pt;mso-position-horizontal-relative:page;mso-position-vertical-relative:page;z-index:-301264"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51</w:t>
                </w:r>
                <w:r>
                  <w:rPr/>
                  <w:fldChar w:fldCharType="end"/>
                </w:r>
              </w:p>
            </w:txbxContent>
          </v:textbox>
          <w10:wrap type="none"/>
        </v:shape>
      </w:pict>
    </w:r>
  </w:p>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88.375pt;margin-top:746.075012pt;width:435.55pt;height:21.05pt;mso-position-horizontal-relative:page;mso-position-vertical-relative:page;z-index:-301240" coordorigin="1768,14922" coordsize="8711,421">
          <v:line style="position:absolute" from="1778,15132" to="10468,15132" stroked="true" strokeweight="1pt" strokecolor="#808080"/>
          <v:shape style="position:absolute;left:5708;top:14944;width:817;height:376" coordorigin="5708,14944" coordsize="817,376" path="m6462,14944l5771,14944,5746,14949,5726,14962,5713,14982,5708,15007,5708,15257,5713,15282,5726,15302,5746,15315,5771,15320,6462,15320,6487,15315,6507,15302,6520,15282,6525,15257,6525,15007,6520,14982,6507,14962,6487,14949,6462,14944xe" filled="true" fillcolor="#ffffff" stroked="false">
            <v:path arrowok="t"/>
            <v:fill type="solid"/>
          </v:shape>
          <v:shape style="position:absolute;left:5685;top:14922;width:108;height:421" type="#_x0000_t75" stroked="false">
            <v:imagedata r:id="rId1" o:title=""/>
          </v:shape>
          <v:shape style="position:absolute;left:6440;top:14922;width:108;height:421" type="#_x0000_t75" stroked="false">
            <v:imagedata r:id="rId2" o:title=""/>
          </v:shape>
          <w10:wrap type="none"/>
        </v:group>
      </w:pict>
    </w:r>
    <w:r>
      <w:rPr/>
      <w:pict>
        <v:shape style="position:absolute;margin-left:299.170013pt;margin-top:750.416016pt;width:13.3pt;height:13.05pt;mso-position-horizontal-relative:page;mso-position-vertical-relative:page;z-index:-301216" type="#_x0000_t202" filled="false" stroked="false">
          <v:textbox inset="0,0,0,0">
            <w:txbxContent>
              <w:p>
                <w:pPr>
                  <w:spacing w:line="245" w:lineRule="exact" w:before="0"/>
                  <w:ind w:left="20" w:right="0" w:firstLine="0"/>
                  <w:jc w:val="left"/>
                  <w:rPr>
                    <w:rFonts w:ascii="Calibri"/>
                    <w:sz w:val="22"/>
                  </w:rPr>
                </w:pPr>
                <w:r>
                  <w:rPr>
                    <w:rFonts w:ascii="Calibri"/>
                    <w:sz w:val="22"/>
                  </w:rPr>
                  <w:t>60</w:t>
                </w:r>
              </w:p>
            </w:txbxContent>
          </v:textbox>
          <w10:wrap type="none"/>
        </v:shape>
      </w:pict>
    </w:r>
  </w:p>
</w:ftr>
</file>

<file path=word/footer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88.375pt;margin-top:746.075012pt;width:435.55pt;height:21.05pt;mso-position-horizontal-relative:page;mso-position-vertical-relative:page;z-index:-301192" coordorigin="1768,14922" coordsize="8711,421">
          <v:line style="position:absolute" from="1778,15132" to="10468,15132" stroked="true" strokeweight="1pt" strokecolor="#808080"/>
          <v:shape style="position:absolute;left:5708;top:14944;width:817;height:376" coordorigin="5708,14944" coordsize="817,376" path="m6462,14944l5771,14944,5746,14949,5726,14962,5713,14982,5708,15007,5708,15257,5713,15282,5726,15302,5746,15315,5771,15320,6462,15320,6487,15315,6507,15302,6520,15282,6525,15257,6525,15007,6520,14982,6507,14962,6487,14949,6462,14944xe" filled="true" fillcolor="#ffffff" stroked="false">
            <v:path arrowok="t"/>
            <v:fill type="solid"/>
          </v:shape>
          <v:shape style="position:absolute;left:5685;top:14922;width:108;height:421" type="#_x0000_t75" stroked="false">
            <v:imagedata r:id="rId1" o:title=""/>
          </v:shape>
          <v:shape style="position:absolute;left:6440;top:14922;width:108;height:421" type="#_x0000_t75" stroked="false">
            <v:imagedata r:id="rId2" o:title=""/>
          </v:shape>
          <w10:wrap type="none"/>
        </v:group>
      </w:pict>
    </w:r>
    <w:r>
      <w:rPr/>
      <w:pict>
        <v:shape style="position:absolute;margin-left:298.170013pt;margin-top:750.416016pt;width:15.3pt;height:13.05pt;mso-position-horizontal-relative:page;mso-position-vertical-relative:page;z-index:-301168"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61</w:t>
                </w:r>
                <w:r>
                  <w:rPr/>
                  <w:fldChar w:fldCharType="end"/>
                </w:r>
              </w:p>
            </w:txbxContent>
          </v:textbox>
          <w10:wrap type="none"/>
        </v:shape>
      </w:pict>
    </w:r>
  </w:p>
</w:ftr>
</file>

<file path=word/footer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88.375pt;margin-top:746.075012pt;width:435.55pt;height:21.05pt;mso-position-horizontal-relative:page;mso-position-vertical-relative:page;z-index:-301144" coordorigin="1768,14922" coordsize="8711,421">
          <v:line style="position:absolute" from="1778,15132" to="10468,15132" stroked="true" strokeweight="1pt" strokecolor="#808080"/>
          <v:shape style="position:absolute;left:5708;top:14944;width:817;height:376" coordorigin="5708,14944" coordsize="817,376" path="m6462,14944l5771,14944,5746,14949,5726,14962,5713,14982,5708,15007,5708,15257,5713,15282,5726,15302,5746,15315,5771,15320,6462,15320,6487,15315,6507,15302,6520,15282,6525,15257,6525,15007,6520,14982,6507,14962,6487,14949,6462,14944xe" filled="true" fillcolor="#ffffff" stroked="false">
            <v:path arrowok="t"/>
            <v:fill type="solid"/>
          </v:shape>
          <v:shape style="position:absolute;left:5685;top:14922;width:108;height:421" type="#_x0000_t75" stroked="false">
            <v:imagedata r:id="rId1" o:title=""/>
          </v:shape>
          <v:shape style="position:absolute;left:6440;top:14922;width:108;height:421" type="#_x0000_t75" stroked="false">
            <v:imagedata r:id="rId2" o:title=""/>
          </v:shape>
          <w10:wrap type="none"/>
        </v:group>
      </w:pict>
    </w:r>
    <w:r>
      <w:rPr/>
      <w:pict>
        <v:shape style="position:absolute;margin-left:299.170013pt;margin-top:750.416016pt;width:13.3pt;height:13.05pt;mso-position-horizontal-relative:page;mso-position-vertical-relative:page;z-index:-301120" type="#_x0000_t202" filled="false" stroked="false">
          <v:textbox inset="0,0,0,0">
            <w:txbxContent>
              <w:p>
                <w:pPr>
                  <w:spacing w:line="245" w:lineRule="exact" w:before="0"/>
                  <w:ind w:left="20" w:right="0" w:firstLine="0"/>
                  <w:jc w:val="left"/>
                  <w:rPr>
                    <w:rFonts w:ascii="Calibri"/>
                    <w:sz w:val="22"/>
                  </w:rPr>
                </w:pPr>
                <w:r>
                  <w:rPr>
                    <w:rFonts w:ascii="Calibri"/>
                    <w:sz w:val="22"/>
                  </w:rPr>
                  <w:t>70</w:t>
                </w:r>
              </w:p>
            </w:txbxContent>
          </v:textbox>
          <w10:wrap type="none"/>
        </v:shape>
      </w:pict>
    </w:r>
  </w:p>
</w:ftr>
</file>

<file path=word/footer1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88.375pt;margin-top:746.075012pt;width:435.55pt;height:21.05pt;mso-position-horizontal-relative:page;mso-position-vertical-relative:page;z-index:-301096" coordorigin="1768,14922" coordsize="8711,421">
          <v:line style="position:absolute" from="1778,15132" to="10468,15132" stroked="true" strokeweight="1pt" strokecolor="#808080"/>
          <v:shape style="position:absolute;left:5708;top:14944;width:817;height:376" coordorigin="5708,14944" coordsize="817,376" path="m6462,14944l5771,14944,5746,14949,5726,14962,5713,14982,5708,15007,5708,15257,5713,15282,5726,15302,5746,15315,5771,15320,6462,15320,6487,15315,6507,15302,6520,15282,6525,15257,6525,15007,6520,14982,6507,14962,6487,14949,6462,14944xe" filled="true" fillcolor="#ffffff" stroked="false">
            <v:path arrowok="t"/>
            <v:fill type="solid"/>
          </v:shape>
          <v:shape style="position:absolute;left:5685;top:14922;width:108;height:421" type="#_x0000_t75" stroked="false">
            <v:imagedata r:id="rId1" o:title=""/>
          </v:shape>
          <v:shape style="position:absolute;left:6440;top:14922;width:108;height:421" type="#_x0000_t75" stroked="false">
            <v:imagedata r:id="rId2" o:title=""/>
          </v:shape>
          <w10:wrap type="none"/>
        </v:group>
      </w:pict>
    </w:r>
    <w:r>
      <w:rPr/>
      <w:pict>
        <v:shape style="position:absolute;margin-left:298.170013pt;margin-top:750.416016pt;width:15.3pt;height:13.05pt;mso-position-horizontal-relative:page;mso-position-vertical-relative:page;z-index:-301072"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71</w:t>
                </w:r>
                <w:r>
                  <w:rPr/>
                  <w:fldChar w:fldCharType="end"/>
                </w:r>
              </w:p>
            </w:txbxContent>
          </v:textbox>
          <w10:wrap type="none"/>
        </v:shape>
      </w:pict>
    </w:r>
  </w:p>
</w:ftr>
</file>

<file path=word/footer1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88.375pt;margin-top:746.075012pt;width:435.55pt;height:21.05pt;mso-position-horizontal-relative:page;mso-position-vertical-relative:page;z-index:-301048" coordorigin="1768,14922" coordsize="8711,421">
          <v:line style="position:absolute" from="1778,15132" to="10468,15132" stroked="true" strokeweight="1pt" strokecolor="#808080"/>
          <v:shape style="position:absolute;left:5708;top:14944;width:817;height:376" coordorigin="5708,14944" coordsize="817,376" path="m6462,14944l5771,14944,5746,14949,5726,14962,5713,14982,5708,15007,5708,15257,5713,15282,5726,15302,5746,15315,5771,15320,6462,15320,6487,15315,6507,15302,6520,15282,6525,15257,6525,15007,6520,14982,6507,14962,6487,14949,6462,14944xe" filled="true" fillcolor="#ffffff" stroked="false">
            <v:path arrowok="t"/>
            <v:fill type="solid"/>
          </v:shape>
          <v:shape style="position:absolute;left:5685;top:14922;width:108;height:421" type="#_x0000_t75" stroked="false">
            <v:imagedata r:id="rId1" o:title=""/>
          </v:shape>
          <v:shape style="position:absolute;left:6440;top:14922;width:108;height:421" type="#_x0000_t75" stroked="false">
            <v:imagedata r:id="rId2" o:title=""/>
          </v:shape>
          <w10:wrap type="none"/>
        </v:group>
      </w:pict>
    </w:r>
    <w:r>
      <w:rPr/>
      <w:pict>
        <v:shape style="position:absolute;margin-left:299.170013pt;margin-top:750.416016pt;width:13.3pt;height:13.05pt;mso-position-horizontal-relative:page;mso-position-vertical-relative:page;z-index:-301024" type="#_x0000_t202" filled="false" stroked="false">
          <v:textbox inset="0,0,0,0">
            <w:txbxContent>
              <w:p>
                <w:pPr>
                  <w:spacing w:line="245" w:lineRule="exact" w:before="0"/>
                  <w:ind w:left="20" w:right="0" w:firstLine="0"/>
                  <w:jc w:val="left"/>
                  <w:rPr>
                    <w:rFonts w:ascii="Calibri"/>
                    <w:sz w:val="22"/>
                  </w:rPr>
                </w:pPr>
                <w:r>
                  <w:rPr>
                    <w:rFonts w:ascii="Calibri"/>
                    <w:sz w:val="22"/>
                  </w:rPr>
                  <w:t>80</w:t>
                </w:r>
              </w:p>
            </w:txbxContent>
          </v:textbox>
          <w10:wrap type="none"/>
        </v:shape>
      </w:pict>
    </w:r>
  </w:p>
</w:ftr>
</file>

<file path=word/footer1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88.375pt;margin-top:746.075012pt;width:435.55pt;height:21.05pt;mso-position-horizontal-relative:page;mso-position-vertical-relative:page;z-index:-301000" coordorigin="1768,14922" coordsize="8711,421">
          <v:line style="position:absolute" from="1778,15132" to="10468,15132" stroked="true" strokeweight="1pt" strokecolor="#808080"/>
          <v:shape style="position:absolute;left:5708;top:14944;width:817;height:376" coordorigin="5708,14944" coordsize="817,376" path="m6462,14944l5771,14944,5746,14949,5726,14962,5713,14982,5708,15007,5708,15257,5713,15282,5726,15302,5746,15315,5771,15320,6462,15320,6487,15315,6507,15302,6520,15282,6525,15257,6525,15007,6520,14982,6507,14962,6487,14949,6462,14944xe" filled="true" fillcolor="#ffffff" stroked="false">
            <v:path arrowok="t"/>
            <v:fill type="solid"/>
          </v:shape>
          <v:shape style="position:absolute;left:5685;top:14922;width:108;height:421" type="#_x0000_t75" stroked="false">
            <v:imagedata r:id="rId1" o:title=""/>
          </v:shape>
          <v:shape style="position:absolute;left:6440;top:14922;width:108;height:421" type="#_x0000_t75" stroked="false">
            <v:imagedata r:id="rId2" o:title=""/>
          </v:shape>
          <w10:wrap type="none"/>
        </v:group>
      </w:pict>
    </w:r>
    <w:r>
      <w:rPr/>
      <w:pict>
        <v:shape style="position:absolute;margin-left:298.170013pt;margin-top:750.416016pt;width:15.3pt;height:13.05pt;mso-position-horizontal-relative:page;mso-position-vertical-relative:page;z-index:-300976"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81</w:t>
                </w:r>
                <w:r>
                  <w:rPr/>
                  <w:fldChar w:fldCharType="end"/>
                </w:r>
              </w:p>
            </w:txbxContent>
          </v:textbox>
          <w10:wrap type="none"/>
        </v:shape>
      </w:pict>
    </w:r>
  </w:p>
</w:ftr>
</file>

<file path=word/footer1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88.375pt;margin-top:746.075012pt;width:435.55pt;height:21.05pt;mso-position-horizontal-relative:page;mso-position-vertical-relative:page;z-index:-300952" coordorigin="1768,14922" coordsize="8711,421">
          <v:line style="position:absolute" from="1778,15132" to="10468,15132" stroked="true" strokeweight="1pt" strokecolor="#808080"/>
          <v:shape style="position:absolute;left:5708;top:14944;width:817;height:376" coordorigin="5708,14944" coordsize="817,376" path="m6462,14944l5771,14944,5746,14949,5726,14962,5713,14982,5708,15007,5708,15257,5713,15282,5726,15302,5746,15315,5771,15320,6462,15320,6487,15315,6507,15302,6520,15282,6525,15257,6525,15007,6520,14982,6507,14962,6487,14949,6462,14944xe" filled="true" fillcolor="#ffffff" stroked="false">
            <v:path arrowok="t"/>
            <v:fill type="solid"/>
          </v:shape>
          <v:shape style="position:absolute;left:5685;top:14922;width:108;height:421" type="#_x0000_t75" stroked="false">
            <v:imagedata r:id="rId1" o:title=""/>
          </v:shape>
          <v:shape style="position:absolute;left:6440;top:14922;width:108;height:421" type="#_x0000_t75" stroked="false">
            <v:imagedata r:id="rId2" o:title=""/>
          </v:shape>
          <w10:wrap type="none"/>
        </v:group>
      </w:pict>
    </w:r>
    <w:r>
      <w:rPr/>
      <w:pict>
        <v:shape style="position:absolute;margin-left:299.170013pt;margin-top:750.416016pt;width:13.3pt;height:13.05pt;mso-position-horizontal-relative:page;mso-position-vertical-relative:page;z-index:-300928" type="#_x0000_t202" filled="false" stroked="false">
          <v:textbox inset="0,0,0,0">
            <w:txbxContent>
              <w:p>
                <w:pPr>
                  <w:spacing w:line="245" w:lineRule="exact" w:before="0"/>
                  <w:ind w:left="20" w:right="0" w:firstLine="0"/>
                  <w:jc w:val="left"/>
                  <w:rPr>
                    <w:rFonts w:ascii="Calibri"/>
                    <w:sz w:val="22"/>
                  </w:rPr>
                </w:pPr>
                <w:r>
                  <w:rPr>
                    <w:rFonts w:ascii="Calibri"/>
                    <w:sz w:val="22"/>
                  </w:rPr>
                  <w:t>90</w:t>
                </w:r>
              </w:p>
            </w:txbxContent>
          </v:textbox>
          <w10:wrap type="none"/>
        </v:shape>
      </w:pict>
    </w:r>
  </w:p>
</w:ftr>
</file>

<file path=word/footer1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88.375pt;margin-top:746.075012pt;width:435.55pt;height:21.05pt;mso-position-horizontal-relative:page;mso-position-vertical-relative:page;z-index:-300904" coordorigin="1768,14922" coordsize="8711,421">
          <v:line style="position:absolute" from="1778,15132" to="10468,15132" stroked="true" strokeweight="1pt" strokecolor="#808080"/>
          <v:shape style="position:absolute;left:5708;top:14944;width:817;height:376" coordorigin="5708,14944" coordsize="817,376" path="m6462,14944l5771,14944,5746,14949,5726,14962,5713,14982,5708,15007,5708,15257,5713,15282,5726,15302,5746,15315,5771,15320,6462,15320,6487,15315,6507,15302,6520,15282,6525,15257,6525,15007,6520,14982,6507,14962,6487,14949,6462,14944xe" filled="true" fillcolor="#ffffff" stroked="false">
            <v:path arrowok="t"/>
            <v:fill type="solid"/>
          </v:shape>
          <v:shape style="position:absolute;left:5685;top:14922;width:108;height:421" type="#_x0000_t75" stroked="false">
            <v:imagedata r:id="rId1" o:title=""/>
          </v:shape>
          <v:shape style="position:absolute;left:6440;top:14922;width:108;height:421" type="#_x0000_t75" stroked="false">
            <v:imagedata r:id="rId2" o:title=""/>
          </v:shape>
          <w10:wrap type="none"/>
        </v:group>
      </w:pict>
    </w:r>
    <w:r>
      <w:rPr/>
      <w:pict>
        <v:shape style="position:absolute;margin-left:298.170013pt;margin-top:750.416016pt;width:15.3pt;height:13.05pt;mso-position-horizontal-relative:page;mso-position-vertical-relative:page;z-index:-300880"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91</w:t>
                </w:r>
                <w:r>
                  <w:rPr/>
                  <w:fldChar w:fldCharType="end"/>
                </w:r>
              </w:p>
            </w:txbxContent>
          </v:textbox>
          <w10:wrap type="non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88.375pt;margin-top:746.075012pt;width:435.55pt;height:21.05pt;mso-position-horizontal-relative:page;mso-position-vertical-relative:page;z-index:-301720" coordorigin="1768,14922" coordsize="8711,421">
          <v:line style="position:absolute" from="1778,15132" to="10468,15132" stroked="true" strokeweight="1pt" strokecolor="#808080"/>
          <v:shape style="position:absolute;left:5708;top:14944;width:817;height:376" coordorigin="5708,14944" coordsize="817,376" path="m6462,14944l5771,14944,5746,14949,5726,14962,5713,14982,5708,15007,5708,15257,5713,15282,5726,15302,5746,15315,5771,15320,6462,15320,6487,15315,6507,15302,6520,15282,6525,15257,6525,15007,6520,14982,6507,14962,6487,14949,6462,14944xe" filled="true" fillcolor="#ffffff" stroked="false">
            <v:path arrowok="t"/>
            <v:fill type="solid"/>
          </v:shape>
          <v:shape style="position:absolute;left:5685;top:14922;width:108;height:421" type="#_x0000_t75" stroked="false">
            <v:imagedata r:id="rId1" o:title=""/>
          </v:shape>
          <v:shape style="position:absolute;left:6440;top:14922;width:108;height:421" type="#_x0000_t75" stroked="false">
            <v:imagedata r:id="rId2" o:title=""/>
          </v:shape>
          <w10:wrap type="none"/>
        </v:group>
      </w:pict>
    </w:r>
    <w:r>
      <w:rPr/>
      <w:pict>
        <v:shape style="position:absolute;margin-left:299.170013pt;margin-top:750.416016pt;width:13.3pt;height:13.05pt;mso-position-horizontal-relative:page;mso-position-vertical-relative:page;z-index:-301696" type="#_x0000_t202" filled="false" stroked="false">
          <v:textbox inset="0,0,0,0">
            <w:txbxContent>
              <w:p>
                <w:pPr>
                  <w:spacing w:line="245" w:lineRule="exact" w:before="0"/>
                  <w:ind w:left="20" w:right="0" w:firstLine="0"/>
                  <w:jc w:val="left"/>
                  <w:rPr>
                    <w:rFonts w:ascii="Calibri"/>
                    <w:sz w:val="22"/>
                  </w:rPr>
                </w:pPr>
                <w:r>
                  <w:rPr>
                    <w:rFonts w:ascii="Calibri"/>
                    <w:sz w:val="22"/>
                  </w:rPr>
                  <w:t>10</w:t>
                </w:r>
              </w:p>
            </w:txbxContent>
          </v:textbox>
          <w10:wrap type="none"/>
        </v:shape>
      </w:pict>
    </w:r>
  </w:p>
</w:ftr>
</file>

<file path=word/footer2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88.375pt;margin-top:746.075012pt;width:435.55pt;height:21.05pt;mso-position-horizontal-relative:page;mso-position-vertical-relative:page;z-index:-300856" coordorigin="1768,14922" coordsize="8711,421">
          <v:line style="position:absolute" from="1778,15132" to="10468,15132" stroked="true" strokeweight="1pt" strokecolor="#808080"/>
          <v:shape style="position:absolute;left:5708;top:14944;width:817;height:376" coordorigin="5708,14944" coordsize="817,376" path="m6462,14944l5771,14944,5746,14949,5726,14962,5713,14982,5708,15007,5708,15257,5713,15282,5726,15302,5746,15315,5771,15320,6462,15320,6487,15315,6507,15302,6520,15282,6525,15257,6525,15007,6520,14982,6507,14962,6487,14949,6462,14944xe" filled="true" fillcolor="#ffffff" stroked="false">
            <v:path arrowok="t"/>
            <v:fill type="solid"/>
          </v:shape>
          <v:shape style="position:absolute;left:5685;top:14922;width:108;height:421" type="#_x0000_t75" stroked="false">
            <v:imagedata r:id="rId1" o:title=""/>
          </v:shape>
          <v:shape style="position:absolute;left:6440;top:14922;width:108;height:421" type="#_x0000_t75" stroked="false">
            <v:imagedata r:id="rId2" o:title=""/>
          </v:shape>
          <w10:wrap type="none"/>
        </v:group>
      </w:pict>
    </w:r>
    <w:r>
      <w:rPr/>
      <w:pict>
        <v:shape style="position:absolute;margin-left:295.410004pt;margin-top:750.416016pt;width:20.75pt;height:13.05pt;mso-position-horizontal-relative:page;mso-position-vertical-relative:page;z-index:-300832"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100</w:t>
                </w:r>
                <w:r>
                  <w:rPr/>
                  <w:fldChar w:fldCharType="end"/>
                </w:r>
              </w:p>
            </w:txbxContent>
          </v:textbox>
          <w10:wrap type="none"/>
        </v:shape>
      </w:pict>
    </w:r>
  </w:p>
</w:ftr>
</file>

<file path=word/footer2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88.375pt;margin-top:746.075012pt;width:435.55pt;height:21.05pt;mso-position-horizontal-relative:page;mso-position-vertical-relative:page;z-index:-300808" coordorigin="1768,14922" coordsize="8711,421">
          <v:line style="position:absolute" from="1778,15132" to="10468,15132" stroked="true" strokeweight="1pt" strokecolor="#808080"/>
          <v:shape style="position:absolute;left:5708;top:14944;width:817;height:376" coordorigin="5708,14944" coordsize="817,376" path="m6462,14944l5771,14944,5746,14949,5726,14962,5713,14982,5708,15007,5708,15257,5713,15282,5726,15302,5746,15315,5771,15320,6462,15320,6487,15315,6507,15302,6520,15282,6525,15257,6525,15007,6520,14982,6507,14962,6487,14949,6462,14944xe" filled="true" fillcolor="#ffffff" stroked="false">
            <v:path arrowok="t"/>
            <v:fill type="solid"/>
          </v:shape>
          <v:shape style="position:absolute;left:5685;top:14922;width:108;height:421" type="#_x0000_t75" stroked="false">
            <v:imagedata r:id="rId1" o:title=""/>
          </v:shape>
          <v:shape style="position:absolute;left:6440;top:14922;width:108;height:421" type="#_x0000_t75" stroked="false">
            <v:imagedata r:id="rId2" o:title=""/>
          </v:shape>
          <w10:wrap type="none"/>
        </v:group>
      </w:pict>
    </w:r>
    <w:r>
      <w:rPr/>
      <w:pict>
        <v:shape style="position:absolute;margin-left:295.410004pt;margin-top:750.416016pt;width:20.75pt;height:13.05pt;mso-position-horizontal-relative:page;mso-position-vertical-relative:page;z-index:-300784"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110</w:t>
                </w:r>
                <w:r>
                  <w:rPr/>
                  <w:fldChar w:fldCharType="end"/>
                </w:r>
              </w:p>
            </w:txbxContent>
          </v:textbox>
          <w10:wrap type="none"/>
        </v:shape>
      </w:pict>
    </w:r>
  </w:p>
</w:ftr>
</file>

<file path=word/footer2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88.375pt;margin-top:746.075012pt;width:435.55pt;height:21.05pt;mso-position-horizontal-relative:page;mso-position-vertical-relative:page;z-index:-300760" coordorigin="1768,14922" coordsize="8711,421">
          <v:line style="position:absolute" from="1778,15132" to="10468,15132" stroked="true" strokeweight="1pt" strokecolor="#808080"/>
          <v:shape style="position:absolute;left:5708;top:14944;width:817;height:376" coordorigin="5708,14944" coordsize="817,376" path="m6462,14944l5771,14944,5746,14949,5726,14962,5713,14982,5708,15007,5708,15257,5713,15282,5726,15302,5746,15315,5771,15320,6462,15320,6487,15315,6507,15302,6520,15282,6525,15257,6525,15007,6520,14982,6507,14962,6487,14949,6462,14944xe" filled="true" fillcolor="#ffffff" stroked="false">
            <v:path arrowok="t"/>
            <v:fill type="solid"/>
          </v:shape>
          <v:shape style="position:absolute;left:5685;top:14922;width:108;height:421" type="#_x0000_t75" stroked="false">
            <v:imagedata r:id="rId1" o:title=""/>
          </v:shape>
          <v:shape style="position:absolute;left:6440;top:14922;width:108;height:421" type="#_x0000_t75" stroked="false">
            <v:imagedata r:id="rId2" o:title=""/>
          </v:shape>
          <w10:wrap type="none"/>
        </v:group>
      </w:pict>
    </w:r>
    <w:r>
      <w:rPr/>
      <w:pict>
        <v:shape style="position:absolute;margin-left:295.410004pt;margin-top:750.416016pt;width:20.75pt;height:13.05pt;mso-position-horizontal-relative:page;mso-position-vertical-relative:page;z-index:-300736"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120</w:t>
                </w:r>
                <w:r>
                  <w:rPr/>
                  <w:fldChar w:fldCharType="end"/>
                </w:r>
              </w:p>
            </w:txbxContent>
          </v:textbox>
          <w10:wrap type="none"/>
        </v:shape>
      </w:pict>
    </w:r>
  </w:p>
</w:ftr>
</file>

<file path=word/footer2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88.375pt;margin-top:746.075012pt;width:435.55pt;height:21.05pt;mso-position-horizontal-relative:page;mso-position-vertical-relative:page;z-index:-300712" coordorigin="1768,14922" coordsize="8711,421">
          <v:line style="position:absolute" from="1778,15132" to="10468,15132" stroked="true" strokeweight="1pt" strokecolor="#808080"/>
          <v:shape style="position:absolute;left:5708;top:14944;width:817;height:376" coordorigin="5708,14944" coordsize="817,376" path="m6462,14944l5771,14944,5746,14949,5726,14962,5713,14982,5708,15007,5708,15257,5713,15282,5726,15302,5746,15315,5771,15320,6462,15320,6487,15315,6507,15302,6520,15282,6525,15257,6525,15007,6520,14982,6507,14962,6487,14949,6462,14944xe" filled="true" fillcolor="#ffffff" stroked="false">
            <v:path arrowok="t"/>
            <v:fill type="solid"/>
          </v:shape>
          <v:shape style="position:absolute;left:5685;top:14922;width:108;height:421" type="#_x0000_t75" stroked="false">
            <v:imagedata r:id="rId1" o:title=""/>
          </v:shape>
          <v:shape style="position:absolute;left:6440;top:14922;width:108;height:421" type="#_x0000_t75" stroked="false">
            <v:imagedata r:id="rId2" o:title=""/>
          </v:shape>
          <w10:wrap type="none"/>
        </v:group>
      </w:pict>
    </w:r>
    <w:r>
      <w:rPr/>
      <w:pict>
        <v:shape style="position:absolute;margin-left:295.410004pt;margin-top:750.416016pt;width:20.8pt;height:13.05pt;mso-position-horizontal-relative:page;mso-position-vertical-relative:page;z-index:-300688"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132</w:t>
                </w:r>
                <w:r>
                  <w:rPr/>
                  <w:fldChar w:fldCharType="end"/>
                </w:r>
              </w:p>
            </w:txbxContent>
          </v:textbox>
          <w10:wrap type="none"/>
        </v:shape>
      </w:pict>
    </w:r>
  </w:p>
</w:ftr>
</file>

<file path=word/footer2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88.375pt;margin-top:746.075012pt;width:435.55pt;height:21.05pt;mso-position-horizontal-relative:page;mso-position-vertical-relative:page;z-index:-300664" coordorigin="1768,14922" coordsize="8711,421">
          <v:line style="position:absolute" from="1778,15132" to="10468,15132" stroked="true" strokeweight="1pt" strokecolor="#808080"/>
          <v:shape style="position:absolute;left:5708;top:14944;width:817;height:376" coordorigin="5708,14944" coordsize="817,376" path="m6462,14944l5771,14944,5746,14949,5726,14962,5713,14982,5708,15007,5708,15257,5713,15282,5726,15302,5746,15315,5771,15320,6462,15320,6487,15315,6507,15302,6520,15282,6525,15257,6525,15007,6520,14982,6507,14962,6487,14949,6462,14944xe" filled="true" fillcolor="#ffffff" stroked="false">
            <v:path arrowok="t"/>
            <v:fill type="solid"/>
          </v:shape>
          <v:shape style="position:absolute;left:5685;top:14922;width:108;height:421" type="#_x0000_t75" stroked="false">
            <v:imagedata r:id="rId1" o:title=""/>
          </v:shape>
          <v:shape style="position:absolute;left:6440;top:14922;width:108;height:421" type="#_x0000_t75" stroked="false">
            <v:imagedata r:id="rId2" o:title=""/>
          </v:shape>
          <w10:wrap type="none"/>
        </v:group>
      </w:pict>
    </w:r>
    <w:r>
      <w:rPr/>
      <w:pict>
        <v:shape style="position:absolute;margin-left:295.410004pt;margin-top:750.416016pt;width:20.75pt;height:13.05pt;mso-position-horizontal-relative:page;mso-position-vertical-relative:page;z-index:-300640"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140</w:t>
                </w:r>
                <w:r>
                  <w:rPr/>
                  <w:fldChar w:fldCharType="end"/>
                </w:r>
              </w:p>
            </w:txbxContent>
          </v:textbox>
          <w10:wrap type="none"/>
        </v:shape>
      </w:pict>
    </w:r>
  </w:p>
</w:ftr>
</file>

<file path=word/footer2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88.375pt;margin-top:746.075012pt;width:435.55pt;height:21.05pt;mso-position-horizontal-relative:page;mso-position-vertical-relative:page;z-index:-300616" coordorigin="1768,14922" coordsize="8711,421">
          <v:line style="position:absolute" from="1778,15132" to="10468,15132" stroked="true" strokeweight="1pt" strokecolor="#808080"/>
          <v:shape style="position:absolute;left:5708;top:14944;width:817;height:376" coordorigin="5708,14944" coordsize="817,376" path="m6462,14944l5771,14944,5746,14949,5726,14962,5713,14982,5708,15007,5708,15257,5713,15282,5726,15302,5746,15315,5771,15320,6462,15320,6487,15315,6507,15302,6520,15282,6525,15257,6525,15007,6520,14982,6507,14962,6487,14949,6462,14944xe" filled="true" fillcolor="#ffffff" stroked="false">
            <v:path arrowok="t"/>
            <v:fill type="solid"/>
          </v:shape>
          <v:shape style="position:absolute;left:5685;top:14922;width:108;height:421" type="#_x0000_t75" stroked="false">
            <v:imagedata r:id="rId1" o:title=""/>
          </v:shape>
          <v:shape style="position:absolute;left:6440;top:14922;width:108;height:421" type="#_x0000_t75" stroked="false">
            <v:imagedata r:id="rId2" o:title=""/>
          </v:shape>
          <w10:wrap type="none"/>
        </v:group>
      </w:pict>
    </w:r>
    <w:r>
      <w:rPr/>
      <w:pict>
        <v:shape style="position:absolute;margin-left:295.410004pt;margin-top:750.416016pt;width:20.75pt;height:13.05pt;mso-position-horizontal-relative:page;mso-position-vertical-relative:page;z-index:-300592"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150</w:t>
                </w:r>
                <w:r>
                  <w:rPr/>
                  <w:fldChar w:fldCharType="end"/>
                </w:r>
              </w:p>
            </w:txbxContent>
          </v:textbox>
          <w10:wrap type="none"/>
        </v:shape>
      </w:pict>
    </w:r>
  </w:p>
</w:ftr>
</file>

<file path=word/footer2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88.375pt;margin-top:746.075012pt;width:435.55pt;height:21.05pt;mso-position-horizontal-relative:page;mso-position-vertical-relative:page;z-index:-300568" coordorigin="1768,14922" coordsize="8711,421">
          <v:line style="position:absolute" from="1778,15132" to="10468,15132" stroked="true" strokeweight="1pt" strokecolor="#808080"/>
          <v:shape style="position:absolute;left:5708;top:14944;width:817;height:376" coordorigin="5708,14944" coordsize="817,376" path="m6462,14944l5771,14944,5746,14949,5726,14962,5713,14982,5708,15007,5708,15257,5713,15282,5726,15302,5746,15315,5771,15320,6462,15320,6487,15315,6507,15302,6520,15282,6525,15257,6525,15007,6520,14982,6507,14962,6487,14949,6462,14944xe" filled="true" fillcolor="#ffffff" stroked="false">
            <v:path arrowok="t"/>
            <v:fill type="solid"/>
          </v:shape>
          <v:shape style="position:absolute;left:5685;top:14922;width:108;height:421" type="#_x0000_t75" stroked="false">
            <v:imagedata r:id="rId1" o:title=""/>
          </v:shape>
          <v:shape style="position:absolute;left:6440;top:14922;width:108;height:421" type="#_x0000_t75" stroked="false">
            <v:imagedata r:id="rId2" o:title=""/>
          </v:shape>
          <w10:wrap type="none"/>
        </v:group>
      </w:pict>
    </w:r>
    <w:r>
      <w:rPr/>
      <w:pict>
        <v:shape style="position:absolute;margin-left:295.410004pt;margin-top:750.416016pt;width:20.75pt;height:13.05pt;mso-position-horizontal-relative:page;mso-position-vertical-relative:page;z-index:-300544"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160</w:t>
                </w:r>
                <w:r>
                  <w:rPr/>
                  <w:fldChar w:fldCharType="end"/>
                </w:r>
              </w:p>
            </w:txbxContent>
          </v:textbox>
          <w10:wrap type="none"/>
        </v:shape>
      </w:pict>
    </w:r>
  </w:p>
</w:ftr>
</file>

<file path=word/footer2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88.375pt;margin-top:746.075012pt;width:435.55pt;height:21.05pt;mso-position-horizontal-relative:page;mso-position-vertical-relative:page;z-index:-300520" coordorigin="1768,14922" coordsize="8711,421">
          <v:line style="position:absolute" from="1778,15132" to="10468,15132" stroked="true" strokeweight="1pt" strokecolor="#808080"/>
          <v:shape style="position:absolute;left:5708;top:14944;width:817;height:376" coordorigin="5708,14944" coordsize="817,376" path="m6462,14944l5771,14944,5746,14949,5726,14962,5713,14982,5708,15007,5708,15257,5713,15282,5726,15302,5746,15315,5771,15320,6462,15320,6487,15315,6507,15302,6520,15282,6525,15257,6525,15007,6520,14982,6507,14962,6487,14949,6462,14944xe" filled="true" fillcolor="#ffffff" stroked="false">
            <v:path arrowok="t"/>
            <v:fill type="solid"/>
          </v:shape>
          <v:shape style="position:absolute;left:5685;top:14922;width:108;height:421" type="#_x0000_t75" stroked="false">
            <v:imagedata r:id="rId1" o:title=""/>
          </v:shape>
          <v:shape style="position:absolute;left:6440;top:14922;width:108;height:421" type="#_x0000_t75" stroked="false">
            <v:imagedata r:id="rId2" o:title=""/>
          </v:shape>
          <w10:wrap type="none"/>
        </v:group>
      </w:pict>
    </w:r>
    <w:r>
      <w:rPr/>
      <w:pict>
        <v:shape style="position:absolute;margin-left:295.410004pt;margin-top:750.416016pt;width:20.75pt;height:13.05pt;mso-position-horizontal-relative:page;mso-position-vertical-relative:page;z-index:-300496"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170</w:t>
                </w:r>
                <w:r>
                  <w:rPr/>
                  <w:fldChar w:fldCharType="end"/>
                </w:r>
              </w:p>
            </w:txbxContent>
          </v:textbox>
          <w10:wrap type="none"/>
        </v:shape>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88.375pt;margin-top:746.075012pt;width:435.55pt;height:21.05pt;mso-position-horizontal-relative:page;mso-position-vertical-relative:page;z-index:-301672" coordorigin="1768,14922" coordsize="8711,421">
          <v:line style="position:absolute" from="1778,15132" to="10468,15132" stroked="true" strokeweight="1pt" strokecolor="#808080"/>
          <v:shape style="position:absolute;left:5708;top:14944;width:817;height:376" coordorigin="5708,14944" coordsize="817,376" path="m6462,14944l5771,14944,5746,14949,5726,14962,5713,14982,5708,15007,5708,15257,5713,15282,5726,15302,5746,15315,5771,15320,6462,15320,6487,15315,6507,15302,6520,15282,6525,15257,6525,15007,6520,14982,6507,14962,6487,14949,6462,14944xe" filled="true" fillcolor="#ffffff" stroked="false">
            <v:path arrowok="t"/>
            <v:fill type="solid"/>
          </v:shape>
          <v:shape style="position:absolute;left:5685;top:14922;width:108;height:421" type="#_x0000_t75" stroked="false">
            <v:imagedata r:id="rId1" o:title=""/>
          </v:shape>
          <v:shape style="position:absolute;left:6440;top:14922;width:108;height:421" type="#_x0000_t75" stroked="false">
            <v:imagedata r:id="rId2" o:title=""/>
          </v:shape>
          <w10:wrap type="none"/>
        </v:group>
      </w:pict>
    </w:r>
    <w:r>
      <w:rPr/>
      <w:pict>
        <v:shape style="position:absolute;margin-left:298.170013pt;margin-top:750.416016pt;width:15.3pt;height:13.05pt;mso-position-horizontal-relative:page;mso-position-vertical-relative:page;z-index:-301648"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11</w:t>
                </w:r>
                <w:r>
                  <w:rPr/>
                  <w:fldChar w:fldCharType="end"/>
                </w:r>
              </w:p>
            </w:txbxContent>
          </v:textbox>
          <w10:wrap type="none"/>
        </v:shape>
      </w:pict>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88.375pt;margin-top:746.075012pt;width:435.55pt;height:21.05pt;mso-position-horizontal-relative:page;mso-position-vertical-relative:page;z-index:-301624" coordorigin="1768,14922" coordsize="8711,421">
          <v:line style="position:absolute" from="1778,15132" to="10468,15132" stroked="true" strokeweight="1pt" strokecolor="#808080"/>
          <v:shape style="position:absolute;left:5708;top:14944;width:817;height:376" coordorigin="5708,14944" coordsize="817,376" path="m6462,14944l5771,14944,5746,14949,5726,14962,5713,14982,5708,15007,5708,15257,5713,15282,5726,15302,5746,15315,5771,15320,6462,15320,6487,15315,6507,15302,6520,15282,6525,15257,6525,15007,6520,14982,6507,14962,6487,14949,6462,14944xe" filled="true" fillcolor="#ffffff" stroked="false">
            <v:path arrowok="t"/>
            <v:fill type="solid"/>
          </v:shape>
          <v:shape style="position:absolute;left:5685;top:14922;width:108;height:421" type="#_x0000_t75" stroked="false">
            <v:imagedata r:id="rId1" o:title=""/>
          </v:shape>
          <v:shape style="position:absolute;left:6440;top:14922;width:108;height:421" type="#_x0000_t75" stroked="false">
            <v:imagedata r:id="rId2" o:title=""/>
          </v:shape>
          <w10:wrap type="none"/>
        </v:group>
      </w:pict>
    </w:r>
    <w:r>
      <w:rPr/>
      <w:pict>
        <v:shape style="position:absolute;margin-left:299.170013pt;margin-top:750.416016pt;width:13.3pt;height:13.05pt;mso-position-horizontal-relative:page;mso-position-vertical-relative:page;z-index:-301600" type="#_x0000_t202" filled="false" stroked="false">
          <v:textbox inset="0,0,0,0">
            <w:txbxContent>
              <w:p>
                <w:pPr>
                  <w:spacing w:line="245" w:lineRule="exact" w:before="0"/>
                  <w:ind w:left="20" w:right="0" w:firstLine="0"/>
                  <w:jc w:val="left"/>
                  <w:rPr>
                    <w:rFonts w:ascii="Calibri"/>
                    <w:sz w:val="22"/>
                  </w:rPr>
                </w:pPr>
                <w:r>
                  <w:rPr>
                    <w:rFonts w:ascii="Calibri"/>
                    <w:sz w:val="22"/>
                  </w:rPr>
                  <w:t>20</w:t>
                </w:r>
              </w:p>
            </w:txbxContent>
          </v:textbox>
          <w10:wrap type="none"/>
        </v:shape>
      </w:pict>
    </w: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88.375pt;margin-top:746.075012pt;width:435.55pt;height:21.05pt;mso-position-horizontal-relative:page;mso-position-vertical-relative:page;z-index:-301576" coordorigin="1768,14922" coordsize="8711,421">
          <v:line style="position:absolute" from="1778,15132" to="10468,15132" stroked="true" strokeweight="1pt" strokecolor="#808080"/>
          <v:shape style="position:absolute;left:5708;top:14944;width:817;height:376" coordorigin="5708,14944" coordsize="817,376" path="m6462,14944l5771,14944,5746,14949,5726,14962,5713,14982,5708,15007,5708,15257,5713,15282,5726,15302,5746,15315,5771,15320,6462,15320,6487,15315,6507,15302,6520,15282,6525,15257,6525,15007,6520,14982,6507,14962,6487,14949,6462,14944xe" filled="true" fillcolor="#ffffff" stroked="false">
            <v:path arrowok="t"/>
            <v:fill type="solid"/>
          </v:shape>
          <v:shape style="position:absolute;left:5685;top:14922;width:108;height:421" type="#_x0000_t75" stroked="false">
            <v:imagedata r:id="rId1" o:title=""/>
          </v:shape>
          <v:shape style="position:absolute;left:6440;top:14922;width:108;height:421" type="#_x0000_t75" stroked="false">
            <v:imagedata r:id="rId2" o:title=""/>
          </v:shape>
          <w10:wrap type="none"/>
        </v:group>
      </w:pict>
    </w:r>
    <w:r>
      <w:rPr/>
      <w:pict>
        <v:shape style="position:absolute;margin-left:298.170013pt;margin-top:750.416016pt;width:15.3pt;height:13.05pt;mso-position-horizontal-relative:page;mso-position-vertical-relative:page;z-index:-301552"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21</w:t>
                </w:r>
                <w:r>
                  <w:rPr/>
                  <w:fldChar w:fldCharType="end"/>
                </w:r>
              </w:p>
            </w:txbxContent>
          </v:textbox>
          <w10:wrap type="none"/>
        </v:shape>
      </w:pict>
    </w: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88.375pt;margin-top:746.075012pt;width:435.55pt;height:21.05pt;mso-position-horizontal-relative:page;mso-position-vertical-relative:page;z-index:-301528" coordorigin="1768,14922" coordsize="8711,421">
          <v:line style="position:absolute" from="1778,15132" to="10468,15132" stroked="true" strokeweight="1pt" strokecolor="#808080"/>
          <v:shape style="position:absolute;left:5708;top:14944;width:817;height:376" coordorigin="5708,14944" coordsize="817,376" path="m6462,14944l5771,14944,5746,14949,5726,14962,5713,14982,5708,15007,5708,15257,5713,15282,5726,15302,5746,15315,5771,15320,6462,15320,6487,15315,6507,15302,6520,15282,6525,15257,6525,15007,6520,14982,6507,14962,6487,14949,6462,14944xe" filled="true" fillcolor="#ffffff" stroked="false">
            <v:path arrowok="t"/>
            <v:fill type="solid"/>
          </v:shape>
          <v:shape style="position:absolute;left:5685;top:14922;width:108;height:421" type="#_x0000_t75" stroked="false">
            <v:imagedata r:id="rId1" o:title=""/>
          </v:shape>
          <v:shape style="position:absolute;left:6440;top:14922;width:108;height:421" type="#_x0000_t75" stroked="false">
            <v:imagedata r:id="rId2" o:title=""/>
          </v:shape>
          <w10:wrap type="none"/>
        </v:group>
      </w:pict>
    </w:r>
    <w:r>
      <w:rPr/>
      <w:pict>
        <v:shape style="position:absolute;margin-left:299.170013pt;margin-top:750.416016pt;width:13.3pt;height:13.05pt;mso-position-horizontal-relative:page;mso-position-vertical-relative:page;z-index:-301504" type="#_x0000_t202" filled="false" stroked="false">
          <v:textbox inset="0,0,0,0">
            <w:txbxContent>
              <w:p>
                <w:pPr>
                  <w:spacing w:line="245" w:lineRule="exact" w:before="0"/>
                  <w:ind w:left="20" w:right="0" w:firstLine="0"/>
                  <w:jc w:val="left"/>
                  <w:rPr>
                    <w:rFonts w:ascii="Calibri"/>
                    <w:sz w:val="22"/>
                  </w:rPr>
                </w:pPr>
                <w:r>
                  <w:rPr>
                    <w:rFonts w:ascii="Calibri"/>
                    <w:sz w:val="22"/>
                  </w:rPr>
                  <w:t>30</w:t>
                </w:r>
              </w:p>
            </w:txbxContent>
          </v:textbox>
          <w10:wrap type="none"/>
        </v:shape>
      </w:pict>
    </w: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88.375pt;margin-top:746.075012pt;width:435.55pt;height:21.05pt;mso-position-horizontal-relative:page;mso-position-vertical-relative:page;z-index:-301480" coordorigin="1768,14922" coordsize="8711,421">
          <v:line style="position:absolute" from="1778,15132" to="10468,15132" stroked="true" strokeweight="1pt" strokecolor="#808080"/>
          <v:shape style="position:absolute;left:5708;top:14944;width:817;height:376" coordorigin="5708,14944" coordsize="817,376" path="m6462,14944l5771,14944,5746,14949,5726,14962,5713,14982,5708,15007,5708,15257,5713,15282,5726,15302,5746,15315,5771,15320,6462,15320,6487,15315,6507,15302,6520,15282,6525,15257,6525,15007,6520,14982,6507,14962,6487,14949,6462,14944xe" filled="true" fillcolor="#ffffff" stroked="false">
            <v:path arrowok="t"/>
            <v:fill type="solid"/>
          </v:shape>
          <v:shape style="position:absolute;left:5685;top:14922;width:108;height:421" type="#_x0000_t75" stroked="false">
            <v:imagedata r:id="rId1" o:title=""/>
          </v:shape>
          <v:shape style="position:absolute;left:6440;top:14922;width:108;height:421" type="#_x0000_t75" stroked="false">
            <v:imagedata r:id="rId2" o:title=""/>
          </v:shape>
          <w10:wrap type="none"/>
        </v:group>
      </w:pict>
    </w:r>
    <w:r>
      <w:rPr/>
      <w:pict>
        <v:shape style="position:absolute;margin-left:298.170013pt;margin-top:750.416016pt;width:15.3pt;height:13.05pt;mso-position-horizontal-relative:page;mso-position-vertical-relative:page;z-index:-301456"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31</w:t>
                </w:r>
                <w:r>
                  <w:rPr/>
                  <w:fldChar w:fldCharType="end"/>
                </w:r>
              </w:p>
            </w:txbxContent>
          </v:textbox>
          <w10:wrap type="none"/>
        </v:shape>
      </w:pict>
    </w: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88.375pt;margin-top:746.075012pt;width:435.55pt;height:21.05pt;mso-position-horizontal-relative:page;mso-position-vertical-relative:page;z-index:-301432" coordorigin="1768,14922" coordsize="8711,421">
          <v:line style="position:absolute" from="1778,15132" to="10468,15132" stroked="true" strokeweight="1pt" strokecolor="#808080"/>
          <v:shape style="position:absolute;left:5708;top:14944;width:817;height:376" coordorigin="5708,14944" coordsize="817,376" path="m6462,14944l5771,14944,5746,14949,5726,14962,5713,14982,5708,15007,5708,15257,5713,15282,5726,15302,5746,15315,5771,15320,6462,15320,6487,15315,6507,15302,6520,15282,6525,15257,6525,15007,6520,14982,6507,14962,6487,14949,6462,14944xe" filled="true" fillcolor="#ffffff" stroked="false">
            <v:path arrowok="t"/>
            <v:fill type="solid"/>
          </v:shape>
          <v:shape style="position:absolute;left:5685;top:14922;width:108;height:421" type="#_x0000_t75" stroked="false">
            <v:imagedata r:id="rId1" o:title=""/>
          </v:shape>
          <v:shape style="position:absolute;left:6440;top:14922;width:108;height:421" type="#_x0000_t75" stroked="false">
            <v:imagedata r:id="rId2" o:title=""/>
          </v:shape>
          <w10:wrap type="none"/>
        </v:group>
      </w:pict>
    </w:r>
    <w:r>
      <w:rPr/>
      <w:pict>
        <v:shape style="position:absolute;margin-left:299.170013pt;margin-top:750.416016pt;width:13.3pt;height:13.05pt;mso-position-horizontal-relative:page;mso-position-vertical-relative:page;z-index:-301408" type="#_x0000_t202" filled="false" stroked="false">
          <v:textbox inset="0,0,0,0">
            <w:txbxContent>
              <w:p>
                <w:pPr>
                  <w:spacing w:line="245" w:lineRule="exact" w:before="0"/>
                  <w:ind w:left="20" w:right="0" w:firstLine="0"/>
                  <w:jc w:val="left"/>
                  <w:rPr>
                    <w:rFonts w:ascii="Calibri"/>
                    <w:sz w:val="22"/>
                  </w:rPr>
                </w:pPr>
                <w:r>
                  <w:rPr>
                    <w:rFonts w:ascii="Calibri"/>
                    <w:sz w:val="22"/>
                  </w:rPr>
                  <w:t>40</w:t>
                </w:r>
              </w:p>
            </w:txbxContent>
          </v:textbox>
          <w10:wrap type="none"/>
        </v:shape>
      </w:pict>
    </w: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88.375pt;margin-top:746.075012pt;width:435.55pt;height:21.05pt;mso-position-horizontal-relative:page;mso-position-vertical-relative:page;z-index:-301384" coordorigin="1768,14922" coordsize="8711,421">
          <v:line style="position:absolute" from="1778,15132" to="10468,15132" stroked="true" strokeweight="1pt" strokecolor="#808080"/>
          <v:shape style="position:absolute;left:5708;top:14944;width:817;height:376" coordorigin="5708,14944" coordsize="817,376" path="m6462,14944l5771,14944,5746,14949,5726,14962,5713,14982,5708,15007,5708,15257,5713,15282,5726,15302,5746,15315,5771,15320,6462,15320,6487,15315,6507,15302,6520,15282,6525,15257,6525,15007,6520,14982,6507,14962,6487,14949,6462,14944xe" filled="true" fillcolor="#ffffff" stroked="false">
            <v:path arrowok="t"/>
            <v:fill type="solid"/>
          </v:shape>
          <v:shape style="position:absolute;left:5685;top:14922;width:108;height:421" type="#_x0000_t75" stroked="false">
            <v:imagedata r:id="rId1" o:title=""/>
          </v:shape>
          <v:shape style="position:absolute;left:6440;top:14922;width:108;height:421" type="#_x0000_t75" stroked="false">
            <v:imagedata r:id="rId2" o:title=""/>
          </v:shape>
          <w10:wrap type="none"/>
        </v:group>
      </w:pict>
    </w:r>
    <w:r>
      <w:rPr/>
      <w:pict>
        <v:shape style="position:absolute;margin-left:298.170013pt;margin-top:750.416016pt;width:15.3pt;height:13.05pt;mso-position-horizontal-relative:page;mso-position-vertical-relative:page;z-index:-301360"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41</w:t>
                </w:r>
                <w:r>
                  <w:rPr/>
                  <w:fldChar w:fldCharType="end"/>
                </w:r>
              </w:p>
            </w:txbxContent>
          </v:textbox>
          <w10:wrap type="none"/>
        </v:shape>
      </w:pict>
    </w:r>
  </w:p>
</w:ft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9">
    <w:multiLevelType w:val="hybridMultilevel"/>
    <w:lvl w:ilvl="0">
      <w:start w:val="6"/>
      <w:numFmt w:val="decimal"/>
      <w:lvlText w:val="%1"/>
      <w:lvlJc w:val="left"/>
      <w:pPr>
        <w:ind w:left="504" w:hanging="403"/>
        <w:jc w:val="left"/>
      </w:pPr>
      <w:rPr>
        <w:rFonts w:hint="default"/>
      </w:rPr>
    </w:lvl>
    <w:lvl w:ilvl="1">
      <w:start w:val="1"/>
      <w:numFmt w:val="decimal"/>
      <w:lvlText w:val="%1.%2"/>
      <w:lvlJc w:val="left"/>
      <w:pPr>
        <w:ind w:left="504" w:hanging="403"/>
        <w:jc w:val="left"/>
      </w:pPr>
      <w:rPr>
        <w:rFonts w:hint="default" w:ascii="Arial" w:hAnsi="Arial" w:eastAsia="Arial" w:cs="Arial"/>
        <w:b/>
        <w:bCs/>
        <w:w w:val="99"/>
        <w:sz w:val="24"/>
        <w:szCs w:val="24"/>
      </w:rPr>
    </w:lvl>
    <w:lvl w:ilvl="2">
      <w:start w:val="1"/>
      <w:numFmt w:val="bullet"/>
      <w:lvlText w:val=""/>
      <w:lvlJc w:val="left"/>
      <w:pPr>
        <w:ind w:left="1534" w:hanging="356"/>
      </w:pPr>
      <w:rPr>
        <w:rFonts w:hint="default" w:ascii="Symbol" w:hAnsi="Symbol" w:eastAsia="Symbol" w:cs="Symbol"/>
        <w:w w:val="100"/>
        <w:sz w:val="24"/>
        <w:szCs w:val="24"/>
      </w:rPr>
    </w:lvl>
    <w:lvl w:ilvl="3">
      <w:start w:val="1"/>
      <w:numFmt w:val="bullet"/>
      <w:lvlText w:val="•"/>
      <w:lvlJc w:val="left"/>
      <w:pPr>
        <w:ind w:left="3211" w:hanging="356"/>
      </w:pPr>
      <w:rPr>
        <w:rFonts w:hint="default"/>
      </w:rPr>
    </w:lvl>
    <w:lvl w:ilvl="4">
      <w:start w:val="1"/>
      <w:numFmt w:val="bullet"/>
      <w:lvlText w:val="•"/>
      <w:lvlJc w:val="left"/>
      <w:pPr>
        <w:ind w:left="4046" w:hanging="356"/>
      </w:pPr>
      <w:rPr>
        <w:rFonts w:hint="default"/>
      </w:rPr>
    </w:lvl>
    <w:lvl w:ilvl="5">
      <w:start w:val="1"/>
      <w:numFmt w:val="bullet"/>
      <w:lvlText w:val="•"/>
      <w:lvlJc w:val="left"/>
      <w:pPr>
        <w:ind w:left="4882" w:hanging="356"/>
      </w:pPr>
      <w:rPr>
        <w:rFonts w:hint="default"/>
      </w:rPr>
    </w:lvl>
    <w:lvl w:ilvl="6">
      <w:start w:val="1"/>
      <w:numFmt w:val="bullet"/>
      <w:lvlText w:val="•"/>
      <w:lvlJc w:val="left"/>
      <w:pPr>
        <w:ind w:left="5717" w:hanging="356"/>
      </w:pPr>
      <w:rPr>
        <w:rFonts w:hint="default"/>
      </w:rPr>
    </w:lvl>
    <w:lvl w:ilvl="7">
      <w:start w:val="1"/>
      <w:numFmt w:val="bullet"/>
      <w:lvlText w:val="•"/>
      <w:lvlJc w:val="left"/>
      <w:pPr>
        <w:ind w:left="6553" w:hanging="356"/>
      </w:pPr>
      <w:rPr>
        <w:rFonts w:hint="default"/>
      </w:rPr>
    </w:lvl>
    <w:lvl w:ilvl="8">
      <w:start w:val="1"/>
      <w:numFmt w:val="bullet"/>
      <w:lvlText w:val="•"/>
      <w:lvlJc w:val="left"/>
      <w:pPr>
        <w:ind w:left="7388" w:hanging="356"/>
      </w:pPr>
      <w:rPr>
        <w:rFonts w:hint="default"/>
      </w:rPr>
    </w:lvl>
  </w:abstractNum>
  <w:abstractNum w:abstractNumId="8">
    <w:multiLevelType w:val="hybridMultilevel"/>
    <w:lvl w:ilvl="0">
      <w:start w:val="5"/>
      <w:numFmt w:val="decimal"/>
      <w:lvlText w:val="%1"/>
      <w:lvlJc w:val="left"/>
      <w:pPr>
        <w:ind w:left="648" w:hanging="547"/>
        <w:jc w:val="left"/>
      </w:pPr>
      <w:rPr>
        <w:rFonts w:hint="default"/>
      </w:rPr>
    </w:lvl>
    <w:lvl w:ilvl="1">
      <w:start w:val="1"/>
      <w:numFmt w:val="decimal"/>
      <w:lvlText w:val="%1.%2."/>
      <w:lvlJc w:val="left"/>
      <w:pPr>
        <w:ind w:left="648" w:hanging="547"/>
        <w:jc w:val="left"/>
      </w:pPr>
      <w:rPr>
        <w:rFonts w:hint="default" w:ascii="Arial" w:hAnsi="Arial" w:eastAsia="Arial" w:cs="Arial"/>
        <w:b/>
        <w:bCs/>
        <w:w w:val="100"/>
        <w:sz w:val="28"/>
        <w:szCs w:val="28"/>
      </w:rPr>
    </w:lvl>
    <w:lvl w:ilvl="2">
      <w:start w:val="1"/>
      <w:numFmt w:val="bullet"/>
      <w:lvlText w:val="•"/>
      <w:lvlJc w:val="left"/>
      <w:pPr>
        <w:ind w:left="2324" w:hanging="547"/>
      </w:pPr>
      <w:rPr>
        <w:rFonts w:hint="default"/>
      </w:rPr>
    </w:lvl>
    <w:lvl w:ilvl="3">
      <w:start w:val="1"/>
      <w:numFmt w:val="bullet"/>
      <w:lvlText w:val="•"/>
      <w:lvlJc w:val="left"/>
      <w:pPr>
        <w:ind w:left="3166" w:hanging="547"/>
      </w:pPr>
      <w:rPr>
        <w:rFonts w:hint="default"/>
      </w:rPr>
    </w:lvl>
    <w:lvl w:ilvl="4">
      <w:start w:val="1"/>
      <w:numFmt w:val="bullet"/>
      <w:lvlText w:val="•"/>
      <w:lvlJc w:val="left"/>
      <w:pPr>
        <w:ind w:left="4008" w:hanging="547"/>
      </w:pPr>
      <w:rPr>
        <w:rFonts w:hint="default"/>
      </w:rPr>
    </w:lvl>
    <w:lvl w:ilvl="5">
      <w:start w:val="1"/>
      <w:numFmt w:val="bullet"/>
      <w:lvlText w:val="•"/>
      <w:lvlJc w:val="left"/>
      <w:pPr>
        <w:ind w:left="4850" w:hanging="547"/>
      </w:pPr>
      <w:rPr>
        <w:rFonts w:hint="default"/>
      </w:rPr>
    </w:lvl>
    <w:lvl w:ilvl="6">
      <w:start w:val="1"/>
      <w:numFmt w:val="bullet"/>
      <w:lvlText w:val="•"/>
      <w:lvlJc w:val="left"/>
      <w:pPr>
        <w:ind w:left="5692" w:hanging="547"/>
      </w:pPr>
      <w:rPr>
        <w:rFonts w:hint="default"/>
      </w:rPr>
    </w:lvl>
    <w:lvl w:ilvl="7">
      <w:start w:val="1"/>
      <w:numFmt w:val="bullet"/>
      <w:lvlText w:val="•"/>
      <w:lvlJc w:val="left"/>
      <w:pPr>
        <w:ind w:left="6534" w:hanging="547"/>
      </w:pPr>
      <w:rPr>
        <w:rFonts w:hint="default"/>
      </w:rPr>
    </w:lvl>
    <w:lvl w:ilvl="8">
      <w:start w:val="1"/>
      <w:numFmt w:val="bullet"/>
      <w:lvlText w:val="•"/>
      <w:lvlJc w:val="left"/>
      <w:pPr>
        <w:ind w:left="7376" w:hanging="547"/>
      </w:pPr>
      <w:rPr>
        <w:rFonts w:hint="default"/>
      </w:rPr>
    </w:lvl>
  </w:abstractNum>
  <w:abstractNum w:abstractNumId="7">
    <w:multiLevelType w:val="hybridMultilevel"/>
    <w:lvl w:ilvl="0">
      <w:start w:val="4"/>
      <w:numFmt w:val="decimal"/>
      <w:lvlText w:val="%1"/>
      <w:lvlJc w:val="left"/>
      <w:pPr>
        <w:ind w:left="569" w:hanging="468"/>
        <w:jc w:val="left"/>
      </w:pPr>
      <w:rPr>
        <w:rFonts w:hint="default"/>
      </w:rPr>
    </w:lvl>
    <w:lvl w:ilvl="1">
      <w:start w:val="4"/>
      <w:numFmt w:val="decimal"/>
      <w:lvlText w:val="%1.%2"/>
      <w:lvlJc w:val="left"/>
      <w:pPr>
        <w:ind w:left="569" w:hanging="468"/>
        <w:jc w:val="left"/>
      </w:pPr>
      <w:rPr>
        <w:rFonts w:hint="default" w:ascii="Arial" w:hAnsi="Arial" w:eastAsia="Arial" w:cs="Arial"/>
        <w:b/>
        <w:bCs/>
        <w:w w:val="100"/>
        <w:sz w:val="28"/>
        <w:szCs w:val="28"/>
      </w:rPr>
    </w:lvl>
    <w:lvl w:ilvl="2">
      <w:start w:val="1"/>
      <w:numFmt w:val="decimal"/>
      <w:lvlText w:val="%1.%2.%3"/>
      <w:lvlJc w:val="left"/>
      <w:pPr>
        <w:ind w:left="703" w:hanging="602"/>
        <w:jc w:val="left"/>
      </w:pPr>
      <w:rPr>
        <w:rFonts w:hint="default" w:ascii="Arial" w:hAnsi="Arial" w:eastAsia="Arial" w:cs="Arial"/>
        <w:b/>
        <w:bCs/>
        <w:spacing w:val="-2"/>
        <w:w w:val="99"/>
        <w:sz w:val="24"/>
        <w:szCs w:val="24"/>
      </w:rPr>
    </w:lvl>
    <w:lvl w:ilvl="3">
      <w:start w:val="1"/>
      <w:numFmt w:val="bullet"/>
      <w:lvlText w:val="•"/>
      <w:lvlJc w:val="left"/>
      <w:pPr>
        <w:ind w:left="2557" w:hanging="602"/>
      </w:pPr>
      <w:rPr>
        <w:rFonts w:hint="default"/>
      </w:rPr>
    </w:lvl>
    <w:lvl w:ilvl="4">
      <w:start w:val="1"/>
      <w:numFmt w:val="bullet"/>
      <w:lvlText w:val="•"/>
      <w:lvlJc w:val="left"/>
      <w:pPr>
        <w:ind w:left="3486" w:hanging="602"/>
      </w:pPr>
      <w:rPr>
        <w:rFonts w:hint="default"/>
      </w:rPr>
    </w:lvl>
    <w:lvl w:ilvl="5">
      <w:start w:val="1"/>
      <w:numFmt w:val="bullet"/>
      <w:lvlText w:val="•"/>
      <w:lvlJc w:val="left"/>
      <w:pPr>
        <w:ind w:left="4415" w:hanging="602"/>
      </w:pPr>
      <w:rPr>
        <w:rFonts w:hint="default"/>
      </w:rPr>
    </w:lvl>
    <w:lvl w:ilvl="6">
      <w:start w:val="1"/>
      <w:numFmt w:val="bullet"/>
      <w:lvlText w:val="•"/>
      <w:lvlJc w:val="left"/>
      <w:pPr>
        <w:ind w:left="5344" w:hanging="602"/>
      </w:pPr>
      <w:rPr>
        <w:rFonts w:hint="default"/>
      </w:rPr>
    </w:lvl>
    <w:lvl w:ilvl="7">
      <w:start w:val="1"/>
      <w:numFmt w:val="bullet"/>
      <w:lvlText w:val="•"/>
      <w:lvlJc w:val="left"/>
      <w:pPr>
        <w:ind w:left="6273" w:hanging="602"/>
      </w:pPr>
      <w:rPr>
        <w:rFonts w:hint="default"/>
      </w:rPr>
    </w:lvl>
    <w:lvl w:ilvl="8">
      <w:start w:val="1"/>
      <w:numFmt w:val="bullet"/>
      <w:lvlText w:val="•"/>
      <w:lvlJc w:val="left"/>
      <w:pPr>
        <w:ind w:left="7202" w:hanging="602"/>
      </w:pPr>
      <w:rPr>
        <w:rFonts w:hint="default"/>
      </w:rPr>
    </w:lvl>
  </w:abstractNum>
  <w:abstractNum w:abstractNumId="6">
    <w:multiLevelType w:val="hybridMultilevel"/>
    <w:lvl w:ilvl="0">
      <w:start w:val="1"/>
      <w:numFmt w:val="lowerRoman"/>
      <w:lvlText w:val="%1)"/>
      <w:lvlJc w:val="left"/>
      <w:pPr>
        <w:ind w:left="882" w:hanging="720"/>
        <w:jc w:val="left"/>
      </w:pPr>
      <w:rPr>
        <w:rFonts w:hint="default" w:ascii="Arial" w:hAnsi="Arial" w:eastAsia="Arial" w:cs="Arial"/>
        <w:spacing w:val="-1"/>
        <w:w w:val="99"/>
        <w:sz w:val="24"/>
        <w:szCs w:val="24"/>
      </w:rPr>
    </w:lvl>
    <w:lvl w:ilvl="1">
      <w:start w:val="1"/>
      <w:numFmt w:val="bullet"/>
      <w:lvlText w:val="•"/>
      <w:lvlJc w:val="left"/>
      <w:pPr>
        <w:ind w:left="1698" w:hanging="720"/>
      </w:pPr>
      <w:rPr>
        <w:rFonts w:hint="default"/>
      </w:rPr>
    </w:lvl>
    <w:lvl w:ilvl="2">
      <w:start w:val="1"/>
      <w:numFmt w:val="bullet"/>
      <w:lvlText w:val="•"/>
      <w:lvlJc w:val="left"/>
      <w:pPr>
        <w:ind w:left="2516" w:hanging="720"/>
      </w:pPr>
      <w:rPr>
        <w:rFonts w:hint="default"/>
      </w:rPr>
    </w:lvl>
    <w:lvl w:ilvl="3">
      <w:start w:val="1"/>
      <w:numFmt w:val="bullet"/>
      <w:lvlText w:val="•"/>
      <w:lvlJc w:val="left"/>
      <w:pPr>
        <w:ind w:left="3334" w:hanging="720"/>
      </w:pPr>
      <w:rPr>
        <w:rFonts w:hint="default"/>
      </w:rPr>
    </w:lvl>
    <w:lvl w:ilvl="4">
      <w:start w:val="1"/>
      <w:numFmt w:val="bullet"/>
      <w:lvlText w:val="•"/>
      <w:lvlJc w:val="left"/>
      <w:pPr>
        <w:ind w:left="4152" w:hanging="720"/>
      </w:pPr>
      <w:rPr>
        <w:rFonts w:hint="default"/>
      </w:rPr>
    </w:lvl>
    <w:lvl w:ilvl="5">
      <w:start w:val="1"/>
      <w:numFmt w:val="bullet"/>
      <w:lvlText w:val="•"/>
      <w:lvlJc w:val="left"/>
      <w:pPr>
        <w:ind w:left="4970" w:hanging="720"/>
      </w:pPr>
      <w:rPr>
        <w:rFonts w:hint="default"/>
      </w:rPr>
    </w:lvl>
    <w:lvl w:ilvl="6">
      <w:start w:val="1"/>
      <w:numFmt w:val="bullet"/>
      <w:lvlText w:val="•"/>
      <w:lvlJc w:val="left"/>
      <w:pPr>
        <w:ind w:left="5788" w:hanging="720"/>
      </w:pPr>
      <w:rPr>
        <w:rFonts w:hint="default"/>
      </w:rPr>
    </w:lvl>
    <w:lvl w:ilvl="7">
      <w:start w:val="1"/>
      <w:numFmt w:val="bullet"/>
      <w:lvlText w:val="•"/>
      <w:lvlJc w:val="left"/>
      <w:pPr>
        <w:ind w:left="6606" w:hanging="720"/>
      </w:pPr>
      <w:rPr>
        <w:rFonts w:hint="default"/>
      </w:rPr>
    </w:lvl>
    <w:lvl w:ilvl="8">
      <w:start w:val="1"/>
      <w:numFmt w:val="bullet"/>
      <w:lvlText w:val="•"/>
      <w:lvlJc w:val="left"/>
      <w:pPr>
        <w:ind w:left="7424" w:hanging="720"/>
      </w:pPr>
      <w:rPr>
        <w:rFonts w:hint="default"/>
      </w:rPr>
    </w:lvl>
  </w:abstractNum>
  <w:abstractNum w:abstractNumId="5">
    <w:multiLevelType w:val="hybridMultilevel"/>
    <w:lvl w:ilvl="0">
      <w:start w:val="4"/>
      <w:numFmt w:val="decimal"/>
      <w:lvlText w:val="%1"/>
      <w:lvlJc w:val="left"/>
      <w:pPr>
        <w:ind w:left="646" w:hanging="545"/>
        <w:jc w:val="left"/>
      </w:pPr>
      <w:rPr>
        <w:rFonts w:hint="default"/>
      </w:rPr>
    </w:lvl>
    <w:lvl w:ilvl="1">
      <w:start w:val="3"/>
      <w:numFmt w:val="decimal"/>
      <w:lvlText w:val="%1.%2."/>
      <w:lvlJc w:val="left"/>
      <w:pPr>
        <w:ind w:left="646" w:hanging="545"/>
        <w:jc w:val="left"/>
      </w:pPr>
      <w:rPr>
        <w:rFonts w:hint="default" w:ascii="Arial" w:hAnsi="Arial" w:eastAsia="Arial" w:cs="Arial"/>
        <w:b/>
        <w:bCs/>
        <w:w w:val="100"/>
        <w:sz w:val="28"/>
        <w:szCs w:val="28"/>
      </w:rPr>
    </w:lvl>
    <w:lvl w:ilvl="2">
      <w:start w:val="1"/>
      <w:numFmt w:val="decimal"/>
      <w:lvlText w:val="%1.%2.%3."/>
      <w:lvlJc w:val="left"/>
      <w:pPr>
        <w:ind w:left="102" w:hanging="688"/>
        <w:jc w:val="left"/>
      </w:pPr>
      <w:rPr>
        <w:rFonts w:hint="default" w:ascii="Arial" w:hAnsi="Arial" w:eastAsia="Arial" w:cs="Arial"/>
        <w:b/>
        <w:bCs/>
        <w:spacing w:val="-2"/>
        <w:w w:val="99"/>
        <w:sz w:val="24"/>
        <w:szCs w:val="24"/>
      </w:rPr>
    </w:lvl>
    <w:lvl w:ilvl="3">
      <w:start w:val="1"/>
      <w:numFmt w:val="lowerRoman"/>
      <w:lvlText w:val="%4)"/>
      <w:lvlJc w:val="left"/>
      <w:pPr>
        <w:ind w:left="1182" w:hanging="720"/>
        <w:jc w:val="left"/>
      </w:pPr>
      <w:rPr>
        <w:rFonts w:hint="default" w:ascii="Arial" w:hAnsi="Arial" w:eastAsia="Arial" w:cs="Arial"/>
        <w:spacing w:val="-1"/>
        <w:w w:val="99"/>
        <w:sz w:val="24"/>
        <w:szCs w:val="24"/>
      </w:rPr>
    </w:lvl>
    <w:lvl w:ilvl="4">
      <w:start w:val="1"/>
      <w:numFmt w:val="bullet"/>
      <w:lvlText w:val="•"/>
      <w:lvlJc w:val="left"/>
      <w:pPr>
        <w:ind w:left="3150" w:hanging="720"/>
      </w:pPr>
      <w:rPr>
        <w:rFonts w:hint="default"/>
      </w:rPr>
    </w:lvl>
    <w:lvl w:ilvl="5">
      <w:start w:val="1"/>
      <w:numFmt w:val="bullet"/>
      <w:lvlText w:val="•"/>
      <w:lvlJc w:val="left"/>
      <w:pPr>
        <w:ind w:left="4135" w:hanging="720"/>
      </w:pPr>
      <w:rPr>
        <w:rFonts w:hint="default"/>
      </w:rPr>
    </w:lvl>
    <w:lvl w:ilvl="6">
      <w:start w:val="1"/>
      <w:numFmt w:val="bullet"/>
      <w:lvlText w:val="•"/>
      <w:lvlJc w:val="left"/>
      <w:pPr>
        <w:ind w:left="5120" w:hanging="720"/>
      </w:pPr>
      <w:rPr>
        <w:rFonts w:hint="default"/>
      </w:rPr>
    </w:lvl>
    <w:lvl w:ilvl="7">
      <w:start w:val="1"/>
      <w:numFmt w:val="bullet"/>
      <w:lvlText w:val="•"/>
      <w:lvlJc w:val="left"/>
      <w:pPr>
        <w:ind w:left="6105" w:hanging="720"/>
      </w:pPr>
      <w:rPr>
        <w:rFonts w:hint="default"/>
      </w:rPr>
    </w:lvl>
    <w:lvl w:ilvl="8">
      <w:start w:val="1"/>
      <w:numFmt w:val="bullet"/>
      <w:lvlText w:val="•"/>
      <w:lvlJc w:val="left"/>
      <w:pPr>
        <w:ind w:left="7090" w:hanging="720"/>
      </w:pPr>
      <w:rPr>
        <w:rFonts w:hint="default"/>
      </w:rPr>
    </w:lvl>
  </w:abstractNum>
  <w:abstractNum w:abstractNumId="4">
    <w:multiLevelType w:val="hybridMultilevel"/>
    <w:lvl w:ilvl="0">
      <w:start w:val="4"/>
      <w:numFmt w:val="decimal"/>
      <w:lvlText w:val="%1"/>
      <w:lvlJc w:val="left"/>
      <w:pPr>
        <w:ind w:left="102" w:hanging="547"/>
        <w:jc w:val="left"/>
      </w:pPr>
      <w:rPr>
        <w:rFonts w:hint="default"/>
      </w:rPr>
    </w:lvl>
    <w:lvl w:ilvl="1">
      <w:start w:val="1"/>
      <w:numFmt w:val="decimal"/>
      <w:lvlText w:val="%1.%2."/>
      <w:lvlJc w:val="left"/>
      <w:pPr>
        <w:ind w:left="102" w:hanging="547"/>
        <w:jc w:val="left"/>
      </w:pPr>
      <w:rPr>
        <w:rFonts w:hint="default" w:ascii="Arial" w:hAnsi="Arial" w:eastAsia="Arial" w:cs="Arial"/>
        <w:b/>
        <w:bCs/>
        <w:w w:val="100"/>
        <w:sz w:val="28"/>
        <w:szCs w:val="28"/>
      </w:rPr>
    </w:lvl>
    <w:lvl w:ilvl="2">
      <w:start w:val="1"/>
      <w:numFmt w:val="bullet"/>
      <w:lvlText w:val="•"/>
      <w:lvlJc w:val="left"/>
      <w:pPr>
        <w:ind w:left="1892" w:hanging="547"/>
      </w:pPr>
      <w:rPr>
        <w:rFonts w:hint="default"/>
      </w:rPr>
    </w:lvl>
    <w:lvl w:ilvl="3">
      <w:start w:val="1"/>
      <w:numFmt w:val="bullet"/>
      <w:lvlText w:val="•"/>
      <w:lvlJc w:val="left"/>
      <w:pPr>
        <w:ind w:left="2788" w:hanging="547"/>
      </w:pPr>
      <w:rPr>
        <w:rFonts w:hint="default"/>
      </w:rPr>
    </w:lvl>
    <w:lvl w:ilvl="4">
      <w:start w:val="1"/>
      <w:numFmt w:val="bullet"/>
      <w:lvlText w:val="•"/>
      <w:lvlJc w:val="left"/>
      <w:pPr>
        <w:ind w:left="3684" w:hanging="547"/>
      </w:pPr>
      <w:rPr>
        <w:rFonts w:hint="default"/>
      </w:rPr>
    </w:lvl>
    <w:lvl w:ilvl="5">
      <w:start w:val="1"/>
      <w:numFmt w:val="bullet"/>
      <w:lvlText w:val="•"/>
      <w:lvlJc w:val="left"/>
      <w:pPr>
        <w:ind w:left="4580" w:hanging="547"/>
      </w:pPr>
      <w:rPr>
        <w:rFonts w:hint="default"/>
      </w:rPr>
    </w:lvl>
    <w:lvl w:ilvl="6">
      <w:start w:val="1"/>
      <w:numFmt w:val="bullet"/>
      <w:lvlText w:val="•"/>
      <w:lvlJc w:val="left"/>
      <w:pPr>
        <w:ind w:left="5476" w:hanging="547"/>
      </w:pPr>
      <w:rPr>
        <w:rFonts w:hint="default"/>
      </w:rPr>
    </w:lvl>
    <w:lvl w:ilvl="7">
      <w:start w:val="1"/>
      <w:numFmt w:val="bullet"/>
      <w:lvlText w:val="•"/>
      <w:lvlJc w:val="left"/>
      <w:pPr>
        <w:ind w:left="6372" w:hanging="547"/>
      </w:pPr>
      <w:rPr>
        <w:rFonts w:hint="default"/>
      </w:rPr>
    </w:lvl>
    <w:lvl w:ilvl="8">
      <w:start w:val="1"/>
      <w:numFmt w:val="bullet"/>
      <w:lvlText w:val="•"/>
      <w:lvlJc w:val="left"/>
      <w:pPr>
        <w:ind w:left="7268" w:hanging="547"/>
      </w:pPr>
      <w:rPr>
        <w:rFonts w:hint="default"/>
      </w:rPr>
    </w:lvl>
  </w:abstractNum>
  <w:abstractNum w:abstractNumId="3">
    <w:multiLevelType w:val="hybridMultilevel"/>
    <w:lvl w:ilvl="0">
      <w:start w:val="3"/>
      <w:numFmt w:val="decimal"/>
      <w:lvlText w:val="%1"/>
      <w:lvlJc w:val="left"/>
      <w:pPr>
        <w:ind w:left="102" w:hanging="590"/>
        <w:jc w:val="left"/>
      </w:pPr>
      <w:rPr>
        <w:rFonts w:hint="default"/>
      </w:rPr>
    </w:lvl>
    <w:lvl w:ilvl="1">
      <w:start w:val="1"/>
      <w:numFmt w:val="decimal"/>
      <w:lvlText w:val="%1.%2."/>
      <w:lvlJc w:val="left"/>
      <w:pPr>
        <w:ind w:left="102" w:hanging="590"/>
        <w:jc w:val="left"/>
      </w:pPr>
      <w:rPr>
        <w:rFonts w:hint="default" w:ascii="Arial" w:hAnsi="Arial" w:eastAsia="Arial" w:cs="Arial"/>
        <w:b/>
        <w:bCs/>
        <w:w w:val="100"/>
        <w:sz w:val="28"/>
        <w:szCs w:val="28"/>
      </w:rPr>
    </w:lvl>
    <w:lvl w:ilvl="2">
      <w:start w:val="1"/>
      <w:numFmt w:val="bullet"/>
      <w:lvlText w:val="•"/>
      <w:lvlJc w:val="left"/>
      <w:pPr>
        <w:ind w:left="1892" w:hanging="590"/>
      </w:pPr>
      <w:rPr>
        <w:rFonts w:hint="default"/>
      </w:rPr>
    </w:lvl>
    <w:lvl w:ilvl="3">
      <w:start w:val="1"/>
      <w:numFmt w:val="bullet"/>
      <w:lvlText w:val="•"/>
      <w:lvlJc w:val="left"/>
      <w:pPr>
        <w:ind w:left="2788" w:hanging="590"/>
      </w:pPr>
      <w:rPr>
        <w:rFonts w:hint="default"/>
      </w:rPr>
    </w:lvl>
    <w:lvl w:ilvl="4">
      <w:start w:val="1"/>
      <w:numFmt w:val="bullet"/>
      <w:lvlText w:val="•"/>
      <w:lvlJc w:val="left"/>
      <w:pPr>
        <w:ind w:left="3684" w:hanging="590"/>
      </w:pPr>
      <w:rPr>
        <w:rFonts w:hint="default"/>
      </w:rPr>
    </w:lvl>
    <w:lvl w:ilvl="5">
      <w:start w:val="1"/>
      <w:numFmt w:val="bullet"/>
      <w:lvlText w:val="•"/>
      <w:lvlJc w:val="left"/>
      <w:pPr>
        <w:ind w:left="4580" w:hanging="590"/>
      </w:pPr>
      <w:rPr>
        <w:rFonts w:hint="default"/>
      </w:rPr>
    </w:lvl>
    <w:lvl w:ilvl="6">
      <w:start w:val="1"/>
      <w:numFmt w:val="bullet"/>
      <w:lvlText w:val="•"/>
      <w:lvlJc w:val="left"/>
      <w:pPr>
        <w:ind w:left="5476" w:hanging="590"/>
      </w:pPr>
      <w:rPr>
        <w:rFonts w:hint="default"/>
      </w:rPr>
    </w:lvl>
    <w:lvl w:ilvl="7">
      <w:start w:val="1"/>
      <w:numFmt w:val="bullet"/>
      <w:lvlText w:val="•"/>
      <w:lvlJc w:val="left"/>
      <w:pPr>
        <w:ind w:left="6372" w:hanging="590"/>
      </w:pPr>
      <w:rPr>
        <w:rFonts w:hint="default"/>
      </w:rPr>
    </w:lvl>
    <w:lvl w:ilvl="8">
      <w:start w:val="1"/>
      <w:numFmt w:val="bullet"/>
      <w:lvlText w:val="•"/>
      <w:lvlJc w:val="left"/>
      <w:pPr>
        <w:ind w:left="7268" w:hanging="590"/>
      </w:pPr>
      <w:rPr>
        <w:rFonts w:hint="default"/>
      </w:rPr>
    </w:lvl>
  </w:abstractNum>
  <w:abstractNum w:abstractNumId="2">
    <w:multiLevelType w:val="hybridMultilevel"/>
    <w:lvl w:ilvl="0">
      <w:start w:val="1"/>
      <w:numFmt w:val="decimal"/>
      <w:lvlText w:val="%1."/>
      <w:lvlJc w:val="left"/>
      <w:pPr>
        <w:ind w:left="68" w:hanging="221"/>
        <w:jc w:val="left"/>
      </w:pPr>
      <w:rPr>
        <w:rFonts w:hint="default" w:ascii="Arial" w:hAnsi="Arial" w:eastAsia="Arial" w:cs="Arial"/>
        <w:spacing w:val="-1"/>
        <w:w w:val="99"/>
        <w:sz w:val="20"/>
        <w:szCs w:val="20"/>
      </w:rPr>
    </w:lvl>
    <w:lvl w:ilvl="1">
      <w:start w:val="1"/>
      <w:numFmt w:val="bullet"/>
      <w:lvlText w:val="•"/>
      <w:lvlJc w:val="left"/>
      <w:pPr>
        <w:ind w:left="335" w:hanging="221"/>
      </w:pPr>
      <w:rPr>
        <w:rFonts w:hint="default"/>
      </w:rPr>
    </w:lvl>
    <w:lvl w:ilvl="2">
      <w:start w:val="1"/>
      <w:numFmt w:val="bullet"/>
      <w:lvlText w:val="•"/>
      <w:lvlJc w:val="left"/>
      <w:pPr>
        <w:ind w:left="611" w:hanging="221"/>
      </w:pPr>
      <w:rPr>
        <w:rFonts w:hint="default"/>
      </w:rPr>
    </w:lvl>
    <w:lvl w:ilvl="3">
      <w:start w:val="1"/>
      <w:numFmt w:val="bullet"/>
      <w:lvlText w:val="•"/>
      <w:lvlJc w:val="left"/>
      <w:pPr>
        <w:ind w:left="887" w:hanging="221"/>
      </w:pPr>
      <w:rPr>
        <w:rFonts w:hint="default"/>
      </w:rPr>
    </w:lvl>
    <w:lvl w:ilvl="4">
      <w:start w:val="1"/>
      <w:numFmt w:val="bullet"/>
      <w:lvlText w:val="•"/>
      <w:lvlJc w:val="left"/>
      <w:pPr>
        <w:ind w:left="1163" w:hanging="221"/>
      </w:pPr>
      <w:rPr>
        <w:rFonts w:hint="default"/>
      </w:rPr>
    </w:lvl>
    <w:lvl w:ilvl="5">
      <w:start w:val="1"/>
      <w:numFmt w:val="bullet"/>
      <w:lvlText w:val="•"/>
      <w:lvlJc w:val="left"/>
      <w:pPr>
        <w:ind w:left="1438" w:hanging="221"/>
      </w:pPr>
      <w:rPr>
        <w:rFonts w:hint="default"/>
      </w:rPr>
    </w:lvl>
    <w:lvl w:ilvl="6">
      <w:start w:val="1"/>
      <w:numFmt w:val="bullet"/>
      <w:lvlText w:val="•"/>
      <w:lvlJc w:val="left"/>
      <w:pPr>
        <w:ind w:left="1714" w:hanging="221"/>
      </w:pPr>
      <w:rPr>
        <w:rFonts w:hint="default"/>
      </w:rPr>
    </w:lvl>
    <w:lvl w:ilvl="7">
      <w:start w:val="1"/>
      <w:numFmt w:val="bullet"/>
      <w:lvlText w:val="•"/>
      <w:lvlJc w:val="left"/>
      <w:pPr>
        <w:ind w:left="1990" w:hanging="221"/>
      </w:pPr>
      <w:rPr>
        <w:rFonts w:hint="default"/>
      </w:rPr>
    </w:lvl>
    <w:lvl w:ilvl="8">
      <w:start w:val="1"/>
      <w:numFmt w:val="bullet"/>
      <w:lvlText w:val="•"/>
      <w:lvlJc w:val="left"/>
      <w:pPr>
        <w:ind w:left="2266" w:hanging="221"/>
      </w:pPr>
      <w:rPr>
        <w:rFonts w:hint="default"/>
      </w:rPr>
    </w:lvl>
  </w:abstractNum>
  <w:abstractNum w:abstractNumId="1">
    <w:multiLevelType w:val="hybridMultilevel"/>
    <w:lvl w:ilvl="0">
      <w:start w:val="2"/>
      <w:numFmt w:val="decimal"/>
      <w:lvlText w:val="%1"/>
      <w:lvlJc w:val="left"/>
      <w:pPr>
        <w:ind w:left="102" w:hanging="595"/>
        <w:jc w:val="left"/>
      </w:pPr>
      <w:rPr>
        <w:rFonts w:hint="default"/>
      </w:rPr>
    </w:lvl>
    <w:lvl w:ilvl="1">
      <w:start w:val="1"/>
      <w:numFmt w:val="decimal"/>
      <w:lvlText w:val="%1.%2."/>
      <w:lvlJc w:val="left"/>
      <w:pPr>
        <w:ind w:left="102" w:hanging="595"/>
        <w:jc w:val="left"/>
      </w:pPr>
      <w:rPr>
        <w:rFonts w:hint="default" w:ascii="Arial" w:hAnsi="Arial" w:eastAsia="Arial" w:cs="Arial"/>
        <w:b/>
        <w:bCs/>
        <w:w w:val="100"/>
        <w:sz w:val="28"/>
        <w:szCs w:val="28"/>
      </w:rPr>
    </w:lvl>
    <w:lvl w:ilvl="2">
      <w:start w:val="1"/>
      <w:numFmt w:val="bullet"/>
      <w:lvlText w:val="•"/>
      <w:lvlJc w:val="left"/>
      <w:pPr>
        <w:ind w:left="1892" w:hanging="595"/>
      </w:pPr>
      <w:rPr>
        <w:rFonts w:hint="default"/>
      </w:rPr>
    </w:lvl>
    <w:lvl w:ilvl="3">
      <w:start w:val="1"/>
      <w:numFmt w:val="bullet"/>
      <w:lvlText w:val="•"/>
      <w:lvlJc w:val="left"/>
      <w:pPr>
        <w:ind w:left="2788" w:hanging="595"/>
      </w:pPr>
      <w:rPr>
        <w:rFonts w:hint="default"/>
      </w:rPr>
    </w:lvl>
    <w:lvl w:ilvl="4">
      <w:start w:val="1"/>
      <w:numFmt w:val="bullet"/>
      <w:lvlText w:val="•"/>
      <w:lvlJc w:val="left"/>
      <w:pPr>
        <w:ind w:left="3684" w:hanging="595"/>
      </w:pPr>
      <w:rPr>
        <w:rFonts w:hint="default"/>
      </w:rPr>
    </w:lvl>
    <w:lvl w:ilvl="5">
      <w:start w:val="1"/>
      <w:numFmt w:val="bullet"/>
      <w:lvlText w:val="•"/>
      <w:lvlJc w:val="left"/>
      <w:pPr>
        <w:ind w:left="4580" w:hanging="595"/>
      </w:pPr>
      <w:rPr>
        <w:rFonts w:hint="default"/>
      </w:rPr>
    </w:lvl>
    <w:lvl w:ilvl="6">
      <w:start w:val="1"/>
      <w:numFmt w:val="bullet"/>
      <w:lvlText w:val="•"/>
      <w:lvlJc w:val="left"/>
      <w:pPr>
        <w:ind w:left="5476" w:hanging="595"/>
      </w:pPr>
      <w:rPr>
        <w:rFonts w:hint="default"/>
      </w:rPr>
    </w:lvl>
    <w:lvl w:ilvl="7">
      <w:start w:val="1"/>
      <w:numFmt w:val="bullet"/>
      <w:lvlText w:val="•"/>
      <w:lvlJc w:val="left"/>
      <w:pPr>
        <w:ind w:left="6372" w:hanging="595"/>
      </w:pPr>
      <w:rPr>
        <w:rFonts w:hint="default"/>
      </w:rPr>
    </w:lvl>
    <w:lvl w:ilvl="8">
      <w:start w:val="1"/>
      <w:numFmt w:val="bullet"/>
      <w:lvlText w:val="•"/>
      <w:lvlJc w:val="left"/>
      <w:pPr>
        <w:ind w:left="7268" w:hanging="595"/>
      </w:pPr>
      <w:rPr>
        <w:rFonts w:hint="default"/>
      </w:rPr>
    </w:lvl>
  </w:abstractNum>
  <w:abstractNum w:abstractNumId="0">
    <w:multiLevelType w:val="hybridMultilevel"/>
    <w:lvl w:ilvl="0">
      <w:start w:val="1"/>
      <w:numFmt w:val="decimal"/>
      <w:lvlText w:val="%1"/>
      <w:lvlJc w:val="left"/>
      <w:pPr>
        <w:ind w:left="648" w:hanging="547"/>
        <w:jc w:val="left"/>
      </w:pPr>
      <w:rPr>
        <w:rFonts w:hint="default"/>
      </w:rPr>
    </w:lvl>
    <w:lvl w:ilvl="1">
      <w:start w:val="1"/>
      <w:numFmt w:val="decimal"/>
      <w:lvlText w:val="%1.%2."/>
      <w:lvlJc w:val="left"/>
      <w:pPr>
        <w:ind w:left="102" w:hanging="547"/>
        <w:jc w:val="left"/>
      </w:pPr>
      <w:rPr>
        <w:rFonts w:hint="default" w:ascii="Arial" w:hAnsi="Arial" w:eastAsia="Arial" w:cs="Arial"/>
        <w:b/>
        <w:bCs/>
        <w:w w:val="100"/>
        <w:sz w:val="28"/>
        <w:szCs w:val="28"/>
      </w:rPr>
    </w:lvl>
    <w:lvl w:ilvl="2">
      <w:start w:val="1"/>
      <w:numFmt w:val="lowerLetter"/>
      <w:lvlText w:val="%1.%2.%3."/>
      <w:lvlJc w:val="left"/>
      <w:pPr>
        <w:ind w:left="770" w:hanging="669"/>
        <w:jc w:val="left"/>
      </w:pPr>
      <w:rPr>
        <w:rFonts w:hint="default" w:ascii="Arial" w:hAnsi="Arial" w:eastAsia="Arial" w:cs="Arial"/>
        <w:b/>
        <w:bCs/>
        <w:spacing w:val="-2"/>
        <w:w w:val="99"/>
        <w:sz w:val="24"/>
        <w:szCs w:val="24"/>
      </w:rPr>
    </w:lvl>
    <w:lvl w:ilvl="3">
      <w:start w:val="1"/>
      <w:numFmt w:val="bullet"/>
      <w:lvlText w:val="•"/>
      <w:lvlJc w:val="left"/>
      <w:pPr>
        <w:ind w:left="1812" w:hanging="669"/>
      </w:pPr>
      <w:rPr>
        <w:rFonts w:hint="default"/>
      </w:rPr>
    </w:lvl>
    <w:lvl w:ilvl="4">
      <w:start w:val="1"/>
      <w:numFmt w:val="bullet"/>
      <w:lvlText w:val="•"/>
      <w:lvlJc w:val="left"/>
      <w:pPr>
        <w:ind w:left="2845" w:hanging="669"/>
      </w:pPr>
      <w:rPr>
        <w:rFonts w:hint="default"/>
      </w:rPr>
    </w:lvl>
    <w:lvl w:ilvl="5">
      <w:start w:val="1"/>
      <w:numFmt w:val="bullet"/>
      <w:lvlText w:val="•"/>
      <w:lvlJc w:val="left"/>
      <w:pPr>
        <w:ind w:left="3877" w:hanging="669"/>
      </w:pPr>
      <w:rPr>
        <w:rFonts w:hint="default"/>
      </w:rPr>
    </w:lvl>
    <w:lvl w:ilvl="6">
      <w:start w:val="1"/>
      <w:numFmt w:val="bullet"/>
      <w:lvlText w:val="•"/>
      <w:lvlJc w:val="left"/>
      <w:pPr>
        <w:ind w:left="4910" w:hanging="669"/>
      </w:pPr>
      <w:rPr>
        <w:rFonts w:hint="default"/>
      </w:rPr>
    </w:lvl>
    <w:lvl w:ilvl="7">
      <w:start w:val="1"/>
      <w:numFmt w:val="bullet"/>
      <w:lvlText w:val="•"/>
      <w:lvlJc w:val="left"/>
      <w:pPr>
        <w:ind w:left="5942" w:hanging="669"/>
      </w:pPr>
      <w:rPr>
        <w:rFonts w:hint="default"/>
      </w:rPr>
    </w:lvl>
    <w:lvl w:ilvl="8">
      <w:start w:val="1"/>
      <w:numFmt w:val="bullet"/>
      <w:lvlText w:val="•"/>
      <w:lvlJc w:val="left"/>
      <w:pPr>
        <w:ind w:left="6975" w:hanging="669"/>
      </w:pPr>
      <w:rPr>
        <w:rFonts w:hint="default"/>
      </w:rPr>
    </w:lvl>
  </w:abstractNum>
  <w:num w:numId="10">
    <w:abstractNumId w:val="9"/>
  </w:num>
  <w:num w:numId="9">
    <w:abstractNumId w:val="8"/>
  </w:num>
  <w:num w:numId="8">
    <w:abstractNumId w:val="7"/>
  </w:num>
  <w:num w:numId="7">
    <w:abstractNumId w:val="6"/>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Arial" w:hAnsi="Arial" w:eastAsia="Arial" w:cs="Arial"/>
    </w:rPr>
  </w:style>
  <w:style w:styleId="BodyText" w:type="paragraph">
    <w:name w:val="Body Text"/>
    <w:basedOn w:val="Normal"/>
    <w:uiPriority w:val="1"/>
    <w:qFormat/>
    <w:pPr/>
    <w:rPr>
      <w:rFonts w:ascii="Arial" w:hAnsi="Arial" w:eastAsia="Arial" w:cs="Arial"/>
      <w:sz w:val="24"/>
      <w:szCs w:val="24"/>
    </w:rPr>
  </w:style>
  <w:style w:styleId="Heading1" w:type="paragraph">
    <w:name w:val="Heading 1"/>
    <w:basedOn w:val="Normal"/>
    <w:uiPriority w:val="1"/>
    <w:qFormat/>
    <w:pPr>
      <w:spacing w:before="50"/>
      <w:ind w:left="161" w:right="158"/>
      <w:outlineLvl w:val="1"/>
    </w:pPr>
    <w:rPr>
      <w:rFonts w:ascii="Arial" w:hAnsi="Arial" w:eastAsia="Arial" w:cs="Arial"/>
      <w:b/>
      <w:bCs/>
      <w:sz w:val="40"/>
      <w:szCs w:val="40"/>
    </w:rPr>
  </w:style>
  <w:style w:styleId="Heading2" w:type="paragraph">
    <w:name w:val="Heading 2"/>
    <w:basedOn w:val="Normal"/>
    <w:uiPriority w:val="1"/>
    <w:qFormat/>
    <w:pPr>
      <w:spacing w:before="54"/>
      <w:ind w:left="161" w:right="162"/>
      <w:jc w:val="center"/>
      <w:outlineLvl w:val="2"/>
    </w:pPr>
    <w:rPr>
      <w:rFonts w:ascii="Arial" w:hAnsi="Arial" w:eastAsia="Arial" w:cs="Arial"/>
      <w:b/>
      <w:bCs/>
      <w:sz w:val="36"/>
      <w:szCs w:val="36"/>
    </w:rPr>
  </w:style>
  <w:style w:styleId="Heading3" w:type="paragraph">
    <w:name w:val="Heading 3"/>
    <w:basedOn w:val="Normal"/>
    <w:uiPriority w:val="1"/>
    <w:qFormat/>
    <w:pPr>
      <w:spacing w:before="29"/>
      <w:ind w:left="126" w:right="296"/>
      <w:outlineLvl w:val="3"/>
    </w:pPr>
    <w:rPr>
      <w:rFonts w:ascii="Arial" w:hAnsi="Arial" w:eastAsia="Arial" w:cs="Arial"/>
      <w:b/>
      <w:bCs/>
      <w:sz w:val="32"/>
      <w:szCs w:val="32"/>
    </w:rPr>
  </w:style>
  <w:style w:styleId="Heading4" w:type="paragraph">
    <w:name w:val="Heading 4"/>
    <w:basedOn w:val="Normal"/>
    <w:uiPriority w:val="1"/>
    <w:qFormat/>
    <w:pPr>
      <w:ind w:left="102"/>
      <w:jc w:val="both"/>
      <w:outlineLvl w:val="4"/>
    </w:pPr>
    <w:rPr>
      <w:rFonts w:ascii="Arial" w:hAnsi="Arial" w:eastAsia="Arial" w:cs="Arial"/>
      <w:b/>
      <w:bCs/>
      <w:sz w:val="28"/>
      <w:szCs w:val="28"/>
    </w:rPr>
  </w:style>
  <w:style w:styleId="Heading5" w:type="paragraph">
    <w:name w:val="Heading 5"/>
    <w:basedOn w:val="Normal"/>
    <w:uiPriority w:val="1"/>
    <w:qFormat/>
    <w:pPr>
      <w:ind w:left="102"/>
      <w:jc w:val="both"/>
      <w:outlineLvl w:val="5"/>
    </w:pPr>
    <w:rPr>
      <w:rFonts w:ascii="Arial" w:hAnsi="Arial" w:eastAsia="Arial" w:cs="Arial"/>
      <w:b/>
      <w:bCs/>
      <w:sz w:val="24"/>
      <w:szCs w:val="24"/>
    </w:rPr>
  </w:style>
  <w:style w:styleId="ListParagraph" w:type="paragraph">
    <w:name w:val="List Paragraph"/>
    <w:basedOn w:val="Normal"/>
    <w:uiPriority w:val="1"/>
    <w:qFormat/>
    <w:pPr>
      <w:ind w:left="102"/>
      <w:jc w:val="both"/>
    </w:pPr>
    <w:rPr>
      <w:rFonts w:ascii="Arial" w:hAnsi="Arial" w:eastAsia="Arial" w:cs="Arial"/>
    </w:rPr>
  </w:style>
  <w:style w:styleId="TableParagraph" w:type="paragraph">
    <w:name w:val="Table Paragraph"/>
    <w:basedOn w:val="Normal"/>
    <w:uiPriority w:val="1"/>
    <w:qFormat/>
    <w:pPr>
      <w:ind w:left="69"/>
    </w:pPr>
    <w:rPr>
      <w:rFonts w:ascii="Arial" w:hAnsi="Arial" w:eastAsia="Arial" w:cs="Arial"/>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png"/><Relationship Id="rId6" Type="http://schemas.openxmlformats.org/officeDocument/2006/relationships/image" Target="media/image2.png"/><Relationship Id="rId7" Type="http://schemas.openxmlformats.org/officeDocument/2006/relationships/image" Target="media/image3.png"/><Relationship Id="rId8" Type="http://schemas.openxmlformats.org/officeDocument/2006/relationships/footer" Target="footer1.xml"/><Relationship Id="rId9" Type="http://schemas.openxmlformats.org/officeDocument/2006/relationships/footer" Target="footer2.xml"/><Relationship Id="rId10" Type="http://schemas.openxmlformats.org/officeDocument/2006/relationships/footer" Target="footer3.xml"/><Relationship Id="rId11" Type="http://schemas.openxmlformats.org/officeDocument/2006/relationships/image" Target="media/image6.jpeg"/><Relationship Id="rId12" Type="http://schemas.openxmlformats.org/officeDocument/2006/relationships/image" Target="media/image7.jpeg"/><Relationship Id="rId13" Type="http://schemas.openxmlformats.org/officeDocument/2006/relationships/image" Target="media/image8.jpeg"/><Relationship Id="rId14" Type="http://schemas.openxmlformats.org/officeDocument/2006/relationships/footer" Target="footer4.xml"/><Relationship Id="rId15" Type="http://schemas.openxmlformats.org/officeDocument/2006/relationships/footer" Target="footer5.xml"/><Relationship Id="rId16" Type="http://schemas.openxmlformats.org/officeDocument/2006/relationships/image" Target="media/image9.jpeg"/><Relationship Id="rId17" Type="http://schemas.openxmlformats.org/officeDocument/2006/relationships/image" Target="media/image10.png"/><Relationship Id="rId18" Type="http://schemas.openxmlformats.org/officeDocument/2006/relationships/footer" Target="footer6.xml"/><Relationship Id="rId19" Type="http://schemas.openxmlformats.org/officeDocument/2006/relationships/footer" Target="footer7.xml"/><Relationship Id="rId20" Type="http://schemas.openxmlformats.org/officeDocument/2006/relationships/footer" Target="footer8.xml"/><Relationship Id="rId21" Type="http://schemas.openxmlformats.org/officeDocument/2006/relationships/footer" Target="footer9.xml"/><Relationship Id="rId22" Type="http://schemas.openxmlformats.org/officeDocument/2006/relationships/footer" Target="footer10.xml"/><Relationship Id="rId23" Type="http://schemas.openxmlformats.org/officeDocument/2006/relationships/footer" Target="footer11.xml"/><Relationship Id="rId24" Type="http://schemas.openxmlformats.org/officeDocument/2006/relationships/image" Target="media/image11.jpeg"/><Relationship Id="rId25" Type="http://schemas.openxmlformats.org/officeDocument/2006/relationships/footer" Target="footer12.xml"/><Relationship Id="rId26" Type="http://schemas.openxmlformats.org/officeDocument/2006/relationships/footer" Target="footer13.xml"/><Relationship Id="rId27" Type="http://schemas.openxmlformats.org/officeDocument/2006/relationships/footer" Target="footer14.xml"/><Relationship Id="rId28" Type="http://schemas.openxmlformats.org/officeDocument/2006/relationships/footer" Target="footer15.xml"/><Relationship Id="rId29" Type="http://schemas.openxmlformats.org/officeDocument/2006/relationships/image" Target="media/image12.jpeg"/><Relationship Id="rId30" Type="http://schemas.openxmlformats.org/officeDocument/2006/relationships/image" Target="media/image13.jpeg"/><Relationship Id="rId31" Type="http://schemas.openxmlformats.org/officeDocument/2006/relationships/footer" Target="footer16.xml"/><Relationship Id="rId32" Type="http://schemas.openxmlformats.org/officeDocument/2006/relationships/footer" Target="footer17.xml"/><Relationship Id="rId33" Type="http://schemas.openxmlformats.org/officeDocument/2006/relationships/image" Target="media/image14.png"/><Relationship Id="rId34" Type="http://schemas.openxmlformats.org/officeDocument/2006/relationships/image" Target="media/image15.jpeg"/><Relationship Id="rId35" Type="http://schemas.openxmlformats.org/officeDocument/2006/relationships/image" Target="media/image16.jpeg"/><Relationship Id="rId36" Type="http://schemas.openxmlformats.org/officeDocument/2006/relationships/image" Target="media/image17.jpeg"/><Relationship Id="rId37" Type="http://schemas.openxmlformats.org/officeDocument/2006/relationships/image" Target="media/image18.jpeg"/><Relationship Id="rId38" Type="http://schemas.openxmlformats.org/officeDocument/2006/relationships/footer" Target="footer18.xml"/><Relationship Id="rId39" Type="http://schemas.openxmlformats.org/officeDocument/2006/relationships/footer" Target="footer19.xml"/><Relationship Id="rId40" Type="http://schemas.openxmlformats.org/officeDocument/2006/relationships/image" Target="media/image19.png"/><Relationship Id="rId41" Type="http://schemas.openxmlformats.org/officeDocument/2006/relationships/image" Target="media/image20.png"/><Relationship Id="rId42" Type="http://schemas.openxmlformats.org/officeDocument/2006/relationships/image" Target="media/image21.png"/><Relationship Id="rId43" Type="http://schemas.openxmlformats.org/officeDocument/2006/relationships/image" Target="media/image22.jpeg"/><Relationship Id="rId44" Type="http://schemas.openxmlformats.org/officeDocument/2006/relationships/image" Target="media/image23.jpeg"/><Relationship Id="rId45" Type="http://schemas.openxmlformats.org/officeDocument/2006/relationships/image" Target="media/image24.png"/><Relationship Id="rId46" Type="http://schemas.openxmlformats.org/officeDocument/2006/relationships/image" Target="media/image25.png"/><Relationship Id="rId47" Type="http://schemas.openxmlformats.org/officeDocument/2006/relationships/image" Target="media/image26.png"/><Relationship Id="rId48" Type="http://schemas.openxmlformats.org/officeDocument/2006/relationships/image" Target="media/image27.png"/><Relationship Id="rId49" Type="http://schemas.openxmlformats.org/officeDocument/2006/relationships/image" Target="media/image28.jpeg"/><Relationship Id="rId50" Type="http://schemas.openxmlformats.org/officeDocument/2006/relationships/image" Target="media/image29.jpeg"/><Relationship Id="rId51" Type="http://schemas.openxmlformats.org/officeDocument/2006/relationships/footer" Target="footer20.xml"/><Relationship Id="rId52" Type="http://schemas.openxmlformats.org/officeDocument/2006/relationships/footer" Target="footer21.xml"/><Relationship Id="rId53" Type="http://schemas.openxmlformats.org/officeDocument/2006/relationships/image" Target="media/image30.png"/><Relationship Id="rId54" Type="http://schemas.openxmlformats.org/officeDocument/2006/relationships/image" Target="media/image31.png"/><Relationship Id="rId55" Type="http://schemas.openxmlformats.org/officeDocument/2006/relationships/footer" Target="footer22.xml"/><Relationship Id="rId56" Type="http://schemas.openxmlformats.org/officeDocument/2006/relationships/image" Target="media/image32.jpeg"/><Relationship Id="rId57" Type="http://schemas.openxmlformats.org/officeDocument/2006/relationships/image" Target="media/image33.jpeg"/><Relationship Id="rId58" Type="http://schemas.openxmlformats.org/officeDocument/2006/relationships/image" Target="media/image34.jpeg"/><Relationship Id="rId59" Type="http://schemas.openxmlformats.org/officeDocument/2006/relationships/image" Target="media/image35.jpeg"/><Relationship Id="rId60" Type="http://schemas.openxmlformats.org/officeDocument/2006/relationships/footer" Target="footer23.xml"/><Relationship Id="rId61" Type="http://schemas.openxmlformats.org/officeDocument/2006/relationships/image" Target="media/image36.jpeg"/><Relationship Id="rId62" Type="http://schemas.openxmlformats.org/officeDocument/2006/relationships/image" Target="media/image37.jpeg"/><Relationship Id="rId63" Type="http://schemas.openxmlformats.org/officeDocument/2006/relationships/image" Target="media/image38.jpeg"/><Relationship Id="rId64" Type="http://schemas.openxmlformats.org/officeDocument/2006/relationships/image" Target="media/image39.jpeg"/><Relationship Id="rId65" Type="http://schemas.openxmlformats.org/officeDocument/2006/relationships/footer" Target="footer24.xml"/><Relationship Id="rId66" Type="http://schemas.openxmlformats.org/officeDocument/2006/relationships/footer" Target="footer25.xml"/><Relationship Id="rId67" Type="http://schemas.openxmlformats.org/officeDocument/2006/relationships/hyperlink" Target="http://www.institutodelaciudad.com.ec/index.php/documentacion/publicaciones/publicacion" TargetMode="External"/><Relationship Id="rId68" Type="http://schemas.openxmlformats.org/officeDocument/2006/relationships/hyperlink" Target="http://www.inegi.org.mx/" TargetMode="External"/><Relationship Id="rId69" Type="http://schemas.openxmlformats.org/officeDocument/2006/relationships/hyperlink" Target="http://www.inegi.org.mx/lib/olap/consulta/general_ver4/MDXQueryDatos.asp?proy=vmrc_v" TargetMode="External"/><Relationship Id="rId70" Type="http://schemas.openxmlformats.org/officeDocument/2006/relationships/hyperlink" Target="http://www.inwgi.org.mx/" TargetMode="External"/><Relationship Id="rId71" Type="http://schemas.openxmlformats.org/officeDocument/2006/relationships/hyperlink" Target="http://www3.inegi.org.mx/sistemas/iter/entidad_indicador.aspx?ev=1" TargetMode="External"/><Relationship Id="rId72" Type="http://schemas.openxmlformats.org/officeDocument/2006/relationships/hyperlink" Target="http://www.scielo.cl/scielo.php?script=sci_arttext&amp;amp;pid=S0250-" TargetMode="External"/><Relationship Id="rId73" Type="http://schemas.openxmlformats.org/officeDocument/2006/relationships/hyperlink" Target="http://www.eumed.net/ce/" TargetMode="External"/><Relationship Id="rId74" Type="http://schemas.openxmlformats.org/officeDocument/2006/relationships/hyperlink" Target="http://vimeo.com/38858182" TargetMode="External"/><Relationship Id="rId75" Type="http://schemas.openxmlformats.org/officeDocument/2006/relationships/hyperlink" Target="http://www.conapo.gob.mx/" TargetMode="External"/><Relationship Id="rId76" Type="http://schemas.openxmlformats.org/officeDocument/2006/relationships/hyperlink" Target="http://www.conapo.gob.mx/es/CONAPO/Delimitacion_de_Zonas_Metropolitanas" TargetMode="External"/><Relationship Id="rId77" Type="http://schemas.openxmlformats.org/officeDocument/2006/relationships/footer" Target="footer26.xml"/><Relationship Id="rId78" Type="http://schemas.openxmlformats.org/officeDocument/2006/relationships/footer" Target="footer27.xml"/><Relationship Id="rId79" Type="http://schemas.openxmlformats.org/officeDocument/2006/relationships/numbering" Target="numbering.xml"/></Relationships>

</file>

<file path=word/_rels/footer1.xml.rels><?xml version="1.0" encoding="UTF-8" standalone="yes"?>
<Relationships xmlns="http://schemas.openxmlformats.org/package/2006/relationships"><Relationship Id="rId1" Type="http://schemas.openxmlformats.org/officeDocument/2006/relationships/image" Target="media/image4.png"/><Relationship Id="rId2" Type="http://schemas.openxmlformats.org/officeDocument/2006/relationships/image" Target="media/image5.png"/></Relationships>

</file>

<file path=word/_rels/footer10.xml.rels><?xml version="1.0" encoding="UTF-8" standalone="yes"?>
<Relationships xmlns="http://schemas.openxmlformats.org/package/2006/relationships"><Relationship Id="rId1" Type="http://schemas.openxmlformats.org/officeDocument/2006/relationships/image" Target="media/image4.png"/><Relationship Id="rId2" Type="http://schemas.openxmlformats.org/officeDocument/2006/relationships/image" Target="media/image5.png"/></Relationships>

</file>

<file path=word/_rels/footer11.xml.rels><?xml version="1.0" encoding="UTF-8" standalone="yes"?>
<Relationships xmlns="http://schemas.openxmlformats.org/package/2006/relationships"><Relationship Id="rId1" Type="http://schemas.openxmlformats.org/officeDocument/2006/relationships/image" Target="media/image4.png"/><Relationship Id="rId2" Type="http://schemas.openxmlformats.org/officeDocument/2006/relationships/image" Target="media/image5.png"/></Relationships>

</file>

<file path=word/_rels/footer12.xml.rels><?xml version="1.0" encoding="UTF-8" standalone="yes"?>
<Relationships xmlns="http://schemas.openxmlformats.org/package/2006/relationships"><Relationship Id="rId1" Type="http://schemas.openxmlformats.org/officeDocument/2006/relationships/image" Target="media/image4.png"/><Relationship Id="rId2" Type="http://schemas.openxmlformats.org/officeDocument/2006/relationships/image" Target="media/image5.png"/></Relationships>

</file>

<file path=word/_rels/footer13.xml.rels><?xml version="1.0" encoding="UTF-8" standalone="yes"?>
<Relationships xmlns="http://schemas.openxmlformats.org/package/2006/relationships"><Relationship Id="rId1" Type="http://schemas.openxmlformats.org/officeDocument/2006/relationships/image" Target="media/image4.png"/><Relationship Id="rId2" Type="http://schemas.openxmlformats.org/officeDocument/2006/relationships/image" Target="media/image5.png"/></Relationships>

</file>

<file path=word/_rels/footer14.xml.rels><?xml version="1.0" encoding="UTF-8" standalone="yes"?>
<Relationships xmlns="http://schemas.openxmlformats.org/package/2006/relationships"><Relationship Id="rId1" Type="http://schemas.openxmlformats.org/officeDocument/2006/relationships/image" Target="media/image4.png"/><Relationship Id="rId2" Type="http://schemas.openxmlformats.org/officeDocument/2006/relationships/image" Target="media/image5.png"/></Relationships>

</file>

<file path=word/_rels/footer15.xml.rels><?xml version="1.0" encoding="UTF-8" standalone="yes"?>
<Relationships xmlns="http://schemas.openxmlformats.org/package/2006/relationships"><Relationship Id="rId1" Type="http://schemas.openxmlformats.org/officeDocument/2006/relationships/image" Target="media/image4.png"/><Relationship Id="rId2" Type="http://schemas.openxmlformats.org/officeDocument/2006/relationships/image" Target="media/image5.png"/></Relationships>

</file>

<file path=word/_rels/footer16.xml.rels><?xml version="1.0" encoding="UTF-8" standalone="yes"?>
<Relationships xmlns="http://schemas.openxmlformats.org/package/2006/relationships"><Relationship Id="rId1" Type="http://schemas.openxmlformats.org/officeDocument/2006/relationships/image" Target="media/image4.png"/><Relationship Id="rId2" Type="http://schemas.openxmlformats.org/officeDocument/2006/relationships/image" Target="media/image5.png"/></Relationships>

</file>

<file path=word/_rels/footer17.xml.rels><?xml version="1.0" encoding="UTF-8" standalone="yes"?>
<Relationships xmlns="http://schemas.openxmlformats.org/package/2006/relationships"><Relationship Id="rId1" Type="http://schemas.openxmlformats.org/officeDocument/2006/relationships/image" Target="media/image4.png"/><Relationship Id="rId2" Type="http://schemas.openxmlformats.org/officeDocument/2006/relationships/image" Target="media/image5.png"/></Relationships>

</file>

<file path=word/_rels/footer18.xml.rels><?xml version="1.0" encoding="UTF-8" standalone="yes"?>
<Relationships xmlns="http://schemas.openxmlformats.org/package/2006/relationships"><Relationship Id="rId1" Type="http://schemas.openxmlformats.org/officeDocument/2006/relationships/image" Target="media/image4.png"/><Relationship Id="rId2" Type="http://schemas.openxmlformats.org/officeDocument/2006/relationships/image" Target="media/image5.png"/></Relationships>

</file>

<file path=word/_rels/footer19.xml.rels><?xml version="1.0" encoding="UTF-8" standalone="yes"?>
<Relationships xmlns="http://schemas.openxmlformats.org/package/2006/relationships"><Relationship Id="rId1" Type="http://schemas.openxmlformats.org/officeDocument/2006/relationships/image" Target="media/image4.png"/><Relationship Id="rId2" Type="http://schemas.openxmlformats.org/officeDocument/2006/relationships/image" Target="media/image5.png"/></Relationships>

</file>

<file path=word/_rels/footer2.xml.rels><?xml version="1.0" encoding="UTF-8" standalone="yes"?>
<Relationships xmlns="http://schemas.openxmlformats.org/package/2006/relationships"><Relationship Id="rId1" Type="http://schemas.openxmlformats.org/officeDocument/2006/relationships/image" Target="media/image4.png"/><Relationship Id="rId2" Type="http://schemas.openxmlformats.org/officeDocument/2006/relationships/image" Target="media/image5.png"/></Relationships>

</file>

<file path=word/_rels/footer20.xml.rels><?xml version="1.0" encoding="UTF-8" standalone="yes"?>
<Relationships xmlns="http://schemas.openxmlformats.org/package/2006/relationships"><Relationship Id="rId1" Type="http://schemas.openxmlformats.org/officeDocument/2006/relationships/image" Target="media/image4.png"/><Relationship Id="rId2" Type="http://schemas.openxmlformats.org/officeDocument/2006/relationships/image" Target="media/image5.png"/></Relationships>

</file>

<file path=word/_rels/footer21.xml.rels><?xml version="1.0" encoding="UTF-8" standalone="yes"?>
<Relationships xmlns="http://schemas.openxmlformats.org/package/2006/relationships"><Relationship Id="rId1" Type="http://schemas.openxmlformats.org/officeDocument/2006/relationships/image" Target="media/image4.png"/><Relationship Id="rId2" Type="http://schemas.openxmlformats.org/officeDocument/2006/relationships/image" Target="media/image5.png"/></Relationships>

</file>

<file path=word/_rels/footer22.xml.rels><?xml version="1.0" encoding="UTF-8" standalone="yes"?>
<Relationships xmlns="http://schemas.openxmlformats.org/package/2006/relationships"><Relationship Id="rId1" Type="http://schemas.openxmlformats.org/officeDocument/2006/relationships/image" Target="media/image4.png"/><Relationship Id="rId2" Type="http://schemas.openxmlformats.org/officeDocument/2006/relationships/image" Target="media/image5.png"/></Relationships>

</file>

<file path=word/_rels/footer23.xml.rels><?xml version="1.0" encoding="UTF-8" standalone="yes"?>
<Relationships xmlns="http://schemas.openxmlformats.org/package/2006/relationships"><Relationship Id="rId1" Type="http://schemas.openxmlformats.org/officeDocument/2006/relationships/image" Target="media/image4.png"/><Relationship Id="rId2" Type="http://schemas.openxmlformats.org/officeDocument/2006/relationships/image" Target="media/image5.png"/></Relationships>

</file>

<file path=word/_rels/footer24.xml.rels><?xml version="1.0" encoding="UTF-8" standalone="yes"?>
<Relationships xmlns="http://schemas.openxmlformats.org/package/2006/relationships"><Relationship Id="rId1" Type="http://schemas.openxmlformats.org/officeDocument/2006/relationships/image" Target="media/image4.png"/><Relationship Id="rId2" Type="http://schemas.openxmlformats.org/officeDocument/2006/relationships/image" Target="media/image5.png"/></Relationships>

</file>

<file path=word/_rels/footer25.xml.rels><?xml version="1.0" encoding="UTF-8" standalone="yes"?>
<Relationships xmlns="http://schemas.openxmlformats.org/package/2006/relationships"><Relationship Id="rId1" Type="http://schemas.openxmlformats.org/officeDocument/2006/relationships/image" Target="media/image4.png"/><Relationship Id="rId2" Type="http://schemas.openxmlformats.org/officeDocument/2006/relationships/image" Target="media/image5.png"/></Relationships>

</file>

<file path=word/_rels/footer26.xml.rels><?xml version="1.0" encoding="UTF-8" standalone="yes"?>
<Relationships xmlns="http://schemas.openxmlformats.org/package/2006/relationships"><Relationship Id="rId1" Type="http://schemas.openxmlformats.org/officeDocument/2006/relationships/image" Target="media/image4.png"/><Relationship Id="rId2" Type="http://schemas.openxmlformats.org/officeDocument/2006/relationships/image" Target="media/image5.png"/></Relationships>

</file>

<file path=word/_rels/footer27.xml.rels><?xml version="1.0" encoding="UTF-8" standalone="yes"?>
<Relationships xmlns="http://schemas.openxmlformats.org/package/2006/relationships"><Relationship Id="rId1" Type="http://schemas.openxmlformats.org/officeDocument/2006/relationships/image" Target="media/image4.png"/><Relationship Id="rId2" Type="http://schemas.openxmlformats.org/officeDocument/2006/relationships/image" Target="media/image5.png"/></Relationships>

</file>

<file path=word/_rels/footer3.xml.rels><?xml version="1.0" encoding="UTF-8" standalone="yes"?>
<Relationships xmlns="http://schemas.openxmlformats.org/package/2006/relationships"><Relationship Id="rId1" Type="http://schemas.openxmlformats.org/officeDocument/2006/relationships/image" Target="media/image4.png"/><Relationship Id="rId2" Type="http://schemas.openxmlformats.org/officeDocument/2006/relationships/image" Target="media/image5.png"/></Relationships>

</file>

<file path=word/_rels/footer4.xml.rels><?xml version="1.0" encoding="UTF-8" standalone="yes"?>
<Relationships xmlns="http://schemas.openxmlformats.org/package/2006/relationships"><Relationship Id="rId1" Type="http://schemas.openxmlformats.org/officeDocument/2006/relationships/image" Target="media/image4.png"/><Relationship Id="rId2" Type="http://schemas.openxmlformats.org/officeDocument/2006/relationships/image" Target="media/image5.png"/></Relationships>

</file>

<file path=word/_rels/footer5.xml.rels><?xml version="1.0" encoding="UTF-8" standalone="yes"?>
<Relationships xmlns="http://schemas.openxmlformats.org/package/2006/relationships"><Relationship Id="rId1" Type="http://schemas.openxmlformats.org/officeDocument/2006/relationships/image" Target="media/image4.png"/><Relationship Id="rId2" Type="http://schemas.openxmlformats.org/officeDocument/2006/relationships/image" Target="media/image5.png"/></Relationships>

</file>

<file path=word/_rels/footer6.xml.rels><?xml version="1.0" encoding="UTF-8" standalone="yes"?>
<Relationships xmlns="http://schemas.openxmlformats.org/package/2006/relationships"><Relationship Id="rId1" Type="http://schemas.openxmlformats.org/officeDocument/2006/relationships/image" Target="media/image4.png"/><Relationship Id="rId2" Type="http://schemas.openxmlformats.org/officeDocument/2006/relationships/image" Target="media/image5.png"/></Relationships>

</file>

<file path=word/_rels/footer7.xml.rels><?xml version="1.0" encoding="UTF-8" standalone="yes"?>
<Relationships xmlns="http://schemas.openxmlformats.org/package/2006/relationships"><Relationship Id="rId1" Type="http://schemas.openxmlformats.org/officeDocument/2006/relationships/image" Target="media/image4.png"/><Relationship Id="rId2" Type="http://schemas.openxmlformats.org/officeDocument/2006/relationships/image" Target="media/image5.png"/></Relationships>

</file>

<file path=word/_rels/footer8.xml.rels><?xml version="1.0" encoding="UTF-8" standalone="yes"?>
<Relationships xmlns="http://schemas.openxmlformats.org/package/2006/relationships"><Relationship Id="rId1" Type="http://schemas.openxmlformats.org/officeDocument/2006/relationships/image" Target="media/image4.png"/><Relationship Id="rId2" Type="http://schemas.openxmlformats.org/officeDocument/2006/relationships/image" Target="media/image5.png"/></Relationships>

</file>

<file path=word/_rels/footer9.xml.rels><?xml version="1.0" encoding="UTF-8" standalone="yes"?>
<Relationships xmlns="http://schemas.openxmlformats.org/package/2006/relationships"><Relationship Id="rId1" Type="http://schemas.openxmlformats.org/officeDocument/2006/relationships/image" Target="media/image4.png"/><Relationship Id="rId2" Type="http://schemas.openxmlformats.org/officeDocument/2006/relationships/image" Target="media/image5.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Darinka</dc:creator>
  <dcterms:created xsi:type="dcterms:W3CDTF">2017-05-26T02:35:47Z</dcterms:created>
  <dcterms:modified xsi:type="dcterms:W3CDTF">2017-05-26T02:35:47Z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2015-03-19T00:00:00Z</vt:filetime>
  </property>
  <property fmtid="{D5CDD505-2E9C-101B-9397-08002B2CF9AE}" pid="3" name="Creator">
    <vt:lpwstr>Microsoft® Word 2010</vt:lpwstr>
  </property>
  <property fmtid="{D5CDD505-2E9C-101B-9397-08002B2CF9AE}" pid="4" name="LastSaved">
    <vt:filetime>2017-05-26T00:00:00Z</vt:filetime>
  </property>
</Properties>
</file>