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Default Extension="png" ContentType="image/png"/>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18"/>
        <w:ind w:left="1531" w:right="390" w:firstLine="0"/>
        <w:jc w:val="center"/>
        <w:rPr>
          <w:rFonts w:ascii="Calibri" w:hAnsi="Calibri"/>
          <w:b/>
          <w:sz w:val="28"/>
        </w:rPr>
      </w:pPr>
      <w:r>
        <w:rPr/>
        <w:drawing>
          <wp:anchor distT="0" distB="0" distL="0" distR="0" allowOverlap="1" layoutInCell="1" locked="0" behindDoc="0" simplePos="0" relativeHeight="1120">
            <wp:simplePos x="0" y="0"/>
            <wp:positionH relativeFrom="page">
              <wp:posOffset>467868</wp:posOffset>
            </wp:positionH>
            <wp:positionV relativeFrom="paragraph">
              <wp:posOffset>175895</wp:posOffset>
            </wp:positionV>
            <wp:extent cx="888491" cy="893063"/>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888491" cy="893063"/>
                    </a:xfrm>
                    <a:prstGeom prst="rect">
                      <a:avLst/>
                    </a:prstGeom>
                  </pic:spPr>
                </pic:pic>
              </a:graphicData>
            </a:graphic>
          </wp:anchor>
        </w:drawing>
      </w:r>
      <w:r>
        <w:rPr>
          <w:rFonts w:ascii="Calibri" w:hAnsi="Calibri"/>
          <w:b/>
          <w:sz w:val="28"/>
        </w:rPr>
        <w:t>UNIVERSIDAD AUTÓNOMA DEL ESTADO DE MÉXICO</w:t>
      </w:r>
    </w:p>
    <w:p>
      <w:pPr>
        <w:pStyle w:val="BodyText"/>
        <w:spacing w:before="6"/>
        <w:rPr>
          <w:rFonts w:ascii="Calibri"/>
          <w:b/>
          <w:sz w:val="26"/>
        </w:rPr>
      </w:pPr>
      <w:r>
        <w:rPr/>
        <w:pict>
          <v:line style="position:absolute;mso-position-horizontal-relative:page;mso-position-vertical-relative:paragraph;z-index:0;mso-wrap-distance-left:0;mso-wrap-distance-right:0" from="159.300003pt,18.960224pt" to="489.850003pt,18.960224pt" stroked="true" strokeweight="1.56pt" strokecolor="#000000">
            <w10:wrap type="topAndBottom"/>
          </v:line>
        </w:pict>
      </w:r>
      <w:r>
        <w:rPr/>
        <w:pict>
          <v:line style="position:absolute;mso-position-horizontal-relative:page;mso-position-vertical-relative:paragraph;z-index:1048;mso-wrap-distance-left:0;mso-wrap-distance-right:0" from="132.059998pt,30.000225pt" to="523.709998pt,30.050225pt" stroked="true" strokeweight="3pt" strokecolor="#000000">
            <w10:wrap type="topAndBottom"/>
          </v:line>
        </w:pict>
      </w:r>
    </w:p>
    <w:p>
      <w:pPr>
        <w:pStyle w:val="BodyText"/>
        <w:spacing w:before="9"/>
        <w:rPr>
          <w:rFonts w:ascii="Calibri"/>
          <w:b/>
          <w:sz w:val="8"/>
        </w:rPr>
      </w:pPr>
    </w:p>
    <w:p>
      <w:pPr>
        <w:pStyle w:val="BodyText"/>
        <w:spacing w:before="4"/>
        <w:rPr>
          <w:rFonts w:ascii="Calibri"/>
          <w:b/>
          <w:sz w:val="4"/>
        </w:rPr>
      </w:pPr>
    </w:p>
    <w:p>
      <w:pPr>
        <w:pStyle w:val="BodyText"/>
        <w:spacing w:line="33" w:lineRule="exact"/>
        <w:ind w:left="2145"/>
        <w:rPr>
          <w:rFonts w:ascii="Calibri"/>
          <w:sz w:val="3"/>
        </w:rPr>
      </w:pPr>
      <w:r>
        <w:rPr>
          <w:rFonts w:ascii="Calibri"/>
          <w:position w:val="0"/>
          <w:sz w:val="3"/>
        </w:rPr>
        <w:pict>
          <v:group style="width:393.25pt;height:1.65pt;mso-position-horizontal-relative:char;mso-position-vertical-relative:line" coordorigin="0,0" coordsize="7865,33">
            <v:line style="position:absolute" from="16,16" to="7849,17" stroked="true" strokeweight="1.56pt" strokecolor="#000000"/>
          </v:group>
        </w:pict>
      </w:r>
      <w:r>
        <w:rPr>
          <w:rFonts w:ascii="Calibri"/>
          <w:position w:val="0"/>
          <w:sz w:val="3"/>
        </w:rPr>
      </w:r>
    </w:p>
    <w:p>
      <w:pPr>
        <w:pStyle w:val="BodyText"/>
        <w:spacing w:before="7"/>
        <w:rPr>
          <w:rFonts w:ascii="Calibri"/>
          <w:b/>
          <w:sz w:val="15"/>
        </w:rPr>
      </w:pPr>
      <w:r>
        <w:rPr/>
        <w:pict>
          <v:line style="position:absolute;mso-position-horizontal-relative:page;mso-position-vertical-relative:paragraph;z-index:1096;mso-wrap-distance-left:0;mso-wrap-distance-right:0" from="159.300003pt,12.268594pt" to="489.850003pt,12.268594pt" stroked="true" strokeweight="1.56pt" strokecolor="#000000">
            <w10:wrap type="topAndBottom"/>
          </v:line>
        </w:pict>
      </w:r>
    </w:p>
    <w:p>
      <w:pPr>
        <w:pStyle w:val="BodyText"/>
        <w:spacing w:before="12"/>
        <w:rPr>
          <w:rFonts w:ascii="Calibri"/>
          <w:b/>
          <w:sz w:val="32"/>
        </w:rPr>
      </w:pPr>
    </w:p>
    <w:p>
      <w:pPr>
        <w:spacing w:before="0"/>
        <w:ind w:left="1531" w:right="390" w:firstLine="0"/>
        <w:jc w:val="center"/>
        <w:rPr>
          <w:rFonts w:ascii="Calibri" w:hAnsi="Calibri"/>
          <w:b/>
          <w:sz w:val="28"/>
        </w:rPr>
      </w:pPr>
      <w:r>
        <w:rPr>
          <w:rFonts w:ascii="Calibri" w:hAnsi="Calibri"/>
          <w:b/>
          <w:sz w:val="28"/>
        </w:rPr>
        <w:t>FACULTAD DE CIENCIAS POLÍTICAS Y SOCIALES</w:t>
      </w:r>
    </w:p>
    <w:p>
      <w:pPr>
        <w:pStyle w:val="BodyText"/>
        <w:spacing w:before="248"/>
        <w:ind w:left="1531" w:right="388"/>
        <w:jc w:val="center"/>
        <w:rPr>
          <w:rFonts w:ascii="Calibri" w:hAnsi="Calibri"/>
        </w:rPr>
      </w:pPr>
      <w:r>
        <w:rPr/>
        <w:pict>
          <v:line style="position:absolute;mso-position-horizontal-relative:page;mso-position-vertical-relative:paragraph;z-index:1168" from="82.019997pt,10.890071pt" to="82.019997pt,394.240071pt" stroked="true" strokeweight="1.56pt" strokecolor="#000000">
            <w10:wrap type="none"/>
          </v:line>
        </w:pict>
      </w:r>
      <w:r>
        <w:rPr/>
        <w:pict>
          <v:line style="position:absolute;mso-position-horizontal-relative:page;mso-position-vertical-relative:paragraph;z-index:1192" from="56.34pt,58.770069pt" to="56.34pt,389.320069pt" stroked="true" strokeweight="1.56pt" strokecolor="#000000">
            <w10:wrap type="none"/>
          </v:line>
        </w:pict>
      </w:r>
      <w:r>
        <w:rPr>
          <w:rFonts w:ascii="Calibri" w:hAnsi="Calibri"/>
          <w:sz w:val="28"/>
        </w:rPr>
        <w:t>E</w:t>
      </w:r>
      <w:r>
        <w:rPr>
          <w:rFonts w:ascii="Calibri" w:hAnsi="Calibri"/>
        </w:rPr>
        <w:t>SPECIALIDAD EN </w:t>
      </w:r>
      <w:r>
        <w:rPr>
          <w:rFonts w:ascii="Calibri" w:hAnsi="Calibri"/>
          <w:sz w:val="28"/>
        </w:rPr>
        <w:t>G</w:t>
      </w:r>
      <w:r>
        <w:rPr>
          <w:rFonts w:ascii="Calibri" w:hAnsi="Calibri"/>
        </w:rPr>
        <w:t>ÉNERO</w:t>
      </w:r>
      <w:r>
        <w:rPr>
          <w:rFonts w:ascii="Calibri" w:hAnsi="Calibri"/>
          <w:sz w:val="28"/>
        </w:rPr>
        <w:t>, V</w:t>
      </w:r>
      <w:r>
        <w:rPr>
          <w:rFonts w:ascii="Calibri" w:hAnsi="Calibri"/>
        </w:rPr>
        <w:t>IOLENCIA Y </w:t>
      </w:r>
      <w:r>
        <w:rPr>
          <w:rFonts w:ascii="Calibri" w:hAnsi="Calibri"/>
          <w:sz w:val="28"/>
        </w:rPr>
        <w:t>P</w:t>
      </w:r>
      <w:r>
        <w:rPr>
          <w:rFonts w:ascii="Calibri" w:hAnsi="Calibri"/>
        </w:rPr>
        <w:t>OLÍTICAS </w:t>
      </w:r>
      <w:r>
        <w:rPr>
          <w:rFonts w:ascii="Calibri" w:hAnsi="Calibri"/>
          <w:sz w:val="28"/>
        </w:rPr>
        <w:t>P</w:t>
      </w:r>
      <w:r>
        <w:rPr>
          <w:rFonts w:ascii="Calibri" w:hAnsi="Calibri"/>
        </w:rPr>
        <w:t>ÚBLICAS</w:t>
      </w:r>
    </w:p>
    <w:p>
      <w:pPr>
        <w:pStyle w:val="BodyText"/>
        <w:rPr>
          <w:rFonts w:ascii="Calibri"/>
          <w:sz w:val="28"/>
        </w:rPr>
      </w:pPr>
    </w:p>
    <w:p>
      <w:pPr>
        <w:pStyle w:val="BodyText"/>
        <w:rPr>
          <w:rFonts w:ascii="Calibri"/>
          <w:sz w:val="28"/>
        </w:rPr>
      </w:pPr>
    </w:p>
    <w:p>
      <w:pPr>
        <w:pStyle w:val="BodyText"/>
        <w:spacing w:before="1"/>
        <w:rPr>
          <w:rFonts w:ascii="Calibri"/>
          <w:sz w:val="41"/>
        </w:rPr>
      </w:pPr>
    </w:p>
    <w:p>
      <w:pPr>
        <w:spacing w:before="0"/>
        <w:ind w:left="1531" w:right="389" w:firstLine="0"/>
        <w:jc w:val="center"/>
        <w:rPr>
          <w:rFonts w:ascii="Calibri"/>
          <w:b/>
          <w:sz w:val="29"/>
        </w:rPr>
      </w:pPr>
      <w:r>
        <w:rPr>
          <w:rFonts w:ascii="Calibri"/>
          <w:b/>
          <w:sz w:val="36"/>
        </w:rPr>
        <w:t>P</w:t>
      </w:r>
      <w:r>
        <w:rPr>
          <w:rFonts w:ascii="Calibri"/>
          <w:b/>
          <w:sz w:val="29"/>
        </w:rPr>
        <w:t>ROYECTO TERMINAL</w:t>
      </w:r>
    </w:p>
    <w:p>
      <w:pPr>
        <w:pStyle w:val="BodyText"/>
        <w:rPr>
          <w:rFonts w:ascii="Calibri"/>
          <w:b/>
          <w:sz w:val="20"/>
        </w:rPr>
      </w:pPr>
    </w:p>
    <w:p>
      <w:pPr>
        <w:pStyle w:val="BodyText"/>
        <w:rPr>
          <w:rFonts w:ascii="Calibri"/>
          <w:b/>
          <w:sz w:val="24"/>
        </w:rPr>
      </w:pPr>
    </w:p>
    <w:p>
      <w:pPr>
        <w:spacing w:before="47"/>
        <w:ind w:left="1531" w:right="396" w:firstLine="0"/>
        <w:jc w:val="center"/>
        <w:rPr>
          <w:rFonts w:ascii="Calibri" w:hAnsi="Calibri"/>
          <w:b/>
          <w:sz w:val="26"/>
        </w:rPr>
      </w:pPr>
      <w:r>
        <w:rPr>
          <w:rFonts w:ascii="Calibri" w:hAnsi="Calibri"/>
          <w:b/>
          <w:sz w:val="26"/>
        </w:rPr>
        <w:t>“Guía para la incorporación de la perspectiva de género en la defensa de las mujeres indiciadas”</w:t>
      </w:r>
    </w:p>
    <w:p>
      <w:pPr>
        <w:pStyle w:val="BodyText"/>
        <w:rPr>
          <w:rFonts w:ascii="Calibri"/>
          <w:b/>
          <w:sz w:val="26"/>
        </w:rPr>
      </w:pPr>
    </w:p>
    <w:p>
      <w:pPr>
        <w:pStyle w:val="BodyText"/>
        <w:spacing w:before="6"/>
        <w:rPr>
          <w:rFonts w:ascii="Calibri"/>
          <w:b/>
        </w:rPr>
      </w:pPr>
    </w:p>
    <w:p>
      <w:pPr>
        <w:pStyle w:val="BodyText"/>
        <w:spacing w:before="1"/>
        <w:ind w:left="1531" w:right="391"/>
        <w:jc w:val="center"/>
        <w:rPr>
          <w:rFonts w:ascii="Calibri"/>
        </w:rPr>
      </w:pPr>
      <w:r>
        <w:rPr>
          <w:rFonts w:ascii="Calibri"/>
          <w:sz w:val="28"/>
        </w:rPr>
        <w:t>Q</w:t>
      </w:r>
      <w:r>
        <w:rPr>
          <w:rFonts w:ascii="Calibri"/>
        </w:rPr>
        <w:t>UE PARA OBTENER EL </w:t>
      </w:r>
      <w:r>
        <w:rPr>
          <w:rFonts w:ascii="Calibri"/>
          <w:sz w:val="28"/>
        </w:rPr>
        <w:t>D</w:t>
      </w:r>
      <w:r>
        <w:rPr>
          <w:rFonts w:ascii="Calibri"/>
        </w:rPr>
        <w:t>IPLOMA DE </w:t>
      </w:r>
      <w:r>
        <w:rPr>
          <w:rFonts w:ascii="Calibri"/>
          <w:sz w:val="28"/>
        </w:rPr>
        <w:t>E</w:t>
      </w:r>
      <w:r>
        <w:rPr>
          <w:rFonts w:ascii="Calibri"/>
        </w:rPr>
        <w:t>SPECIALISTA EN</w:t>
      </w:r>
    </w:p>
    <w:p>
      <w:pPr>
        <w:pStyle w:val="BodyText"/>
        <w:spacing w:before="1"/>
        <w:ind w:left="1531" w:right="385"/>
        <w:jc w:val="center"/>
        <w:rPr>
          <w:rFonts w:ascii="Calibri" w:hAnsi="Calibri"/>
        </w:rPr>
      </w:pPr>
      <w:r>
        <w:rPr>
          <w:rFonts w:ascii="Calibri" w:hAnsi="Calibri"/>
          <w:sz w:val="28"/>
        </w:rPr>
        <w:t>G</w:t>
      </w:r>
      <w:r>
        <w:rPr>
          <w:rFonts w:ascii="Calibri" w:hAnsi="Calibri"/>
        </w:rPr>
        <w:t>ÉNERO</w:t>
      </w:r>
      <w:r>
        <w:rPr>
          <w:rFonts w:ascii="Calibri" w:hAnsi="Calibri"/>
          <w:sz w:val="28"/>
        </w:rPr>
        <w:t>, V</w:t>
      </w:r>
      <w:r>
        <w:rPr>
          <w:rFonts w:ascii="Calibri" w:hAnsi="Calibri"/>
        </w:rPr>
        <w:t>IOLENCIA Y </w:t>
      </w:r>
      <w:r>
        <w:rPr>
          <w:rFonts w:ascii="Calibri" w:hAnsi="Calibri"/>
          <w:sz w:val="28"/>
        </w:rPr>
        <w:t>P</w:t>
      </w:r>
      <w:r>
        <w:rPr>
          <w:rFonts w:ascii="Calibri" w:hAnsi="Calibri"/>
        </w:rPr>
        <w:t>OLÍTICAS </w:t>
      </w:r>
      <w:r>
        <w:rPr>
          <w:rFonts w:ascii="Calibri" w:hAnsi="Calibri"/>
          <w:sz w:val="28"/>
        </w:rPr>
        <w:t>P</w:t>
      </w:r>
      <w:r>
        <w:rPr>
          <w:rFonts w:ascii="Calibri" w:hAnsi="Calibri"/>
        </w:rPr>
        <w:t>ÚBLICAS</w:t>
      </w:r>
    </w:p>
    <w:p>
      <w:pPr>
        <w:pStyle w:val="BodyText"/>
        <w:rPr>
          <w:rFonts w:ascii="Calibri"/>
          <w:sz w:val="28"/>
        </w:rPr>
      </w:pPr>
    </w:p>
    <w:p>
      <w:pPr>
        <w:pStyle w:val="BodyText"/>
        <w:spacing w:before="8"/>
        <w:rPr>
          <w:rFonts w:ascii="Calibri"/>
          <w:sz w:val="20"/>
        </w:rPr>
      </w:pPr>
    </w:p>
    <w:p>
      <w:pPr>
        <w:spacing w:before="0"/>
        <w:ind w:left="1531" w:right="391" w:firstLine="0"/>
        <w:jc w:val="center"/>
        <w:rPr>
          <w:rFonts w:ascii="Calibri"/>
          <w:sz w:val="28"/>
        </w:rPr>
      </w:pPr>
      <w:r>
        <w:rPr>
          <w:rFonts w:ascii="Calibri"/>
          <w:sz w:val="28"/>
        </w:rPr>
        <w:t>Presenta</w:t>
      </w:r>
    </w:p>
    <w:p>
      <w:pPr>
        <w:spacing w:before="251"/>
        <w:ind w:left="1531" w:right="392" w:firstLine="0"/>
        <w:jc w:val="center"/>
        <w:rPr>
          <w:rFonts w:ascii="Calibri"/>
          <w:b/>
          <w:sz w:val="28"/>
        </w:rPr>
      </w:pPr>
      <w:r>
        <w:rPr>
          <w:rFonts w:ascii="Calibri"/>
          <w:b/>
          <w:sz w:val="28"/>
        </w:rPr>
        <w:t>Lic. en D. Abraham Montoya Velasco</w:t>
      </w:r>
    </w:p>
    <w:p>
      <w:pPr>
        <w:pStyle w:val="BodyText"/>
        <w:rPr>
          <w:rFonts w:ascii="Calibri"/>
          <w:b/>
          <w:sz w:val="28"/>
        </w:rPr>
      </w:pPr>
    </w:p>
    <w:p>
      <w:pPr>
        <w:pStyle w:val="BodyText"/>
        <w:spacing w:before="8"/>
        <w:rPr>
          <w:rFonts w:ascii="Calibri"/>
          <w:b/>
          <w:sz w:val="40"/>
        </w:rPr>
      </w:pPr>
    </w:p>
    <w:p>
      <w:pPr>
        <w:pStyle w:val="BodyText"/>
        <w:spacing w:line="266" w:lineRule="exact"/>
        <w:ind w:left="4587" w:right="3427" w:firstLine="242"/>
        <w:rPr>
          <w:rFonts w:ascii="Calibri" w:hAnsi="Calibri"/>
        </w:rPr>
      </w:pPr>
      <w:r>
        <w:rPr>
          <w:rFonts w:ascii="Calibri" w:hAnsi="Calibri"/>
        </w:rPr>
        <w:t>Tutora Académica Dra. Norma Baca Tavira</w:t>
      </w:r>
    </w:p>
    <w:p>
      <w:pPr>
        <w:pStyle w:val="BodyText"/>
        <w:spacing w:before="6"/>
        <w:rPr>
          <w:rFonts w:ascii="Calibri"/>
        </w:rPr>
      </w:pPr>
    </w:p>
    <w:p>
      <w:pPr>
        <w:pStyle w:val="BodyText"/>
        <w:ind w:left="1531" w:right="387"/>
        <w:jc w:val="center"/>
        <w:rPr>
          <w:rFonts w:ascii="Calibri"/>
        </w:rPr>
      </w:pPr>
      <w:r>
        <w:rPr/>
        <w:drawing>
          <wp:anchor distT="0" distB="0" distL="0" distR="0" allowOverlap="1" layoutInCell="1" locked="0" behindDoc="0" simplePos="0" relativeHeight="1144">
            <wp:simplePos x="0" y="0"/>
            <wp:positionH relativeFrom="page">
              <wp:posOffset>379475</wp:posOffset>
            </wp:positionH>
            <wp:positionV relativeFrom="paragraph">
              <wp:posOffset>90597</wp:posOffset>
            </wp:positionV>
            <wp:extent cx="1034796" cy="1039368"/>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034796" cy="1039368"/>
                    </a:xfrm>
                    <a:prstGeom prst="rect">
                      <a:avLst/>
                    </a:prstGeom>
                  </pic:spPr>
                </pic:pic>
              </a:graphicData>
            </a:graphic>
          </wp:anchor>
        </w:drawing>
      </w:r>
      <w:r>
        <w:rPr>
          <w:rFonts w:ascii="Calibri"/>
        </w:rPr>
        <w:t>Revisora</w:t>
      </w:r>
    </w:p>
    <w:p>
      <w:pPr>
        <w:pStyle w:val="BodyText"/>
        <w:ind w:left="4465"/>
        <w:rPr>
          <w:rFonts w:ascii="Calibri" w:hAnsi="Calibri"/>
        </w:rPr>
      </w:pPr>
      <w:r>
        <w:rPr>
          <w:rFonts w:ascii="Calibri" w:hAnsi="Calibri"/>
        </w:rPr>
        <w:t>Mtra. Silvia García Fajardo</w:t>
      </w:r>
    </w:p>
    <w:p>
      <w:pPr>
        <w:pStyle w:val="BodyText"/>
        <w:rPr>
          <w:rFonts w:ascii="Calibri"/>
        </w:rPr>
      </w:pPr>
    </w:p>
    <w:p>
      <w:pPr>
        <w:pStyle w:val="BodyText"/>
        <w:rPr>
          <w:rFonts w:ascii="Calibri"/>
        </w:rPr>
      </w:pPr>
    </w:p>
    <w:p>
      <w:pPr>
        <w:pStyle w:val="BodyText"/>
        <w:rPr>
          <w:rFonts w:ascii="Calibri"/>
        </w:rPr>
      </w:pPr>
    </w:p>
    <w:p>
      <w:pPr>
        <w:pStyle w:val="BodyText"/>
        <w:spacing w:before="4"/>
        <w:rPr>
          <w:rFonts w:ascii="Calibri"/>
          <w:sz w:val="31"/>
        </w:rPr>
      </w:pPr>
    </w:p>
    <w:p>
      <w:pPr>
        <w:pStyle w:val="BodyText"/>
        <w:ind w:left="1531" w:right="390"/>
        <w:jc w:val="center"/>
        <w:rPr>
          <w:rFonts w:ascii="Calibri" w:hAnsi="Calibri"/>
        </w:rPr>
      </w:pPr>
      <w:r>
        <w:rPr>
          <w:rFonts w:ascii="Calibri" w:hAnsi="Calibri"/>
        </w:rPr>
        <w:t>Toluca, Estado de México, enero 2016</w:t>
      </w:r>
    </w:p>
    <w:p>
      <w:pPr>
        <w:spacing w:after="0"/>
        <w:jc w:val="center"/>
        <w:rPr>
          <w:rFonts w:ascii="Calibri" w:hAnsi="Calibri"/>
        </w:rPr>
        <w:sectPr>
          <w:type w:val="continuous"/>
          <w:pgSz w:w="12240" w:h="15840"/>
          <w:pgMar w:top="1400" w:bottom="280" w:left="480" w:right="162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74"/>
        <w:gridCol w:w="1537"/>
      </w:tblGrid>
      <w:tr>
        <w:trPr>
          <w:trHeight w:val="1002" w:hRule="exact"/>
        </w:trPr>
        <w:tc>
          <w:tcPr>
            <w:tcW w:w="7374" w:type="dxa"/>
          </w:tcPr>
          <w:p>
            <w:pPr>
              <w:pStyle w:val="TableParagraph"/>
              <w:spacing w:before="56"/>
              <w:ind w:left="4127" w:right="2593"/>
              <w:jc w:val="center"/>
              <w:rPr>
                <w:rFonts w:ascii="Calibri" w:hAnsi="Calibri"/>
                <w:sz w:val="22"/>
              </w:rPr>
            </w:pPr>
            <w:r>
              <w:rPr>
                <w:rFonts w:ascii="Calibri" w:hAnsi="Calibri"/>
                <w:sz w:val="22"/>
              </w:rPr>
              <w:t>ÍNDICE</w:t>
            </w:r>
          </w:p>
          <w:p>
            <w:pPr>
              <w:pStyle w:val="TableParagraph"/>
              <w:spacing w:before="8"/>
              <w:ind w:left="0"/>
              <w:rPr>
                <w:rFonts w:ascii="Calibri"/>
                <w:sz w:val="19"/>
              </w:rPr>
            </w:pPr>
          </w:p>
          <w:p>
            <w:pPr>
              <w:pStyle w:val="TableParagraph"/>
              <w:ind w:left="35" w:right="1381"/>
              <w:rPr>
                <w:rFonts w:ascii="Calibri" w:hAnsi="Calibri"/>
                <w:sz w:val="24"/>
              </w:rPr>
            </w:pPr>
            <w:r>
              <w:rPr>
                <w:rFonts w:ascii="Calibri" w:hAnsi="Calibri"/>
                <w:sz w:val="24"/>
              </w:rPr>
              <w:t>Introducción</w:t>
            </w:r>
          </w:p>
        </w:tc>
        <w:tc>
          <w:tcPr>
            <w:tcW w:w="1537" w:type="dxa"/>
          </w:tcPr>
          <w:p>
            <w:pPr>
              <w:pStyle w:val="TableParagraph"/>
              <w:ind w:left="0"/>
              <w:rPr>
                <w:rFonts w:ascii="Calibri"/>
                <w:sz w:val="24"/>
              </w:rPr>
            </w:pPr>
          </w:p>
          <w:p>
            <w:pPr>
              <w:pStyle w:val="TableParagraph"/>
              <w:spacing w:before="3"/>
              <w:ind w:left="0"/>
              <w:rPr>
                <w:rFonts w:ascii="Calibri"/>
                <w:sz w:val="22"/>
              </w:rPr>
            </w:pPr>
          </w:p>
          <w:p>
            <w:pPr>
              <w:pStyle w:val="TableParagraph"/>
              <w:ind w:left="0" w:right="76"/>
              <w:jc w:val="right"/>
              <w:rPr>
                <w:rFonts w:ascii="Calibri"/>
                <w:sz w:val="24"/>
              </w:rPr>
            </w:pPr>
            <w:r>
              <w:rPr>
                <w:rFonts w:ascii="Calibri"/>
                <w:sz w:val="24"/>
              </w:rPr>
              <w:t>2</w:t>
            </w:r>
          </w:p>
        </w:tc>
      </w:tr>
      <w:tr>
        <w:trPr>
          <w:trHeight w:val="438" w:hRule="exact"/>
        </w:trPr>
        <w:tc>
          <w:tcPr>
            <w:tcW w:w="7374" w:type="dxa"/>
          </w:tcPr>
          <w:p>
            <w:pPr>
              <w:pStyle w:val="TableParagraph"/>
              <w:tabs>
                <w:tab w:pos="742" w:val="left" w:leader="none"/>
              </w:tabs>
              <w:spacing w:before="100"/>
              <w:ind w:left="35" w:right="1381"/>
              <w:rPr>
                <w:rFonts w:ascii="Calibri" w:hAnsi="Calibri"/>
                <w:sz w:val="24"/>
              </w:rPr>
            </w:pPr>
            <w:r>
              <w:rPr>
                <w:rFonts w:ascii="Calibri" w:hAnsi="Calibri"/>
                <w:sz w:val="24"/>
              </w:rPr>
              <w:t>1.</w:t>
              <w:tab/>
              <w:t>Problematización</w:t>
            </w:r>
          </w:p>
        </w:tc>
        <w:tc>
          <w:tcPr>
            <w:tcW w:w="1537" w:type="dxa"/>
          </w:tcPr>
          <w:p>
            <w:pPr>
              <w:pStyle w:val="TableParagraph"/>
              <w:spacing w:before="100"/>
              <w:ind w:left="0" w:right="52"/>
              <w:jc w:val="right"/>
              <w:rPr>
                <w:rFonts w:ascii="Calibri"/>
                <w:sz w:val="24"/>
              </w:rPr>
            </w:pPr>
            <w:r>
              <w:rPr>
                <w:rFonts w:ascii="Calibri"/>
                <w:sz w:val="24"/>
              </w:rPr>
              <w:t>5</w:t>
            </w:r>
          </w:p>
        </w:tc>
      </w:tr>
      <w:tr>
        <w:trPr>
          <w:trHeight w:val="337" w:hRule="exact"/>
        </w:trPr>
        <w:tc>
          <w:tcPr>
            <w:tcW w:w="7374" w:type="dxa"/>
          </w:tcPr>
          <w:p>
            <w:pPr>
              <w:pStyle w:val="TableParagraph"/>
              <w:tabs>
                <w:tab w:pos="742" w:val="left" w:leader="none"/>
              </w:tabs>
              <w:ind w:left="35" w:right="1381"/>
              <w:rPr>
                <w:rFonts w:ascii="Calibri"/>
                <w:sz w:val="24"/>
              </w:rPr>
            </w:pPr>
            <w:r>
              <w:rPr>
                <w:rFonts w:ascii="Calibri"/>
                <w:sz w:val="24"/>
              </w:rPr>
              <w:t>2.</w:t>
              <w:tab/>
              <w:t>Marco</w:t>
            </w:r>
            <w:r>
              <w:rPr>
                <w:rFonts w:ascii="Calibri"/>
                <w:spacing w:val="-5"/>
                <w:sz w:val="24"/>
              </w:rPr>
              <w:t> </w:t>
            </w:r>
            <w:r>
              <w:rPr>
                <w:rFonts w:ascii="Calibri"/>
                <w:sz w:val="24"/>
              </w:rPr>
              <w:t>Conceptual</w:t>
            </w:r>
          </w:p>
        </w:tc>
        <w:tc>
          <w:tcPr>
            <w:tcW w:w="1537" w:type="dxa"/>
          </w:tcPr>
          <w:p>
            <w:pPr>
              <w:pStyle w:val="TableParagraph"/>
              <w:ind w:left="0" w:right="58"/>
              <w:jc w:val="right"/>
              <w:rPr>
                <w:rFonts w:ascii="Calibri"/>
                <w:sz w:val="24"/>
              </w:rPr>
            </w:pPr>
            <w:r>
              <w:rPr>
                <w:rFonts w:ascii="Calibri"/>
                <w:sz w:val="24"/>
              </w:rPr>
              <w:t>12</w:t>
            </w:r>
          </w:p>
        </w:tc>
      </w:tr>
      <w:tr>
        <w:trPr>
          <w:trHeight w:val="336" w:hRule="exact"/>
        </w:trPr>
        <w:tc>
          <w:tcPr>
            <w:tcW w:w="7374" w:type="dxa"/>
          </w:tcPr>
          <w:p>
            <w:pPr>
              <w:pStyle w:val="TableParagraph"/>
              <w:spacing w:line="292" w:lineRule="exact"/>
              <w:ind w:left="754" w:right="1381"/>
              <w:rPr>
                <w:rFonts w:ascii="Calibri" w:hAnsi="Calibri"/>
                <w:sz w:val="24"/>
              </w:rPr>
            </w:pPr>
            <w:r>
              <w:rPr>
                <w:rFonts w:ascii="Calibri" w:hAnsi="Calibri"/>
                <w:sz w:val="24"/>
              </w:rPr>
              <w:t>2.1 Perspectiva de género</w:t>
            </w:r>
          </w:p>
        </w:tc>
        <w:tc>
          <w:tcPr>
            <w:tcW w:w="1537" w:type="dxa"/>
          </w:tcPr>
          <w:p>
            <w:pPr>
              <w:pStyle w:val="TableParagraph"/>
              <w:spacing w:line="292" w:lineRule="exact"/>
              <w:ind w:left="0" w:right="64"/>
              <w:jc w:val="right"/>
              <w:rPr>
                <w:rFonts w:ascii="Calibri"/>
                <w:sz w:val="24"/>
              </w:rPr>
            </w:pPr>
            <w:r>
              <w:rPr>
                <w:rFonts w:ascii="Calibri"/>
                <w:sz w:val="24"/>
              </w:rPr>
              <w:t>12</w:t>
            </w:r>
          </w:p>
        </w:tc>
      </w:tr>
      <w:tr>
        <w:trPr>
          <w:trHeight w:val="337" w:hRule="exact"/>
        </w:trPr>
        <w:tc>
          <w:tcPr>
            <w:tcW w:w="7374" w:type="dxa"/>
          </w:tcPr>
          <w:p>
            <w:pPr>
              <w:pStyle w:val="TableParagraph"/>
              <w:spacing w:line="292" w:lineRule="exact"/>
              <w:ind w:left="754" w:right="1381"/>
              <w:rPr>
                <w:rFonts w:ascii="Calibri"/>
                <w:sz w:val="24"/>
              </w:rPr>
            </w:pPr>
            <w:r>
              <w:rPr>
                <w:rFonts w:ascii="Calibri"/>
                <w:sz w:val="24"/>
              </w:rPr>
              <w:t>2.2 Principio de igualdad</w:t>
            </w:r>
          </w:p>
        </w:tc>
        <w:tc>
          <w:tcPr>
            <w:tcW w:w="1537" w:type="dxa"/>
          </w:tcPr>
          <w:p>
            <w:pPr>
              <w:pStyle w:val="TableParagraph"/>
              <w:spacing w:line="292" w:lineRule="exact"/>
              <w:ind w:left="0" w:right="85"/>
              <w:jc w:val="right"/>
              <w:rPr>
                <w:rFonts w:ascii="Calibri"/>
                <w:sz w:val="24"/>
              </w:rPr>
            </w:pPr>
            <w:r>
              <w:rPr>
                <w:rFonts w:ascii="Calibri"/>
                <w:sz w:val="24"/>
              </w:rPr>
              <w:t>13</w:t>
            </w:r>
          </w:p>
        </w:tc>
      </w:tr>
      <w:tr>
        <w:trPr>
          <w:trHeight w:val="338" w:hRule="exact"/>
        </w:trPr>
        <w:tc>
          <w:tcPr>
            <w:tcW w:w="7374" w:type="dxa"/>
          </w:tcPr>
          <w:p>
            <w:pPr>
              <w:pStyle w:val="TableParagraph"/>
              <w:ind w:left="754" w:right="1381"/>
              <w:rPr>
                <w:rFonts w:ascii="Calibri" w:hAnsi="Calibri"/>
                <w:sz w:val="24"/>
              </w:rPr>
            </w:pPr>
            <w:r>
              <w:rPr>
                <w:rFonts w:ascii="Calibri" w:hAnsi="Calibri"/>
                <w:sz w:val="24"/>
              </w:rPr>
              <w:t>2.3 Acción afirmativa</w:t>
            </w:r>
          </w:p>
        </w:tc>
        <w:tc>
          <w:tcPr>
            <w:tcW w:w="1537" w:type="dxa"/>
          </w:tcPr>
          <w:p>
            <w:pPr>
              <w:pStyle w:val="TableParagraph"/>
              <w:ind w:left="0" w:right="52"/>
              <w:jc w:val="right"/>
              <w:rPr>
                <w:rFonts w:ascii="Calibri"/>
                <w:sz w:val="24"/>
              </w:rPr>
            </w:pPr>
            <w:r>
              <w:rPr>
                <w:rFonts w:ascii="Calibri"/>
                <w:sz w:val="24"/>
              </w:rPr>
              <w:t>14</w:t>
            </w:r>
          </w:p>
        </w:tc>
      </w:tr>
      <w:tr>
        <w:trPr>
          <w:trHeight w:val="336" w:hRule="exact"/>
        </w:trPr>
        <w:tc>
          <w:tcPr>
            <w:tcW w:w="7374" w:type="dxa"/>
          </w:tcPr>
          <w:p>
            <w:pPr>
              <w:pStyle w:val="TableParagraph"/>
              <w:spacing w:line="293" w:lineRule="exact"/>
              <w:ind w:left="754" w:right="1381"/>
              <w:rPr>
                <w:rFonts w:ascii="Calibri"/>
                <w:sz w:val="24"/>
              </w:rPr>
            </w:pPr>
            <w:r>
              <w:rPr>
                <w:rFonts w:ascii="Calibri"/>
                <w:sz w:val="24"/>
              </w:rPr>
              <w:t>2.4 Derechos humanos</w:t>
            </w:r>
          </w:p>
        </w:tc>
        <w:tc>
          <w:tcPr>
            <w:tcW w:w="1537" w:type="dxa"/>
          </w:tcPr>
          <w:p>
            <w:pPr>
              <w:pStyle w:val="TableParagraph"/>
              <w:spacing w:line="293" w:lineRule="exact"/>
              <w:ind w:left="0" w:right="83"/>
              <w:jc w:val="right"/>
              <w:rPr>
                <w:rFonts w:ascii="Calibri"/>
                <w:sz w:val="24"/>
              </w:rPr>
            </w:pPr>
            <w:r>
              <w:rPr>
                <w:rFonts w:ascii="Calibri"/>
                <w:sz w:val="24"/>
              </w:rPr>
              <w:t>16</w:t>
            </w:r>
          </w:p>
        </w:tc>
      </w:tr>
      <w:tr>
        <w:trPr>
          <w:trHeight w:val="337" w:hRule="exact"/>
        </w:trPr>
        <w:tc>
          <w:tcPr>
            <w:tcW w:w="7374" w:type="dxa"/>
          </w:tcPr>
          <w:p>
            <w:pPr>
              <w:pStyle w:val="TableParagraph"/>
              <w:spacing w:line="292" w:lineRule="exact"/>
              <w:ind w:left="754" w:right="1381"/>
              <w:rPr>
                <w:rFonts w:ascii="Calibri"/>
                <w:sz w:val="24"/>
              </w:rPr>
            </w:pPr>
            <w:r>
              <w:rPr>
                <w:rFonts w:ascii="Calibri"/>
                <w:sz w:val="24"/>
              </w:rPr>
              <w:t>2.5 Sistema penal acusatorio</w:t>
            </w:r>
          </w:p>
        </w:tc>
        <w:tc>
          <w:tcPr>
            <w:tcW w:w="1537" w:type="dxa"/>
          </w:tcPr>
          <w:p>
            <w:pPr>
              <w:pStyle w:val="TableParagraph"/>
              <w:spacing w:line="292" w:lineRule="exact"/>
              <w:ind w:left="0" w:right="70"/>
              <w:jc w:val="right"/>
              <w:rPr>
                <w:rFonts w:ascii="Calibri"/>
                <w:sz w:val="24"/>
              </w:rPr>
            </w:pPr>
            <w:r>
              <w:rPr>
                <w:rFonts w:ascii="Calibri"/>
                <w:sz w:val="24"/>
              </w:rPr>
              <w:t>17</w:t>
            </w:r>
          </w:p>
        </w:tc>
      </w:tr>
      <w:tr>
        <w:trPr>
          <w:trHeight w:val="337" w:hRule="exact"/>
        </w:trPr>
        <w:tc>
          <w:tcPr>
            <w:tcW w:w="7374" w:type="dxa"/>
          </w:tcPr>
          <w:p>
            <w:pPr>
              <w:pStyle w:val="TableParagraph"/>
              <w:ind w:left="754" w:right="1381"/>
              <w:rPr>
                <w:rFonts w:ascii="Calibri"/>
                <w:sz w:val="24"/>
              </w:rPr>
            </w:pPr>
            <w:r>
              <w:rPr>
                <w:rFonts w:ascii="Calibri"/>
                <w:sz w:val="24"/>
              </w:rPr>
              <w:t>2.6 Control de convencionalidad</w:t>
            </w:r>
          </w:p>
        </w:tc>
        <w:tc>
          <w:tcPr>
            <w:tcW w:w="1537" w:type="dxa"/>
          </w:tcPr>
          <w:p>
            <w:pPr>
              <w:pStyle w:val="TableParagraph"/>
              <w:ind w:left="0" w:right="42"/>
              <w:jc w:val="right"/>
              <w:rPr>
                <w:rFonts w:ascii="Calibri"/>
                <w:sz w:val="24"/>
              </w:rPr>
            </w:pPr>
            <w:r>
              <w:rPr>
                <w:rFonts w:ascii="Calibri"/>
                <w:sz w:val="24"/>
              </w:rPr>
              <w:t>17</w:t>
            </w:r>
          </w:p>
        </w:tc>
      </w:tr>
      <w:tr>
        <w:trPr>
          <w:trHeight w:val="337" w:hRule="exact"/>
        </w:trPr>
        <w:tc>
          <w:tcPr>
            <w:tcW w:w="7374" w:type="dxa"/>
          </w:tcPr>
          <w:p>
            <w:pPr>
              <w:pStyle w:val="TableParagraph"/>
              <w:spacing w:line="292" w:lineRule="exact"/>
              <w:ind w:left="754" w:right="1381"/>
              <w:rPr>
                <w:rFonts w:ascii="Calibri" w:hAnsi="Calibri"/>
                <w:sz w:val="24"/>
              </w:rPr>
            </w:pPr>
            <w:r>
              <w:rPr>
                <w:rFonts w:ascii="Calibri" w:hAnsi="Calibri"/>
                <w:sz w:val="24"/>
              </w:rPr>
              <w:t>2.7 Defensa con perspectiva de género</w:t>
            </w:r>
          </w:p>
        </w:tc>
        <w:tc>
          <w:tcPr>
            <w:tcW w:w="1537" w:type="dxa"/>
          </w:tcPr>
          <w:p>
            <w:pPr>
              <w:pStyle w:val="TableParagraph"/>
              <w:spacing w:line="292" w:lineRule="exact"/>
              <w:ind w:left="0" w:right="52"/>
              <w:jc w:val="right"/>
              <w:rPr>
                <w:rFonts w:ascii="Calibri"/>
                <w:sz w:val="24"/>
              </w:rPr>
            </w:pPr>
            <w:r>
              <w:rPr>
                <w:rFonts w:ascii="Calibri"/>
                <w:sz w:val="24"/>
              </w:rPr>
              <w:t>19</w:t>
            </w:r>
          </w:p>
        </w:tc>
      </w:tr>
      <w:tr>
        <w:trPr>
          <w:trHeight w:val="337" w:hRule="exact"/>
        </w:trPr>
        <w:tc>
          <w:tcPr>
            <w:tcW w:w="7374" w:type="dxa"/>
          </w:tcPr>
          <w:p>
            <w:pPr>
              <w:pStyle w:val="TableParagraph"/>
              <w:tabs>
                <w:tab w:pos="742" w:val="left" w:leader="none"/>
              </w:tabs>
              <w:ind w:left="35" w:right="1381"/>
              <w:rPr>
                <w:rFonts w:ascii="Calibri" w:hAnsi="Calibri"/>
                <w:sz w:val="24"/>
              </w:rPr>
            </w:pPr>
            <w:r>
              <w:rPr>
                <w:rFonts w:ascii="Calibri" w:hAnsi="Calibri"/>
                <w:sz w:val="24"/>
              </w:rPr>
              <w:t>3.</w:t>
              <w:tab/>
              <w:t>Justificación</w:t>
            </w:r>
          </w:p>
        </w:tc>
        <w:tc>
          <w:tcPr>
            <w:tcW w:w="1537" w:type="dxa"/>
          </w:tcPr>
          <w:p>
            <w:pPr>
              <w:pStyle w:val="TableParagraph"/>
              <w:ind w:left="0" w:right="64"/>
              <w:jc w:val="right"/>
              <w:rPr>
                <w:rFonts w:ascii="Calibri"/>
                <w:sz w:val="24"/>
              </w:rPr>
            </w:pPr>
            <w:r>
              <w:rPr>
                <w:rFonts w:ascii="Calibri"/>
                <w:sz w:val="24"/>
              </w:rPr>
              <w:t>22</w:t>
            </w:r>
          </w:p>
        </w:tc>
      </w:tr>
      <w:tr>
        <w:trPr>
          <w:trHeight w:val="336" w:hRule="exact"/>
        </w:trPr>
        <w:tc>
          <w:tcPr>
            <w:tcW w:w="7374" w:type="dxa"/>
          </w:tcPr>
          <w:p>
            <w:pPr>
              <w:pStyle w:val="TableParagraph"/>
              <w:tabs>
                <w:tab w:pos="742" w:val="left" w:leader="none"/>
              </w:tabs>
              <w:spacing w:line="292" w:lineRule="exact"/>
              <w:ind w:left="35" w:right="1381"/>
              <w:rPr>
                <w:rFonts w:ascii="Calibri" w:hAnsi="Calibri"/>
                <w:sz w:val="24"/>
              </w:rPr>
            </w:pPr>
            <w:r>
              <w:rPr>
                <w:rFonts w:ascii="Calibri" w:hAnsi="Calibri"/>
                <w:sz w:val="24"/>
              </w:rPr>
              <w:t>4.</w:t>
              <w:tab/>
              <w:t>Diagnóstico</w:t>
            </w:r>
          </w:p>
        </w:tc>
        <w:tc>
          <w:tcPr>
            <w:tcW w:w="1537" w:type="dxa"/>
          </w:tcPr>
          <w:p>
            <w:pPr>
              <w:pStyle w:val="TableParagraph"/>
              <w:spacing w:line="292" w:lineRule="exact"/>
              <w:ind w:left="0" w:right="54"/>
              <w:jc w:val="right"/>
              <w:rPr>
                <w:rFonts w:ascii="Calibri"/>
                <w:sz w:val="24"/>
              </w:rPr>
            </w:pPr>
            <w:r>
              <w:rPr>
                <w:rFonts w:ascii="Calibri"/>
                <w:sz w:val="24"/>
              </w:rPr>
              <w:t>25</w:t>
            </w:r>
          </w:p>
        </w:tc>
      </w:tr>
      <w:tr>
        <w:trPr>
          <w:trHeight w:val="337" w:hRule="exact"/>
        </w:trPr>
        <w:tc>
          <w:tcPr>
            <w:tcW w:w="7374" w:type="dxa"/>
          </w:tcPr>
          <w:p>
            <w:pPr>
              <w:pStyle w:val="TableParagraph"/>
              <w:spacing w:line="292" w:lineRule="exact"/>
              <w:ind w:left="742" w:right="1381"/>
              <w:rPr>
                <w:rFonts w:ascii="Calibri" w:hAnsi="Calibri"/>
                <w:sz w:val="24"/>
              </w:rPr>
            </w:pPr>
            <w:r>
              <w:rPr>
                <w:rFonts w:ascii="Calibri" w:hAnsi="Calibri"/>
                <w:sz w:val="24"/>
              </w:rPr>
              <w:t>4.1 Estrategia metodológica</w:t>
            </w:r>
          </w:p>
        </w:tc>
        <w:tc>
          <w:tcPr>
            <w:tcW w:w="1537" w:type="dxa"/>
          </w:tcPr>
          <w:p>
            <w:pPr>
              <w:pStyle w:val="TableParagraph"/>
              <w:spacing w:line="292" w:lineRule="exact"/>
              <w:ind w:left="0" w:right="45"/>
              <w:jc w:val="right"/>
              <w:rPr>
                <w:rFonts w:ascii="Calibri"/>
                <w:sz w:val="24"/>
              </w:rPr>
            </w:pPr>
            <w:r>
              <w:rPr>
                <w:rFonts w:ascii="Calibri"/>
                <w:sz w:val="24"/>
              </w:rPr>
              <w:t>25</w:t>
            </w:r>
          </w:p>
        </w:tc>
      </w:tr>
      <w:tr>
        <w:trPr>
          <w:trHeight w:val="337" w:hRule="exact"/>
        </w:trPr>
        <w:tc>
          <w:tcPr>
            <w:tcW w:w="7374" w:type="dxa"/>
          </w:tcPr>
          <w:p>
            <w:pPr>
              <w:pStyle w:val="TableParagraph"/>
              <w:ind w:left="1450" w:right="1381"/>
              <w:rPr>
                <w:rFonts w:ascii="Calibri" w:hAnsi="Calibri"/>
                <w:sz w:val="24"/>
              </w:rPr>
            </w:pPr>
            <w:r>
              <w:rPr>
                <w:rFonts w:ascii="Calibri" w:hAnsi="Calibri"/>
                <w:sz w:val="24"/>
              </w:rPr>
              <w:t>4.1.1 Cobertura geográfica</w:t>
            </w:r>
          </w:p>
        </w:tc>
        <w:tc>
          <w:tcPr>
            <w:tcW w:w="1537" w:type="dxa"/>
          </w:tcPr>
          <w:p>
            <w:pPr>
              <w:pStyle w:val="TableParagraph"/>
              <w:ind w:left="0" w:right="58"/>
              <w:jc w:val="right"/>
              <w:rPr>
                <w:rFonts w:ascii="Calibri"/>
                <w:sz w:val="24"/>
              </w:rPr>
            </w:pPr>
            <w:r>
              <w:rPr>
                <w:rFonts w:ascii="Calibri"/>
                <w:sz w:val="24"/>
              </w:rPr>
              <w:t>25</w:t>
            </w:r>
          </w:p>
        </w:tc>
      </w:tr>
      <w:tr>
        <w:trPr>
          <w:trHeight w:val="336" w:hRule="exact"/>
        </w:trPr>
        <w:tc>
          <w:tcPr>
            <w:tcW w:w="7374" w:type="dxa"/>
          </w:tcPr>
          <w:p>
            <w:pPr>
              <w:pStyle w:val="TableParagraph"/>
              <w:spacing w:line="292" w:lineRule="exact"/>
              <w:ind w:left="1450" w:right="1381"/>
              <w:rPr>
                <w:rFonts w:ascii="Calibri" w:hAnsi="Calibri"/>
                <w:sz w:val="24"/>
              </w:rPr>
            </w:pPr>
            <w:r>
              <w:rPr>
                <w:rFonts w:ascii="Calibri" w:hAnsi="Calibri"/>
                <w:sz w:val="24"/>
              </w:rPr>
              <w:t>4.1.2 Diseño muestral</w:t>
            </w:r>
          </w:p>
        </w:tc>
        <w:tc>
          <w:tcPr>
            <w:tcW w:w="1537" w:type="dxa"/>
          </w:tcPr>
          <w:p>
            <w:pPr>
              <w:pStyle w:val="TableParagraph"/>
              <w:spacing w:line="292" w:lineRule="exact"/>
              <w:ind w:left="0" w:right="40"/>
              <w:jc w:val="right"/>
              <w:rPr>
                <w:rFonts w:ascii="Calibri"/>
                <w:sz w:val="24"/>
              </w:rPr>
            </w:pPr>
            <w:r>
              <w:rPr>
                <w:rFonts w:ascii="Calibri"/>
                <w:sz w:val="24"/>
              </w:rPr>
              <w:t>25</w:t>
            </w:r>
          </w:p>
        </w:tc>
      </w:tr>
      <w:tr>
        <w:trPr>
          <w:trHeight w:val="337" w:hRule="exact"/>
        </w:trPr>
        <w:tc>
          <w:tcPr>
            <w:tcW w:w="7374" w:type="dxa"/>
          </w:tcPr>
          <w:p>
            <w:pPr>
              <w:pStyle w:val="TableParagraph"/>
              <w:spacing w:line="293" w:lineRule="exact"/>
              <w:ind w:left="1450" w:right="1381"/>
              <w:rPr>
                <w:rFonts w:ascii="Calibri"/>
                <w:sz w:val="24"/>
              </w:rPr>
            </w:pPr>
            <w:r>
              <w:rPr>
                <w:rFonts w:ascii="Calibri"/>
                <w:sz w:val="24"/>
              </w:rPr>
              <w:t>4.1.3 Instrumento</w:t>
            </w:r>
          </w:p>
        </w:tc>
        <w:tc>
          <w:tcPr>
            <w:tcW w:w="1537" w:type="dxa"/>
          </w:tcPr>
          <w:p>
            <w:pPr>
              <w:pStyle w:val="TableParagraph"/>
              <w:spacing w:line="293" w:lineRule="exact"/>
              <w:ind w:left="0" w:right="88"/>
              <w:jc w:val="right"/>
              <w:rPr>
                <w:rFonts w:ascii="Calibri"/>
                <w:sz w:val="24"/>
              </w:rPr>
            </w:pPr>
            <w:r>
              <w:rPr>
                <w:rFonts w:ascii="Calibri"/>
                <w:sz w:val="24"/>
              </w:rPr>
              <w:t>27</w:t>
            </w:r>
          </w:p>
        </w:tc>
      </w:tr>
      <w:tr>
        <w:trPr>
          <w:trHeight w:val="337" w:hRule="exact"/>
        </w:trPr>
        <w:tc>
          <w:tcPr>
            <w:tcW w:w="7374" w:type="dxa"/>
          </w:tcPr>
          <w:p>
            <w:pPr>
              <w:pStyle w:val="TableParagraph"/>
              <w:ind w:left="1450" w:right="1381"/>
              <w:rPr>
                <w:rFonts w:ascii="Calibri" w:hAnsi="Calibri"/>
                <w:sz w:val="24"/>
              </w:rPr>
            </w:pPr>
            <w:r>
              <w:rPr>
                <w:rFonts w:ascii="Calibri" w:hAnsi="Calibri"/>
                <w:sz w:val="24"/>
              </w:rPr>
              <w:t>4.1.4 Resumen del diagnóstico</w:t>
            </w:r>
          </w:p>
        </w:tc>
        <w:tc>
          <w:tcPr>
            <w:tcW w:w="1537" w:type="dxa"/>
          </w:tcPr>
          <w:p>
            <w:pPr>
              <w:pStyle w:val="TableParagraph"/>
              <w:ind w:left="0" w:right="59"/>
              <w:jc w:val="right"/>
              <w:rPr>
                <w:rFonts w:ascii="Calibri"/>
                <w:sz w:val="24"/>
              </w:rPr>
            </w:pPr>
            <w:r>
              <w:rPr>
                <w:rFonts w:ascii="Calibri"/>
                <w:sz w:val="24"/>
              </w:rPr>
              <w:t>28</w:t>
            </w:r>
          </w:p>
        </w:tc>
      </w:tr>
      <w:tr>
        <w:trPr>
          <w:trHeight w:val="337" w:hRule="exact"/>
        </w:trPr>
        <w:tc>
          <w:tcPr>
            <w:tcW w:w="7374" w:type="dxa"/>
          </w:tcPr>
          <w:p>
            <w:pPr>
              <w:pStyle w:val="TableParagraph"/>
              <w:spacing w:line="292" w:lineRule="exact"/>
              <w:ind w:left="1450" w:right="1381"/>
              <w:rPr>
                <w:rFonts w:ascii="Calibri"/>
                <w:sz w:val="24"/>
              </w:rPr>
            </w:pPr>
            <w:r>
              <w:rPr>
                <w:rFonts w:ascii="Calibri"/>
                <w:sz w:val="24"/>
              </w:rPr>
              <w:t>4.1.5 Informantes clave</w:t>
            </w:r>
          </w:p>
        </w:tc>
        <w:tc>
          <w:tcPr>
            <w:tcW w:w="1537" w:type="dxa"/>
          </w:tcPr>
          <w:p>
            <w:pPr>
              <w:pStyle w:val="TableParagraph"/>
              <w:spacing w:line="292" w:lineRule="exact"/>
              <w:ind w:left="0" w:right="42"/>
              <w:jc w:val="right"/>
              <w:rPr>
                <w:rFonts w:ascii="Calibri"/>
                <w:sz w:val="24"/>
              </w:rPr>
            </w:pPr>
            <w:r>
              <w:rPr>
                <w:rFonts w:ascii="Calibri"/>
                <w:sz w:val="24"/>
              </w:rPr>
              <w:t>43</w:t>
            </w:r>
          </w:p>
        </w:tc>
      </w:tr>
      <w:tr>
        <w:trPr>
          <w:trHeight w:val="1348" w:hRule="exact"/>
        </w:trPr>
        <w:tc>
          <w:tcPr>
            <w:tcW w:w="7374" w:type="dxa"/>
          </w:tcPr>
          <w:p>
            <w:pPr>
              <w:pStyle w:val="TableParagraph"/>
              <w:ind w:left="1450" w:right="1381"/>
              <w:rPr>
                <w:rFonts w:ascii="Calibri"/>
                <w:sz w:val="24"/>
              </w:rPr>
            </w:pPr>
            <w:r>
              <w:rPr>
                <w:rFonts w:ascii="Calibri"/>
                <w:sz w:val="24"/>
              </w:rPr>
              <w:t>4.1.6 Conclusiones</w:t>
            </w:r>
          </w:p>
          <w:p>
            <w:pPr>
              <w:pStyle w:val="TableParagraph"/>
              <w:spacing w:line="276" w:lineRule="auto" w:before="43"/>
              <w:ind w:left="740" w:right="1381"/>
              <w:rPr>
                <w:rFonts w:ascii="Calibri" w:hAnsi="Calibri"/>
                <w:sz w:val="24"/>
              </w:rPr>
            </w:pPr>
            <w:r>
              <w:rPr>
                <w:rFonts w:ascii="Calibri" w:hAnsi="Calibri"/>
                <w:sz w:val="24"/>
              </w:rPr>
              <w:t>4.2 Un acercamiento a las mujeres que se encuentran recluídas en el Centro Preventivo y de Readaptación Social del Oro de Hidalgo, Estado de México</w:t>
            </w:r>
          </w:p>
        </w:tc>
        <w:tc>
          <w:tcPr>
            <w:tcW w:w="1537" w:type="dxa"/>
          </w:tcPr>
          <w:p>
            <w:pPr>
              <w:pStyle w:val="TableParagraph"/>
              <w:ind w:left="0" w:right="82"/>
              <w:jc w:val="right"/>
              <w:rPr>
                <w:rFonts w:ascii="Calibri"/>
                <w:sz w:val="24"/>
              </w:rPr>
            </w:pPr>
            <w:r>
              <w:rPr>
                <w:rFonts w:ascii="Calibri"/>
                <w:sz w:val="24"/>
              </w:rPr>
              <w:t>44</w:t>
            </w:r>
          </w:p>
          <w:p>
            <w:pPr>
              <w:pStyle w:val="TableParagraph"/>
              <w:ind w:left="0"/>
              <w:rPr>
                <w:rFonts w:ascii="Calibri"/>
                <w:sz w:val="24"/>
              </w:rPr>
            </w:pPr>
          </w:p>
          <w:p>
            <w:pPr>
              <w:pStyle w:val="TableParagraph"/>
              <w:spacing w:before="9"/>
              <w:ind w:left="0"/>
              <w:rPr>
                <w:rFonts w:ascii="Calibri"/>
                <w:sz w:val="34"/>
              </w:rPr>
            </w:pPr>
          </w:p>
          <w:p>
            <w:pPr>
              <w:pStyle w:val="TableParagraph"/>
              <w:ind w:left="0" w:right="35"/>
              <w:jc w:val="right"/>
              <w:rPr>
                <w:rFonts w:ascii="Calibri"/>
                <w:sz w:val="24"/>
              </w:rPr>
            </w:pPr>
            <w:r>
              <w:rPr>
                <w:rFonts w:ascii="Calibri"/>
                <w:sz w:val="24"/>
              </w:rPr>
              <w:t>45</w:t>
            </w:r>
          </w:p>
        </w:tc>
      </w:tr>
      <w:tr>
        <w:trPr>
          <w:trHeight w:val="338" w:hRule="exact"/>
        </w:trPr>
        <w:tc>
          <w:tcPr>
            <w:tcW w:w="7374" w:type="dxa"/>
          </w:tcPr>
          <w:p>
            <w:pPr>
              <w:pStyle w:val="TableParagraph"/>
              <w:spacing w:line="292" w:lineRule="exact"/>
              <w:ind w:left="1450" w:right="1381"/>
              <w:rPr>
                <w:rFonts w:ascii="Calibri"/>
                <w:sz w:val="24"/>
              </w:rPr>
            </w:pPr>
            <w:r>
              <w:rPr>
                <w:rFonts w:ascii="Calibri"/>
                <w:sz w:val="24"/>
              </w:rPr>
              <w:t>4.2.1 Conclusiones grupo focal</w:t>
            </w:r>
          </w:p>
        </w:tc>
        <w:tc>
          <w:tcPr>
            <w:tcW w:w="1537" w:type="dxa"/>
          </w:tcPr>
          <w:p>
            <w:pPr>
              <w:pStyle w:val="TableParagraph"/>
              <w:spacing w:line="292" w:lineRule="exact"/>
              <w:ind w:left="0" w:right="35"/>
              <w:jc w:val="right"/>
              <w:rPr>
                <w:rFonts w:ascii="Calibri"/>
                <w:sz w:val="24"/>
              </w:rPr>
            </w:pPr>
            <w:r>
              <w:rPr>
                <w:rFonts w:ascii="Calibri"/>
                <w:sz w:val="24"/>
              </w:rPr>
              <w:t>46</w:t>
            </w:r>
          </w:p>
        </w:tc>
      </w:tr>
      <w:tr>
        <w:trPr>
          <w:trHeight w:val="1011" w:hRule="exact"/>
        </w:trPr>
        <w:tc>
          <w:tcPr>
            <w:tcW w:w="7374" w:type="dxa"/>
          </w:tcPr>
          <w:p>
            <w:pPr>
              <w:pStyle w:val="TableParagraph"/>
              <w:tabs>
                <w:tab w:pos="742" w:val="left" w:leader="none"/>
              </w:tabs>
              <w:spacing w:before="1"/>
              <w:ind w:left="35" w:right="1381"/>
              <w:rPr>
                <w:rFonts w:ascii="Calibri" w:hAnsi="Calibri"/>
                <w:sz w:val="24"/>
              </w:rPr>
            </w:pPr>
            <w:r>
              <w:rPr>
                <w:rFonts w:ascii="Calibri" w:hAnsi="Calibri"/>
                <w:sz w:val="24"/>
              </w:rPr>
              <w:t>5.</w:t>
              <w:tab/>
              <w:t>Propuesta de</w:t>
            </w:r>
            <w:r>
              <w:rPr>
                <w:rFonts w:ascii="Calibri" w:hAnsi="Calibri"/>
                <w:spacing w:val="-14"/>
                <w:sz w:val="24"/>
              </w:rPr>
              <w:t> </w:t>
            </w:r>
            <w:r>
              <w:rPr>
                <w:rFonts w:ascii="Calibri" w:hAnsi="Calibri"/>
                <w:sz w:val="24"/>
              </w:rPr>
              <w:t>Intervención</w:t>
            </w:r>
          </w:p>
          <w:p>
            <w:pPr>
              <w:pStyle w:val="TableParagraph"/>
              <w:spacing w:line="276" w:lineRule="auto" w:before="43"/>
              <w:ind w:left="1450" w:right="1059"/>
              <w:rPr>
                <w:rFonts w:ascii="Calibri" w:hAnsi="Calibri"/>
                <w:sz w:val="24"/>
              </w:rPr>
            </w:pPr>
            <w:r>
              <w:rPr>
                <w:rFonts w:ascii="Calibri" w:hAnsi="Calibri"/>
                <w:sz w:val="24"/>
              </w:rPr>
              <w:t>5.1 Guía para la incorporación de la perspectiva de género en la defensa de las mujeres indiciadas</w:t>
            </w:r>
          </w:p>
        </w:tc>
        <w:tc>
          <w:tcPr>
            <w:tcW w:w="1537" w:type="dxa"/>
          </w:tcPr>
          <w:p>
            <w:pPr>
              <w:pStyle w:val="TableParagraph"/>
              <w:spacing w:before="1"/>
              <w:ind w:left="0" w:right="35"/>
              <w:jc w:val="right"/>
              <w:rPr>
                <w:rFonts w:ascii="Calibri"/>
                <w:sz w:val="24"/>
              </w:rPr>
            </w:pPr>
            <w:r>
              <w:rPr>
                <w:rFonts w:ascii="Calibri"/>
                <w:sz w:val="24"/>
              </w:rPr>
              <w:t>48</w:t>
            </w:r>
          </w:p>
          <w:p>
            <w:pPr>
              <w:pStyle w:val="TableParagraph"/>
              <w:ind w:left="0"/>
              <w:rPr>
                <w:rFonts w:ascii="Calibri"/>
                <w:sz w:val="31"/>
              </w:rPr>
            </w:pPr>
          </w:p>
          <w:p>
            <w:pPr>
              <w:pStyle w:val="TableParagraph"/>
              <w:ind w:left="0" w:right="33"/>
              <w:jc w:val="right"/>
              <w:rPr>
                <w:rFonts w:ascii="Calibri"/>
                <w:sz w:val="24"/>
              </w:rPr>
            </w:pPr>
            <w:r>
              <w:rPr>
                <w:rFonts w:ascii="Calibri"/>
                <w:sz w:val="24"/>
              </w:rPr>
              <w:t>52</w:t>
            </w:r>
          </w:p>
        </w:tc>
      </w:tr>
      <w:tr>
        <w:trPr>
          <w:trHeight w:val="337" w:hRule="exact"/>
        </w:trPr>
        <w:tc>
          <w:tcPr>
            <w:tcW w:w="7374" w:type="dxa"/>
          </w:tcPr>
          <w:p>
            <w:pPr>
              <w:pStyle w:val="TableParagraph"/>
              <w:tabs>
                <w:tab w:pos="742" w:val="left" w:leader="none"/>
              </w:tabs>
              <w:ind w:left="35" w:right="1381"/>
              <w:rPr>
                <w:rFonts w:ascii="Calibri"/>
                <w:sz w:val="24"/>
              </w:rPr>
            </w:pPr>
            <w:r>
              <w:rPr>
                <w:rFonts w:ascii="Calibri"/>
                <w:sz w:val="24"/>
              </w:rPr>
              <w:t>6.</w:t>
              <w:tab/>
              <w:t>Conclusiones</w:t>
            </w:r>
          </w:p>
        </w:tc>
        <w:tc>
          <w:tcPr>
            <w:tcW w:w="1537" w:type="dxa"/>
          </w:tcPr>
          <w:p>
            <w:pPr>
              <w:pStyle w:val="TableParagraph"/>
              <w:ind w:left="0" w:right="35"/>
              <w:jc w:val="right"/>
              <w:rPr>
                <w:rFonts w:ascii="Calibri"/>
                <w:sz w:val="24"/>
              </w:rPr>
            </w:pPr>
            <w:r>
              <w:rPr>
                <w:rFonts w:ascii="Calibri"/>
                <w:sz w:val="24"/>
              </w:rPr>
              <w:t>112</w:t>
            </w:r>
          </w:p>
        </w:tc>
      </w:tr>
      <w:tr>
        <w:trPr>
          <w:trHeight w:val="437" w:hRule="exact"/>
        </w:trPr>
        <w:tc>
          <w:tcPr>
            <w:tcW w:w="7374" w:type="dxa"/>
          </w:tcPr>
          <w:p>
            <w:pPr>
              <w:pStyle w:val="TableParagraph"/>
              <w:spacing w:line="292" w:lineRule="exact"/>
              <w:ind w:left="35" w:right="1381"/>
              <w:rPr>
                <w:rFonts w:ascii="Calibri"/>
                <w:sz w:val="24"/>
              </w:rPr>
            </w:pPr>
            <w:r>
              <w:rPr>
                <w:rFonts w:ascii="Calibri"/>
                <w:sz w:val="24"/>
              </w:rPr>
              <w:t>Fuentes consultadas</w:t>
            </w:r>
          </w:p>
        </w:tc>
        <w:tc>
          <w:tcPr>
            <w:tcW w:w="1537" w:type="dxa"/>
          </w:tcPr>
          <w:p>
            <w:pPr>
              <w:pStyle w:val="TableParagraph"/>
              <w:spacing w:line="292" w:lineRule="exact"/>
              <w:ind w:left="0" w:right="35"/>
              <w:jc w:val="right"/>
              <w:rPr>
                <w:rFonts w:ascii="Calibri"/>
                <w:sz w:val="24"/>
              </w:rPr>
            </w:pPr>
            <w:r>
              <w:rPr>
                <w:rFonts w:ascii="Calibri"/>
                <w:sz w:val="24"/>
              </w:rPr>
              <w:t>103</w:t>
            </w:r>
          </w:p>
        </w:tc>
      </w:tr>
      <w:tr>
        <w:trPr>
          <w:trHeight w:val="489" w:hRule="exact"/>
        </w:trPr>
        <w:tc>
          <w:tcPr>
            <w:tcW w:w="7374" w:type="dxa"/>
          </w:tcPr>
          <w:p>
            <w:pPr>
              <w:pStyle w:val="TableParagraph"/>
              <w:spacing w:before="100"/>
              <w:ind w:left="35" w:right="1381"/>
              <w:rPr>
                <w:rFonts w:ascii="Calibri"/>
                <w:sz w:val="24"/>
              </w:rPr>
            </w:pPr>
            <w:r>
              <w:rPr>
                <w:rFonts w:ascii="Calibri"/>
                <w:sz w:val="24"/>
              </w:rPr>
              <w:t>Anexos</w:t>
            </w:r>
          </w:p>
        </w:tc>
        <w:tc>
          <w:tcPr>
            <w:tcW w:w="1537" w:type="dxa"/>
          </w:tcPr>
          <w:p>
            <w:pPr>
              <w:pStyle w:val="TableParagraph"/>
              <w:spacing w:before="100"/>
              <w:ind w:left="0" w:right="35"/>
              <w:jc w:val="right"/>
              <w:rPr>
                <w:rFonts w:ascii="Calibri"/>
                <w:sz w:val="24"/>
              </w:rPr>
            </w:pPr>
            <w:r>
              <w:rPr>
                <w:rFonts w:ascii="Calibri"/>
                <w:sz w:val="24"/>
              </w:rPr>
              <w:t>119</w:t>
            </w:r>
          </w:p>
        </w:tc>
      </w:tr>
    </w:tbl>
    <w:p>
      <w:pPr>
        <w:spacing w:after="0"/>
        <w:jc w:val="right"/>
        <w:rPr>
          <w:rFonts w:ascii="Calibri"/>
          <w:sz w:val="24"/>
        </w:rPr>
        <w:sectPr>
          <w:footerReference w:type="default" r:id="rId7"/>
          <w:pgSz w:w="12240" w:h="15840"/>
          <w:pgMar w:footer="1002" w:header="0" w:top="1360" w:bottom="1200" w:left="1560" w:right="1560"/>
          <w:pgNumType w:start="2"/>
        </w:sectPr>
      </w:pPr>
    </w:p>
    <w:p>
      <w:pPr>
        <w:pStyle w:val="BodyText"/>
        <w:spacing w:before="1"/>
        <w:rPr>
          <w:rFonts w:ascii="Calibri"/>
          <w:sz w:val="27"/>
        </w:rPr>
      </w:pPr>
    </w:p>
    <w:p>
      <w:pPr>
        <w:pStyle w:val="Heading8"/>
        <w:spacing w:before="73"/>
        <w:ind w:left="1945" w:right="1963"/>
        <w:jc w:val="center"/>
        <w:rPr>
          <w:rFonts w:ascii="Arial" w:hAnsi="Arial"/>
        </w:rPr>
      </w:pPr>
      <w:bookmarkStart w:name="_TOC_250010" w:id="1"/>
      <w:bookmarkEnd w:id="1"/>
      <w:r>
        <w:rPr>
          <w:rFonts w:ascii="Arial" w:hAnsi="Arial"/>
        </w:rPr>
        <w:t>INTRODUCCIÓN</w:t>
      </w:r>
    </w:p>
    <w:p>
      <w:pPr>
        <w:pStyle w:val="BodyText"/>
        <w:spacing w:before="5"/>
        <w:rPr>
          <w:b/>
          <w:sz w:val="28"/>
        </w:rPr>
      </w:pPr>
    </w:p>
    <w:p>
      <w:pPr>
        <w:pStyle w:val="BodyText"/>
        <w:spacing w:line="360" w:lineRule="auto" w:before="1"/>
        <w:ind w:left="102" w:right="115"/>
        <w:jc w:val="both"/>
      </w:pPr>
      <w:r>
        <w:rPr/>
        <w:t>La violencia contra las mujeres constituye un grave perjuicio en contra de sus derechos humanos y su dignidad humana, ya que obstaculiza el goce de sus derechos humanos.</w:t>
      </w:r>
      <w:r>
        <w:rPr>
          <w:spacing w:val="-23"/>
        </w:rPr>
        <w:t> </w:t>
      </w:r>
      <w:r>
        <w:rPr/>
        <w:t>La violencia de género, es un problema que se debe atender para garantizar la igualdad</w:t>
      </w:r>
      <w:r>
        <w:rPr>
          <w:spacing w:val="-42"/>
        </w:rPr>
        <w:t> </w:t>
      </w:r>
      <w:r>
        <w:rPr/>
        <w:t>entre los hombres y las</w:t>
      </w:r>
      <w:r>
        <w:rPr>
          <w:spacing w:val="-6"/>
        </w:rPr>
        <w:t> </w:t>
      </w:r>
      <w:r>
        <w:rPr/>
        <w:t>mujeres.</w:t>
      </w:r>
    </w:p>
    <w:p>
      <w:pPr>
        <w:pStyle w:val="BodyText"/>
        <w:spacing w:before="7"/>
        <w:rPr>
          <w:sz w:val="17"/>
        </w:rPr>
      </w:pPr>
    </w:p>
    <w:p>
      <w:pPr>
        <w:pStyle w:val="BodyText"/>
        <w:spacing w:line="360" w:lineRule="auto"/>
        <w:ind w:left="102" w:right="117"/>
        <w:jc w:val="both"/>
      </w:pPr>
      <w:r>
        <w:rPr/>
        <w:t>Pese a que a lo largo del tiempo los movimientos feministas han desarrollado una labor incansable en la búsqueda de la igualdad entre hombres y mujeres, dejando de manifiesto que no sólo los hombres son titulares de los derechos humanos, sino que también las mujeres son sujetas de estos derechos; en la actualidad, sociedades patriarcales, como la nuestra,</w:t>
      </w:r>
      <w:r>
        <w:rPr>
          <w:spacing w:val="-7"/>
        </w:rPr>
        <w:t> </w:t>
      </w:r>
      <w:r>
        <w:rPr/>
        <w:t>basan</w:t>
      </w:r>
      <w:r>
        <w:rPr>
          <w:spacing w:val="-9"/>
        </w:rPr>
        <w:t> </w:t>
      </w:r>
      <w:r>
        <w:rPr/>
        <w:t>el</w:t>
      </w:r>
      <w:r>
        <w:rPr>
          <w:spacing w:val="-7"/>
        </w:rPr>
        <w:t> </w:t>
      </w:r>
      <w:r>
        <w:rPr/>
        <w:t>Derecho</w:t>
      </w:r>
      <w:r>
        <w:rPr>
          <w:spacing w:val="-6"/>
        </w:rPr>
        <w:t> </w:t>
      </w:r>
      <w:r>
        <w:rPr/>
        <w:t>en</w:t>
      </w:r>
      <w:r>
        <w:rPr>
          <w:spacing w:val="-9"/>
        </w:rPr>
        <w:t> </w:t>
      </w:r>
      <w:r>
        <w:rPr/>
        <w:t>el</w:t>
      </w:r>
      <w:r>
        <w:rPr>
          <w:spacing w:val="-7"/>
        </w:rPr>
        <w:t> </w:t>
      </w:r>
      <w:r>
        <w:rPr/>
        <w:t>androcentrismo,</w:t>
      </w:r>
      <w:r>
        <w:rPr>
          <w:spacing w:val="-7"/>
        </w:rPr>
        <w:t> </w:t>
      </w:r>
      <w:r>
        <w:rPr/>
        <w:t>colocando</w:t>
      </w:r>
      <w:r>
        <w:rPr>
          <w:spacing w:val="-6"/>
        </w:rPr>
        <w:t> </w:t>
      </w:r>
      <w:r>
        <w:rPr/>
        <w:t>al</w:t>
      </w:r>
      <w:r>
        <w:rPr>
          <w:spacing w:val="-7"/>
        </w:rPr>
        <w:t> </w:t>
      </w:r>
      <w:r>
        <w:rPr/>
        <w:t>sujeto</w:t>
      </w:r>
      <w:r>
        <w:rPr>
          <w:spacing w:val="-11"/>
        </w:rPr>
        <w:t> </w:t>
      </w:r>
      <w:r>
        <w:rPr/>
        <w:t>masculino,</w:t>
      </w:r>
      <w:r>
        <w:rPr>
          <w:spacing w:val="-5"/>
        </w:rPr>
        <w:t> </w:t>
      </w:r>
      <w:r>
        <w:rPr/>
        <w:t>como</w:t>
      </w:r>
      <w:r>
        <w:rPr>
          <w:spacing w:val="-8"/>
        </w:rPr>
        <w:t> </w:t>
      </w:r>
      <w:r>
        <w:rPr/>
        <w:t>ente universal y neutro, para la creación de las normas jurídicas y la aplicación de las mismas, lo cual trae como consecuencia distintas formas de discriminación y manifestaciones de violencia en contra de las</w:t>
      </w:r>
      <w:r>
        <w:rPr>
          <w:spacing w:val="-10"/>
        </w:rPr>
        <w:t> </w:t>
      </w:r>
      <w:r>
        <w:rPr/>
        <w:t>mujeres.</w:t>
      </w:r>
    </w:p>
    <w:p>
      <w:pPr>
        <w:pStyle w:val="BodyText"/>
        <w:spacing w:before="7"/>
        <w:rPr>
          <w:sz w:val="17"/>
        </w:rPr>
      </w:pPr>
    </w:p>
    <w:p>
      <w:pPr>
        <w:pStyle w:val="BodyText"/>
        <w:spacing w:line="360" w:lineRule="auto"/>
        <w:ind w:left="102" w:right="115"/>
        <w:jc w:val="both"/>
      </w:pPr>
      <w:r>
        <w:rPr/>
        <w:t>En la actualidad se han dado pasos importantes en la búsqueda de la igualdad entre hombres y mujeres con la celebración de tratados internacionales y la creación de legislación nacional que protegen los derechos humanos de las mujeres, sin embargo, la visión androcéntrica imperante en las personas encargadas de la administración y procuración de justicia, así como en la defensa de los derechos, no se encuentran sensibilizadas</w:t>
      </w:r>
      <w:r>
        <w:rPr>
          <w:spacing w:val="-16"/>
        </w:rPr>
        <w:t> </w:t>
      </w:r>
      <w:r>
        <w:rPr/>
        <w:t>en</w:t>
      </w:r>
      <w:r>
        <w:rPr>
          <w:spacing w:val="-16"/>
        </w:rPr>
        <w:t> </w:t>
      </w:r>
      <w:r>
        <w:rPr/>
        <w:t>cuanto</w:t>
      </w:r>
      <w:r>
        <w:rPr>
          <w:spacing w:val="-18"/>
        </w:rPr>
        <w:t> </w:t>
      </w:r>
      <w:r>
        <w:rPr/>
        <w:t>al</w:t>
      </w:r>
      <w:r>
        <w:rPr>
          <w:spacing w:val="-17"/>
        </w:rPr>
        <w:t> </w:t>
      </w:r>
      <w:r>
        <w:rPr/>
        <w:t>género</w:t>
      </w:r>
      <w:r>
        <w:rPr>
          <w:spacing w:val="-18"/>
        </w:rPr>
        <w:t> </w:t>
      </w:r>
      <w:r>
        <w:rPr/>
        <w:t>y</w:t>
      </w:r>
      <w:r>
        <w:rPr>
          <w:spacing w:val="-18"/>
        </w:rPr>
        <w:t> </w:t>
      </w:r>
      <w:r>
        <w:rPr/>
        <w:t>discriminación,</w:t>
      </w:r>
      <w:r>
        <w:rPr>
          <w:spacing w:val="-15"/>
        </w:rPr>
        <w:t> </w:t>
      </w:r>
      <w:r>
        <w:rPr/>
        <w:t>consecuencia</w:t>
      </w:r>
      <w:r>
        <w:rPr>
          <w:spacing w:val="-16"/>
        </w:rPr>
        <w:t> </w:t>
      </w:r>
      <w:r>
        <w:rPr/>
        <w:t>del</w:t>
      </w:r>
      <w:r>
        <w:rPr>
          <w:spacing w:val="-17"/>
        </w:rPr>
        <w:t> </w:t>
      </w:r>
      <w:r>
        <w:rPr/>
        <w:t>sistema</w:t>
      </w:r>
      <w:r>
        <w:rPr>
          <w:spacing w:val="-16"/>
        </w:rPr>
        <w:t> </w:t>
      </w:r>
      <w:r>
        <w:rPr/>
        <w:t>sexo/género, lo cual, influye en que el marco jurídico protector de los derechos humanos de las mujeres se torne ineficaz, y por ende que los derechos humanos de las mujeres no sean aplicados y mucho menos</w:t>
      </w:r>
      <w:r>
        <w:rPr>
          <w:spacing w:val="-8"/>
        </w:rPr>
        <w:t> </w:t>
      </w:r>
      <w:r>
        <w:rPr/>
        <w:t>garantizados.</w:t>
      </w:r>
    </w:p>
    <w:p>
      <w:pPr>
        <w:pStyle w:val="BodyText"/>
        <w:spacing w:before="9"/>
        <w:rPr>
          <w:sz w:val="17"/>
        </w:rPr>
      </w:pPr>
    </w:p>
    <w:p>
      <w:pPr>
        <w:pStyle w:val="BodyText"/>
        <w:spacing w:line="360" w:lineRule="auto"/>
        <w:ind w:left="102" w:right="115"/>
        <w:jc w:val="both"/>
      </w:pPr>
      <w:r>
        <w:rPr/>
        <w:t>Ahora</w:t>
      </w:r>
      <w:r>
        <w:rPr>
          <w:spacing w:val="-5"/>
        </w:rPr>
        <w:t> </w:t>
      </w:r>
      <w:r>
        <w:rPr/>
        <w:t>bien,</w:t>
      </w:r>
      <w:r>
        <w:rPr>
          <w:spacing w:val="-6"/>
        </w:rPr>
        <w:t> </w:t>
      </w:r>
      <w:r>
        <w:rPr/>
        <w:t>cuando</w:t>
      </w:r>
      <w:r>
        <w:rPr>
          <w:spacing w:val="-8"/>
        </w:rPr>
        <w:t> </w:t>
      </w:r>
      <w:r>
        <w:rPr/>
        <w:t>hablamos</w:t>
      </w:r>
      <w:r>
        <w:rPr>
          <w:spacing w:val="-5"/>
        </w:rPr>
        <w:t> </w:t>
      </w:r>
      <w:r>
        <w:rPr/>
        <w:t>de</w:t>
      </w:r>
      <w:r>
        <w:rPr>
          <w:spacing w:val="-8"/>
        </w:rPr>
        <w:t> </w:t>
      </w:r>
      <w:r>
        <w:rPr/>
        <w:t>violencia</w:t>
      </w:r>
      <w:r>
        <w:rPr>
          <w:spacing w:val="-5"/>
        </w:rPr>
        <w:t> </w:t>
      </w:r>
      <w:r>
        <w:rPr/>
        <w:t>en</w:t>
      </w:r>
      <w:r>
        <w:rPr>
          <w:spacing w:val="-6"/>
        </w:rPr>
        <w:t> </w:t>
      </w:r>
      <w:r>
        <w:rPr/>
        <w:t>contra</w:t>
      </w:r>
      <w:r>
        <w:rPr>
          <w:spacing w:val="-8"/>
        </w:rPr>
        <w:t> </w:t>
      </w:r>
      <w:r>
        <w:rPr/>
        <w:t>de</w:t>
      </w:r>
      <w:r>
        <w:rPr>
          <w:spacing w:val="-6"/>
        </w:rPr>
        <w:t> </w:t>
      </w:r>
      <w:r>
        <w:rPr/>
        <w:t>las</w:t>
      </w:r>
      <w:r>
        <w:rPr>
          <w:spacing w:val="-8"/>
        </w:rPr>
        <w:t> </w:t>
      </w:r>
      <w:r>
        <w:rPr/>
        <w:t>mujeres,</w:t>
      </w:r>
      <w:r>
        <w:rPr>
          <w:spacing w:val="-7"/>
        </w:rPr>
        <w:t> </w:t>
      </w:r>
      <w:r>
        <w:rPr/>
        <w:t>siempre</w:t>
      </w:r>
      <w:r>
        <w:rPr>
          <w:spacing w:val="-5"/>
        </w:rPr>
        <w:t> </w:t>
      </w:r>
      <w:r>
        <w:rPr/>
        <w:t>pensamos</w:t>
      </w:r>
      <w:r>
        <w:rPr>
          <w:spacing w:val="-8"/>
        </w:rPr>
        <w:t> </w:t>
      </w:r>
      <w:r>
        <w:rPr/>
        <w:t>en mujeres que son víctimas de conductas delictivas como agresión sexual o lesiones, es de reconocer</w:t>
      </w:r>
      <w:r>
        <w:rPr>
          <w:spacing w:val="-11"/>
        </w:rPr>
        <w:t> </w:t>
      </w:r>
      <w:r>
        <w:rPr/>
        <w:t>que</w:t>
      </w:r>
      <w:r>
        <w:rPr>
          <w:spacing w:val="-12"/>
        </w:rPr>
        <w:t> </w:t>
      </w:r>
      <w:r>
        <w:rPr/>
        <w:t>este</w:t>
      </w:r>
      <w:r>
        <w:rPr>
          <w:spacing w:val="-11"/>
        </w:rPr>
        <w:t> </w:t>
      </w:r>
      <w:r>
        <w:rPr/>
        <w:t>tipo</w:t>
      </w:r>
      <w:r>
        <w:rPr>
          <w:spacing w:val="-9"/>
        </w:rPr>
        <w:t> </w:t>
      </w:r>
      <w:r>
        <w:rPr/>
        <w:t>de</w:t>
      </w:r>
      <w:r>
        <w:rPr>
          <w:spacing w:val="-9"/>
        </w:rPr>
        <w:t> </w:t>
      </w:r>
      <w:r>
        <w:rPr/>
        <w:t>violencia</w:t>
      </w:r>
      <w:r>
        <w:rPr>
          <w:spacing w:val="-9"/>
        </w:rPr>
        <w:t> </w:t>
      </w:r>
      <w:r>
        <w:rPr/>
        <w:t>de</w:t>
      </w:r>
      <w:r>
        <w:rPr>
          <w:spacing w:val="-9"/>
        </w:rPr>
        <w:t> </w:t>
      </w:r>
      <w:r>
        <w:rPr/>
        <w:t>género</w:t>
      </w:r>
      <w:r>
        <w:rPr>
          <w:spacing w:val="-9"/>
        </w:rPr>
        <w:t> </w:t>
      </w:r>
      <w:r>
        <w:rPr/>
        <w:t>es</w:t>
      </w:r>
      <w:r>
        <w:rPr>
          <w:spacing w:val="-11"/>
        </w:rPr>
        <w:t> </w:t>
      </w:r>
      <w:r>
        <w:rPr/>
        <w:t>reprobable</w:t>
      </w:r>
      <w:r>
        <w:rPr>
          <w:spacing w:val="-9"/>
        </w:rPr>
        <w:t> </w:t>
      </w:r>
      <w:r>
        <w:rPr/>
        <w:t>y</w:t>
      </w:r>
      <w:r>
        <w:rPr>
          <w:spacing w:val="-11"/>
        </w:rPr>
        <w:t> </w:t>
      </w:r>
      <w:r>
        <w:rPr/>
        <w:t>que</w:t>
      </w:r>
      <w:r>
        <w:rPr>
          <w:spacing w:val="-12"/>
        </w:rPr>
        <w:t> </w:t>
      </w:r>
      <w:r>
        <w:rPr/>
        <w:t>queda</w:t>
      </w:r>
      <w:r>
        <w:rPr>
          <w:spacing w:val="-12"/>
        </w:rPr>
        <w:t> </w:t>
      </w:r>
      <w:r>
        <w:rPr/>
        <w:t>mucho</w:t>
      </w:r>
      <w:r>
        <w:rPr>
          <w:spacing w:val="-9"/>
        </w:rPr>
        <w:t> </w:t>
      </w:r>
      <w:r>
        <w:rPr/>
        <w:t>por</w:t>
      </w:r>
      <w:r>
        <w:rPr>
          <w:spacing w:val="-8"/>
        </w:rPr>
        <w:t> </w:t>
      </w:r>
      <w:r>
        <w:rPr/>
        <w:t>hacer al respecto; sin embargo, existe un sector de la población femenina que de continuo es olvidada, pero que también es víctima de la violencia de género y de los estereotipos sexistas devenidos del patriarcado, me refiero a las mujeres que cometen conductas delictivas o bien que acusadas de cometerlas se enfrentan al sistema de justicia penal. Estas mujeres, son víctimas de violencia de género de tipo estructural, ya que su acceso</w:t>
      </w:r>
      <w:r>
        <w:rPr>
          <w:spacing w:val="-27"/>
        </w:rPr>
        <w:t> </w:t>
      </w:r>
      <w:r>
        <w:rPr/>
        <w:t>a la</w:t>
      </w:r>
      <w:r>
        <w:rPr>
          <w:spacing w:val="45"/>
        </w:rPr>
        <w:t> </w:t>
      </w:r>
      <w:r>
        <w:rPr/>
        <w:t>justicia</w:t>
      </w:r>
      <w:r>
        <w:rPr>
          <w:spacing w:val="45"/>
        </w:rPr>
        <w:t> </w:t>
      </w:r>
      <w:r>
        <w:rPr/>
        <w:t>se</w:t>
      </w:r>
      <w:r>
        <w:rPr>
          <w:spacing w:val="45"/>
        </w:rPr>
        <w:t> </w:t>
      </w:r>
      <w:r>
        <w:rPr/>
        <w:t>ve</w:t>
      </w:r>
      <w:r>
        <w:rPr>
          <w:spacing w:val="45"/>
        </w:rPr>
        <w:t> </w:t>
      </w:r>
      <w:r>
        <w:rPr/>
        <w:t>obstaculizado</w:t>
      </w:r>
      <w:r>
        <w:rPr>
          <w:spacing w:val="45"/>
        </w:rPr>
        <w:t> </w:t>
      </w:r>
      <w:r>
        <w:rPr/>
        <w:t>por</w:t>
      </w:r>
      <w:r>
        <w:rPr>
          <w:spacing w:val="46"/>
        </w:rPr>
        <w:t> </w:t>
      </w:r>
      <w:r>
        <w:rPr/>
        <w:t>estereotipos</w:t>
      </w:r>
      <w:r>
        <w:rPr>
          <w:spacing w:val="43"/>
        </w:rPr>
        <w:t> </w:t>
      </w:r>
      <w:r>
        <w:rPr/>
        <w:t>de</w:t>
      </w:r>
      <w:r>
        <w:rPr>
          <w:spacing w:val="44"/>
        </w:rPr>
        <w:t> </w:t>
      </w:r>
      <w:r>
        <w:rPr/>
        <w:t>quienes</w:t>
      </w:r>
      <w:r>
        <w:rPr>
          <w:spacing w:val="45"/>
        </w:rPr>
        <w:t> </w:t>
      </w:r>
      <w:r>
        <w:rPr/>
        <w:t>intervienen</w:t>
      </w:r>
      <w:r>
        <w:rPr>
          <w:spacing w:val="44"/>
        </w:rPr>
        <w:t> </w:t>
      </w:r>
      <w:r>
        <w:rPr/>
        <w:t>en</w:t>
      </w:r>
      <w:r>
        <w:rPr>
          <w:spacing w:val="44"/>
        </w:rPr>
        <w:t> </w:t>
      </w:r>
      <w:r>
        <w:rPr/>
        <w:t>la</w:t>
      </w:r>
      <w:r>
        <w:rPr>
          <w:spacing w:val="45"/>
        </w:rPr>
        <w:t> </w:t>
      </w:r>
      <w:r>
        <w:rPr/>
        <w:t>actividad</w:t>
      </w:r>
    </w:p>
    <w:p>
      <w:pPr>
        <w:spacing w:after="0" w:line="360" w:lineRule="auto"/>
        <w:jc w:val="both"/>
        <w:sectPr>
          <w:pgSz w:w="12240" w:h="15840"/>
          <w:pgMar w:header="0" w:footer="1002" w:top="1500" w:bottom="1200" w:left="1600" w:right="1580"/>
        </w:sectPr>
      </w:pPr>
    </w:p>
    <w:p>
      <w:pPr>
        <w:pStyle w:val="BodyText"/>
        <w:spacing w:line="360" w:lineRule="auto" w:before="54"/>
        <w:ind w:left="102" w:right="116"/>
        <w:jc w:val="both"/>
      </w:pPr>
      <w:r>
        <w:rPr/>
        <w:t>judicial. Con frecuencia, estas mujeres que cometieron una conducta delictiva y desobedecieron a los cánones de la cultura patriarcal que les requisita ser maternales, bondadosas entre otros estereotipos femeninos de la buena mujer, son discriminadas, excluidas y castigadas por incumplir con el rol asignado.</w:t>
      </w:r>
    </w:p>
    <w:p>
      <w:pPr>
        <w:pStyle w:val="BodyText"/>
        <w:spacing w:before="7"/>
        <w:rPr>
          <w:sz w:val="17"/>
        </w:rPr>
      </w:pPr>
    </w:p>
    <w:p>
      <w:pPr>
        <w:pStyle w:val="BodyText"/>
        <w:spacing w:line="360" w:lineRule="auto"/>
        <w:ind w:left="102" w:right="114"/>
        <w:jc w:val="both"/>
      </w:pPr>
      <w:r>
        <w:rPr/>
        <w:t>Las circunstancias señaladas con anterioridad, dejan en un estado de inseguridad jurídica a las mujeres que cometen conductas delictivas o que son acusadas de hacerlo. Ahora bien, si a esto le añadimos una inadecuada defensa debido a la ineptitud técnica de los y las profesionales del derecho que se encargan de defender a las mujeres indiciadas, tenemos como resultado que las mujeres que cometen conductas delictivas están siendo víctimas del sistema de justicia penal por razón de su género, se está pues ante una situación en la que no tienen garantizado un adecuado acceso a la justicia y en la que evidentemente se transgreden sus derechos humanos.</w:t>
      </w:r>
    </w:p>
    <w:p>
      <w:pPr>
        <w:pStyle w:val="BodyText"/>
        <w:spacing w:before="7"/>
        <w:rPr>
          <w:sz w:val="17"/>
        </w:rPr>
      </w:pPr>
    </w:p>
    <w:p>
      <w:pPr>
        <w:pStyle w:val="BodyText"/>
        <w:spacing w:line="360" w:lineRule="auto"/>
        <w:ind w:left="102" w:right="118"/>
        <w:jc w:val="both"/>
      </w:pPr>
      <w:r>
        <w:rPr/>
        <w:t>En el presente trabajo, se tiene como propósito central mostrar que una inadecuada defensa ocasiona la violación de los derechos humanos en contra de las mujeres. En particular, este proyecto, se presenta con el objetivo de que las mujeres indiciadas tengan un adecuado acceso a la justicia dentro del procedimiento penal en el que son sometidas. Con</w:t>
      </w:r>
      <w:r>
        <w:rPr>
          <w:spacing w:val="-13"/>
        </w:rPr>
        <w:t> </w:t>
      </w:r>
      <w:r>
        <w:rPr/>
        <w:t>este</w:t>
      </w:r>
      <w:r>
        <w:rPr>
          <w:spacing w:val="-14"/>
        </w:rPr>
        <w:t> </w:t>
      </w:r>
      <w:r>
        <w:rPr/>
        <w:t>trabajo</w:t>
      </w:r>
      <w:r>
        <w:rPr>
          <w:spacing w:val="-15"/>
        </w:rPr>
        <w:t> </w:t>
      </w:r>
      <w:r>
        <w:rPr/>
        <w:t>pretendo</w:t>
      </w:r>
      <w:r>
        <w:rPr>
          <w:spacing w:val="-12"/>
        </w:rPr>
        <w:t> </w:t>
      </w:r>
      <w:r>
        <w:rPr/>
        <w:t>aportar</w:t>
      </w:r>
      <w:r>
        <w:rPr>
          <w:spacing w:val="-12"/>
        </w:rPr>
        <w:t> </w:t>
      </w:r>
      <w:r>
        <w:rPr/>
        <w:t>en</w:t>
      </w:r>
      <w:r>
        <w:rPr>
          <w:spacing w:val="-15"/>
        </w:rPr>
        <w:t> </w:t>
      </w:r>
      <w:r>
        <w:rPr/>
        <w:t>algo</w:t>
      </w:r>
      <w:r>
        <w:rPr>
          <w:spacing w:val="-13"/>
        </w:rPr>
        <w:t> </w:t>
      </w:r>
      <w:r>
        <w:rPr/>
        <w:t>a</w:t>
      </w:r>
      <w:r>
        <w:rPr>
          <w:spacing w:val="-15"/>
        </w:rPr>
        <w:t> </w:t>
      </w:r>
      <w:r>
        <w:rPr/>
        <w:t>que</w:t>
      </w:r>
      <w:r>
        <w:rPr>
          <w:spacing w:val="-15"/>
        </w:rPr>
        <w:t> </w:t>
      </w:r>
      <w:r>
        <w:rPr/>
        <w:t>las</w:t>
      </w:r>
      <w:r>
        <w:rPr>
          <w:spacing w:val="-12"/>
        </w:rPr>
        <w:t> </w:t>
      </w:r>
      <w:r>
        <w:rPr/>
        <w:t>mujeres</w:t>
      </w:r>
      <w:r>
        <w:rPr>
          <w:spacing w:val="-12"/>
        </w:rPr>
        <w:t> </w:t>
      </w:r>
      <w:r>
        <w:rPr/>
        <w:t>en</w:t>
      </w:r>
      <w:r>
        <w:rPr>
          <w:spacing w:val="-13"/>
        </w:rPr>
        <w:t> </w:t>
      </w:r>
      <w:r>
        <w:rPr/>
        <w:t>esta</w:t>
      </w:r>
      <w:r>
        <w:rPr>
          <w:spacing w:val="-15"/>
        </w:rPr>
        <w:t> </w:t>
      </w:r>
      <w:r>
        <w:rPr/>
        <w:t>situación,</w:t>
      </w:r>
      <w:r>
        <w:rPr>
          <w:spacing w:val="-11"/>
        </w:rPr>
        <w:t> </w:t>
      </w:r>
      <w:r>
        <w:rPr/>
        <w:t>puedan</w:t>
      </w:r>
      <w:r>
        <w:rPr>
          <w:spacing w:val="-15"/>
        </w:rPr>
        <w:t> </w:t>
      </w:r>
      <w:r>
        <w:rPr/>
        <w:t>tener sentencias</w:t>
      </w:r>
      <w:r>
        <w:rPr>
          <w:spacing w:val="-13"/>
        </w:rPr>
        <w:t> </w:t>
      </w:r>
      <w:r>
        <w:rPr/>
        <w:t>justas</w:t>
      </w:r>
      <w:r>
        <w:rPr>
          <w:spacing w:val="-11"/>
        </w:rPr>
        <w:t> </w:t>
      </w:r>
      <w:r>
        <w:rPr/>
        <w:t>alejadas</w:t>
      </w:r>
      <w:r>
        <w:rPr>
          <w:spacing w:val="-11"/>
        </w:rPr>
        <w:t> </w:t>
      </w:r>
      <w:r>
        <w:rPr/>
        <w:t>prejuicios</w:t>
      </w:r>
      <w:r>
        <w:rPr>
          <w:spacing w:val="-11"/>
        </w:rPr>
        <w:t> </w:t>
      </w:r>
      <w:r>
        <w:rPr/>
        <w:t>y</w:t>
      </w:r>
      <w:r>
        <w:rPr>
          <w:spacing w:val="-13"/>
        </w:rPr>
        <w:t> </w:t>
      </w:r>
      <w:r>
        <w:rPr/>
        <w:t>estereotipos</w:t>
      </w:r>
      <w:r>
        <w:rPr>
          <w:spacing w:val="-11"/>
        </w:rPr>
        <w:t> </w:t>
      </w:r>
      <w:r>
        <w:rPr/>
        <w:t>por</w:t>
      </w:r>
      <w:r>
        <w:rPr>
          <w:spacing w:val="-12"/>
        </w:rPr>
        <w:t> </w:t>
      </w:r>
      <w:r>
        <w:rPr/>
        <w:t>razón</w:t>
      </w:r>
      <w:r>
        <w:rPr>
          <w:spacing w:val="-11"/>
        </w:rPr>
        <w:t> </w:t>
      </w:r>
      <w:r>
        <w:rPr/>
        <w:t>de</w:t>
      </w:r>
      <w:r>
        <w:rPr>
          <w:spacing w:val="-14"/>
        </w:rPr>
        <w:t> </w:t>
      </w:r>
      <w:r>
        <w:rPr/>
        <w:t>su</w:t>
      </w:r>
      <w:r>
        <w:rPr>
          <w:spacing w:val="-13"/>
        </w:rPr>
        <w:t> </w:t>
      </w:r>
      <w:r>
        <w:rPr/>
        <w:t>género,</w:t>
      </w:r>
      <w:r>
        <w:rPr>
          <w:spacing w:val="-10"/>
        </w:rPr>
        <w:t> </w:t>
      </w:r>
      <w:r>
        <w:rPr/>
        <w:t>lo</w:t>
      </w:r>
      <w:r>
        <w:rPr>
          <w:spacing w:val="-13"/>
        </w:rPr>
        <w:t> </w:t>
      </w:r>
      <w:r>
        <w:rPr/>
        <w:t>que</w:t>
      </w:r>
      <w:r>
        <w:rPr>
          <w:spacing w:val="-14"/>
        </w:rPr>
        <w:t> </w:t>
      </w:r>
      <w:r>
        <w:rPr/>
        <w:t>permitirá que sus derechos humanos sean tutelados. Este proyecto surge del análisis a partir de la perspectiva de género de la situación de las mujeres que cometen conductas delictivas, a quienes con mucha frecuencia son sancionadas por ser mujeres trasgresoras de su estereotipo y no exactamente por el delito</w:t>
      </w:r>
      <w:r>
        <w:rPr>
          <w:spacing w:val="-17"/>
        </w:rPr>
        <w:t> </w:t>
      </w:r>
      <w:r>
        <w:rPr/>
        <w:t>cometido.</w:t>
      </w:r>
    </w:p>
    <w:p>
      <w:pPr>
        <w:pStyle w:val="BodyText"/>
        <w:spacing w:before="10"/>
        <w:rPr>
          <w:sz w:val="17"/>
        </w:rPr>
      </w:pPr>
    </w:p>
    <w:p>
      <w:pPr>
        <w:pStyle w:val="BodyText"/>
        <w:spacing w:line="360" w:lineRule="auto"/>
        <w:ind w:left="102" w:right="117"/>
        <w:jc w:val="both"/>
      </w:pPr>
      <w:r>
        <w:rPr/>
        <w:t>Este trabajo se divide en tres partes. En el primer apartado se aborda el marco conceptual base del Proyecto terminal, cuya espina dorsal es la perspectiva de género, a partir de la cual se analizan los elementos teóricos necesarios en la defensa penal de las mujeres indiciadas.</w:t>
      </w:r>
    </w:p>
    <w:p>
      <w:pPr>
        <w:pStyle w:val="BodyText"/>
        <w:spacing w:before="9"/>
        <w:rPr>
          <w:sz w:val="17"/>
        </w:rPr>
      </w:pPr>
    </w:p>
    <w:p>
      <w:pPr>
        <w:pStyle w:val="BodyText"/>
        <w:spacing w:line="360" w:lineRule="auto"/>
        <w:ind w:left="102" w:right="116"/>
        <w:jc w:val="both"/>
      </w:pPr>
      <w:r>
        <w:rPr/>
        <w:t>En el segundo, se desarrolla el diagnóstico, describiendo la estrategia metodológica utilizada y los resultados a los que se llegaron, a partir de los cuales se obtuvieron datos necesarios para la elaboración del trabajo.</w:t>
      </w:r>
    </w:p>
    <w:p>
      <w:pPr>
        <w:pStyle w:val="BodyText"/>
        <w:spacing w:before="7"/>
        <w:rPr>
          <w:sz w:val="17"/>
        </w:rPr>
      </w:pPr>
    </w:p>
    <w:p>
      <w:pPr>
        <w:pStyle w:val="BodyText"/>
        <w:spacing w:line="360" w:lineRule="auto"/>
        <w:ind w:left="102" w:right="119"/>
        <w:jc w:val="both"/>
      </w:pPr>
      <w:r>
        <w:rPr/>
        <w:t>Finalmente se describe la propuesta de intervención al problema, como producto del diagnóstico realizado, siendo esta propuesta un proyecto social con enfoque de género,</w:t>
      </w:r>
    </w:p>
    <w:p>
      <w:pPr>
        <w:spacing w:after="0" w:line="360" w:lineRule="auto"/>
        <w:jc w:val="both"/>
        <w:sectPr>
          <w:pgSz w:w="12240" w:h="15840"/>
          <w:pgMar w:header="0" w:footer="1002" w:top="1360" w:bottom="1200" w:left="1600" w:right="1580"/>
        </w:sectPr>
      </w:pPr>
    </w:p>
    <w:p>
      <w:pPr>
        <w:pStyle w:val="BodyText"/>
        <w:spacing w:line="362" w:lineRule="auto" w:before="54"/>
        <w:ind w:left="102" w:right="96"/>
      </w:pPr>
      <w:r>
        <w:rPr/>
        <w:t>tendiente a dar tratamiento a los obstáculos a los que se enfrentan las mujeres para tener acceso a la justicia.</w:t>
      </w:r>
    </w:p>
    <w:p>
      <w:pPr>
        <w:spacing w:after="0" w:line="362" w:lineRule="auto"/>
        <w:sectPr>
          <w:pgSz w:w="12240" w:h="15840"/>
          <w:pgMar w:header="0" w:footer="1002" w:top="1360" w:bottom="1200" w:left="1600" w:right="1580"/>
        </w:sectPr>
      </w:pPr>
    </w:p>
    <w:p>
      <w:pPr>
        <w:pStyle w:val="BodyText"/>
        <w:rPr>
          <w:sz w:val="20"/>
        </w:rPr>
      </w:pPr>
    </w:p>
    <w:p>
      <w:pPr>
        <w:pStyle w:val="BodyText"/>
        <w:spacing w:before="5"/>
        <w:rPr>
          <w:sz w:val="16"/>
        </w:rPr>
      </w:pPr>
    </w:p>
    <w:p>
      <w:pPr>
        <w:pStyle w:val="Heading8"/>
        <w:numPr>
          <w:ilvl w:val="0"/>
          <w:numId w:val="1"/>
        </w:numPr>
        <w:tabs>
          <w:tab w:pos="810" w:val="left" w:leader="none"/>
        </w:tabs>
        <w:spacing w:line="240" w:lineRule="auto" w:before="73" w:after="0"/>
        <w:ind w:left="810" w:right="0" w:hanging="708"/>
        <w:jc w:val="both"/>
        <w:rPr>
          <w:rFonts w:ascii="Arial" w:hAnsi="Arial"/>
        </w:rPr>
      </w:pPr>
      <w:r>
        <w:rPr>
          <w:rFonts w:ascii="Arial" w:hAnsi="Arial"/>
        </w:rPr>
        <w:t>PROBLEMATIZACIÓN</w:t>
      </w:r>
    </w:p>
    <w:p>
      <w:pPr>
        <w:pStyle w:val="BodyText"/>
        <w:spacing w:before="5"/>
        <w:rPr>
          <w:b/>
          <w:sz w:val="28"/>
        </w:rPr>
      </w:pPr>
    </w:p>
    <w:p>
      <w:pPr>
        <w:pStyle w:val="BodyText"/>
        <w:spacing w:line="360" w:lineRule="auto" w:before="1"/>
        <w:ind w:left="102" w:right="118"/>
        <w:jc w:val="both"/>
      </w:pPr>
      <w:r>
        <w:rPr/>
        <w:t>Las reformas constitucionales del 10 de junio del 2011, obligan al Estado mexicano al reconocimiento</w:t>
      </w:r>
      <w:r>
        <w:rPr>
          <w:spacing w:val="-9"/>
        </w:rPr>
        <w:t> </w:t>
      </w:r>
      <w:r>
        <w:rPr/>
        <w:t>de</w:t>
      </w:r>
      <w:r>
        <w:rPr>
          <w:spacing w:val="-9"/>
        </w:rPr>
        <w:t> </w:t>
      </w:r>
      <w:r>
        <w:rPr/>
        <w:t>los</w:t>
      </w:r>
      <w:r>
        <w:rPr>
          <w:spacing w:val="-6"/>
        </w:rPr>
        <w:t> </w:t>
      </w:r>
      <w:r>
        <w:rPr/>
        <w:t>derechos</w:t>
      </w:r>
      <w:r>
        <w:rPr>
          <w:spacing w:val="-6"/>
        </w:rPr>
        <w:t> </w:t>
      </w:r>
      <w:r>
        <w:rPr/>
        <w:t>humanos</w:t>
      </w:r>
      <w:r>
        <w:rPr>
          <w:spacing w:val="-9"/>
        </w:rPr>
        <w:t> </w:t>
      </w:r>
      <w:r>
        <w:rPr/>
        <w:t>de</w:t>
      </w:r>
      <w:r>
        <w:rPr>
          <w:spacing w:val="-9"/>
        </w:rPr>
        <w:t> </w:t>
      </w:r>
      <w:r>
        <w:rPr/>
        <w:t>todas</w:t>
      </w:r>
      <w:r>
        <w:rPr>
          <w:spacing w:val="-6"/>
        </w:rPr>
        <w:t> </w:t>
      </w:r>
      <w:r>
        <w:rPr/>
        <w:t>las</w:t>
      </w:r>
      <w:r>
        <w:rPr>
          <w:spacing w:val="-6"/>
        </w:rPr>
        <w:t> </w:t>
      </w:r>
      <w:r>
        <w:rPr/>
        <w:t>personas</w:t>
      </w:r>
      <w:r>
        <w:rPr>
          <w:spacing w:val="-11"/>
        </w:rPr>
        <w:t> </w:t>
      </w:r>
      <w:r>
        <w:rPr/>
        <w:t>que</w:t>
      </w:r>
      <w:r>
        <w:rPr>
          <w:spacing w:val="-7"/>
        </w:rPr>
        <w:t> </w:t>
      </w:r>
      <w:r>
        <w:rPr/>
        <w:t>habitan</w:t>
      </w:r>
      <w:r>
        <w:rPr>
          <w:spacing w:val="-7"/>
        </w:rPr>
        <w:t> </w:t>
      </w:r>
      <w:r>
        <w:rPr/>
        <w:t>en</w:t>
      </w:r>
      <w:r>
        <w:rPr>
          <w:spacing w:val="-7"/>
        </w:rPr>
        <w:t> </w:t>
      </w:r>
      <w:r>
        <w:rPr/>
        <w:t>el</w:t>
      </w:r>
      <w:r>
        <w:rPr>
          <w:spacing w:val="-10"/>
        </w:rPr>
        <w:t> </w:t>
      </w:r>
      <w:r>
        <w:rPr/>
        <w:t>territorio mexicano, no sólo de aquellos que se encuentran expresamente reconocidos en la Constitución, sino también de aquellos que se encuentran en los Tratados Internacionales en los que el Estado mexicano sea</w:t>
      </w:r>
      <w:r>
        <w:rPr>
          <w:spacing w:val="-11"/>
        </w:rPr>
        <w:t> </w:t>
      </w:r>
      <w:r>
        <w:rPr/>
        <w:t>parte.</w:t>
      </w:r>
    </w:p>
    <w:p>
      <w:pPr>
        <w:pStyle w:val="BodyText"/>
        <w:spacing w:before="7"/>
        <w:rPr>
          <w:sz w:val="17"/>
        </w:rPr>
      </w:pPr>
    </w:p>
    <w:p>
      <w:pPr>
        <w:pStyle w:val="BodyText"/>
        <w:spacing w:line="360" w:lineRule="auto"/>
        <w:ind w:left="102" w:right="119"/>
        <w:jc w:val="both"/>
      </w:pPr>
      <w:r>
        <w:rPr/>
        <w:t>Al</w:t>
      </w:r>
      <w:r>
        <w:rPr>
          <w:spacing w:val="-11"/>
        </w:rPr>
        <w:t> </w:t>
      </w:r>
      <w:r>
        <w:rPr/>
        <w:t>respecto,</w:t>
      </w:r>
      <w:r>
        <w:rPr>
          <w:spacing w:val="-11"/>
        </w:rPr>
        <w:t> </w:t>
      </w:r>
      <w:r>
        <w:rPr/>
        <w:t>el</w:t>
      </w:r>
      <w:r>
        <w:rPr>
          <w:spacing w:val="-11"/>
        </w:rPr>
        <w:t> </w:t>
      </w:r>
      <w:r>
        <w:rPr/>
        <w:t>artículo</w:t>
      </w:r>
      <w:r>
        <w:rPr>
          <w:spacing w:val="-10"/>
        </w:rPr>
        <w:t> </w:t>
      </w:r>
      <w:r>
        <w:rPr/>
        <w:t>primero</w:t>
      </w:r>
      <w:r>
        <w:rPr>
          <w:spacing w:val="-12"/>
        </w:rPr>
        <w:t> </w:t>
      </w:r>
      <w:r>
        <w:rPr/>
        <w:t>de</w:t>
      </w:r>
      <w:r>
        <w:rPr>
          <w:spacing w:val="-12"/>
        </w:rPr>
        <w:t> </w:t>
      </w:r>
      <w:r>
        <w:rPr/>
        <w:t>la</w:t>
      </w:r>
      <w:r>
        <w:rPr>
          <w:spacing w:val="-10"/>
        </w:rPr>
        <w:t> </w:t>
      </w:r>
      <w:r>
        <w:rPr/>
        <w:t>Constitución</w:t>
      </w:r>
      <w:r>
        <w:rPr>
          <w:spacing w:val="-11"/>
        </w:rPr>
        <w:t> </w:t>
      </w:r>
      <w:r>
        <w:rPr/>
        <w:t>Política</w:t>
      </w:r>
      <w:r>
        <w:rPr>
          <w:spacing w:val="-10"/>
        </w:rPr>
        <w:t> </w:t>
      </w:r>
      <w:r>
        <w:rPr/>
        <w:t>de</w:t>
      </w:r>
      <w:r>
        <w:rPr>
          <w:spacing w:val="-10"/>
        </w:rPr>
        <w:t> </w:t>
      </w:r>
      <w:r>
        <w:rPr/>
        <w:t>los</w:t>
      </w:r>
      <w:r>
        <w:rPr>
          <w:spacing w:val="-10"/>
        </w:rPr>
        <w:t> </w:t>
      </w:r>
      <w:r>
        <w:rPr/>
        <w:t>Estados</w:t>
      </w:r>
      <w:r>
        <w:rPr>
          <w:spacing w:val="-12"/>
        </w:rPr>
        <w:t> </w:t>
      </w:r>
      <w:r>
        <w:rPr/>
        <w:t>Unidos</w:t>
      </w:r>
      <w:r>
        <w:rPr>
          <w:spacing w:val="-9"/>
        </w:rPr>
        <w:t> </w:t>
      </w:r>
      <w:r>
        <w:rPr/>
        <w:t>Mexicanos señala:</w:t>
      </w:r>
    </w:p>
    <w:p>
      <w:pPr>
        <w:pStyle w:val="BodyText"/>
        <w:spacing w:before="9"/>
        <w:rPr>
          <w:sz w:val="17"/>
        </w:rPr>
      </w:pPr>
    </w:p>
    <w:p>
      <w:pPr>
        <w:spacing w:line="360" w:lineRule="auto" w:before="0"/>
        <w:ind w:left="668" w:right="688" w:firstLine="0"/>
        <w:jc w:val="both"/>
        <w:rPr>
          <w:sz w:val="20"/>
        </w:rPr>
      </w:pPr>
      <w:r>
        <w:rPr>
          <w:sz w:val="20"/>
        </w:rPr>
        <w:t>Artículo 1º. En los Estados Unidos Mexicanos todas las personas gozarán de los derechos humanos reconocidos en esta Constitución y en los tratados internacionales de</w:t>
      </w:r>
      <w:r>
        <w:rPr>
          <w:spacing w:val="-5"/>
          <w:sz w:val="20"/>
        </w:rPr>
        <w:t> </w:t>
      </w:r>
      <w:r>
        <w:rPr>
          <w:sz w:val="20"/>
        </w:rPr>
        <w:t>los</w:t>
      </w:r>
      <w:r>
        <w:rPr>
          <w:spacing w:val="-6"/>
          <w:sz w:val="20"/>
        </w:rPr>
        <w:t> </w:t>
      </w:r>
      <w:r>
        <w:rPr>
          <w:sz w:val="20"/>
        </w:rPr>
        <w:t>que</w:t>
      </w:r>
      <w:r>
        <w:rPr>
          <w:spacing w:val="-7"/>
          <w:sz w:val="20"/>
        </w:rPr>
        <w:t> </w:t>
      </w:r>
      <w:r>
        <w:rPr>
          <w:sz w:val="20"/>
        </w:rPr>
        <w:t>el</w:t>
      </w:r>
      <w:r>
        <w:rPr>
          <w:spacing w:val="-5"/>
          <w:sz w:val="20"/>
        </w:rPr>
        <w:t> </w:t>
      </w:r>
      <w:r>
        <w:rPr>
          <w:sz w:val="20"/>
        </w:rPr>
        <w:t>Estado</w:t>
      </w:r>
      <w:r>
        <w:rPr>
          <w:spacing w:val="-7"/>
          <w:sz w:val="20"/>
        </w:rPr>
        <w:t> </w:t>
      </w:r>
      <w:r>
        <w:rPr>
          <w:sz w:val="20"/>
        </w:rPr>
        <w:t>Mexicano</w:t>
      </w:r>
      <w:r>
        <w:rPr>
          <w:spacing w:val="-7"/>
          <w:sz w:val="20"/>
        </w:rPr>
        <w:t> </w:t>
      </w:r>
      <w:r>
        <w:rPr>
          <w:sz w:val="20"/>
        </w:rPr>
        <w:t>sea</w:t>
      </w:r>
      <w:r>
        <w:rPr>
          <w:spacing w:val="-7"/>
          <w:sz w:val="20"/>
        </w:rPr>
        <w:t> </w:t>
      </w:r>
      <w:r>
        <w:rPr>
          <w:sz w:val="20"/>
        </w:rPr>
        <w:t>parte,</w:t>
      </w:r>
      <w:r>
        <w:rPr>
          <w:spacing w:val="-4"/>
          <w:sz w:val="20"/>
        </w:rPr>
        <w:t> </w:t>
      </w:r>
      <w:r>
        <w:rPr>
          <w:sz w:val="20"/>
        </w:rPr>
        <w:t>así</w:t>
      </w:r>
      <w:r>
        <w:rPr>
          <w:spacing w:val="-7"/>
          <w:sz w:val="20"/>
        </w:rPr>
        <w:t> </w:t>
      </w:r>
      <w:r>
        <w:rPr>
          <w:sz w:val="20"/>
        </w:rPr>
        <w:t>como</w:t>
      </w:r>
      <w:r>
        <w:rPr>
          <w:spacing w:val="-7"/>
          <w:sz w:val="20"/>
        </w:rPr>
        <w:t> </w:t>
      </w:r>
      <w:r>
        <w:rPr>
          <w:sz w:val="20"/>
        </w:rPr>
        <w:t>de</w:t>
      </w:r>
      <w:r>
        <w:rPr>
          <w:spacing w:val="-5"/>
          <w:sz w:val="20"/>
        </w:rPr>
        <w:t> </w:t>
      </w:r>
      <w:r>
        <w:rPr>
          <w:sz w:val="20"/>
        </w:rPr>
        <w:t>las</w:t>
      </w:r>
      <w:r>
        <w:rPr>
          <w:spacing w:val="-6"/>
          <w:sz w:val="20"/>
        </w:rPr>
        <w:t> </w:t>
      </w:r>
      <w:r>
        <w:rPr>
          <w:sz w:val="20"/>
        </w:rPr>
        <w:t>garantías</w:t>
      </w:r>
      <w:r>
        <w:rPr>
          <w:spacing w:val="-6"/>
          <w:sz w:val="20"/>
        </w:rPr>
        <w:t> </w:t>
      </w:r>
      <w:r>
        <w:rPr>
          <w:sz w:val="20"/>
        </w:rPr>
        <w:t>para</w:t>
      </w:r>
      <w:r>
        <w:rPr>
          <w:spacing w:val="-5"/>
          <w:sz w:val="20"/>
        </w:rPr>
        <w:t> </w:t>
      </w:r>
      <w:r>
        <w:rPr>
          <w:sz w:val="20"/>
        </w:rPr>
        <w:t>su</w:t>
      </w:r>
      <w:r>
        <w:rPr>
          <w:spacing w:val="-7"/>
          <w:sz w:val="20"/>
        </w:rPr>
        <w:t> </w:t>
      </w:r>
      <w:r>
        <w:rPr>
          <w:sz w:val="20"/>
        </w:rPr>
        <w:t>protección, cuyo ejercicio no podrá restringirse ni suspenderse, salvo en los casos y bajo las condiciones que esta Constitución</w:t>
      </w:r>
      <w:r>
        <w:rPr>
          <w:spacing w:val="-12"/>
          <w:sz w:val="20"/>
        </w:rPr>
        <w:t> </w:t>
      </w:r>
      <w:r>
        <w:rPr>
          <w:sz w:val="20"/>
        </w:rPr>
        <w:t>establece.</w:t>
      </w:r>
    </w:p>
    <w:p>
      <w:pPr>
        <w:spacing w:line="360" w:lineRule="auto" w:before="1"/>
        <w:ind w:left="668" w:right="688" w:firstLine="0"/>
        <w:jc w:val="both"/>
        <w:rPr>
          <w:sz w:val="20"/>
        </w:rPr>
      </w:pPr>
      <w:r>
        <w:rPr>
          <w:sz w:val="20"/>
        </w:rPr>
        <w:t>Las</w:t>
      </w:r>
      <w:r>
        <w:rPr>
          <w:spacing w:val="-9"/>
          <w:sz w:val="20"/>
        </w:rPr>
        <w:t> </w:t>
      </w:r>
      <w:r>
        <w:rPr>
          <w:sz w:val="20"/>
        </w:rPr>
        <w:t>normas</w:t>
      </w:r>
      <w:r>
        <w:rPr>
          <w:spacing w:val="-9"/>
          <w:sz w:val="20"/>
        </w:rPr>
        <w:t> </w:t>
      </w:r>
      <w:r>
        <w:rPr>
          <w:sz w:val="20"/>
        </w:rPr>
        <w:t>relativas</w:t>
      </w:r>
      <w:r>
        <w:rPr>
          <w:spacing w:val="-9"/>
          <w:sz w:val="20"/>
        </w:rPr>
        <w:t> </w:t>
      </w:r>
      <w:r>
        <w:rPr>
          <w:sz w:val="20"/>
        </w:rPr>
        <w:t>a</w:t>
      </w:r>
      <w:r>
        <w:rPr>
          <w:spacing w:val="-8"/>
          <w:sz w:val="20"/>
        </w:rPr>
        <w:t> </w:t>
      </w:r>
      <w:r>
        <w:rPr>
          <w:sz w:val="20"/>
        </w:rPr>
        <w:t>los</w:t>
      </w:r>
      <w:r>
        <w:rPr>
          <w:spacing w:val="-7"/>
          <w:sz w:val="20"/>
        </w:rPr>
        <w:t> </w:t>
      </w:r>
      <w:r>
        <w:rPr>
          <w:sz w:val="20"/>
        </w:rPr>
        <w:t>derechos</w:t>
      </w:r>
      <w:r>
        <w:rPr>
          <w:spacing w:val="-7"/>
          <w:sz w:val="20"/>
        </w:rPr>
        <w:t> </w:t>
      </w:r>
      <w:r>
        <w:rPr>
          <w:sz w:val="20"/>
        </w:rPr>
        <w:t>humanos</w:t>
      </w:r>
      <w:r>
        <w:rPr>
          <w:spacing w:val="-9"/>
          <w:sz w:val="20"/>
        </w:rPr>
        <w:t> </w:t>
      </w:r>
      <w:r>
        <w:rPr>
          <w:sz w:val="20"/>
        </w:rPr>
        <w:t>se</w:t>
      </w:r>
      <w:r>
        <w:rPr>
          <w:spacing w:val="-8"/>
          <w:sz w:val="20"/>
        </w:rPr>
        <w:t> </w:t>
      </w:r>
      <w:r>
        <w:rPr>
          <w:sz w:val="20"/>
        </w:rPr>
        <w:t>interpretarán</w:t>
      </w:r>
      <w:r>
        <w:rPr>
          <w:spacing w:val="-8"/>
          <w:sz w:val="20"/>
        </w:rPr>
        <w:t> </w:t>
      </w:r>
      <w:r>
        <w:rPr>
          <w:sz w:val="20"/>
        </w:rPr>
        <w:t>de</w:t>
      </w:r>
      <w:r>
        <w:rPr>
          <w:spacing w:val="-10"/>
          <w:sz w:val="20"/>
        </w:rPr>
        <w:t> </w:t>
      </w:r>
      <w:r>
        <w:rPr>
          <w:sz w:val="20"/>
        </w:rPr>
        <w:t>conformidad</w:t>
      </w:r>
      <w:r>
        <w:rPr>
          <w:spacing w:val="-10"/>
          <w:sz w:val="20"/>
        </w:rPr>
        <w:t> </w:t>
      </w:r>
      <w:r>
        <w:rPr>
          <w:sz w:val="20"/>
        </w:rPr>
        <w:t>con</w:t>
      </w:r>
      <w:r>
        <w:rPr>
          <w:spacing w:val="-10"/>
          <w:sz w:val="20"/>
        </w:rPr>
        <w:t> </w:t>
      </w:r>
      <w:r>
        <w:rPr>
          <w:sz w:val="20"/>
        </w:rPr>
        <w:t>esta Constitución y con los tratados internacionales de la materia, favoreciendo en todo tiempo a las personas la protección más</w:t>
      </w:r>
      <w:r>
        <w:rPr>
          <w:spacing w:val="-11"/>
          <w:sz w:val="20"/>
        </w:rPr>
        <w:t> </w:t>
      </w:r>
      <w:r>
        <w:rPr>
          <w:sz w:val="20"/>
        </w:rPr>
        <w:t>amplia.</w:t>
      </w:r>
    </w:p>
    <w:p>
      <w:pPr>
        <w:spacing w:line="360" w:lineRule="auto" w:before="4"/>
        <w:ind w:left="668" w:right="686" w:firstLine="0"/>
        <w:jc w:val="both"/>
        <w:rPr>
          <w:sz w:val="20"/>
        </w:rPr>
      </w:pPr>
      <w:r>
        <w:rPr>
          <w:sz w:val="20"/>
        </w:rPr>
        <w:t>Todas las autoridades, en el ámbito de sus competencias, tienen la obligación de promover, respetar, proteger y garantizar los derechos humanos de conformidad con los principios de universalidad, interdependencia, indivisibilidad y progresividad. En consecuencia,</w:t>
      </w:r>
      <w:r>
        <w:rPr>
          <w:spacing w:val="-12"/>
          <w:sz w:val="20"/>
        </w:rPr>
        <w:t> </w:t>
      </w:r>
      <w:r>
        <w:rPr>
          <w:sz w:val="20"/>
        </w:rPr>
        <w:t>el</w:t>
      </w:r>
      <w:r>
        <w:rPr>
          <w:spacing w:val="-12"/>
          <w:sz w:val="20"/>
        </w:rPr>
        <w:t> </w:t>
      </w:r>
      <w:r>
        <w:rPr>
          <w:sz w:val="20"/>
        </w:rPr>
        <w:t>Estado</w:t>
      </w:r>
      <w:r>
        <w:rPr>
          <w:spacing w:val="-12"/>
          <w:sz w:val="20"/>
        </w:rPr>
        <w:t> </w:t>
      </w:r>
      <w:r>
        <w:rPr>
          <w:sz w:val="20"/>
        </w:rPr>
        <w:t>deberá</w:t>
      </w:r>
      <w:r>
        <w:rPr>
          <w:spacing w:val="-11"/>
          <w:sz w:val="20"/>
        </w:rPr>
        <w:t> </w:t>
      </w:r>
      <w:r>
        <w:rPr>
          <w:sz w:val="20"/>
        </w:rPr>
        <w:t>prevenir,</w:t>
      </w:r>
      <w:r>
        <w:rPr>
          <w:spacing w:val="-11"/>
          <w:sz w:val="20"/>
        </w:rPr>
        <w:t> </w:t>
      </w:r>
      <w:r>
        <w:rPr>
          <w:sz w:val="20"/>
        </w:rPr>
        <w:t>investigar,</w:t>
      </w:r>
      <w:r>
        <w:rPr>
          <w:spacing w:val="-11"/>
          <w:sz w:val="20"/>
        </w:rPr>
        <w:t> </w:t>
      </w:r>
      <w:r>
        <w:rPr>
          <w:sz w:val="20"/>
        </w:rPr>
        <w:t>sancionar</w:t>
      </w:r>
      <w:r>
        <w:rPr>
          <w:spacing w:val="-8"/>
          <w:sz w:val="20"/>
        </w:rPr>
        <w:t> </w:t>
      </w:r>
      <w:r>
        <w:rPr>
          <w:sz w:val="20"/>
        </w:rPr>
        <w:t>y</w:t>
      </w:r>
      <w:r>
        <w:rPr>
          <w:spacing w:val="-15"/>
          <w:sz w:val="20"/>
        </w:rPr>
        <w:t> </w:t>
      </w:r>
      <w:r>
        <w:rPr>
          <w:sz w:val="20"/>
        </w:rPr>
        <w:t>reparar</w:t>
      </w:r>
      <w:r>
        <w:rPr>
          <w:spacing w:val="-10"/>
          <w:sz w:val="20"/>
        </w:rPr>
        <w:t> </w:t>
      </w:r>
      <w:r>
        <w:rPr>
          <w:sz w:val="20"/>
        </w:rPr>
        <w:t>las</w:t>
      </w:r>
      <w:r>
        <w:rPr>
          <w:spacing w:val="-10"/>
          <w:sz w:val="20"/>
        </w:rPr>
        <w:t> </w:t>
      </w:r>
      <w:r>
        <w:rPr>
          <w:sz w:val="20"/>
        </w:rPr>
        <w:t>violaciones a los derechos humanos, en los términos que establezca la ley […] (Poder Legislativo, 2015).</w:t>
      </w:r>
    </w:p>
    <w:p>
      <w:pPr>
        <w:pStyle w:val="BodyText"/>
        <w:rPr>
          <w:sz w:val="20"/>
        </w:rPr>
      </w:pPr>
    </w:p>
    <w:p>
      <w:pPr>
        <w:pStyle w:val="BodyText"/>
        <w:rPr>
          <w:sz w:val="20"/>
        </w:rPr>
      </w:pPr>
    </w:p>
    <w:p>
      <w:pPr>
        <w:pStyle w:val="BodyText"/>
        <w:spacing w:line="360" w:lineRule="auto" w:before="163"/>
        <w:ind w:left="102" w:right="115"/>
        <w:jc w:val="both"/>
      </w:pPr>
      <w:r>
        <w:rPr/>
        <w:t>De la interpretación literal del artículo primero constitucional, tenemos que todas las personas gozarán de los derechos humanos reconocidos en la Carta Magna y en los Instrumentos Internacionales de los que el Estado mexicano sea parte, así como de las garantías</w:t>
      </w:r>
      <w:r>
        <w:rPr>
          <w:spacing w:val="-11"/>
        </w:rPr>
        <w:t> </w:t>
      </w:r>
      <w:r>
        <w:rPr/>
        <w:t>para</w:t>
      </w:r>
      <w:r>
        <w:rPr>
          <w:spacing w:val="-14"/>
        </w:rPr>
        <w:t> </w:t>
      </w:r>
      <w:r>
        <w:rPr/>
        <w:t>su</w:t>
      </w:r>
      <w:r>
        <w:rPr>
          <w:spacing w:val="-14"/>
        </w:rPr>
        <w:t> </w:t>
      </w:r>
      <w:r>
        <w:rPr/>
        <w:t>protección.</w:t>
      </w:r>
      <w:r>
        <w:rPr>
          <w:spacing w:val="-10"/>
        </w:rPr>
        <w:t> </w:t>
      </w:r>
      <w:r>
        <w:rPr/>
        <w:t>En</w:t>
      </w:r>
      <w:r>
        <w:rPr>
          <w:spacing w:val="-14"/>
        </w:rPr>
        <w:t> </w:t>
      </w:r>
      <w:r>
        <w:rPr/>
        <w:t>consecuencia,</w:t>
      </w:r>
      <w:r>
        <w:rPr>
          <w:spacing w:val="-13"/>
        </w:rPr>
        <w:t> </w:t>
      </w:r>
      <w:r>
        <w:rPr/>
        <w:t>todas</w:t>
      </w:r>
      <w:r>
        <w:rPr>
          <w:spacing w:val="-11"/>
        </w:rPr>
        <w:t> </w:t>
      </w:r>
      <w:r>
        <w:rPr/>
        <w:t>las</w:t>
      </w:r>
      <w:r>
        <w:rPr>
          <w:spacing w:val="-14"/>
        </w:rPr>
        <w:t> </w:t>
      </w:r>
      <w:r>
        <w:rPr/>
        <w:t>autoridades</w:t>
      </w:r>
      <w:r>
        <w:rPr>
          <w:spacing w:val="-13"/>
        </w:rPr>
        <w:t> </w:t>
      </w:r>
      <w:r>
        <w:rPr/>
        <w:t>del</w:t>
      </w:r>
      <w:r>
        <w:rPr>
          <w:spacing w:val="-14"/>
        </w:rPr>
        <w:t> </w:t>
      </w:r>
      <w:r>
        <w:rPr/>
        <w:t>país</w:t>
      </w:r>
      <w:r>
        <w:rPr>
          <w:spacing w:val="-11"/>
        </w:rPr>
        <w:t> </w:t>
      </w:r>
      <w:r>
        <w:rPr/>
        <w:t>se</w:t>
      </w:r>
      <w:r>
        <w:rPr>
          <w:spacing w:val="-11"/>
        </w:rPr>
        <w:t> </w:t>
      </w:r>
      <w:r>
        <w:rPr/>
        <w:t>encuetran obligadas</w:t>
      </w:r>
      <w:r>
        <w:rPr>
          <w:spacing w:val="-6"/>
        </w:rPr>
        <w:t> </w:t>
      </w:r>
      <w:r>
        <w:rPr/>
        <w:t>a</w:t>
      </w:r>
      <w:r>
        <w:rPr>
          <w:spacing w:val="-6"/>
        </w:rPr>
        <w:t> </w:t>
      </w:r>
      <w:r>
        <w:rPr/>
        <w:t>velar</w:t>
      </w:r>
      <w:r>
        <w:rPr>
          <w:spacing w:val="-6"/>
        </w:rPr>
        <w:t> </w:t>
      </w:r>
      <w:r>
        <w:rPr/>
        <w:t>no</w:t>
      </w:r>
      <w:r>
        <w:rPr>
          <w:spacing w:val="-7"/>
        </w:rPr>
        <w:t> </w:t>
      </w:r>
      <w:r>
        <w:rPr/>
        <w:t>sólo</w:t>
      </w:r>
      <w:r>
        <w:rPr>
          <w:spacing w:val="-9"/>
        </w:rPr>
        <w:t> </w:t>
      </w:r>
      <w:r>
        <w:rPr/>
        <w:t>por</w:t>
      </w:r>
      <w:r>
        <w:rPr>
          <w:spacing w:val="-5"/>
        </w:rPr>
        <w:t> </w:t>
      </w:r>
      <w:r>
        <w:rPr/>
        <w:t>los</w:t>
      </w:r>
      <w:r>
        <w:rPr>
          <w:spacing w:val="-6"/>
        </w:rPr>
        <w:t> </w:t>
      </w:r>
      <w:r>
        <w:rPr/>
        <w:t>derechos</w:t>
      </w:r>
      <w:r>
        <w:rPr>
          <w:spacing w:val="-6"/>
        </w:rPr>
        <w:t> </w:t>
      </w:r>
      <w:r>
        <w:rPr/>
        <w:t>humanos</w:t>
      </w:r>
      <w:r>
        <w:rPr>
          <w:spacing w:val="-6"/>
        </w:rPr>
        <w:t> </w:t>
      </w:r>
      <w:r>
        <w:rPr/>
        <w:t>reconocidos</w:t>
      </w:r>
      <w:r>
        <w:rPr>
          <w:spacing w:val="-6"/>
        </w:rPr>
        <w:t> </w:t>
      </w:r>
      <w:r>
        <w:rPr/>
        <w:t>en</w:t>
      </w:r>
      <w:r>
        <w:rPr>
          <w:spacing w:val="-9"/>
        </w:rPr>
        <w:t> </w:t>
      </w:r>
      <w:r>
        <w:rPr/>
        <w:t>la</w:t>
      </w:r>
      <w:r>
        <w:rPr>
          <w:spacing w:val="-6"/>
        </w:rPr>
        <w:t> </w:t>
      </w:r>
      <w:r>
        <w:rPr/>
        <w:t>constitución</w:t>
      </w:r>
      <w:r>
        <w:rPr>
          <w:spacing w:val="-9"/>
        </w:rPr>
        <w:t> </w:t>
      </w:r>
      <w:r>
        <w:rPr/>
        <w:t>federal, sino también por aquellos contemplados en los Instrumentos Internacionales celebrados por el Estado mexicano, adoptando la interpretación más favorable al derecho</w:t>
      </w:r>
      <w:r>
        <w:rPr>
          <w:spacing w:val="-21"/>
        </w:rPr>
        <w:t> </w:t>
      </w:r>
      <w:r>
        <w:rPr/>
        <w:t>humano.</w:t>
      </w:r>
    </w:p>
    <w:p>
      <w:pPr>
        <w:spacing w:after="0" w:line="360" w:lineRule="auto"/>
        <w:jc w:val="both"/>
        <w:sectPr>
          <w:pgSz w:w="12240" w:h="15840"/>
          <w:pgMar w:header="0" w:footer="1002" w:top="1500" w:bottom="1200" w:left="1600" w:right="1580"/>
        </w:sectPr>
      </w:pPr>
    </w:p>
    <w:p>
      <w:pPr>
        <w:pStyle w:val="BodyText"/>
        <w:spacing w:line="360" w:lineRule="auto" w:before="54"/>
        <w:ind w:left="102" w:right="114"/>
        <w:jc w:val="both"/>
      </w:pPr>
      <w:r>
        <w:rPr/>
        <w:t>Existen diversos tratados internacionales que protegen los derechos de las mujeres, los cuales son de carácter obligatorio y tienen la misma jerarquía que la Constitución Federal, por lo cual, dichos instrumentos y los protocolos que constituyen una herramienta para la aplicación de la observancia de los derechos humanos de las mujeres, los cuales deben ser aplicados categóricamente y no dependen del arbitrio de juzgador.</w:t>
      </w:r>
    </w:p>
    <w:p>
      <w:pPr>
        <w:pStyle w:val="BodyText"/>
        <w:spacing w:before="7"/>
        <w:rPr>
          <w:sz w:val="17"/>
        </w:rPr>
      </w:pPr>
    </w:p>
    <w:p>
      <w:pPr>
        <w:pStyle w:val="BodyText"/>
        <w:spacing w:line="360" w:lineRule="auto"/>
        <w:ind w:left="102" w:right="162"/>
        <w:jc w:val="both"/>
      </w:pPr>
      <w:r>
        <w:rPr/>
        <w:t>No obstante y pese a la existencia de un marco normativo nacional e internacional que protege los derechos humanos de las mujeres, resulta desalentador el hecho de su ineficacia</w:t>
      </w:r>
      <w:r>
        <w:rPr>
          <w:spacing w:val="-10"/>
        </w:rPr>
        <w:t> </w:t>
      </w:r>
      <w:r>
        <w:rPr/>
        <w:t>dada</w:t>
      </w:r>
      <w:r>
        <w:rPr>
          <w:spacing w:val="-10"/>
        </w:rPr>
        <w:t> </w:t>
      </w:r>
      <w:r>
        <w:rPr/>
        <w:t>su</w:t>
      </w:r>
      <w:r>
        <w:rPr>
          <w:spacing w:val="-10"/>
        </w:rPr>
        <w:t> </w:t>
      </w:r>
      <w:r>
        <w:rPr/>
        <w:t>inaplicabilidad,</w:t>
      </w:r>
      <w:r>
        <w:rPr>
          <w:spacing w:val="-7"/>
        </w:rPr>
        <w:t> </w:t>
      </w:r>
      <w:r>
        <w:rPr/>
        <w:t>y</w:t>
      </w:r>
      <w:r>
        <w:rPr>
          <w:spacing w:val="-10"/>
        </w:rPr>
        <w:t> </w:t>
      </w:r>
      <w:r>
        <w:rPr/>
        <w:t>por</w:t>
      </w:r>
      <w:r>
        <w:rPr>
          <w:spacing w:val="-9"/>
        </w:rPr>
        <w:t> </w:t>
      </w:r>
      <w:r>
        <w:rPr/>
        <w:t>ende</w:t>
      </w:r>
      <w:r>
        <w:rPr>
          <w:spacing w:val="-10"/>
        </w:rPr>
        <w:t> </w:t>
      </w:r>
      <w:r>
        <w:rPr/>
        <w:t>la</w:t>
      </w:r>
      <w:r>
        <w:rPr>
          <w:spacing w:val="-10"/>
        </w:rPr>
        <w:t> </w:t>
      </w:r>
      <w:r>
        <w:rPr/>
        <w:t>protección</w:t>
      </w:r>
      <w:r>
        <w:rPr>
          <w:spacing w:val="-10"/>
        </w:rPr>
        <w:t> </w:t>
      </w:r>
      <w:r>
        <w:rPr/>
        <w:t>de</w:t>
      </w:r>
      <w:r>
        <w:rPr>
          <w:spacing w:val="-8"/>
        </w:rPr>
        <w:t> </w:t>
      </w:r>
      <w:r>
        <w:rPr/>
        <w:t>los</w:t>
      </w:r>
      <w:r>
        <w:rPr>
          <w:spacing w:val="-10"/>
        </w:rPr>
        <w:t> </w:t>
      </w:r>
      <w:r>
        <w:rPr/>
        <w:t>derechos</w:t>
      </w:r>
      <w:r>
        <w:rPr>
          <w:spacing w:val="-10"/>
        </w:rPr>
        <w:t> </w:t>
      </w:r>
      <w:r>
        <w:rPr/>
        <w:t>humanos</w:t>
      </w:r>
      <w:r>
        <w:rPr>
          <w:spacing w:val="-10"/>
        </w:rPr>
        <w:t> </w:t>
      </w:r>
      <w:r>
        <w:rPr/>
        <w:t>de</w:t>
      </w:r>
      <w:r>
        <w:rPr>
          <w:spacing w:val="-10"/>
        </w:rPr>
        <w:t> </w:t>
      </w:r>
      <w:r>
        <w:rPr/>
        <w:t>las mujeres</w:t>
      </w:r>
      <w:r>
        <w:rPr>
          <w:spacing w:val="-8"/>
        </w:rPr>
        <w:t> </w:t>
      </w:r>
      <w:r>
        <w:rPr/>
        <w:t>sólo</w:t>
      </w:r>
      <w:r>
        <w:rPr>
          <w:spacing w:val="-8"/>
        </w:rPr>
        <w:t> </w:t>
      </w:r>
      <w:r>
        <w:rPr/>
        <w:t>son</w:t>
      </w:r>
      <w:r>
        <w:rPr>
          <w:spacing w:val="-8"/>
        </w:rPr>
        <w:t> </w:t>
      </w:r>
      <w:r>
        <w:rPr/>
        <w:t>de</w:t>
      </w:r>
      <w:r>
        <w:rPr>
          <w:spacing w:val="-8"/>
        </w:rPr>
        <w:t> </w:t>
      </w:r>
      <w:r>
        <w:rPr>
          <w:i/>
        </w:rPr>
        <w:t>iure</w:t>
      </w:r>
      <w:r>
        <w:rPr>
          <w:i/>
          <w:spacing w:val="-9"/>
        </w:rPr>
        <w:t> </w:t>
      </w:r>
      <w:r>
        <w:rPr/>
        <w:t>más</w:t>
      </w:r>
      <w:r>
        <w:rPr>
          <w:spacing w:val="-8"/>
        </w:rPr>
        <w:t> </w:t>
      </w:r>
      <w:r>
        <w:rPr/>
        <w:t>no</w:t>
      </w:r>
      <w:r>
        <w:rPr>
          <w:spacing w:val="-8"/>
        </w:rPr>
        <w:t> </w:t>
      </w:r>
      <w:r>
        <w:rPr/>
        <w:t>de</w:t>
      </w:r>
      <w:r>
        <w:rPr>
          <w:spacing w:val="-8"/>
        </w:rPr>
        <w:t> </w:t>
      </w:r>
      <w:r>
        <w:rPr>
          <w:i/>
        </w:rPr>
        <w:t>facto,</w:t>
      </w:r>
      <w:r>
        <w:rPr>
          <w:i/>
          <w:spacing w:val="-6"/>
        </w:rPr>
        <w:t> </w:t>
      </w:r>
      <w:r>
        <w:rPr/>
        <w:t>lo</w:t>
      </w:r>
      <w:r>
        <w:rPr>
          <w:spacing w:val="-8"/>
        </w:rPr>
        <w:t> </w:t>
      </w:r>
      <w:r>
        <w:rPr/>
        <w:t>cual</w:t>
      </w:r>
      <w:r>
        <w:rPr>
          <w:spacing w:val="-9"/>
        </w:rPr>
        <w:t> </w:t>
      </w:r>
      <w:r>
        <w:rPr/>
        <w:t>trae</w:t>
      </w:r>
      <w:r>
        <w:rPr>
          <w:spacing w:val="-8"/>
        </w:rPr>
        <w:t> </w:t>
      </w:r>
      <w:r>
        <w:rPr/>
        <w:t>como</w:t>
      </w:r>
      <w:r>
        <w:rPr>
          <w:spacing w:val="-10"/>
        </w:rPr>
        <w:t> </w:t>
      </w:r>
      <w:r>
        <w:rPr/>
        <w:t>consecuencia</w:t>
      </w:r>
      <w:r>
        <w:rPr>
          <w:spacing w:val="-8"/>
        </w:rPr>
        <w:t> </w:t>
      </w:r>
      <w:r>
        <w:rPr/>
        <w:t>la</w:t>
      </w:r>
      <w:r>
        <w:rPr>
          <w:spacing w:val="-5"/>
        </w:rPr>
        <w:t> </w:t>
      </w:r>
      <w:r>
        <w:rPr/>
        <w:t>inobservancia y falta de tutela de los derechos humanos de las mujeres, es decir, no llega a ser una realidad consante en la vida de las mujeres. No basta con la creación de normas jurídicas protectoras</w:t>
      </w:r>
      <w:r>
        <w:rPr>
          <w:spacing w:val="-6"/>
        </w:rPr>
        <w:t> </w:t>
      </w:r>
      <w:r>
        <w:rPr/>
        <w:t>de</w:t>
      </w:r>
      <w:r>
        <w:rPr>
          <w:spacing w:val="-7"/>
        </w:rPr>
        <w:t> </w:t>
      </w:r>
      <w:r>
        <w:rPr/>
        <w:t>los</w:t>
      </w:r>
      <w:r>
        <w:rPr>
          <w:spacing w:val="-6"/>
        </w:rPr>
        <w:t> </w:t>
      </w:r>
      <w:r>
        <w:rPr/>
        <w:t>derechos</w:t>
      </w:r>
      <w:r>
        <w:rPr>
          <w:spacing w:val="-4"/>
        </w:rPr>
        <w:t> </w:t>
      </w:r>
      <w:r>
        <w:rPr/>
        <w:t>de</w:t>
      </w:r>
      <w:r>
        <w:rPr>
          <w:spacing w:val="-7"/>
        </w:rPr>
        <w:t> </w:t>
      </w:r>
      <w:r>
        <w:rPr/>
        <w:t>las</w:t>
      </w:r>
      <w:r>
        <w:rPr>
          <w:spacing w:val="-6"/>
        </w:rPr>
        <w:t> </w:t>
      </w:r>
      <w:r>
        <w:rPr/>
        <w:t>mujeres,</w:t>
      </w:r>
      <w:r>
        <w:rPr>
          <w:spacing w:val="-5"/>
        </w:rPr>
        <w:t> </w:t>
      </w:r>
      <w:r>
        <w:rPr/>
        <w:t>es</w:t>
      </w:r>
      <w:r>
        <w:rPr>
          <w:spacing w:val="-6"/>
        </w:rPr>
        <w:t> </w:t>
      </w:r>
      <w:r>
        <w:rPr/>
        <w:t>imprescindible</w:t>
      </w:r>
      <w:r>
        <w:rPr>
          <w:spacing w:val="-4"/>
        </w:rPr>
        <w:t> </w:t>
      </w:r>
      <w:r>
        <w:rPr/>
        <w:t>el</w:t>
      </w:r>
      <w:r>
        <w:rPr>
          <w:spacing w:val="-7"/>
        </w:rPr>
        <w:t> </w:t>
      </w:r>
      <w:r>
        <w:rPr/>
        <w:t>conocimiento</w:t>
      </w:r>
      <w:r>
        <w:rPr>
          <w:spacing w:val="-6"/>
        </w:rPr>
        <w:t> </w:t>
      </w:r>
      <w:r>
        <w:rPr/>
        <w:t>y</w:t>
      </w:r>
      <w:r>
        <w:rPr>
          <w:spacing w:val="-6"/>
        </w:rPr>
        <w:t> </w:t>
      </w:r>
      <w:r>
        <w:rPr/>
        <w:t>aplicación de las mismas por parte de los preofesionales del derecho</w:t>
      </w:r>
      <w:r>
        <w:rPr>
          <w:spacing w:val="-17"/>
        </w:rPr>
        <w:t> </w:t>
      </w:r>
      <w:r>
        <w:rPr/>
        <w:t>involucrados.</w:t>
      </w:r>
    </w:p>
    <w:p>
      <w:pPr>
        <w:pStyle w:val="BodyText"/>
        <w:spacing w:before="9"/>
        <w:rPr>
          <w:sz w:val="17"/>
        </w:rPr>
      </w:pPr>
    </w:p>
    <w:p>
      <w:pPr>
        <w:pStyle w:val="BodyText"/>
        <w:spacing w:line="360" w:lineRule="auto"/>
        <w:ind w:left="102" w:right="163"/>
        <w:jc w:val="both"/>
      </w:pPr>
      <w:r>
        <w:rPr/>
        <w:t>Es así que, las autoridades jurisdiccionales pese a que tienen la obligación de promover, proteger</w:t>
      </w:r>
      <w:r>
        <w:rPr>
          <w:spacing w:val="-4"/>
        </w:rPr>
        <w:t> </w:t>
      </w:r>
      <w:r>
        <w:rPr/>
        <w:t>y</w:t>
      </w:r>
      <w:r>
        <w:rPr>
          <w:spacing w:val="-7"/>
        </w:rPr>
        <w:t> </w:t>
      </w:r>
      <w:r>
        <w:rPr/>
        <w:t>garantizar</w:t>
      </w:r>
      <w:r>
        <w:rPr>
          <w:spacing w:val="-5"/>
        </w:rPr>
        <w:t> </w:t>
      </w:r>
      <w:r>
        <w:rPr/>
        <w:t>la</w:t>
      </w:r>
      <w:r>
        <w:rPr>
          <w:spacing w:val="-5"/>
        </w:rPr>
        <w:t> </w:t>
      </w:r>
      <w:r>
        <w:rPr/>
        <w:t>observancia</w:t>
      </w:r>
      <w:r>
        <w:rPr>
          <w:spacing w:val="-5"/>
        </w:rPr>
        <w:t> </w:t>
      </w:r>
      <w:r>
        <w:rPr/>
        <w:t>de</w:t>
      </w:r>
      <w:r>
        <w:rPr>
          <w:spacing w:val="-6"/>
        </w:rPr>
        <w:t> </w:t>
      </w:r>
      <w:r>
        <w:rPr/>
        <w:t>los</w:t>
      </w:r>
      <w:r>
        <w:rPr>
          <w:spacing w:val="-5"/>
        </w:rPr>
        <w:t> </w:t>
      </w:r>
      <w:r>
        <w:rPr/>
        <w:t>derechos</w:t>
      </w:r>
      <w:r>
        <w:rPr>
          <w:spacing w:val="-5"/>
        </w:rPr>
        <w:t> </w:t>
      </w:r>
      <w:r>
        <w:rPr/>
        <w:t>humanos</w:t>
      </w:r>
      <w:r>
        <w:rPr>
          <w:spacing w:val="-5"/>
        </w:rPr>
        <w:t> </w:t>
      </w:r>
      <w:r>
        <w:rPr/>
        <w:t>de</w:t>
      </w:r>
      <w:r>
        <w:rPr>
          <w:spacing w:val="-6"/>
        </w:rPr>
        <w:t> </w:t>
      </w:r>
      <w:r>
        <w:rPr/>
        <w:t>las</w:t>
      </w:r>
      <w:r>
        <w:rPr>
          <w:spacing w:val="-8"/>
        </w:rPr>
        <w:t> </w:t>
      </w:r>
      <w:r>
        <w:rPr/>
        <w:t>mujeres,</w:t>
      </w:r>
      <w:r>
        <w:rPr>
          <w:spacing w:val="-4"/>
        </w:rPr>
        <w:t> </w:t>
      </w:r>
      <w:r>
        <w:rPr/>
        <w:t>no</w:t>
      </w:r>
      <w:r>
        <w:rPr>
          <w:spacing w:val="-6"/>
        </w:rPr>
        <w:t> </w:t>
      </w:r>
      <w:r>
        <w:rPr/>
        <w:t>lo</w:t>
      </w:r>
      <w:r>
        <w:rPr>
          <w:spacing w:val="-5"/>
        </w:rPr>
        <w:t> </w:t>
      </w:r>
      <w:r>
        <w:rPr/>
        <w:t>hacen debido a la inaplicabilidad del ordenamiento nacional e internacional que protege los derechos de las mujeres, la principal razón es que se desconoce el contenido de dichos ordenamientos y por ende, los derechos a tutelar. Este desconocimiento e inobservancia de los derechos humanos de las mujeres, es consecuencia de la falta de sensibilidad por parte de los actores que intervienen en el drama judicial respecto del género y la discriminación producida por la construcción social en torno al sexo, . Lo que quiero decir es que jueces y juezas, ministerios públicos, peritos y abogado/as carecen de sensibilización</w:t>
      </w:r>
      <w:r>
        <w:rPr>
          <w:spacing w:val="-9"/>
        </w:rPr>
        <w:t> </w:t>
      </w:r>
      <w:r>
        <w:rPr/>
        <w:t>y</w:t>
      </w:r>
      <w:r>
        <w:rPr>
          <w:spacing w:val="-13"/>
        </w:rPr>
        <w:t> </w:t>
      </w:r>
      <w:r>
        <w:rPr/>
        <w:t>evidentemnete</w:t>
      </w:r>
      <w:r>
        <w:rPr>
          <w:spacing w:val="-14"/>
        </w:rPr>
        <w:t> </w:t>
      </w:r>
      <w:r>
        <w:rPr/>
        <w:t>de</w:t>
      </w:r>
      <w:r>
        <w:rPr>
          <w:spacing w:val="-11"/>
        </w:rPr>
        <w:t> </w:t>
      </w:r>
      <w:r>
        <w:rPr/>
        <w:t>capacitación</w:t>
      </w:r>
      <w:r>
        <w:rPr>
          <w:spacing w:val="-14"/>
        </w:rPr>
        <w:t> </w:t>
      </w:r>
      <w:r>
        <w:rPr/>
        <w:t>en</w:t>
      </w:r>
      <w:r>
        <w:rPr>
          <w:spacing w:val="-11"/>
        </w:rPr>
        <w:t> </w:t>
      </w:r>
      <w:r>
        <w:rPr/>
        <w:t>perspectiva</w:t>
      </w:r>
      <w:r>
        <w:rPr>
          <w:spacing w:val="-11"/>
        </w:rPr>
        <w:t> </w:t>
      </w:r>
      <w:r>
        <w:rPr/>
        <w:t>de</w:t>
      </w:r>
      <w:r>
        <w:rPr>
          <w:spacing w:val="-11"/>
        </w:rPr>
        <w:t> </w:t>
      </w:r>
      <w:r>
        <w:rPr/>
        <w:t>género,</w:t>
      </w:r>
      <w:r>
        <w:rPr>
          <w:spacing w:val="-10"/>
        </w:rPr>
        <w:t> </w:t>
      </w:r>
      <w:r>
        <w:rPr/>
        <w:t>lo</w:t>
      </w:r>
      <w:r>
        <w:rPr>
          <w:spacing w:val="-13"/>
        </w:rPr>
        <w:t> </w:t>
      </w:r>
      <w:r>
        <w:rPr/>
        <w:t>que</w:t>
      </w:r>
      <w:r>
        <w:rPr>
          <w:spacing w:val="-11"/>
        </w:rPr>
        <w:t> </w:t>
      </w:r>
      <w:r>
        <w:rPr/>
        <w:t>ocasiona que se le de poca importancia a al compromiso de garantizar los derechos humanos de todas</w:t>
      </w:r>
      <w:r>
        <w:rPr>
          <w:spacing w:val="-3"/>
        </w:rPr>
        <w:t> </w:t>
      </w:r>
      <w:r>
        <w:rPr/>
        <w:t>personas.</w:t>
      </w:r>
    </w:p>
    <w:p>
      <w:pPr>
        <w:pStyle w:val="BodyText"/>
        <w:spacing w:before="7"/>
        <w:rPr>
          <w:sz w:val="17"/>
        </w:rPr>
      </w:pPr>
    </w:p>
    <w:p>
      <w:pPr>
        <w:pStyle w:val="BodyText"/>
        <w:spacing w:line="360" w:lineRule="auto"/>
        <w:ind w:left="102" w:right="116"/>
        <w:jc w:val="both"/>
      </w:pPr>
      <w:r>
        <w:rPr/>
        <w:t>Lo anterior se deja en evidencia con los casos emblemáticos de violación a los derechos humanos de mujeres como Inés Fernández, Ernestina Asención, las hermanas González Pérez, Valentina Rosendo Cantú y el mismo caso de Campo Algodonero, en cuyas sentencias dictadas por la Corte Interamericana de Derechos Humanos mostró que en nuestro país existe falta de atención, profesionalismo en la investigación por parte de los ministerios públicos; estos casos evidenciaron faltas muy graves en los procesos de investigación como por ejemplo pérdida de evidencia por parte de peritos, la insensibilidad</w:t>
      </w:r>
    </w:p>
    <w:p>
      <w:pPr>
        <w:spacing w:after="0" w:line="360" w:lineRule="auto"/>
        <w:jc w:val="both"/>
        <w:sectPr>
          <w:pgSz w:w="12240" w:h="15840"/>
          <w:pgMar w:header="0" w:footer="1002" w:top="1360" w:bottom="1200" w:left="1600" w:right="1580"/>
        </w:sectPr>
      </w:pPr>
    </w:p>
    <w:p>
      <w:pPr>
        <w:pStyle w:val="BodyText"/>
        <w:spacing w:line="362" w:lineRule="auto" w:before="54"/>
        <w:ind w:left="122" w:right="119"/>
        <w:jc w:val="both"/>
      </w:pPr>
      <w:r>
        <w:rPr/>
        <w:t>de las autoridades jurisdiccionales en relación con los derechos de las mujeres y la culpabilización de las mismas por los actos cometidos en su contra (CIDH, 2011).</w:t>
      </w:r>
    </w:p>
    <w:p>
      <w:pPr>
        <w:pStyle w:val="BodyText"/>
        <w:spacing w:before="4"/>
        <w:rPr>
          <w:sz w:val="17"/>
        </w:rPr>
      </w:pPr>
    </w:p>
    <w:p>
      <w:pPr>
        <w:pStyle w:val="BodyText"/>
        <w:spacing w:line="360" w:lineRule="auto"/>
        <w:ind w:left="122" w:right="116"/>
        <w:jc w:val="both"/>
      </w:pPr>
      <w:r>
        <w:rPr/>
        <w:t>Asimismo, la autoridad jurisdiccional manifiesta su insensibilidad y desconocimiento en materia de género, al no establecer los estándares que deben seguir los jueces y magistrados al analizar casos de violencia sexual en contra de las mujeres indígenas; al respecto,</w:t>
      </w:r>
      <w:r>
        <w:rPr>
          <w:spacing w:val="-12"/>
        </w:rPr>
        <w:t> </w:t>
      </w:r>
      <w:r>
        <w:rPr/>
        <w:t>recientemente</w:t>
      </w:r>
      <w:r>
        <w:rPr>
          <w:spacing w:val="-13"/>
        </w:rPr>
        <w:t> </w:t>
      </w:r>
      <w:r>
        <w:rPr/>
        <w:t>se</w:t>
      </w:r>
      <w:r>
        <w:rPr>
          <w:spacing w:val="-11"/>
        </w:rPr>
        <w:t> </w:t>
      </w:r>
      <w:r>
        <w:rPr/>
        <w:t>rechazó</w:t>
      </w:r>
      <w:r>
        <w:rPr>
          <w:spacing w:val="-10"/>
        </w:rPr>
        <w:t> </w:t>
      </w:r>
      <w:r>
        <w:rPr/>
        <w:t>por</w:t>
      </w:r>
      <w:r>
        <w:rPr>
          <w:spacing w:val="-10"/>
        </w:rPr>
        <w:t> </w:t>
      </w:r>
      <w:r>
        <w:rPr/>
        <w:t>parte</w:t>
      </w:r>
      <w:r>
        <w:rPr>
          <w:spacing w:val="-14"/>
        </w:rPr>
        <w:t> </w:t>
      </w:r>
      <w:r>
        <w:rPr/>
        <w:t>de</w:t>
      </w:r>
      <w:r>
        <w:rPr>
          <w:spacing w:val="-14"/>
        </w:rPr>
        <w:t> </w:t>
      </w:r>
      <w:r>
        <w:rPr/>
        <w:t>la</w:t>
      </w:r>
      <w:r>
        <w:rPr>
          <w:spacing w:val="-11"/>
        </w:rPr>
        <w:t> </w:t>
      </w:r>
      <w:r>
        <w:rPr/>
        <w:t>Suprema</w:t>
      </w:r>
      <w:r>
        <w:rPr>
          <w:spacing w:val="-11"/>
        </w:rPr>
        <w:t> </w:t>
      </w:r>
      <w:r>
        <w:rPr/>
        <w:t>Corte</w:t>
      </w:r>
      <w:r>
        <w:rPr>
          <w:spacing w:val="-14"/>
        </w:rPr>
        <w:t> </w:t>
      </w:r>
      <w:r>
        <w:rPr/>
        <w:t>de</w:t>
      </w:r>
      <w:r>
        <w:rPr>
          <w:spacing w:val="-14"/>
        </w:rPr>
        <w:t> </w:t>
      </w:r>
      <w:r>
        <w:rPr/>
        <w:t>Justicia</w:t>
      </w:r>
      <w:r>
        <w:rPr>
          <w:spacing w:val="-11"/>
        </w:rPr>
        <w:t> </w:t>
      </w:r>
      <w:r>
        <w:rPr/>
        <w:t>de</w:t>
      </w:r>
      <w:r>
        <w:rPr>
          <w:spacing w:val="-11"/>
        </w:rPr>
        <w:t> </w:t>
      </w:r>
      <w:r>
        <w:rPr/>
        <w:t>la</w:t>
      </w:r>
      <w:r>
        <w:rPr>
          <w:spacing w:val="-11"/>
        </w:rPr>
        <w:t> </w:t>
      </w:r>
      <w:r>
        <w:rPr/>
        <w:t>Nación, un proyecto para juzgar con perspectiva de género los casos de violencia sexual (García, 2015). Aunado a lo anterior, en un diagnóstico realizado por la Consultoría Estudios y Estrategias para el Desarrollo y la Equidad (EPADEQ)</w:t>
      </w:r>
      <w:r>
        <w:rPr>
          <w:position w:val="8"/>
          <w:sz w:val="14"/>
        </w:rPr>
        <w:t>1 </w:t>
      </w:r>
      <w:r>
        <w:rPr/>
        <w:t>, se demostró que 66 por ciento de los jueces desconocen los instrumentos internacionales que protegen los derechos de las mujeres (EPADEQ, 2012), en ese sentido, ante tal desconocimiento de la legislación aplicable</w:t>
      </w:r>
      <w:r>
        <w:rPr>
          <w:spacing w:val="-10"/>
        </w:rPr>
        <w:t> </w:t>
      </w:r>
      <w:r>
        <w:rPr/>
        <w:t>a</w:t>
      </w:r>
      <w:r>
        <w:rPr>
          <w:spacing w:val="-10"/>
        </w:rPr>
        <w:t> </w:t>
      </w:r>
      <w:r>
        <w:rPr/>
        <w:t>la</w:t>
      </w:r>
      <w:r>
        <w:rPr>
          <w:spacing w:val="-10"/>
        </w:rPr>
        <w:t> </w:t>
      </w:r>
      <w:r>
        <w:rPr/>
        <w:t>protección</w:t>
      </w:r>
      <w:r>
        <w:rPr>
          <w:spacing w:val="-13"/>
        </w:rPr>
        <w:t> </w:t>
      </w:r>
      <w:r>
        <w:rPr/>
        <w:t>de</w:t>
      </w:r>
      <w:r>
        <w:rPr>
          <w:spacing w:val="-10"/>
        </w:rPr>
        <w:t> </w:t>
      </w:r>
      <w:r>
        <w:rPr/>
        <w:t>los</w:t>
      </w:r>
      <w:r>
        <w:rPr>
          <w:spacing w:val="-10"/>
        </w:rPr>
        <w:t> </w:t>
      </w:r>
      <w:r>
        <w:rPr/>
        <w:t>derechos</w:t>
      </w:r>
      <w:r>
        <w:rPr>
          <w:spacing w:val="-12"/>
        </w:rPr>
        <w:t> </w:t>
      </w:r>
      <w:r>
        <w:rPr/>
        <w:t>de</w:t>
      </w:r>
      <w:r>
        <w:rPr>
          <w:spacing w:val="-10"/>
        </w:rPr>
        <w:t> </w:t>
      </w:r>
      <w:r>
        <w:rPr/>
        <w:t>las</w:t>
      </w:r>
      <w:r>
        <w:rPr>
          <w:spacing w:val="-12"/>
        </w:rPr>
        <w:t> </w:t>
      </w:r>
      <w:r>
        <w:rPr/>
        <w:t>mujeres,</w:t>
      </w:r>
      <w:r>
        <w:rPr>
          <w:spacing w:val="-9"/>
        </w:rPr>
        <w:t> </w:t>
      </w:r>
      <w:r>
        <w:rPr/>
        <w:t>podemos</w:t>
      </w:r>
      <w:r>
        <w:rPr>
          <w:spacing w:val="-10"/>
        </w:rPr>
        <w:t> </w:t>
      </w:r>
      <w:r>
        <w:rPr/>
        <w:t>inferir</w:t>
      </w:r>
      <w:r>
        <w:rPr>
          <w:spacing w:val="-14"/>
        </w:rPr>
        <w:t> </w:t>
      </w:r>
      <w:r>
        <w:rPr/>
        <w:t>que</w:t>
      </w:r>
      <w:r>
        <w:rPr>
          <w:spacing w:val="-10"/>
        </w:rPr>
        <w:t> </w:t>
      </w:r>
      <w:r>
        <w:rPr/>
        <w:t>no</w:t>
      </w:r>
      <w:r>
        <w:rPr>
          <w:spacing w:val="-10"/>
        </w:rPr>
        <w:t> </w:t>
      </w:r>
      <w:r>
        <w:rPr/>
        <w:t>se</w:t>
      </w:r>
      <w:r>
        <w:rPr>
          <w:spacing w:val="-10"/>
        </w:rPr>
        <w:t> </w:t>
      </w:r>
      <w:r>
        <w:rPr/>
        <w:t>observa la aplicación de leyes adecuadas y por lo tanto las mujeres no tienen el debido acceso a</w:t>
      </w:r>
      <w:r>
        <w:rPr>
          <w:spacing w:val="-27"/>
        </w:rPr>
        <w:t> </w:t>
      </w:r>
      <w:r>
        <w:rPr/>
        <w:t>la justicia,</w:t>
      </w:r>
      <w:r>
        <w:rPr>
          <w:spacing w:val="-9"/>
        </w:rPr>
        <w:t> </w:t>
      </w:r>
      <w:r>
        <w:rPr/>
        <w:t>ya</w:t>
      </w:r>
      <w:r>
        <w:rPr>
          <w:spacing w:val="-10"/>
        </w:rPr>
        <w:t> </w:t>
      </w:r>
      <w:r>
        <w:rPr/>
        <w:t>que</w:t>
      </w:r>
      <w:r>
        <w:rPr>
          <w:spacing w:val="-10"/>
        </w:rPr>
        <w:t> </w:t>
      </w:r>
      <w:r>
        <w:rPr/>
        <w:t>en</w:t>
      </w:r>
      <w:r>
        <w:rPr>
          <w:spacing w:val="-10"/>
        </w:rPr>
        <w:t> </w:t>
      </w:r>
      <w:r>
        <w:rPr/>
        <w:t>los</w:t>
      </w:r>
      <w:r>
        <w:rPr>
          <w:spacing w:val="-8"/>
        </w:rPr>
        <w:t> </w:t>
      </w:r>
      <w:r>
        <w:rPr/>
        <w:t>procedimientos</w:t>
      </w:r>
      <w:r>
        <w:rPr>
          <w:spacing w:val="-10"/>
        </w:rPr>
        <w:t> </w:t>
      </w:r>
      <w:r>
        <w:rPr/>
        <w:t>judiciales</w:t>
      </w:r>
      <w:r>
        <w:rPr>
          <w:spacing w:val="-8"/>
        </w:rPr>
        <w:t> </w:t>
      </w:r>
      <w:r>
        <w:rPr/>
        <w:t>no</w:t>
      </w:r>
      <w:r>
        <w:rPr>
          <w:spacing w:val="-10"/>
        </w:rPr>
        <w:t> </w:t>
      </w:r>
      <w:r>
        <w:rPr/>
        <w:t>se</w:t>
      </w:r>
      <w:r>
        <w:rPr>
          <w:spacing w:val="-10"/>
        </w:rPr>
        <w:t> </w:t>
      </w:r>
      <w:r>
        <w:rPr/>
        <w:t>ejercitan</w:t>
      </w:r>
      <w:r>
        <w:rPr>
          <w:spacing w:val="-10"/>
        </w:rPr>
        <w:t> </w:t>
      </w:r>
      <w:r>
        <w:rPr/>
        <w:t>plenamente</w:t>
      </w:r>
      <w:r>
        <w:rPr>
          <w:spacing w:val="-13"/>
        </w:rPr>
        <w:t> </w:t>
      </w:r>
      <w:r>
        <w:rPr/>
        <w:t>los</w:t>
      </w:r>
      <w:r>
        <w:rPr>
          <w:spacing w:val="-8"/>
        </w:rPr>
        <w:t> </w:t>
      </w:r>
      <w:r>
        <w:rPr/>
        <w:t>derechos</w:t>
      </w:r>
      <w:r>
        <w:rPr>
          <w:spacing w:val="-10"/>
        </w:rPr>
        <w:t> </w:t>
      </w:r>
      <w:r>
        <w:rPr/>
        <w:t>de las mujeres y por lo tanto son victimizadas o</w:t>
      </w:r>
      <w:r>
        <w:rPr>
          <w:spacing w:val="-21"/>
        </w:rPr>
        <w:t> </w:t>
      </w:r>
      <w:r>
        <w:rPr/>
        <w:t>revictimizadas.</w:t>
      </w:r>
    </w:p>
    <w:p>
      <w:pPr>
        <w:pStyle w:val="BodyText"/>
        <w:spacing w:before="9"/>
        <w:rPr>
          <w:sz w:val="17"/>
        </w:rPr>
      </w:pPr>
    </w:p>
    <w:p>
      <w:pPr>
        <w:pStyle w:val="BodyText"/>
        <w:spacing w:line="360" w:lineRule="auto"/>
        <w:ind w:left="122" w:right="116"/>
        <w:jc w:val="both"/>
      </w:pPr>
      <w:r>
        <w:rPr/>
        <w:t>Por</w:t>
      </w:r>
      <w:r>
        <w:rPr>
          <w:spacing w:val="-10"/>
        </w:rPr>
        <w:t> </w:t>
      </w:r>
      <w:r>
        <w:rPr/>
        <w:t>lo</w:t>
      </w:r>
      <w:r>
        <w:rPr>
          <w:spacing w:val="-13"/>
        </w:rPr>
        <w:t> </w:t>
      </w:r>
      <w:r>
        <w:rPr/>
        <w:t>que</w:t>
      </w:r>
      <w:r>
        <w:rPr>
          <w:spacing w:val="-11"/>
        </w:rPr>
        <w:t> </w:t>
      </w:r>
      <w:r>
        <w:rPr/>
        <w:t>hace</w:t>
      </w:r>
      <w:r>
        <w:rPr>
          <w:spacing w:val="-14"/>
        </w:rPr>
        <w:t> </w:t>
      </w:r>
      <w:r>
        <w:rPr/>
        <w:t>a</w:t>
      </w:r>
      <w:r>
        <w:rPr>
          <w:spacing w:val="-11"/>
        </w:rPr>
        <w:t> </w:t>
      </w:r>
      <w:r>
        <w:rPr/>
        <w:t>la</w:t>
      </w:r>
      <w:r>
        <w:rPr>
          <w:spacing w:val="-11"/>
        </w:rPr>
        <w:t> </w:t>
      </w:r>
      <w:r>
        <w:rPr/>
        <w:t>perspectiva</w:t>
      </w:r>
      <w:r>
        <w:rPr>
          <w:spacing w:val="-11"/>
        </w:rPr>
        <w:t> </w:t>
      </w:r>
      <w:r>
        <w:rPr/>
        <w:t>de</w:t>
      </w:r>
      <w:r>
        <w:rPr>
          <w:spacing w:val="-11"/>
        </w:rPr>
        <w:t> </w:t>
      </w:r>
      <w:r>
        <w:rPr/>
        <w:t>género</w:t>
      </w:r>
      <w:r>
        <w:rPr>
          <w:spacing w:val="-11"/>
        </w:rPr>
        <w:t> </w:t>
      </w:r>
      <w:r>
        <w:rPr/>
        <w:t>dentro</w:t>
      </w:r>
      <w:r>
        <w:rPr>
          <w:spacing w:val="-14"/>
        </w:rPr>
        <w:t> </w:t>
      </w:r>
      <w:r>
        <w:rPr/>
        <w:t>de</w:t>
      </w:r>
      <w:r>
        <w:rPr>
          <w:spacing w:val="-11"/>
        </w:rPr>
        <w:t> </w:t>
      </w:r>
      <w:r>
        <w:rPr/>
        <w:t>la</w:t>
      </w:r>
      <w:r>
        <w:rPr>
          <w:spacing w:val="-11"/>
        </w:rPr>
        <w:t> </w:t>
      </w:r>
      <w:r>
        <w:rPr/>
        <w:t>interpretación</w:t>
      </w:r>
      <w:r>
        <w:rPr>
          <w:spacing w:val="-11"/>
        </w:rPr>
        <w:t> </w:t>
      </w:r>
      <w:r>
        <w:rPr/>
        <w:t>jurídica,</w:t>
      </w:r>
      <w:r>
        <w:rPr>
          <w:spacing w:val="-13"/>
        </w:rPr>
        <w:t> </w:t>
      </w:r>
      <w:r>
        <w:rPr/>
        <w:t>tenemos</w:t>
      </w:r>
      <w:r>
        <w:rPr>
          <w:spacing w:val="-15"/>
        </w:rPr>
        <w:t> </w:t>
      </w:r>
      <w:r>
        <w:rPr/>
        <w:t>que a dos años de que la Suprema Corte de Justicia de la Nación emitiera el Protocolo para Juzgar con Perspectiva de Género, a la fecha, los criterios emitidos por la Corte al juzgar en torno a la perspectiva de género sólo son Tesis Aisladas</w:t>
      </w:r>
      <w:r>
        <w:rPr>
          <w:position w:val="8"/>
          <w:sz w:val="14"/>
        </w:rPr>
        <w:t>2</w:t>
      </w:r>
      <w:r>
        <w:rPr/>
        <w:t>, y existe jurisprudencia en cuanto a la perspectiva de género pero en mayor medida referente a la cuestión de candidaturas de mujeres (SCJN, 2015), es decir en temáticas más asociadas a la participación política de las</w:t>
      </w:r>
      <w:r>
        <w:rPr>
          <w:spacing w:val="-12"/>
        </w:rPr>
        <w:t> </w:t>
      </w:r>
      <w:r>
        <w:rPr/>
        <w:t>mujeres.</w:t>
      </w:r>
    </w:p>
    <w:p>
      <w:pPr>
        <w:pStyle w:val="BodyText"/>
        <w:spacing w:before="10"/>
        <w:rPr>
          <w:sz w:val="17"/>
        </w:rPr>
      </w:pPr>
    </w:p>
    <w:p>
      <w:pPr>
        <w:pStyle w:val="BodyText"/>
        <w:spacing w:line="360" w:lineRule="auto"/>
        <w:ind w:left="122" w:right="115"/>
        <w:jc w:val="both"/>
      </w:pPr>
      <w:r>
        <w:rPr/>
        <w:t>Por</w:t>
      </w:r>
      <w:r>
        <w:rPr>
          <w:spacing w:val="-13"/>
        </w:rPr>
        <w:t> </w:t>
      </w:r>
      <w:r>
        <w:rPr/>
        <w:t>otro</w:t>
      </w:r>
      <w:r>
        <w:rPr>
          <w:spacing w:val="-15"/>
        </w:rPr>
        <w:t> </w:t>
      </w:r>
      <w:r>
        <w:rPr/>
        <w:t>lado,</w:t>
      </w:r>
      <w:r>
        <w:rPr>
          <w:spacing w:val="-14"/>
        </w:rPr>
        <w:t> </w:t>
      </w:r>
      <w:r>
        <w:rPr/>
        <w:t>respecto</w:t>
      </w:r>
      <w:r>
        <w:rPr>
          <w:spacing w:val="-15"/>
        </w:rPr>
        <w:t> </w:t>
      </w:r>
      <w:r>
        <w:rPr/>
        <w:t>a</w:t>
      </w:r>
      <w:r>
        <w:rPr>
          <w:spacing w:val="-18"/>
        </w:rPr>
        <w:t> </w:t>
      </w:r>
      <w:r>
        <w:rPr/>
        <w:t>los</w:t>
      </w:r>
      <w:r>
        <w:rPr>
          <w:spacing w:val="-13"/>
        </w:rPr>
        <w:t> </w:t>
      </w:r>
      <w:r>
        <w:rPr/>
        <w:t>y</w:t>
      </w:r>
      <w:r>
        <w:rPr>
          <w:spacing w:val="-15"/>
        </w:rPr>
        <w:t> </w:t>
      </w:r>
      <w:r>
        <w:rPr/>
        <w:t>las</w:t>
      </w:r>
      <w:r>
        <w:rPr>
          <w:spacing w:val="-13"/>
        </w:rPr>
        <w:t> </w:t>
      </w:r>
      <w:r>
        <w:rPr/>
        <w:t>agentes</w:t>
      </w:r>
      <w:r>
        <w:rPr>
          <w:spacing w:val="-13"/>
        </w:rPr>
        <w:t> </w:t>
      </w:r>
      <w:r>
        <w:rPr/>
        <w:t>del</w:t>
      </w:r>
      <w:r>
        <w:rPr>
          <w:spacing w:val="-16"/>
        </w:rPr>
        <w:t> </w:t>
      </w:r>
      <w:r>
        <w:rPr/>
        <w:t>Ministerio</w:t>
      </w:r>
      <w:r>
        <w:rPr>
          <w:spacing w:val="-16"/>
        </w:rPr>
        <w:t> </w:t>
      </w:r>
      <w:r>
        <w:rPr/>
        <w:t>Público,</w:t>
      </w:r>
      <w:r>
        <w:rPr>
          <w:spacing w:val="-9"/>
        </w:rPr>
        <w:t> </w:t>
      </w:r>
      <w:r>
        <w:rPr/>
        <w:t>a</w:t>
      </w:r>
      <w:r>
        <w:rPr>
          <w:spacing w:val="-15"/>
        </w:rPr>
        <w:t> </w:t>
      </w:r>
      <w:r>
        <w:rPr/>
        <w:t>partir</w:t>
      </w:r>
      <w:r>
        <w:rPr>
          <w:spacing w:val="-14"/>
        </w:rPr>
        <w:t> </w:t>
      </w:r>
      <w:r>
        <w:rPr/>
        <w:t>de</w:t>
      </w:r>
      <w:r>
        <w:rPr>
          <w:spacing w:val="-15"/>
        </w:rPr>
        <w:t> </w:t>
      </w:r>
      <w:r>
        <w:rPr/>
        <w:t>una</w:t>
      </w:r>
      <w:r>
        <w:rPr>
          <w:spacing w:val="-13"/>
        </w:rPr>
        <w:t> </w:t>
      </w:r>
      <w:r>
        <w:rPr/>
        <w:t>observación de campo en la Agencia Especializadas en Violencia de Género, ubicada en el municipio de</w:t>
      </w:r>
      <w:r>
        <w:rPr>
          <w:spacing w:val="-7"/>
        </w:rPr>
        <w:t> </w:t>
      </w:r>
      <w:r>
        <w:rPr/>
        <w:t>Atlacomulco,</w:t>
      </w:r>
      <w:r>
        <w:rPr>
          <w:spacing w:val="-7"/>
        </w:rPr>
        <w:t> </w:t>
      </w:r>
      <w:r>
        <w:rPr/>
        <w:t>cabe</w:t>
      </w:r>
      <w:r>
        <w:rPr>
          <w:spacing w:val="-9"/>
        </w:rPr>
        <w:t> </w:t>
      </w:r>
      <w:r>
        <w:rPr/>
        <w:t>señalar</w:t>
      </w:r>
      <w:r>
        <w:rPr>
          <w:spacing w:val="-8"/>
        </w:rPr>
        <w:t> </w:t>
      </w:r>
      <w:r>
        <w:rPr/>
        <w:t>que</w:t>
      </w:r>
      <w:r>
        <w:rPr>
          <w:spacing w:val="-9"/>
        </w:rPr>
        <w:t> </w:t>
      </w:r>
      <w:r>
        <w:rPr/>
        <w:t>tiene</w:t>
      </w:r>
      <w:r>
        <w:rPr>
          <w:spacing w:val="-8"/>
        </w:rPr>
        <w:t> </w:t>
      </w:r>
      <w:r>
        <w:rPr/>
        <w:t>un</w:t>
      </w:r>
      <w:r>
        <w:rPr>
          <w:spacing w:val="-7"/>
        </w:rPr>
        <w:t> </w:t>
      </w:r>
      <w:r>
        <w:rPr/>
        <w:t>horario</w:t>
      </w:r>
      <w:r>
        <w:rPr>
          <w:spacing w:val="-6"/>
        </w:rPr>
        <w:t> </w:t>
      </w:r>
      <w:r>
        <w:rPr/>
        <w:t>de</w:t>
      </w:r>
      <w:r>
        <w:rPr>
          <w:spacing w:val="-9"/>
        </w:rPr>
        <w:t> </w:t>
      </w:r>
      <w:r>
        <w:rPr/>
        <w:t>atención</w:t>
      </w:r>
      <w:r>
        <w:rPr>
          <w:spacing w:val="-9"/>
        </w:rPr>
        <w:t> </w:t>
      </w:r>
      <w:r>
        <w:rPr/>
        <w:t>de</w:t>
      </w:r>
      <w:r>
        <w:rPr>
          <w:spacing w:val="-7"/>
        </w:rPr>
        <w:t> </w:t>
      </w:r>
      <w:r>
        <w:rPr/>
        <w:t>9:</w:t>
      </w:r>
      <w:r>
        <w:rPr>
          <w:spacing w:val="-7"/>
        </w:rPr>
        <w:t> </w:t>
      </w:r>
      <w:r>
        <w:rPr/>
        <w:t>00</w:t>
      </w:r>
      <w:r>
        <w:rPr>
          <w:spacing w:val="-7"/>
        </w:rPr>
        <w:t> </w:t>
      </w:r>
      <w:r>
        <w:rPr/>
        <w:t>am</w:t>
      </w:r>
      <w:r>
        <w:rPr>
          <w:spacing w:val="-5"/>
        </w:rPr>
        <w:t> </w:t>
      </w:r>
      <w:r>
        <w:rPr/>
        <w:t>a</w:t>
      </w:r>
      <w:r>
        <w:rPr>
          <w:spacing w:val="-8"/>
        </w:rPr>
        <w:t> </w:t>
      </w:r>
      <w:r>
        <w:rPr/>
        <w:t>18:00</w:t>
      </w:r>
      <w:r>
        <w:rPr>
          <w:spacing w:val="-7"/>
        </w:rPr>
        <w:t> </w:t>
      </w:r>
      <w:r>
        <w:rPr/>
        <w:t>pm,</w:t>
      </w:r>
      <w:r>
        <w:rPr>
          <w:spacing w:val="-5"/>
        </w:rPr>
        <w:t> </w:t>
      </w:r>
      <w:r>
        <w:rPr/>
        <w:t>por lo</w:t>
      </w:r>
      <w:r>
        <w:rPr>
          <w:spacing w:val="16"/>
        </w:rPr>
        <w:t> </w:t>
      </w:r>
      <w:r>
        <w:rPr/>
        <w:t>que</w:t>
      </w:r>
      <w:r>
        <w:rPr>
          <w:spacing w:val="13"/>
        </w:rPr>
        <w:t> </w:t>
      </w:r>
      <w:r>
        <w:rPr/>
        <w:t>si</w:t>
      </w:r>
      <w:r>
        <w:rPr>
          <w:spacing w:val="15"/>
        </w:rPr>
        <w:t> </w:t>
      </w:r>
      <w:r>
        <w:rPr/>
        <w:t>una</w:t>
      </w:r>
      <w:r>
        <w:rPr>
          <w:spacing w:val="14"/>
        </w:rPr>
        <w:t> </w:t>
      </w:r>
      <w:r>
        <w:rPr/>
        <w:t>mujer</w:t>
      </w:r>
      <w:r>
        <w:rPr>
          <w:spacing w:val="14"/>
        </w:rPr>
        <w:t> </w:t>
      </w:r>
      <w:r>
        <w:rPr/>
        <w:t>es</w:t>
      </w:r>
      <w:r>
        <w:rPr>
          <w:spacing w:val="14"/>
        </w:rPr>
        <w:t> </w:t>
      </w:r>
      <w:r>
        <w:rPr/>
        <w:t>violentada</w:t>
      </w:r>
      <w:r>
        <w:rPr>
          <w:spacing w:val="14"/>
        </w:rPr>
        <w:t> </w:t>
      </w:r>
      <w:r>
        <w:rPr/>
        <w:t>fuera</w:t>
      </w:r>
      <w:r>
        <w:rPr>
          <w:spacing w:val="14"/>
        </w:rPr>
        <w:t> </w:t>
      </w:r>
      <w:r>
        <w:rPr/>
        <w:t>del</w:t>
      </w:r>
      <w:r>
        <w:rPr>
          <w:spacing w:val="15"/>
        </w:rPr>
        <w:t> </w:t>
      </w:r>
      <w:r>
        <w:rPr/>
        <w:t>horario</w:t>
      </w:r>
      <w:r>
        <w:rPr>
          <w:spacing w:val="16"/>
        </w:rPr>
        <w:t> </w:t>
      </w:r>
      <w:r>
        <w:rPr/>
        <w:t>de</w:t>
      </w:r>
      <w:r>
        <w:rPr>
          <w:spacing w:val="16"/>
        </w:rPr>
        <w:t> </w:t>
      </w:r>
      <w:r>
        <w:rPr/>
        <w:t>atención,</w:t>
      </w:r>
      <w:r>
        <w:rPr>
          <w:spacing w:val="17"/>
        </w:rPr>
        <w:t> </w:t>
      </w:r>
      <w:r>
        <w:rPr/>
        <w:t>debe</w:t>
      </w:r>
      <w:r>
        <w:rPr>
          <w:spacing w:val="13"/>
        </w:rPr>
        <w:t> </w:t>
      </w:r>
      <w:r>
        <w:rPr/>
        <w:t>acudir</w:t>
      </w:r>
      <w:r>
        <w:rPr>
          <w:spacing w:val="17"/>
        </w:rPr>
        <w:t> </w:t>
      </w:r>
      <w:r>
        <w:rPr/>
        <w:t>al</w:t>
      </w:r>
      <w:r>
        <w:rPr>
          <w:spacing w:val="15"/>
        </w:rPr>
        <w:t> </w:t>
      </w:r>
      <w:r>
        <w:rPr/>
        <w:t>Ministerio</w:t>
      </w:r>
    </w:p>
    <w:p>
      <w:pPr>
        <w:pStyle w:val="BodyText"/>
        <w:spacing w:before="7"/>
        <w:rPr>
          <w:sz w:val="24"/>
        </w:rPr>
      </w:pPr>
      <w:r>
        <w:rPr/>
        <w:pict>
          <v:line style="position:absolute;mso-position-horizontal-relative:page;mso-position-vertical-relative:paragraph;z-index:1216;mso-wrap-distance-left:0;mso-wrap-distance-right:0" from="85.103996pt,16.484423pt" to="229.123996pt,16.484423pt" stroked="true" strokeweight=".71997pt" strokecolor="#000000">
            <w10:wrap type="topAndBottom"/>
          </v:line>
        </w:pict>
      </w:r>
    </w:p>
    <w:p>
      <w:pPr>
        <w:spacing w:line="244" w:lineRule="auto" w:before="69"/>
        <w:ind w:left="122" w:right="117" w:firstLine="0"/>
        <w:jc w:val="both"/>
        <w:rPr>
          <w:sz w:val="18"/>
        </w:rPr>
      </w:pPr>
      <w:r>
        <w:rPr>
          <w:rFonts w:ascii="Calibri" w:hAnsi="Calibri"/>
          <w:position w:val="7"/>
          <w:sz w:val="13"/>
        </w:rPr>
        <w:t>1 </w:t>
      </w:r>
      <w:r>
        <w:rPr>
          <w:sz w:val="18"/>
        </w:rPr>
        <w:t>Organización que brinda servicios de investigación, consultoría y capacitación orientados al diseño, planeación,</w:t>
      </w:r>
      <w:r>
        <w:rPr>
          <w:spacing w:val="-7"/>
          <w:sz w:val="18"/>
        </w:rPr>
        <w:t> </w:t>
      </w:r>
      <w:r>
        <w:rPr>
          <w:sz w:val="18"/>
        </w:rPr>
        <w:t>monitoreo</w:t>
      </w:r>
      <w:r>
        <w:rPr>
          <w:spacing w:val="-5"/>
          <w:sz w:val="18"/>
        </w:rPr>
        <w:t> </w:t>
      </w:r>
      <w:r>
        <w:rPr>
          <w:sz w:val="18"/>
        </w:rPr>
        <w:t>y</w:t>
      </w:r>
      <w:r>
        <w:rPr>
          <w:spacing w:val="-7"/>
          <w:sz w:val="18"/>
        </w:rPr>
        <w:t> </w:t>
      </w:r>
      <w:r>
        <w:rPr>
          <w:sz w:val="18"/>
        </w:rPr>
        <w:t>evauación</w:t>
      </w:r>
      <w:r>
        <w:rPr>
          <w:spacing w:val="-7"/>
          <w:sz w:val="18"/>
        </w:rPr>
        <w:t> </w:t>
      </w:r>
      <w:r>
        <w:rPr>
          <w:sz w:val="18"/>
        </w:rPr>
        <w:t>de</w:t>
      </w:r>
      <w:r>
        <w:rPr>
          <w:spacing w:val="-7"/>
          <w:sz w:val="18"/>
        </w:rPr>
        <w:t> </w:t>
      </w:r>
      <w:r>
        <w:rPr>
          <w:sz w:val="18"/>
        </w:rPr>
        <w:t>políticas</w:t>
      </w:r>
      <w:r>
        <w:rPr>
          <w:spacing w:val="-7"/>
          <w:sz w:val="18"/>
        </w:rPr>
        <w:t> </w:t>
      </w:r>
      <w:r>
        <w:rPr>
          <w:sz w:val="18"/>
        </w:rPr>
        <w:t>públicas</w:t>
      </w:r>
      <w:r>
        <w:rPr>
          <w:spacing w:val="-7"/>
          <w:sz w:val="18"/>
        </w:rPr>
        <w:t> </w:t>
      </w:r>
      <w:r>
        <w:rPr>
          <w:sz w:val="18"/>
        </w:rPr>
        <w:t>y</w:t>
      </w:r>
      <w:r>
        <w:rPr>
          <w:spacing w:val="-7"/>
          <w:sz w:val="18"/>
        </w:rPr>
        <w:t> </w:t>
      </w:r>
      <w:r>
        <w:rPr>
          <w:sz w:val="18"/>
        </w:rPr>
        <w:t>al</w:t>
      </w:r>
      <w:r>
        <w:rPr>
          <w:spacing w:val="-5"/>
          <w:sz w:val="18"/>
        </w:rPr>
        <w:t> </w:t>
      </w:r>
      <w:r>
        <w:rPr>
          <w:sz w:val="18"/>
        </w:rPr>
        <w:t>fortalecimiento</w:t>
      </w:r>
      <w:r>
        <w:rPr>
          <w:spacing w:val="-7"/>
          <w:sz w:val="18"/>
        </w:rPr>
        <w:t> </w:t>
      </w:r>
      <w:r>
        <w:rPr>
          <w:sz w:val="18"/>
        </w:rPr>
        <w:t>de</w:t>
      </w:r>
      <w:r>
        <w:rPr>
          <w:spacing w:val="-7"/>
          <w:sz w:val="18"/>
        </w:rPr>
        <w:t> </w:t>
      </w:r>
      <w:r>
        <w:rPr>
          <w:sz w:val="18"/>
        </w:rPr>
        <w:t>instituciones</w:t>
      </w:r>
      <w:r>
        <w:rPr>
          <w:spacing w:val="-9"/>
          <w:sz w:val="18"/>
        </w:rPr>
        <w:t> </w:t>
      </w:r>
      <w:r>
        <w:rPr>
          <w:sz w:val="18"/>
        </w:rPr>
        <w:t>públicas</w:t>
      </w:r>
      <w:r>
        <w:rPr>
          <w:spacing w:val="-4"/>
          <w:sz w:val="18"/>
        </w:rPr>
        <w:t> </w:t>
      </w:r>
      <w:r>
        <w:rPr>
          <w:sz w:val="18"/>
        </w:rPr>
        <w:t>y</w:t>
      </w:r>
      <w:r>
        <w:rPr>
          <w:spacing w:val="-7"/>
          <w:sz w:val="18"/>
        </w:rPr>
        <w:t> </w:t>
      </w:r>
      <w:r>
        <w:rPr>
          <w:sz w:val="18"/>
        </w:rPr>
        <w:t>privadas enfocadas al desarrollo social, la protección de los derechos humanos y la equidad de género. Entre sus relaciones de asesoría se encuentran los tribunales superiores de justicia de quince estados de la República Mexicana, entre los que se encuentra el Tribunal Superior de Justicia del Estado de</w:t>
      </w:r>
      <w:r>
        <w:rPr>
          <w:spacing w:val="-33"/>
          <w:sz w:val="18"/>
        </w:rPr>
        <w:t> </w:t>
      </w:r>
      <w:r>
        <w:rPr>
          <w:sz w:val="18"/>
        </w:rPr>
        <w:t>México.</w:t>
      </w:r>
    </w:p>
    <w:p>
      <w:pPr>
        <w:spacing w:line="202" w:lineRule="exact" w:before="0"/>
        <w:ind w:left="122" w:right="0" w:firstLine="0"/>
        <w:jc w:val="both"/>
        <w:rPr>
          <w:sz w:val="18"/>
        </w:rPr>
      </w:pPr>
      <w:r>
        <w:rPr>
          <w:position w:val="6"/>
          <w:sz w:val="12"/>
        </w:rPr>
        <w:t>2 </w:t>
      </w:r>
      <w:r>
        <w:rPr>
          <w:sz w:val="18"/>
        </w:rPr>
        <w:t>La Tesis Aislada es un criterio emitido por la Suprema Corte de Justicia de la Nación en pleno o en sala al</w:t>
      </w:r>
    </w:p>
    <w:p>
      <w:pPr>
        <w:spacing w:before="2"/>
        <w:ind w:left="122" w:right="124" w:firstLine="0"/>
        <w:jc w:val="both"/>
        <w:rPr>
          <w:sz w:val="18"/>
        </w:rPr>
      </w:pPr>
      <w:r>
        <w:rPr>
          <w:sz w:val="18"/>
        </w:rPr>
        <w:t>resolver un asunto, no obstante no ha alcanzado a ser obligatoria, puesto que no ha llegado a ser Jurisprudencia, es decir no puede conminarse a los juzgadores a resolver del mismo criterio emitido por la Corteasta en tanto no tenga carácter de Jurisprudencia, pero si puede orientar los criterios de los juzgadores en asuntos similares.</w:t>
      </w:r>
    </w:p>
    <w:p>
      <w:pPr>
        <w:spacing w:after="0"/>
        <w:jc w:val="both"/>
        <w:rPr>
          <w:sz w:val="18"/>
        </w:rPr>
        <w:sectPr>
          <w:pgSz w:w="12240" w:h="15840"/>
          <w:pgMar w:header="0" w:footer="1002" w:top="1360" w:bottom="1200" w:left="1580" w:right="1580"/>
        </w:sectPr>
      </w:pPr>
    </w:p>
    <w:p>
      <w:pPr>
        <w:pStyle w:val="BodyText"/>
        <w:spacing w:line="360" w:lineRule="auto" w:before="54"/>
        <w:ind w:left="102" w:right="116"/>
        <w:jc w:val="both"/>
      </w:pPr>
      <w:r>
        <w:rPr/>
        <w:t>Público de turno o Agencia Regional, la cual después de tomar la declaración deberá mandar un desglose a la Agencia Especializada correspondiente, dicho trámite tarda alrededor de veinte días, dependiendo del trabajo de la Agencia Regional y del hecho de que</w:t>
      </w:r>
      <w:r>
        <w:rPr>
          <w:spacing w:val="-13"/>
        </w:rPr>
        <w:t> </w:t>
      </w:r>
      <w:r>
        <w:rPr/>
        <w:t>la</w:t>
      </w:r>
      <w:r>
        <w:rPr>
          <w:spacing w:val="-13"/>
        </w:rPr>
        <w:t> </w:t>
      </w:r>
      <w:r>
        <w:rPr/>
        <w:t>víctima</w:t>
      </w:r>
      <w:r>
        <w:rPr>
          <w:spacing w:val="-13"/>
        </w:rPr>
        <w:t> </w:t>
      </w:r>
      <w:r>
        <w:rPr/>
        <w:t>tenga</w:t>
      </w:r>
      <w:r>
        <w:rPr>
          <w:spacing w:val="-13"/>
        </w:rPr>
        <w:t> </w:t>
      </w:r>
      <w:r>
        <w:rPr/>
        <w:t>un/a</w:t>
      </w:r>
      <w:r>
        <w:rPr>
          <w:spacing w:val="-15"/>
        </w:rPr>
        <w:t> </w:t>
      </w:r>
      <w:r>
        <w:rPr/>
        <w:t>abogado/a</w:t>
      </w:r>
      <w:r>
        <w:rPr>
          <w:spacing w:val="-15"/>
        </w:rPr>
        <w:t> </w:t>
      </w:r>
      <w:r>
        <w:rPr/>
        <w:t>que</w:t>
      </w:r>
      <w:r>
        <w:rPr>
          <w:spacing w:val="-13"/>
        </w:rPr>
        <w:t> </w:t>
      </w:r>
      <w:r>
        <w:rPr/>
        <w:t>la</w:t>
      </w:r>
      <w:r>
        <w:rPr>
          <w:spacing w:val="-13"/>
        </w:rPr>
        <w:t> </w:t>
      </w:r>
      <w:r>
        <w:rPr/>
        <w:t>represente,</w:t>
      </w:r>
      <w:r>
        <w:rPr>
          <w:spacing w:val="-9"/>
        </w:rPr>
        <w:t> </w:t>
      </w:r>
      <w:r>
        <w:rPr/>
        <w:t>lo</w:t>
      </w:r>
      <w:r>
        <w:rPr>
          <w:spacing w:val="-13"/>
        </w:rPr>
        <w:t> </w:t>
      </w:r>
      <w:r>
        <w:rPr/>
        <w:t>anterior</w:t>
      </w:r>
      <w:r>
        <w:rPr>
          <w:spacing w:val="-13"/>
        </w:rPr>
        <w:t> </w:t>
      </w:r>
      <w:r>
        <w:rPr/>
        <w:t>ocasiona</w:t>
      </w:r>
      <w:r>
        <w:rPr>
          <w:spacing w:val="-15"/>
        </w:rPr>
        <w:t> </w:t>
      </w:r>
      <w:r>
        <w:rPr/>
        <w:t>que</w:t>
      </w:r>
      <w:r>
        <w:rPr>
          <w:spacing w:val="-13"/>
        </w:rPr>
        <w:t> </w:t>
      </w:r>
      <w:r>
        <w:rPr/>
        <w:t>las</w:t>
      </w:r>
      <w:r>
        <w:rPr>
          <w:spacing w:val="-15"/>
        </w:rPr>
        <w:t> </w:t>
      </w:r>
      <w:r>
        <w:rPr/>
        <w:t>mujeres que han sido violentadas se desanimen y no continúen con el trámite. Además de que la Agencia Especializada, ubicada en el municipio de Atlacomulco, brinda atención a</w:t>
      </w:r>
      <w:r>
        <w:rPr>
          <w:spacing w:val="-39"/>
        </w:rPr>
        <w:t> </w:t>
      </w:r>
      <w:r>
        <w:rPr/>
        <w:t>mujeres de los municipio de El Oro, San Felipe del Progreso, San José del Rincón, Jocotitlán, Acambay, Temascalcingo y Atlacomulco. (PGJ Estado de México,</w:t>
      </w:r>
      <w:r>
        <w:rPr>
          <w:spacing w:val="-20"/>
        </w:rPr>
        <w:t> </w:t>
      </w:r>
      <w:r>
        <w:rPr/>
        <w:t>2015).</w:t>
      </w:r>
    </w:p>
    <w:p>
      <w:pPr>
        <w:pStyle w:val="BodyText"/>
        <w:spacing w:before="9"/>
        <w:rPr>
          <w:sz w:val="17"/>
        </w:rPr>
      </w:pPr>
    </w:p>
    <w:p>
      <w:pPr>
        <w:pStyle w:val="BodyText"/>
        <w:spacing w:line="360" w:lineRule="auto"/>
        <w:ind w:left="102" w:right="115"/>
        <w:jc w:val="both"/>
      </w:pPr>
      <w:r>
        <w:rPr/>
        <w:t>Un caso que ilustra la incompetencia del Ministerio Público en procurar justicia con perspectiva</w:t>
      </w:r>
      <w:r>
        <w:rPr>
          <w:spacing w:val="-13"/>
        </w:rPr>
        <w:t> </w:t>
      </w:r>
      <w:r>
        <w:rPr/>
        <w:t>de</w:t>
      </w:r>
      <w:r>
        <w:rPr>
          <w:spacing w:val="-16"/>
        </w:rPr>
        <w:t> </w:t>
      </w:r>
      <w:r>
        <w:rPr/>
        <w:t>género,</w:t>
      </w:r>
      <w:r>
        <w:rPr>
          <w:spacing w:val="-13"/>
        </w:rPr>
        <w:t> </w:t>
      </w:r>
      <w:r>
        <w:rPr/>
        <w:t>es</w:t>
      </w:r>
      <w:r>
        <w:rPr>
          <w:spacing w:val="-13"/>
        </w:rPr>
        <w:t> </w:t>
      </w:r>
      <w:r>
        <w:rPr/>
        <w:t>el</w:t>
      </w:r>
      <w:r>
        <w:rPr>
          <w:spacing w:val="-15"/>
        </w:rPr>
        <w:t> </w:t>
      </w:r>
      <w:r>
        <w:rPr/>
        <w:t>de</w:t>
      </w:r>
      <w:r>
        <w:rPr>
          <w:spacing w:val="-14"/>
        </w:rPr>
        <w:t> </w:t>
      </w:r>
      <w:r>
        <w:rPr/>
        <w:t>Mariana</w:t>
      </w:r>
      <w:r>
        <w:rPr>
          <w:spacing w:val="-14"/>
        </w:rPr>
        <w:t> </w:t>
      </w:r>
      <w:r>
        <w:rPr/>
        <w:t>Lima</w:t>
      </w:r>
      <w:r>
        <w:rPr>
          <w:spacing w:val="-13"/>
        </w:rPr>
        <w:t> </w:t>
      </w:r>
      <w:r>
        <w:rPr/>
        <w:t>Buendía,</w:t>
      </w:r>
      <w:r>
        <w:rPr>
          <w:spacing w:val="-13"/>
        </w:rPr>
        <w:t> </w:t>
      </w:r>
      <w:r>
        <w:rPr/>
        <w:t>cuyo</w:t>
      </w:r>
      <w:r>
        <w:rPr>
          <w:spacing w:val="-13"/>
        </w:rPr>
        <w:t> </w:t>
      </w:r>
      <w:r>
        <w:rPr/>
        <w:t>cuerpo</w:t>
      </w:r>
      <w:r>
        <w:rPr>
          <w:spacing w:val="-13"/>
        </w:rPr>
        <w:t> </w:t>
      </w:r>
      <w:r>
        <w:rPr/>
        <w:t>sin</w:t>
      </w:r>
      <w:r>
        <w:rPr>
          <w:spacing w:val="-13"/>
        </w:rPr>
        <w:t> </w:t>
      </w:r>
      <w:r>
        <w:rPr/>
        <w:t>vida</w:t>
      </w:r>
      <w:r>
        <w:rPr>
          <w:spacing w:val="-16"/>
        </w:rPr>
        <w:t> </w:t>
      </w:r>
      <w:r>
        <w:rPr/>
        <w:t>fue</w:t>
      </w:r>
      <w:r>
        <w:rPr>
          <w:spacing w:val="-14"/>
        </w:rPr>
        <w:t> </w:t>
      </w:r>
      <w:r>
        <w:rPr/>
        <w:t>encontrado en</w:t>
      </w:r>
      <w:r>
        <w:rPr>
          <w:spacing w:val="-16"/>
        </w:rPr>
        <w:t> </w:t>
      </w:r>
      <w:r>
        <w:rPr/>
        <w:t>su</w:t>
      </w:r>
      <w:r>
        <w:rPr>
          <w:spacing w:val="-16"/>
        </w:rPr>
        <w:t> </w:t>
      </w:r>
      <w:r>
        <w:rPr/>
        <w:t>domicilio</w:t>
      </w:r>
      <w:r>
        <w:rPr>
          <w:spacing w:val="-16"/>
        </w:rPr>
        <w:t> </w:t>
      </w:r>
      <w:r>
        <w:rPr/>
        <w:t>en</w:t>
      </w:r>
      <w:r>
        <w:rPr>
          <w:spacing w:val="-16"/>
        </w:rPr>
        <w:t> </w:t>
      </w:r>
      <w:r>
        <w:rPr/>
        <w:t>el</w:t>
      </w:r>
      <w:r>
        <w:rPr>
          <w:spacing w:val="-17"/>
        </w:rPr>
        <w:t> </w:t>
      </w:r>
      <w:r>
        <w:rPr/>
        <w:t>Estado</w:t>
      </w:r>
      <w:r>
        <w:rPr>
          <w:spacing w:val="-16"/>
        </w:rPr>
        <w:t> </w:t>
      </w:r>
      <w:r>
        <w:rPr/>
        <w:t>de</w:t>
      </w:r>
      <w:r>
        <w:rPr>
          <w:spacing w:val="-16"/>
        </w:rPr>
        <w:t> </w:t>
      </w:r>
      <w:r>
        <w:rPr/>
        <w:t>México;</w:t>
      </w:r>
      <w:r>
        <w:rPr>
          <w:spacing w:val="-15"/>
        </w:rPr>
        <w:t> </w:t>
      </w:r>
      <w:r>
        <w:rPr/>
        <w:t>su</w:t>
      </w:r>
      <w:r>
        <w:rPr>
          <w:spacing w:val="-16"/>
        </w:rPr>
        <w:t> </w:t>
      </w:r>
      <w:r>
        <w:rPr/>
        <w:t>esposo</w:t>
      </w:r>
      <w:r>
        <w:rPr>
          <w:spacing w:val="-21"/>
        </w:rPr>
        <w:t> </w:t>
      </w:r>
      <w:r>
        <w:rPr/>
        <w:t>dijo</w:t>
      </w:r>
      <w:r>
        <w:rPr>
          <w:spacing w:val="-18"/>
        </w:rPr>
        <w:t> </w:t>
      </w:r>
      <w:r>
        <w:rPr/>
        <w:t>que</w:t>
      </w:r>
      <w:r>
        <w:rPr>
          <w:spacing w:val="-19"/>
        </w:rPr>
        <w:t> </w:t>
      </w:r>
      <w:r>
        <w:rPr/>
        <w:t>“se</w:t>
      </w:r>
      <w:r>
        <w:rPr>
          <w:spacing w:val="-19"/>
        </w:rPr>
        <w:t> </w:t>
      </w:r>
      <w:r>
        <w:rPr/>
        <w:t>había</w:t>
      </w:r>
      <w:r>
        <w:rPr>
          <w:spacing w:val="-16"/>
        </w:rPr>
        <w:t> </w:t>
      </w:r>
      <w:r>
        <w:rPr/>
        <w:t>suicidado”</w:t>
      </w:r>
      <w:r>
        <w:rPr>
          <w:spacing w:val="-15"/>
        </w:rPr>
        <w:t> </w:t>
      </w:r>
      <w:r>
        <w:rPr/>
        <w:t>y</w:t>
      </w:r>
      <w:r>
        <w:rPr>
          <w:spacing w:val="-18"/>
        </w:rPr>
        <w:t> </w:t>
      </w:r>
      <w:r>
        <w:rPr/>
        <w:t>sin</w:t>
      </w:r>
      <w:r>
        <w:rPr>
          <w:spacing w:val="-16"/>
        </w:rPr>
        <w:t> </w:t>
      </w:r>
      <w:r>
        <w:rPr/>
        <w:t>cumplir con la debida diligencia en la investigación de casos de violencia en contra de las</w:t>
      </w:r>
      <w:r>
        <w:rPr>
          <w:spacing w:val="-42"/>
        </w:rPr>
        <w:t> </w:t>
      </w:r>
      <w:r>
        <w:rPr/>
        <w:t>mujeres, se dio por cerrada la investigación (Jaramillo, 2015). En los casos de feminicidio, generalmente los ministerios públicos y peritos entorpecen el esclarecimiento de los hechos, al no realizar las diligencias necesarias en la investigación, y debido a su</w:t>
      </w:r>
      <w:r>
        <w:rPr>
          <w:spacing w:val="-24"/>
        </w:rPr>
        <w:t> </w:t>
      </w:r>
      <w:r>
        <w:rPr/>
        <w:t>ineptitud no se hace justicia a las víctimas de delito de feminicidio (Montoya,</w:t>
      </w:r>
      <w:r>
        <w:rPr>
          <w:spacing w:val="-18"/>
        </w:rPr>
        <w:t> </w:t>
      </w:r>
      <w:r>
        <w:rPr/>
        <w:t>2013).</w:t>
      </w:r>
    </w:p>
    <w:p>
      <w:pPr>
        <w:pStyle w:val="BodyText"/>
        <w:spacing w:before="9"/>
        <w:rPr>
          <w:sz w:val="17"/>
        </w:rPr>
      </w:pPr>
    </w:p>
    <w:p>
      <w:pPr>
        <w:pStyle w:val="BodyText"/>
        <w:spacing w:line="360" w:lineRule="auto"/>
        <w:ind w:left="102" w:right="114"/>
        <w:jc w:val="both"/>
      </w:pPr>
      <w:r>
        <w:rPr/>
        <w:t>Ahora bien, de los actores que intervienen en el drama judicial, quienes tienen un papel protagónico son los abogados y las abogadas, ya que son ellos quienes se encargan de hacer valer las normas jurídicas en un procedimiento jurisdiccional; tienen la obligación de hacer llegar todos los medios necesarios ante la persona encargada de impartir justicia para</w:t>
      </w:r>
      <w:r>
        <w:rPr>
          <w:spacing w:val="-8"/>
        </w:rPr>
        <w:t> </w:t>
      </w:r>
      <w:r>
        <w:rPr/>
        <w:t>que</w:t>
      </w:r>
      <w:r>
        <w:rPr>
          <w:spacing w:val="-10"/>
        </w:rPr>
        <w:t> </w:t>
      </w:r>
      <w:r>
        <w:rPr/>
        <w:t>resuelva</w:t>
      </w:r>
      <w:r>
        <w:rPr>
          <w:spacing w:val="-5"/>
        </w:rPr>
        <w:t> </w:t>
      </w:r>
      <w:r>
        <w:rPr/>
        <w:t>conforme</w:t>
      </w:r>
      <w:r>
        <w:rPr>
          <w:spacing w:val="-8"/>
        </w:rPr>
        <w:t> </w:t>
      </w:r>
      <w:r>
        <w:rPr/>
        <w:t>a</w:t>
      </w:r>
      <w:r>
        <w:rPr>
          <w:spacing w:val="-5"/>
        </w:rPr>
        <w:t> </w:t>
      </w:r>
      <w:r>
        <w:rPr/>
        <w:t>los</w:t>
      </w:r>
      <w:r>
        <w:rPr>
          <w:spacing w:val="-8"/>
        </w:rPr>
        <w:t> </w:t>
      </w:r>
      <w:r>
        <w:rPr/>
        <w:t>intereses</w:t>
      </w:r>
      <w:r>
        <w:rPr>
          <w:spacing w:val="-7"/>
        </w:rPr>
        <w:t> </w:t>
      </w:r>
      <w:r>
        <w:rPr/>
        <w:t>de</w:t>
      </w:r>
      <w:r>
        <w:rPr>
          <w:spacing w:val="-8"/>
        </w:rPr>
        <w:t> </w:t>
      </w:r>
      <w:r>
        <w:rPr/>
        <w:t>su</w:t>
      </w:r>
      <w:r>
        <w:rPr>
          <w:spacing w:val="-10"/>
        </w:rPr>
        <w:t> </w:t>
      </w:r>
      <w:r>
        <w:rPr/>
        <w:t>representado</w:t>
      </w:r>
      <w:r>
        <w:rPr>
          <w:spacing w:val="-8"/>
        </w:rPr>
        <w:t> </w:t>
      </w:r>
      <w:r>
        <w:rPr/>
        <w:t>o</w:t>
      </w:r>
      <w:r>
        <w:rPr>
          <w:spacing w:val="-8"/>
        </w:rPr>
        <w:t> </w:t>
      </w:r>
      <w:r>
        <w:rPr/>
        <w:t>representada,</w:t>
      </w:r>
      <w:r>
        <w:rPr>
          <w:spacing w:val="-7"/>
        </w:rPr>
        <w:t> </w:t>
      </w:r>
      <w:r>
        <w:rPr/>
        <w:t>es</w:t>
      </w:r>
      <w:r>
        <w:rPr>
          <w:spacing w:val="-8"/>
        </w:rPr>
        <w:t> </w:t>
      </w:r>
      <w:r>
        <w:rPr/>
        <w:t>así</w:t>
      </w:r>
      <w:r>
        <w:rPr>
          <w:spacing w:val="-12"/>
        </w:rPr>
        <w:t> </w:t>
      </w:r>
      <w:r>
        <w:rPr/>
        <w:t>que, uno</w:t>
      </w:r>
      <w:r>
        <w:rPr>
          <w:spacing w:val="-15"/>
        </w:rPr>
        <w:t> </w:t>
      </w:r>
      <w:r>
        <w:rPr/>
        <w:t>de</w:t>
      </w:r>
      <w:r>
        <w:rPr>
          <w:spacing w:val="-18"/>
        </w:rPr>
        <w:t> </w:t>
      </w:r>
      <w:r>
        <w:rPr/>
        <w:t>los</w:t>
      </w:r>
      <w:r>
        <w:rPr>
          <w:spacing w:val="-17"/>
        </w:rPr>
        <w:t> </w:t>
      </w:r>
      <w:r>
        <w:rPr/>
        <w:t>temas</w:t>
      </w:r>
      <w:r>
        <w:rPr>
          <w:spacing w:val="-15"/>
        </w:rPr>
        <w:t> </w:t>
      </w:r>
      <w:r>
        <w:rPr/>
        <w:t>esenciales</w:t>
      </w:r>
      <w:r>
        <w:rPr>
          <w:spacing w:val="-17"/>
        </w:rPr>
        <w:t> </w:t>
      </w:r>
      <w:r>
        <w:rPr/>
        <w:t>que</w:t>
      </w:r>
      <w:r>
        <w:rPr>
          <w:spacing w:val="-18"/>
        </w:rPr>
        <w:t> </w:t>
      </w:r>
      <w:r>
        <w:rPr/>
        <w:t>se</w:t>
      </w:r>
      <w:r>
        <w:rPr>
          <w:spacing w:val="-15"/>
        </w:rPr>
        <w:t> </w:t>
      </w:r>
      <w:r>
        <w:rPr/>
        <w:t>deben</w:t>
      </w:r>
      <w:r>
        <w:rPr>
          <w:spacing w:val="-18"/>
        </w:rPr>
        <w:t> </w:t>
      </w:r>
      <w:r>
        <w:rPr/>
        <w:t>de</w:t>
      </w:r>
      <w:r>
        <w:rPr>
          <w:spacing w:val="-18"/>
        </w:rPr>
        <w:t> </w:t>
      </w:r>
      <w:r>
        <w:rPr/>
        <w:t>tomar</w:t>
      </w:r>
      <w:r>
        <w:rPr>
          <w:spacing w:val="-14"/>
        </w:rPr>
        <w:t> </w:t>
      </w:r>
      <w:r>
        <w:rPr/>
        <w:t>en</w:t>
      </w:r>
      <w:r>
        <w:rPr>
          <w:spacing w:val="-18"/>
        </w:rPr>
        <w:t> </w:t>
      </w:r>
      <w:r>
        <w:rPr/>
        <w:t>consideración</w:t>
      </w:r>
      <w:r>
        <w:rPr>
          <w:spacing w:val="-15"/>
        </w:rPr>
        <w:t> </w:t>
      </w:r>
      <w:r>
        <w:rPr/>
        <w:t>al</w:t>
      </w:r>
      <w:r>
        <w:rPr>
          <w:spacing w:val="-18"/>
        </w:rPr>
        <w:t> </w:t>
      </w:r>
      <w:r>
        <w:rPr/>
        <w:t>momento</w:t>
      </w:r>
      <w:r>
        <w:rPr>
          <w:spacing w:val="-18"/>
        </w:rPr>
        <w:t> </w:t>
      </w:r>
      <w:r>
        <w:rPr/>
        <w:t>de</w:t>
      </w:r>
      <w:r>
        <w:rPr>
          <w:spacing w:val="-18"/>
        </w:rPr>
        <w:t> </w:t>
      </w:r>
      <w:r>
        <w:rPr/>
        <w:t>buscar el acceso a la justicia por parte de las mujeres, tiene que ver con la capacitación y mejoramiento</w:t>
      </w:r>
      <w:r>
        <w:rPr>
          <w:spacing w:val="-14"/>
        </w:rPr>
        <w:t> </w:t>
      </w:r>
      <w:r>
        <w:rPr/>
        <w:t>de</w:t>
      </w:r>
      <w:r>
        <w:rPr>
          <w:spacing w:val="-16"/>
        </w:rPr>
        <w:t> </w:t>
      </w:r>
      <w:r>
        <w:rPr/>
        <w:t>quienes</w:t>
      </w:r>
      <w:r>
        <w:rPr>
          <w:spacing w:val="-11"/>
        </w:rPr>
        <w:t> </w:t>
      </w:r>
      <w:r>
        <w:rPr/>
        <w:t>son</w:t>
      </w:r>
      <w:r>
        <w:rPr>
          <w:spacing w:val="-14"/>
        </w:rPr>
        <w:t> </w:t>
      </w:r>
      <w:r>
        <w:rPr/>
        <w:t>actores</w:t>
      </w:r>
      <w:r>
        <w:rPr>
          <w:spacing w:val="-15"/>
        </w:rPr>
        <w:t> </w:t>
      </w:r>
      <w:r>
        <w:rPr/>
        <w:t>fundamentales</w:t>
      </w:r>
      <w:r>
        <w:rPr>
          <w:spacing w:val="-11"/>
        </w:rPr>
        <w:t> </w:t>
      </w:r>
      <w:r>
        <w:rPr/>
        <w:t>en</w:t>
      </w:r>
      <w:r>
        <w:rPr>
          <w:spacing w:val="-14"/>
        </w:rPr>
        <w:t> </w:t>
      </w:r>
      <w:r>
        <w:rPr/>
        <w:t>la</w:t>
      </w:r>
      <w:r>
        <w:rPr>
          <w:spacing w:val="-14"/>
        </w:rPr>
        <w:t> </w:t>
      </w:r>
      <w:r>
        <w:rPr/>
        <w:t>aplicación</w:t>
      </w:r>
      <w:r>
        <w:rPr>
          <w:spacing w:val="-11"/>
        </w:rPr>
        <w:t> </w:t>
      </w:r>
      <w:r>
        <w:rPr/>
        <w:t>de</w:t>
      </w:r>
      <w:r>
        <w:rPr>
          <w:spacing w:val="-14"/>
        </w:rPr>
        <w:t> </w:t>
      </w:r>
      <w:r>
        <w:rPr/>
        <w:t>la</w:t>
      </w:r>
      <w:r>
        <w:rPr>
          <w:spacing w:val="-14"/>
        </w:rPr>
        <w:t> </w:t>
      </w:r>
      <w:r>
        <w:rPr/>
        <w:t>justicia,</w:t>
      </w:r>
      <w:r>
        <w:rPr>
          <w:spacing w:val="-13"/>
        </w:rPr>
        <w:t> </w:t>
      </w:r>
      <w:r>
        <w:rPr/>
        <w:t>es</w:t>
      </w:r>
      <w:r>
        <w:rPr>
          <w:spacing w:val="-14"/>
        </w:rPr>
        <w:t> </w:t>
      </w:r>
      <w:r>
        <w:rPr/>
        <w:t>decir, quienes velan por el Estado de Derecho y la aplicación de las leyes: los abogados y las abogadas, tal y como lo señala el Centro de Investigación y Docencia Económica (CIDE), en el informe que envía al presidente de los Estados Unidos Mexicanos sobre justicia cotidiana, que la representación jurídica no óptima, constituye un grave problema para el acceso a la justicia por parte de los ciudadanos (CIDE, 2015), en ese orden de ideas, si los/as abogados/as que representan los intereses de las mujeres en un procedimiento jurisdiccional desconocen la legislación aplicable que protege derechos de las mujeres y carece</w:t>
      </w:r>
      <w:r>
        <w:rPr>
          <w:spacing w:val="-13"/>
        </w:rPr>
        <w:t> </w:t>
      </w:r>
      <w:r>
        <w:rPr/>
        <w:t>de</w:t>
      </w:r>
      <w:r>
        <w:rPr>
          <w:spacing w:val="-12"/>
        </w:rPr>
        <w:t> </w:t>
      </w:r>
      <w:r>
        <w:rPr/>
        <w:t>perspectiva</w:t>
      </w:r>
      <w:r>
        <w:rPr>
          <w:spacing w:val="-12"/>
        </w:rPr>
        <w:t> </w:t>
      </w:r>
      <w:r>
        <w:rPr/>
        <w:t>de</w:t>
      </w:r>
      <w:r>
        <w:rPr>
          <w:spacing w:val="-14"/>
        </w:rPr>
        <w:t> </w:t>
      </w:r>
      <w:r>
        <w:rPr/>
        <w:t>género,</w:t>
      </w:r>
      <w:r>
        <w:rPr>
          <w:spacing w:val="-13"/>
        </w:rPr>
        <w:t> </w:t>
      </w:r>
      <w:r>
        <w:rPr/>
        <w:t>en</w:t>
      </w:r>
      <w:r>
        <w:rPr>
          <w:spacing w:val="-14"/>
        </w:rPr>
        <w:t> </w:t>
      </w:r>
      <w:r>
        <w:rPr/>
        <w:t>consecuencia,</w:t>
      </w:r>
      <w:r>
        <w:rPr>
          <w:spacing w:val="-11"/>
        </w:rPr>
        <w:t> </w:t>
      </w:r>
      <w:r>
        <w:rPr/>
        <w:t>existirá</w:t>
      </w:r>
      <w:r>
        <w:rPr>
          <w:spacing w:val="-14"/>
        </w:rPr>
        <w:t> </w:t>
      </w:r>
      <w:r>
        <w:rPr/>
        <w:t>una</w:t>
      </w:r>
      <w:r>
        <w:rPr>
          <w:spacing w:val="-14"/>
        </w:rPr>
        <w:t> </w:t>
      </w:r>
      <w:r>
        <w:rPr/>
        <w:t>inadecuada</w:t>
      </w:r>
      <w:r>
        <w:rPr>
          <w:spacing w:val="-12"/>
        </w:rPr>
        <w:t> </w:t>
      </w:r>
      <w:r>
        <w:rPr/>
        <w:t>representación</w:t>
      </w:r>
    </w:p>
    <w:p>
      <w:pPr>
        <w:spacing w:after="0" w:line="360" w:lineRule="auto"/>
        <w:jc w:val="both"/>
        <w:sectPr>
          <w:pgSz w:w="12240" w:h="15840"/>
          <w:pgMar w:header="0" w:footer="1002" w:top="1360" w:bottom="1200" w:left="1600" w:right="1580"/>
        </w:sectPr>
      </w:pPr>
    </w:p>
    <w:p>
      <w:pPr>
        <w:pStyle w:val="BodyText"/>
        <w:spacing w:line="362" w:lineRule="auto" w:before="54"/>
        <w:ind w:left="102" w:right="115"/>
        <w:jc w:val="both"/>
      </w:pPr>
      <w:r>
        <w:rPr/>
        <w:t>jurídica</w:t>
      </w:r>
      <w:r>
        <w:rPr>
          <w:spacing w:val="-4"/>
        </w:rPr>
        <w:t> </w:t>
      </w:r>
      <w:r>
        <w:rPr/>
        <w:t>de</w:t>
      </w:r>
      <w:r>
        <w:rPr>
          <w:spacing w:val="-4"/>
        </w:rPr>
        <w:t> </w:t>
      </w:r>
      <w:r>
        <w:rPr/>
        <w:t>las</w:t>
      </w:r>
      <w:r>
        <w:rPr>
          <w:spacing w:val="-6"/>
        </w:rPr>
        <w:t> </w:t>
      </w:r>
      <w:r>
        <w:rPr/>
        <w:t>mujeres,</w:t>
      </w:r>
      <w:r>
        <w:rPr>
          <w:spacing w:val="-3"/>
        </w:rPr>
        <w:t> </w:t>
      </w:r>
      <w:r>
        <w:rPr/>
        <w:t>lo</w:t>
      </w:r>
      <w:r>
        <w:rPr>
          <w:spacing w:val="-6"/>
        </w:rPr>
        <w:t> </w:t>
      </w:r>
      <w:r>
        <w:rPr/>
        <w:t>que</w:t>
      </w:r>
      <w:r>
        <w:rPr>
          <w:spacing w:val="-4"/>
        </w:rPr>
        <w:t> </w:t>
      </w:r>
      <w:r>
        <w:rPr/>
        <w:t>limita</w:t>
      </w:r>
      <w:r>
        <w:rPr>
          <w:spacing w:val="-6"/>
        </w:rPr>
        <w:t> </w:t>
      </w:r>
      <w:r>
        <w:rPr/>
        <w:t>el</w:t>
      </w:r>
      <w:r>
        <w:rPr>
          <w:spacing w:val="-5"/>
        </w:rPr>
        <w:t> </w:t>
      </w:r>
      <w:r>
        <w:rPr/>
        <w:t>ejercicio</w:t>
      </w:r>
      <w:r>
        <w:rPr>
          <w:spacing w:val="-4"/>
        </w:rPr>
        <w:t> </w:t>
      </w:r>
      <w:r>
        <w:rPr/>
        <w:t>de</w:t>
      </w:r>
      <w:r>
        <w:rPr>
          <w:spacing w:val="-4"/>
        </w:rPr>
        <w:t> </w:t>
      </w:r>
      <w:r>
        <w:rPr/>
        <w:t>sus</w:t>
      </w:r>
      <w:r>
        <w:rPr>
          <w:spacing w:val="-6"/>
        </w:rPr>
        <w:t> </w:t>
      </w:r>
      <w:r>
        <w:rPr/>
        <w:t>derechos</w:t>
      </w:r>
      <w:r>
        <w:rPr>
          <w:spacing w:val="-4"/>
        </w:rPr>
        <w:t> </w:t>
      </w:r>
      <w:r>
        <w:rPr/>
        <w:t>humanos</w:t>
      </w:r>
      <w:r>
        <w:rPr>
          <w:spacing w:val="-3"/>
        </w:rPr>
        <w:t> </w:t>
      </w:r>
      <w:r>
        <w:rPr/>
        <w:t>e</w:t>
      </w:r>
      <w:r>
        <w:rPr>
          <w:spacing w:val="-4"/>
        </w:rPr>
        <w:t> </w:t>
      </w:r>
      <w:r>
        <w:rPr/>
        <w:t>incluso</w:t>
      </w:r>
      <w:r>
        <w:rPr>
          <w:spacing w:val="-7"/>
        </w:rPr>
        <w:t> </w:t>
      </w:r>
      <w:r>
        <w:rPr/>
        <w:t>impide que se vigile su estricto</w:t>
      </w:r>
      <w:r>
        <w:rPr>
          <w:spacing w:val="-13"/>
        </w:rPr>
        <w:t> </w:t>
      </w:r>
      <w:r>
        <w:rPr/>
        <w:t>cumplimiento.</w:t>
      </w:r>
    </w:p>
    <w:p>
      <w:pPr>
        <w:pStyle w:val="BodyText"/>
        <w:spacing w:before="4"/>
        <w:rPr>
          <w:sz w:val="17"/>
        </w:rPr>
      </w:pPr>
    </w:p>
    <w:p>
      <w:pPr>
        <w:pStyle w:val="BodyText"/>
        <w:spacing w:line="360" w:lineRule="auto"/>
        <w:ind w:left="102" w:right="114"/>
        <w:jc w:val="both"/>
      </w:pPr>
      <w:r>
        <w:rPr/>
        <w:t>Esta situación de discriminación y violación a los derechos humanos de las mujeres, se intencifica cuando se trata de mujeres indiciadas debido a los estereotipos de género imperantes en quienes intervienen en la actividad judicial, pues socialmente han atribuido cierto roles a las mujeres en razón de su sexo, como ser maternales, bondadosas, honestas, puras, sumisas, etc., y cuando una mujer comete o es acusada de cometer una conducta delictiva, implica que ha roto con el rol que se le ha asignado, lo que ocasiona que sea castigada de manera más severa que a un hombre que comete una conducta delictiva. Al respecto Elena Azaola señala que “el sistema jurídico penal mexicano, brinda un trato desigual a los hombres y a las mujeres, dejando claro que los casos de homicidio en que el sujeto activo son mujeres en situaciones similares recibían en promedio 30 por ciento</w:t>
      </w:r>
      <w:r>
        <w:rPr>
          <w:spacing w:val="-6"/>
        </w:rPr>
        <w:t> </w:t>
      </w:r>
      <w:r>
        <w:rPr/>
        <w:t>de</w:t>
      </w:r>
      <w:r>
        <w:rPr>
          <w:spacing w:val="-9"/>
        </w:rPr>
        <w:t> </w:t>
      </w:r>
      <w:r>
        <w:rPr/>
        <w:t>penas</w:t>
      </w:r>
      <w:r>
        <w:rPr>
          <w:spacing w:val="-8"/>
        </w:rPr>
        <w:t> </w:t>
      </w:r>
      <w:r>
        <w:rPr/>
        <w:t>más</w:t>
      </w:r>
      <w:r>
        <w:rPr>
          <w:spacing w:val="-9"/>
        </w:rPr>
        <w:t> </w:t>
      </w:r>
      <w:r>
        <w:rPr/>
        <w:t>altas</w:t>
      </w:r>
      <w:r>
        <w:rPr>
          <w:spacing w:val="-8"/>
        </w:rPr>
        <w:t> </w:t>
      </w:r>
      <w:r>
        <w:rPr/>
        <w:t>que</w:t>
      </w:r>
      <w:r>
        <w:rPr>
          <w:spacing w:val="-9"/>
        </w:rPr>
        <w:t> </w:t>
      </w:r>
      <w:r>
        <w:rPr/>
        <w:t>los</w:t>
      </w:r>
      <w:r>
        <w:rPr>
          <w:spacing w:val="-9"/>
        </w:rPr>
        <w:t> </w:t>
      </w:r>
      <w:r>
        <w:rPr/>
        <w:t>varones</w:t>
      </w:r>
      <w:r>
        <w:rPr>
          <w:spacing w:val="-11"/>
        </w:rPr>
        <w:t> </w:t>
      </w:r>
      <w:r>
        <w:rPr/>
        <w:t>que</w:t>
      </w:r>
      <w:r>
        <w:rPr>
          <w:spacing w:val="-9"/>
        </w:rPr>
        <w:t> </w:t>
      </w:r>
      <w:r>
        <w:rPr/>
        <w:t>cometían</w:t>
      </w:r>
      <w:r>
        <w:rPr>
          <w:spacing w:val="-7"/>
        </w:rPr>
        <w:t> </w:t>
      </w:r>
      <w:r>
        <w:rPr/>
        <w:t>el</w:t>
      </w:r>
      <w:r>
        <w:rPr>
          <w:spacing w:val="-10"/>
        </w:rPr>
        <w:t> </w:t>
      </w:r>
      <w:r>
        <w:rPr/>
        <w:t>mismo</w:t>
      </w:r>
      <w:r>
        <w:rPr>
          <w:spacing w:val="-9"/>
        </w:rPr>
        <w:t> </w:t>
      </w:r>
      <w:r>
        <w:rPr/>
        <w:t>ilícito”</w:t>
      </w:r>
      <w:r>
        <w:rPr>
          <w:spacing w:val="-8"/>
        </w:rPr>
        <w:t> </w:t>
      </w:r>
      <w:r>
        <w:rPr/>
        <w:t>(Azaola,</w:t>
      </w:r>
      <w:r>
        <w:rPr>
          <w:spacing w:val="-5"/>
        </w:rPr>
        <w:t> </w:t>
      </w:r>
      <w:r>
        <w:rPr/>
        <w:t>1996,</w:t>
      </w:r>
      <w:r>
        <w:rPr>
          <w:spacing w:val="-7"/>
        </w:rPr>
        <w:t> </w:t>
      </w:r>
      <w:r>
        <w:rPr/>
        <w:t>en Santillán,</w:t>
      </w:r>
      <w:r>
        <w:rPr>
          <w:spacing w:val="-3"/>
        </w:rPr>
        <w:t> </w:t>
      </w:r>
      <w:r>
        <w:rPr/>
        <w:t>2011:</w:t>
      </w:r>
      <w:r>
        <w:rPr>
          <w:spacing w:val="-3"/>
        </w:rPr>
        <w:t> </w:t>
      </w:r>
      <w:r>
        <w:rPr/>
        <w:t>89),</w:t>
      </w:r>
      <w:r>
        <w:rPr>
          <w:spacing w:val="-5"/>
        </w:rPr>
        <w:t> </w:t>
      </w:r>
      <w:r>
        <w:rPr/>
        <w:t>así</w:t>
      </w:r>
      <w:r>
        <w:rPr>
          <w:spacing w:val="-8"/>
        </w:rPr>
        <w:t> </w:t>
      </w:r>
      <w:r>
        <w:rPr/>
        <w:t>mismo</w:t>
      </w:r>
      <w:r>
        <w:rPr>
          <w:spacing w:val="-6"/>
        </w:rPr>
        <w:t> </w:t>
      </w:r>
      <w:r>
        <w:rPr/>
        <w:t>Rocío</w:t>
      </w:r>
      <w:r>
        <w:rPr>
          <w:spacing w:val="-4"/>
        </w:rPr>
        <w:t> </w:t>
      </w:r>
      <w:r>
        <w:rPr/>
        <w:t>Santillán,</w:t>
      </w:r>
      <w:r>
        <w:rPr>
          <w:spacing w:val="-3"/>
        </w:rPr>
        <w:t> </w:t>
      </w:r>
      <w:r>
        <w:rPr/>
        <w:t>en</w:t>
      </w:r>
      <w:r>
        <w:rPr>
          <w:spacing w:val="-4"/>
        </w:rPr>
        <w:t> </w:t>
      </w:r>
      <w:r>
        <w:rPr/>
        <w:t>una</w:t>
      </w:r>
      <w:r>
        <w:rPr>
          <w:spacing w:val="-4"/>
        </w:rPr>
        <w:t> </w:t>
      </w:r>
      <w:r>
        <w:rPr/>
        <w:t>investigación</w:t>
      </w:r>
      <w:r>
        <w:rPr>
          <w:spacing w:val="-7"/>
        </w:rPr>
        <w:t> </w:t>
      </w:r>
      <w:r>
        <w:rPr/>
        <w:t>realizada</w:t>
      </w:r>
      <w:r>
        <w:rPr>
          <w:spacing w:val="-4"/>
        </w:rPr>
        <w:t> </w:t>
      </w:r>
      <w:r>
        <w:rPr/>
        <w:t>en</w:t>
      </w:r>
      <w:r>
        <w:rPr>
          <w:spacing w:val="-4"/>
        </w:rPr>
        <w:t> </w:t>
      </w:r>
      <w:r>
        <w:rPr/>
        <w:t>2011,</w:t>
      </w:r>
      <w:r>
        <w:rPr>
          <w:spacing w:val="-3"/>
        </w:rPr>
        <w:t> </w:t>
      </w:r>
      <w:r>
        <w:rPr/>
        <w:t>en el</w:t>
      </w:r>
      <w:r>
        <w:rPr>
          <w:spacing w:val="-11"/>
        </w:rPr>
        <w:t> </w:t>
      </w:r>
      <w:r>
        <w:rPr/>
        <w:t>que</w:t>
      </w:r>
      <w:r>
        <w:rPr>
          <w:spacing w:val="-10"/>
        </w:rPr>
        <w:t> </w:t>
      </w:r>
      <w:r>
        <w:rPr/>
        <w:t>realiza</w:t>
      </w:r>
      <w:r>
        <w:rPr>
          <w:spacing w:val="-7"/>
        </w:rPr>
        <w:t> </w:t>
      </w:r>
      <w:r>
        <w:rPr/>
        <w:t>un</w:t>
      </w:r>
      <w:r>
        <w:rPr>
          <w:spacing w:val="-10"/>
        </w:rPr>
        <w:t> </w:t>
      </w:r>
      <w:r>
        <w:rPr/>
        <w:t>análisis</w:t>
      </w:r>
      <w:r>
        <w:rPr>
          <w:spacing w:val="-9"/>
        </w:rPr>
        <w:t> </w:t>
      </w:r>
      <w:r>
        <w:rPr/>
        <w:t>de</w:t>
      </w:r>
      <w:r>
        <w:rPr>
          <w:spacing w:val="-10"/>
        </w:rPr>
        <w:t> </w:t>
      </w:r>
      <w:r>
        <w:rPr/>
        <w:t>mujeres</w:t>
      </w:r>
      <w:r>
        <w:rPr>
          <w:spacing w:val="-10"/>
        </w:rPr>
        <w:t> </w:t>
      </w:r>
      <w:r>
        <w:rPr/>
        <w:t>homicidas</w:t>
      </w:r>
      <w:r>
        <w:rPr>
          <w:spacing w:val="-7"/>
        </w:rPr>
        <w:t> </w:t>
      </w:r>
      <w:r>
        <w:rPr/>
        <w:t>sobrevivientes</w:t>
      </w:r>
      <w:r>
        <w:rPr>
          <w:spacing w:val="-7"/>
        </w:rPr>
        <w:t> </w:t>
      </w:r>
      <w:r>
        <w:rPr/>
        <w:t>de</w:t>
      </w:r>
      <w:r>
        <w:rPr>
          <w:spacing w:val="-10"/>
        </w:rPr>
        <w:t> </w:t>
      </w:r>
      <w:r>
        <w:rPr/>
        <w:t>violencia</w:t>
      </w:r>
      <w:r>
        <w:rPr>
          <w:spacing w:val="-7"/>
        </w:rPr>
        <w:t> </w:t>
      </w:r>
      <w:r>
        <w:rPr/>
        <w:t>familiar,</w:t>
      </w:r>
      <w:r>
        <w:rPr>
          <w:spacing w:val="-8"/>
        </w:rPr>
        <w:t> </w:t>
      </w:r>
      <w:r>
        <w:rPr/>
        <w:t>deja</w:t>
      </w:r>
      <w:r>
        <w:rPr>
          <w:spacing w:val="-10"/>
        </w:rPr>
        <w:t> </w:t>
      </w:r>
      <w:r>
        <w:rPr/>
        <w:t>de manifiesto que los jueces no utilizan instrumentos internacionales ni leyes nacionales que protejan los derechos de las mujeres procesadas, ni tampoco se ciñen al principio de legalidad (Santillán, 2011:</w:t>
      </w:r>
      <w:r>
        <w:rPr>
          <w:spacing w:val="-9"/>
        </w:rPr>
        <w:t> </w:t>
      </w:r>
      <w:r>
        <w:rPr/>
        <w:t>256).</w:t>
      </w:r>
    </w:p>
    <w:p>
      <w:pPr>
        <w:pStyle w:val="BodyText"/>
        <w:spacing w:before="7"/>
        <w:rPr>
          <w:sz w:val="17"/>
        </w:rPr>
      </w:pPr>
    </w:p>
    <w:p>
      <w:pPr>
        <w:pStyle w:val="BodyText"/>
        <w:spacing w:line="360" w:lineRule="auto"/>
        <w:ind w:left="102" w:right="119"/>
        <w:jc w:val="both"/>
      </w:pPr>
      <w:r>
        <w:rPr/>
        <w:t>Aunado</w:t>
      </w:r>
      <w:r>
        <w:rPr>
          <w:spacing w:val="-6"/>
        </w:rPr>
        <w:t> </w:t>
      </w:r>
      <w:r>
        <w:rPr/>
        <w:t>a</w:t>
      </w:r>
      <w:r>
        <w:rPr>
          <w:spacing w:val="-6"/>
        </w:rPr>
        <w:t> </w:t>
      </w:r>
      <w:r>
        <w:rPr/>
        <w:t>lo</w:t>
      </w:r>
      <w:r>
        <w:rPr>
          <w:spacing w:val="-6"/>
        </w:rPr>
        <w:t> </w:t>
      </w:r>
      <w:r>
        <w:rPr/>
        <w:t>anterior,</w:t>
      </w:r>
      <w:r>
        <w:rPr>
          <w:spacing w:val="-7"/>
        </w:rPr>
        <w:t> </w:t>
      </w:r>
      <w:r>
        <w:rPr/>
        <w:t>es</w:t>
      </w:r>
      <w:r>
        <w:rPr>
          <w:spacing w:val="-11"/>
        </w:rPr>
        <w:t> </w:t>
      </w:r>
      <w:r>
        <w:rPr/>
        <w:t>posible</w:t>
      </w:r>
      <w:r>
        <w:rPr>
          <w:spacing w:val="-6"/>
        </w:rPr>
        <w:t> </w:t>
      </w:r>
      <w:r>
        <w:rPr/>
        <w:t>que,</w:t>
      </w:r>
      <w:r>
        <w:rPr>
          <w:spacing w:val="-5"/>
        </w:rPr>
        <w:t> </w:t>
      </w:r>
      <w:r>
        <w:rPr/>
        <w:t>las</w:t>
      </w:r>
      <w:r>
        <w:rPr>
          <w:spacing w:val="-9"/>
        </w:rPr>
        <w:t> </w:t>
      </w:r>
      <w:r>
        <w:rPr/>
        <w:t>instituciones</w:t>
      </w:r>
      <w:r>
        <w:rPr>
          <w:spacing w:val="-6"/>
        </w:rPr>
        <w:t> </w:t>
      </w:r>
      <w:r>
        <w:rPr/>
        <w:t>encargadas</w:t>
      </w:r>
      <w:r>
        <w:rPr>
          <w:spacing w:val="-6"/>
        </w:rPr>
        <w:t> </w:t>
      </w:r>
      <w:r>
        <w:rPr/>
        <w:t>de</w:t>
      </w:r>
      <w:r>
        <w:rPr>
          <w:spacing w:val="-9"/>
        </w:rPr>
        <w:t> </w:t>
      </w:r>
      <w:r>
        <w:rPr/>
        <w:t>proteger</w:t>
      </w:r>
      <w:r>
        <w:rPr>
          <w:spacing w:val="-5"/>
        </w:rPr>
        <w:t> </w:t>
      </w:r>
      <w:r>
        <w:rPr/>
        <w:t>los</w:t>
      </w:r>
      <w:r>
        <w:rPr>
          <w:spacing w:val="-9"/>
        </w:rPr>
        <w:t> </w:t>
      </w:r>
      <w:r>
        <w:rPr/>
        <w:t>derechos de las mujeres se hayan enfocado a las mujeres que son víctimas de violencia, particularmente de violencia directa, y las mujeres criminales se convierten en un grupo excluido de la población de mujeres, quienes probablemente, sufren una doble exclusión, por ser mujeres y por ser criminales, lo que las estaría colocando también como víctimas, víctimas de violencia</w:t>
      </w:r>
      <w:r>
        <w:rPr>
          <w:spacing w:val="-10"/>
        </w:rPr>
        <w:t> </w:t>
      </w:r>
      <w:r>
        <w:rPr/>
        <w:t>estructural.</w:t>
      </w:r>
    </w:p>
    <w:p>
      <w:pPr>
        <w:pStyle w:val="BodyText"/>
        <w:spacing w:before="7"/>
        <w:rPr>
          <w:sz w:val="17"/>
        </w:rPr>
      </w:pPr>
    </w:p>
    <w:p>
      <w:pPr>
        <w:pStyle w:val="BodyText"/>
        <w:spacing w:line="360" w:lineRule="auto"/>
        <w:ind w:left="102" w:right="116"/>
        <w:jc w:val="both"/>
      </w:pPr>
      <w:r>
        <w:rPr/>
        <w:t>Así las cosas, podemos apreciar que el acceso a la justicia por parte de las mujeres que han cometido conductas delictivas, se encuentra obstaculizada por los estereotipos de género</w:t>
      </w:r>
      <w:r>
        <w:rPr>
          <w:spacing w:val="-15"/>
        </w:rPr>
        <w:t> </w:t>
      </w:r>
      <w:r>
        <w:rPr/>
        <w:t>que</w:t>
      </w:r>
      <w:r>
        <w:rPr>
          <w:spacing w:val="-13"/>
        </w:rPr>
        <w:t> </w:t>
      </w:r>
      <w:r>
        <w:rPr/>
        <w:t>se</w:t>
      </w:r>
      <w:r>
        <w:rPr>
          <w:spacing w:val="-13"/>
        </w:rPr>
        <w:t> </w:t>
      </w:r>
      <w:r>
        <w:rPr/>
        <w:t>encuentran</w:t>
      </w:r>
      <w:r>
        <w:rPr>
          <w:spacing w:val="-10"/>
        </w:rPr>
        <w:t> </w:t>
      </w:r>
      <w:r>
        <w:rPr/>
        <w:t>presentes</w:t>
      </w:r>
      <w:r>
        <w:rPr>
          <w:spacing w:val="-12"/>
        </w:rPr>
        <w:t> </w:t>
      </w:r>
      <w:r>
        <w:rPr/>
        <w:t>en</w:t>
      </w:r>
      <w:r>
        <w:rPr>
          <w:spacing w:val="-13"/>
        </w:rPr>
        <w:t> </w:t>
      </w:r>
      <w:r>
        <w:rPr/>
        <w:t>el</w:t>
      </w:r>
      <w:r>
        <w:rPr>
          <w:spacing w:val="-14"/>
        </w:rPr>
        <w:t> </w:t>
      </w:r>
      <w:r>
        <w:rPr/>
        <w:t>sistema</w:t>
      </w:r>
      <w:r>
        <w:rPr>
          <w:spacing w:val="-10"/>
        </w:rPr>
        <w:t> </w:t>
      </w:r>
      <w:r>
        <w:rPr/>
        <w:t>de</w:t>
      </w:r>
      <w:r>
        <w:rPr>
          <w:spacing w:val="-13"/>
        </w:rPr>
        <w:t> </w:t>
      </w:r>
      <w:r>
        <w:rPr/>
        <w:t>penal,</w:t>
      </w:r>
      <w:r>
        <w:rPr>
          <w:spacing w:val="-11"/>
        </w:rPr>
        <w:t> </w:t>
      </w:r>
      <w:r>
        <w:rPr/>
        <w:t>los</w:t>
      </w:r>
      <w:r>
        <w:rPr>
          <w:spacing w:val="-13"/>
        </w:rPr>
        <w:t> </w:t>
      </w:r>
      <w:r>
        <w:rPr/>
        <w:t>cuales</w:t>
      </w:r>
      <w:r>
        <w:rPr>
          <w:spacing w:val="-13"/>
        </w:rPr>
        <w:t> </w:t>
      </w:r>
      <w:r>
        <w:rPr/>
        <w:t>adquieren</w:t>
      </w:r>
      <w:r>
        <w:rPr>
          <w:spacing w:val="-12"/>
        </w:rPr>
        <w:t> </w:t>
      </w:r>
      <w:r>
        <w:rPr/>
        <w:t>autoridad y traen como consecuencia que se restrinjan los derechos fundamentales de las mujeres indiciadas; por lo tanto, las mujeres se convierten en víctimas de violencia estructural por parte de un sistema de justicia que invisibiliza a las mujeres por razones de</w:t>
      </w:r>
      <w:r>
        <w:rPr>
          <w:spacing w:val="-26"/>
        </w:rPr>
        <w:t> </w:t>
      </w:r>
      <w:r>
        <w:rPr/>
        <w:t>género.</w:t>
      </w:r>
    </w:p>
    <w:p>
      <w:pPr>
        <w:pStyle w:val="BodyText"/>
        <w:spacing w:before="7"/>
        <w:rPr>
          <w:sz w:val="17"/>
        </w:rPr>
      </w:pPr>
    </w:p>
    <w:p>
      <w:pPr>
        <w:pStyle w:val="BodyText"/>
        <w:spacing w:line="360" w:lineRule="auto"/>
        <w:ind w:left="102" w:right="115"/>
        <w:jc w:val="both"/>
      </w:pPr>
      <w:r>
        <w:rPr/>
        <w:t>El acceso de los ciudadanos y las ciudadanas a la justicia se encuentra condicionado por la representación jurídica. En el caso particular de las mujeres indiciadas, el acceso a la</w:t>
      </w:r>
    </w:p>
    <w:p>
      <w:pPr>
        <w:spacing w:after="0" w:line="360" w:lineRule="auto"/>
        <w:jc w:val="both"/>
        <w:sectPr>
          <w:footerReference w:type="default" r:id="rId8"/>
          <w:pgSz w:w="12240" w:h="15840"/>
          <w:pgMar w:footer="1002" w:header="0" w:top="1360" w:bottom="1200" w:left="1600" w:right="1580"/>
        </w:sectPr>
      </w:pPr>
    </w:p>
    <w:p>
      <w:pPr>
        <w:pStyle w:val="BodyText"/>
        <w:spacing w:line="360" w:lineRule="auto" w:before="54"/>
        <w:ind w:left="122" w:right="116"/>
        <w:jc w:val="both"/>
      </w:pPr>
      <w:r>
        <w:rPr/>
        <w:t>justicia depende de la defensa por parte del Estado o através de la Defensa de Oficio o de Abogados/as</w:t>
      </w:r>
      <w:r>
        <w:rPr>
          <w:spacing w:val="-4"/>
        </w:rPr>
        <w:t> </w:t>
      </w:r>
      <w:r>
        <w:rPr/>
        <w:t>particulares.</w:t>
      </w:r>
      <w:r>
        <w:rPr>
          <w:spacing w:val="-3"/>
        </w:rPr>
        <w:t> </w:t>
      </w:r>
      <w:r>
        <w:rPr/>
        <w:t>Con</w:t>
      </w:r>
      <w:r>
        <w:rPr>
          <w:spacing w:val="-7"/>
        </w:rPr>
        <w:t> </w:t>
      </w:r>
      <w:r>
        <w:rPr/>
        <w:t>el</w:t>
      </w:r>
      <w:r>
        <w:rPr>
          <w:spacing w:val="-6"/>
        </w:rPr>
        <w:t> </w:t>
      </w:r>
      <w:r>
        <w:rPr/>
        <w:t>fin</w:t>
      </w:r>
      <w:r>
        <w:rPr>
          <w:spacing w:val="-6"/>
        </w:rPr>
        <w:t> </w:t>
      </w:r>
      <w:r>
        <w:rPr/>
        <w:t>de</w:t>
      </w:r>
      <w:r>
        <w:rPr>
          <w:spacing w:val="-7"/>
        </w:rPr>
        <w:t> </w:t>
      </w:r>
      <w:r>
        <w:rPr/>
        <w:t>proporcionar</w:t>
      </w:r>
      <w:r>
        <w:rPr>
          <w:spacing w:val="-3"/>
        </w:rPr>
        <w:t> </w:t>
      </w:r>
      <w:r>
        <w:rPr/>
        <w:t>una</w:t>
      </w:r>
      <w:r>
        <w:rPr>
          <w:spacing w:val="-6"/>
        </w:rPr>
        <w:t> </w:t>
      </w:r>
      <w:r>
        <w:rPr/>
        <w:t>adecuada</w:t>
      </w:r>
      <w:r>
        <w:rPr>
          <w:spacing w:val="-6"/>
        </w:rPr>
        <w:t> </w:t>
      </w:r>
      <w:r>
        <w:rPr/>
        <w:t>defensa,</w:t>
      </w:r>
      <w:r>
        <w:rPr>
          <w:spacing w:val="-3"/>
        </w:rPr>
        <w:t> </w:t>
      </w:r>
      <w:r>
        <w:rPr/>
        <w:t>los</w:t>
      </w:r>
      <w:r>
        <w:rPr>
          <w:spacing w:val="-6"/>
        </w:rPr>
        <w:t> </w:t>
      </w:r>
      <w:r>
        <w:rPr/>
        <w:t>abogados y las abogadas, deben incorporar la perspectiva de género en la defensa de las mujeres indiciadas, en los procesos penales a los que estan sujetas, debiendo vigilar el estricto cumplimiento de los derechos humanos de las mujeres indiciadas, e inducir a las autoridades de procuración y administración de justicia a valorar las circunstancias de discriminación de los géneros que se encuentran inmersas en el caso concreto, esto permitirá que las mujeres tengan un adecuado acceso a la justicia penal, con resultados más favorables, siendo sentenciadas sólo por el delito que cometieron y no por incumplir con las demandas de la cultura</w:t>
      </w:r>
      <w:r>
        <w:rPr>
          <w:spacing w:val="-13"/>
        </w:rPr>
        <w:t> </w:t>
      </w:r>
      <w:r>
        <w:rPr/>
        <w:t>patriarcal.</w:t>
      </w:r>
    </w:p>
    <w:p>
      <w:pPr>
        <w:pStyle w:val="BodyText"/>
        <w:spacing w:before="9"/>
        <w:rPr>
          <w:sz w:val="17"/>
        </w:rPr>
      </w:pPr>
    </w:p>
    <w:p>
      <w:pPr>
        <w:pStyle w:val="BodyText"/>
        <w:spacing w:line="360" w:lineRule="auto"/>
        <w:ind w:left="122" w:right="116"/>
        <w:jc w:val="both"/>
      </w:pPr>
      <w:r>
        <w:rPr/>
        <w:t>Para</w:t>
      </w:r>
      <w:r>
        <w:rPr>
          <w:spacing w:val="-3"/>
        </w:rPr>
        <w:t> </w:t>
      </w:r>
      <w:r>
        <w:rPr/>
        <w:t>los</w:t>
      </w:r>
      <w:r>
        <w:rPr>
          <w:spacing w:val="-5"/>
        </w:rPr>
        <w:t> </w:t>
      </w:r>
      <w:r>
        <w:rPr/>
        <w:t>efectos</w:t>
      </w:r>
      <w:r>
        <w:rPr>
          <w:spacing w:val="-5"/>
        </w:rPr>
        <w:t> </w:t>
      </w:r>
      <w:r>
        <w:rPr/>
        <w:t>del</w:t>
      </w:r>
      <w:r>
        <w:rPr>
          <w:spacing w:val="-4"/>
        </w:rPr>
        <w:t> </w:t>
      </w:r>
      <w:r>
        <w:rPr/>
        <w:t>presente</w:t>
      </w:r>
      <w:r>
        <w:rPr>
          <w:spacing w:val="-5"/>
        </w:rPr>
        <w:t> </w:t>
      </w:r>
      <w:r>
        <w:rPr/>
        <w:t>trabajo</w:t>
      </w:r>
      <w:r>
        <w:rPr>
          <w:spacing w:val="-5"/>
        </w:rPr>
        <w:t> </w:t>
      </w:r>
      <w:r>
        <w:rPr/>
        <w:t>se</w:t>
      </w:r>
      <w:r>
        <w:rPr>
          <w:spacing w:val="-3"/>
        </w:rPr>
        <w:t> </w:t>
      </w:r>
      <w:r>
        <w:rPr/>
        <w:t>estudiará</w:t>
      </w:r>
      <w:r>
        <w:rPr>
          <w:spacing w:val="-5"/>
        </w:rPr>
        <w:t> </w:t>
      </w:r>
      <w:r>
        <w:rPr/>
        <w:t>a</w:t>
      </w:r>
      <w:r>
        <w:rPr>
          <w:spacing w:val="-3"/>
        </w:rPr>
        <w:t> </w:t>
      </w:r>
      <w:r>
        <w:rPr/>
        <w:t>los</w:t>
      </w:r>
      <w:r>
        <w:rPr>
          <w:spacing w:val="-5"/>
        </w:rPr>
        <w:t> </w:t>
      </w:r>
      <w:r>
        <w:rPr/>
        <w:t>y</w:t>
      </w:r>
      <w:r>
        <w:rPr>
          <w:spacing w:val="-5"/>
        </w:rPr>
        <w:t> </w:t>
      </w:r>
      <w:r>
        <w:rPr/>
        <w:t>las</w:t>
      </w:r>
      <w:r>
        <w:rPr>
          <w:spacing w:val="-3"/>
        </w:rPr>
        <w:t> </w:t>
      </w:r>
      <w:r>
        <w:rPr/>
        <w:t>defensoras</w:t>
      </w:r>
      <w:r>
        <w:rPr>
          <w:spacing w:val="-5"/>
        </w:rPr>
        <w:t> </w:t>
      </w:r>
      <w:r>
        <w:rPr/>
        <w:t>que</w:t>
      </w:r>
      <w:r>
        <w:rPr>
          <w:spacing w:val="-3"/>
        </w:rPr>
        <w:t> </w:t>
      </w:r>
      <w:r>
        <w:rPr/>
        <w:t>representan</w:t>
      </w:r>
      <w:r>
        <w:rPr>
          <w:spacing w:val="-7"/>
        </w:rPr>
        <w:t> </w:t>
      </w:r>
      <w:r>
        <w:rPr/>
        <w:t>a mujeres indiciadas en la zona norte del Estado de México, específicamente en los</w:t>
      </w:r>
      <w:r>
        <w:rPr>
          <w:spacing w:val="-40"/>
        </w:rPr>
        <w:t> </w:t>
      </w:r>
      <w:r>
        <w:rPr/>
        <w:t>Distritos Judiciales de El Oro y de Ixtlahuaca. En el caso del Distrito judicial de El Oro, se incluyen los</w:t>
      </w:r>
      <w:r>
        <w:rPr>
          <w:spacing w:val="-6"/>
        </w:rPr>
        <w:t> </w:t>
      </w:r>
      <w:r>
        <w:rPr/>
        <w:t>municipios</w:t>
      </w:r>
      <w:r>
        <w:rPr>
          <w:spacing w:val="-6"/>
        </w:rPr>
        <w:t> </w:t>
      </w:r>
      <w:r>
        <w:rPr/>
        <w:t>de:</w:t>
      </w:r>
      <w:r>
        <w:rPr>
          <w:spacing w:val="-7"/>
        </w:rPr>
        <w:t> </w:t>
      </w:r>
      <w:r>
        <w:rPr/>
        <w:t>El</w:t>
      </w:r>
      <w:r>
        <w:rPr>
          <w:spacing w:val="-10"/>
        </w:rPr>
        <w:t> </w:t>
      </w:r>
      <w:r>
        <w:rPr/>
        <w:t>Oro,</w:t>
      </w:r>
      <w:r>
        <w:rPr>
          <w:spacing w:val="-5"/>
        </w:rPr>
        <w:t> </w:t>
      </w:r>
      <w:r>
        <w:rPr/>
        <w:t>Atlacomulco,</w:t>
      </w:r>
      <w:r>
        <w:rPr>
          <w:spacing w:val="-10"/>
        </w:rPr>
        <w:t> </w:t>
      </w:r>
      <w:r>
        <w:rPr/>
        <w:t>Temascalcingo</w:t>
      </w:r>
      <w:r>
        <w:rPr>
          <w:spacing w:val="-6"/>
        </w:rPr>
        <w:t> </w:t>
      </w:r>
      <w:r>
        <w:rPr/>
        <w:t>y</w:t>
      </w:r>
      <w:r>
        <w:rPr>
          <w:spacing w:val="-8"/>
        </w:rPr>
        <w:t> </w:t>
      </w:r>
      <w:r>
        <w:rPr/>
        <w:t>Acambay;</w:t>
      </w:r>
      <w:r>
        <w:rPr>
          <w:spacing w:val="-5"/>
        </w:rPr>
        <w:t> </w:t>
      </w:r>
      <w:r>
        <w:rPr/>
        <w:t>en</w:t>
      </w:r>
      <w:r>
        <w:rPr>
          <w:spacing w:val="-9"/>
        </w:rPr>
        <w:t> </w:t>
      </w:r>
      <w:r>
        <w:rPr/>
        <w:t>tanto</w:t>
      </w:r>
      <w:r>
        <w:rPr>
          <w:spacing w:val="-6"/>
        </w:rPr>
        <w:t> </w:t>
      </w:r>
      <w:r>
        <w:rPr/>
        <w:t>para</w:t>
      </w:r>
      <w:r>
        <w:rPr>
          <w:spacing w:val="-9"/>
        </w:rPr>
        <w:t> </w:t>
      </w:r>
      <w:r>
        <w:rPr/>
        <w:t>el</w:t>
      </w:r>
      <w:r>
        <w:rPr>
          <w:spacing w:val="-7"/>
        </w:rPr>
        <w:t> </w:t>
      </w:r>
      <w:r>
        <w:rPr/>
        <w:t>Distrito judicial de Ixtlahuaca, lo municipios que lo integran son: Ixtlahuaca, San Felipe del Progreso, San José del Rincón, Morelos y Jocotitlán</w:t>
      </w:r>
      <w:r>
        <w:rPr>
          <w:position w:val="8"/>
          <w:sz w:val="14"/>
        </w:rPr>
        <w:t>3</w:t>
      </w:r>
      <w:r>
        <w:rPr/>
        <w:t>; lo anterior en razón de que dicha zona geográfica es en la que yo me desenvuelvo profesionalmente y, por mi experiencia profesional,</w:t>
      </w:r>
      <w:r>
        <w:rPr>
          <w:spacing w:val="-18"/>
        </w:rPr>
        <w:t> </w:t>
      </w:r>
      <w:r>
        <w:rPr/>
        <w:t>me</w:t>
      </w:r>
      <w:r>
        <w:rPr>
          <w:spacing w:val="-15"/>
        </w:rPr>
        <w:t> </w:t>
      </w:r>
      <w:r>
        <w:rPr/>
        <w:t>he</w:t>
      </w:r>
      <w:r>
        <w:rPr>
          <w:spacing w:val="-18"/>
        </w:rPr>
        <w:t> </w:t>
      </w:r>
      <w:r>
        <w:rPr/>
        <w:t>percatado</w:t>
      </w:r>
      <w:r>
        <w:rPr>
          <w:spacing w:val="-17"/>
        </w:rPr>
        <w:t> </w:t>
      </w:r>
      <w:r>
        <w:rPr/>
        <w:t>que</w:t>
      </w:r>
      <w:r>
        <w:rPr>
          <w:spacing w:val="-18"/>
        </w:rPr>
        <w:t> </w:t>
      </w:r>
      <w:r>
        <w:rPr/>
        <w:t>no</w:t>
      </w:r>
      <w:r>
        <w:rPr>
          <w:spacing w:val="-18"/>
        </w:rPr>
        <w:t> </w:t>
      </w:r>
      <w:r>
        <w:rPr/>
        <w:t>se</w:t>
      </w:r>
      <w:r>
        <w:rPr>
          <w:spacing w:val="-18"/>
        </w:rPr>
        <w:t> </w:t>
      </w:r>
      <w:r>
        <w:rPr/>
        <w:t>aplica</w:t>
      </w:r>
      <w:r>
        <w:rPr>
          <w:spacing w:val="-15"/>
        </w:rPr>
        <w:t> </w:t>
      </w:r>
      <w:r>
        <w:rPr/>
        <w:t>el</w:t>
      </w:r>
      <w:r>
        <w:rPr>
          <w:spacing w:val="-18"/>
        </w:rPr>
        <w:t> </w:t>
      </w:r>
      <w:r>
        <w:rPr/>
        <w:t>cuerpo</w:t>
      </w:r>
      <w:r>
        <w:rPr>
          <w:spacing w:val="-15"/>
        </w:rPr>
        <w:t> </w:t>
      </w:r>
      <w:r>
        <w:rPr/>
        <w:t>legislativo</w:t>
      </w:r>
      <w:r>
        <w:rPr>
          <w:spacing w:val="-17"/>
        </w:rPr>
        <w:t> </w:t>
      </w:r>
      <w:r>
        <w:rPr/>
        <w:t>que</w:t>
      </w:r>
      <w:r>
        <w:rPr>
          <w:spacing w:val="-18"/>
        </w:rPr>
        <w:t> </w:t>
      </w:r>
      <w:r>
        <w:rPr/>
        <w:t>protege</w:t>
      </w:r>
      <w:r>
        <w:rPr>
          <w:spacing w:val="-18"/>
        </w:rPr>
        <w:t> </w:t>
      </w:r>
      <w:r>
        <w:rPr/>
        <w:t>los</w:t>
      </w:r>
      <w:r>
        <w:rPr>
          <w:spacing w:val="-18"/>
        </w:rPr>
        <w:t> </w:t>
      </w:r>
      <w:r>
        <w:rPr/>
        <w:t>derechos de las mujeres, pese a que existen Agencias del Ministerio Público Especializadas en Violencia de Género y abogados y abogadas del Consejo Estatal de la Mujer y Bienestar Social.</w:t>
      </w:r>
    </w:p>
    <w:p>
      <w:pPr>
        <w:pStyle w:val="BodyText"/>
        <w:spacing w:before="7"/>
        <w:rPr>
          <w:sz w:val="17"/>
        </w:rPr>
      </w:pPr>
    </w:p>
    <w:p>
      <w:pPr>
        <w:pStyle w:val="BodyText"/>
        <w:spacing w:line="360" w:lineRule="auto"/>
        <w:ind w:left="122" w:right="115"/>
        <w:jc w:val="both"/>
      </w:pPr>
      <w:r>
        <w:rPr/>
        <w:t>El estudio se concentra en la representación jurídica de mujeres acusadas de cometer delito, porque las mujeres criminales son un sector de la población invisibilizado, pues la mayor atención que se da en investigaciones en materia de derecho de las mujeres, es a las mujeres víctimas de violencia, sin advertir que las mujeres que cometen conductas delictivas, también son víctimas de un sistema judicial que tiene una visión androcentrista en la impartición de justicia.</w:t>
      </w:r>
    </w:p>
    <w:p>
      <w:pPr>
        <w:pStyle w:val="BodyText"/>
        <w:spacing w:before="7"/>
        <w:rPr>
          <w:sz w:val="17"/>
        </w:rPr>
      </w:pPr>
    </w:p>
    <w:p>
      <w:pPr>
        <w:pStyle w:val="BodyText"/>
        <w:spacing w:line="360" w:lineRule="auto"/>
        <w:ind w:left="122" w:right="116"/>
        <w:jc w:val="both"/>
      </w:pPr>
      <w:r>
        <w:rPr/>
        <w:t>Con este trabajo se pretende demostar que la aplicación de la perspectiva de género, entendida como el punto de vista a partir del cual se visualizan los distintos fenómenos de la realidad, que tiene en cuenta las implicaciones y efectos de las relaciones sociales de</w:t>
      </w:r>
    </w:p>
    <w:p>
      <w:pPr>
        <w:pStyle w:val="BodyText"/>
        <w:rPr>
          <w:sz w:val="20"/>
        </w:rPr>
      </w:pPr>
    </w:p>
    <w:p>
      <w:pPr>
        <w:pStyle w:val="BodyText"/>
        <w:spacing w:before="7"/>
        <w:rPr>
          <w:sz w:val="19"/>
        </w:rPr>
      </w:pPr>
      <w:r>
        <w:rPr/>
        <w:pict>
          <v:line style="position:absolute;mso-position-horizontal-relative:page;mso-position-vertical-relative:paragraph;z-index:1240;mso-wrap-distance-left:0;mso-wrap-distance-right:0" from="85.103996pt,13.625373pt" to="229.123996pt,13.625373pt" stroked="true" strokeweight=".72003pt" strokecolor="#000000">
            <w10:wrap type="topAndBottom"/>
          </v:line>
        </w:pict>
      </w:r>
    </w:p>
    <w:p>
      <w:pPr>
        <w:spacing w:before="69"/>
        <w:ind w:left="122" w:right="202" w:firstLine="0"/>
        <w:jc w:val="left"/>
        <w:rPr>
          <w:sz w:val="18"/>
        </w:rPr>
      </w:pPr>
      <w:r>
        <w:rPr>
          <w:position w:val="6"/>
          <w:sz w:val="12"/>
        </w:rPr>
        <w:t>3 </w:t>
      </w:r>
      <w:r>
        <w:rPr>
          <w:sz w:val="18"/>
        </w:rPr>
        <w:t>La distritacción judicial es establecida por disposición legal, la cual se encuentra definida en los artículos 10 y 11 de la Ley Orgánica del Poder Judicial del Estado de México.</w:t>
      </w:r>
    </w:p>
    <w:p>
      <w:pPr>
        <w:spacing w:after="0"/>
        <w:jc w:val="left"/>
        <w:rPr>
          <w:sz w:val="18"/>
        </w:rPr>
        <w:sectPr>
          <w:footerReference w:type="default" r:id="rId9"/>
          <w:pgSz w:w="12240" w:h="15840"/>
          <w:pgMar w:footer="1002" w:header="0" w:top="1360" w:bottom="1200" w:left="1580" w:right="1580"/>
          <w:pgNumType w:start="11"/>
        </w:sectPr>
      </w:pPr>
    </w:p>
    <w:p>
      <w:pPr>
        <w:pStyle w:val="BodyText"/>
        <w:spacing w:line="360" w:lineRule="auto" w:before="54"/>
        <w:ind w:left="102" w:right="116"/>
        <w:jc w:val="both"/>
      </w:pPr>
      <w:r>
        <w:rPr/>
        <w:t>poder entre los géneros (Serret </w:t>
      </w:r>
      <w:r>
        <w:rPr>
          <w:i/>
        </w:rPr>
        <w:t>et al</w:t>
      </w:r>
      <w:r>
        <w:rPr/>
        <w:t>., 2008: 15), en la defensa de mujeres imputadas, permitirá proteger los derechos de las mujeres en los procedimientos penales respectivos a fin de que tengan un verdadero acceso a la justicia, y que si hasta el momento no se ha dado, es por causa de una defensa carente de perspectiva de género.</w:t>
      </w:r>
    </w:p>
    <w:p>
      <w:pPr>
        <w:spacing w:after="0" w:line="360" w:lineRule="auto"/>
        <w:jc w:val="both"/>
        <w:sectPr>
          <w:pgSz w:w="12240" w:h="15840"/>
          <w:pgMar w:header="0" w:footer="1002" w:top="1360" w:bottom="1200" w:left="1600" w:right="1580"/>
        </w:sectPr>
      </w:pPr>
    </w:p>
    <w:p>
      <w:pPr>
        <w:pStyle w:val="BodyText"/>
        <w:rPr>
          <w:sz w:val="20"/>
        </w:rPr>
      </w:pPr>
    </w:p>
    <w:p>
      <w:pPr>
        <w:pStyle w:val="BodyText"/>
        <w:spacing w:before="5"/>
        <w:rPr>
          <w:sz w:val="16"/>
        </w:rPr>
      </w:pPr>
    </w:p>
    <w:p>
      <w:pPr>
        <w:pStyle w:val="Heading8"/>
        <w:numPr>
          <w:ilvl w:val="0"/>
          <w:numId w:val="1"/>
        </w:numPr>
        <w:tabs>
          <w:tab w:pos="810" w:val="left" w:leader="none"/>
        </w:tabs>
        <w:spacing w:line="240" w:lineRule="auto" w:before="73" w:after="0"/>
        <w:ind w:left="810" w:right="0" w:hanging="708"/>
        <w:jc w:val="both"/>
        <w:rPr>
          <w:rFonts w:ascii="Arial"/>
        </w:rPr>
      </w:pPr>
      <w:r>
        <w:rPr>
          <w:rFonts w:ascii="Arial"/>
        </w:rPr>
        <w:t>MARCO</w:t>
      </w:r>
      <w:r>
        <w:rPr>
          <w:rFonts w:ascii="Arial"/>
          <w:spacing w:val="-11"/>
        </w:rPr>
        <w:t> </w:t>
      </w:r>
      <w:r>
        <w:rPr>
          <w:rFonts w:ascii="Arial"/>
        </w:rPr>
        <w:t>CONCEPTUAL</w:t>
      </w:r>
    </w:p>
    <w:p>
      <w:pPr>
        <w:pStyle w:val="BodyText"/>
        <w:spacing w:before="5"/>
        <w:rPr>
          <w:b/>
          <w:sz w:val="28"/>
        </w:rPr>
      </w:pPr>
    </w:p>
    <w:p>
      <w:pPr>
        <w:pStyle w:val="BodyText"/>
        <w:spacing w:line="360" w:lineRule="auto" w:before="1"/>
        <w:ind w:left="102" w:right="114"/>
        <w:jc w:val="both"/>
      </w:pPr>
      <w:r>
        <w:rPr/>
        <w:t>El presente trabajo abarca el análisis de la incorporación de la perspectiva de género en</w:t>
      </w:r>
      <w:r>
        <w:rPr>
          <w:spacing w:val="-25"/>
        </w:rPr>
        <w:t> </w:t>
      </w:r>
      <w:r>
        <w:rPr/>
        <w:t>la defensa</w:t>
      </w:r>
      <w:r>
        <w:rPr>
          <w:spacing w:val="-8"/>
        </w:rPr>
        <w:t> </w:t>
      </w:r>
      <w:r>
        <w:rPr/>
        <w:t>de</w:t>
      </w:r>
      <w:r>
        <w:rPr>
          <w:spacing w:val="-8"/>
        </w:rPr>
        <w:t> </w:t>
      </w:r>
      <w:r>
        <w:rPr/>
        <w:t>las</w:t>
      </w:r>
      <w:r>
        <w:rPr>
          <w:spacing w:val="-8"/>
        </w:rPr>
        <w:t> </w:t>
      </w:r>
      <w:r>
        <w:rPr/>
        <w:t>mujeres</w:t>
      </w:r>
      <w:r>
        <w:rPr>
          <w:spacing w:val="-10"/>
        </w:rPr>
        <w:t> </w:t>
      </w:r>
      <w:r>
        <w:rPr/>
        <w:t>que</w:t>
      </w:r>
      <w:r>
        <w:rPr>
          <w:spacing w:val="-5"/>
        </w:rPr>
        <w:t> </w:t>
      </w:r>
      <w:r>
        <w:rPr/>
        <w:t>son</w:t>
      </w:r>
      <w:r>
        <w:rPr>
          <w:spacing w:val="-8"/>
        </w:rPr>
        <w:t> </w:t>
      </w:r>
      <w:r>
        <w:rPr/>
        <w:t>acusadas</w:t>
      </w:r>
      <w:r>
        <w:rPr>
          <w:spacing w:val="-8"/>
        </w:rPr>
        <w:t> </w:t>
      </w:r>
      <w:r>
        <w:rPr/>
        <w:t>de</w:t>
      </w:r>
      <w:r>
        <w:rPr>
          <w:spacing w:val="-8"/>
        </w:rPr>
        <w:t> </w:t>
      </w:r>
      <w:r>
        <w:rPr/>
        <w:t>cometer</w:t>
      </w:r>
      <w:r>
        <w:rPr>
          <w:spacing w:val="-6"/>
        </w:rPr>
        <w:t> </w:t>
      </w:r>
      <w:r>
        <w:rPr/>
        <w:t>conductas</w:t>
      </w:r>
      <w:r>
        <w:rPr>
          <w:spacing w:val="-8"/>
        </w:rPr>
        <w:t> </w:t>
      </w:r>
      <w:r>
        <w:rPr/>
        <w:t>delitivas,</w:t>
      </w:r>
      <w:r>
        <w:rPr>
          <w:spacing w:val="-7"/>
        </w:rPr>
        <w:t> </w:t>
      </w:r>
      <w:r>
        <w:rPr/>
        <w:t>como</w:t>
      </w:r>
      <w:r>
        <w:rPr>
          <w:spacing w:val="-7"/>
        </w:rPr>
        <w:t> </w:t>
      </w:r>
      <w:r>
        <w:rPr/>
        <w:t>una</w:t>
      </w:r>
      <w:r>
        <w:rPr>
          <w:spacing w:val="-10"/>
        </w:rPr>
        <w:t> </w:t>
      </w:r>
      <w:r>
        <w:rPr/>
        <w:t>forma de protección de sus derechos. El punto central del presente trabajo, es el análisis de la incorporación de la perspectiva de género en la práctica profesional de los abogados y las abogadas que litigan asuntos penales en la zona norte del Estado de México, y de</w:t>
      </w:r>
      <w:r>
        <w:rPr>
          <w:spacing w:val="-28"/>
        </w:rPr>
        <w:t> </w:t>
      </w:r>
      <w:r>
        <w:rPr/>
        <w:t>manera particular</w:t>
      </w:r>
      <w:r>
        <w:rPr>
          <w:spacing w:val="-2"/>
        </w:rPr>
        <w:t> </w:t>
      </w:r>
      <w:r>
        <w:rPr/>
        <w:t>en</w:t>
      </w:r>
      <w:r>
        <w:rPr>
          <w:spacing w:val="-3"/>
        </w:rPr>
        <w:t> </w:t>
      </w:r>
      <w:r>
        <w:rPr/>
        <w:t>los</w:t>
      </w:r>
      <w:r>
        <w:rPr>
          <w:spacing w:val="-3"/>
        </w:rPr>
        <w:t> </w:t>
      </w:r>
      <w:r>
        <w:rPr/>
        <w:t>Distritos</w:t>
      </w:r>
      <w:r>
        <w:rPr>
          <w:spacing w:val="-3"/>
        </w:rPr>
        <w:t> </w:t>
      </w:r>
      <w:r>
        <w:rPr/>
        <w:t>Judiciales</w:t>
      </w:r>
      <w:r>
        <w:rPr>
          <w:spacing w:val="-1"/>
        </w:rPr>
        <w:t> </w:t>
      </w:r>
      <w:r>
        <w:rPr/>
        <w:t>de</w:t>
      </w:r>
      <w:r>
        <w:rPr>
          <w:spacing w:val="-3"/>
        </w:rPr>
        <w:t> </w:t>
      </w:r>
      <w:r>
        <w:rPr/>
        <w:t>El</w:t>
      </w:r>
      <w:r>
        <w:rPr>
          <w:spacing w:val="-4"/>
        </w:rPr>
        <w:t> </w:t>
      </w:r>
      <w:r>
        <w:rPr/>
        <w:t>Oro</w:t>
      </w:r>
      <w:r>
        <w:rPr>
          <w:spacing w:val="-3"/>
        </w:rPr>
        <w:t> </w:t>
      </w:r>
      <w:r>
        <w:rPr/>
        <w:t>e</w:t>
      </w:r>
      <w:r>
        <w:rPr>
          <w:spacing w:val="-3"/>
        </w:rPr>
        <w:t> </w:t>
      </w:r>
      <w:r>
        <w:rPr/>
        <w:t>Ixtlahuaca.</w:t>
      </w:r>
      <w:r>
        <w:rPr>
          <w:spacing w:val="-2"/>
        </w:rPr>
        <w:t> </w:t>
      </w:r>
      <w:r>
        <w:rPr/>
        <w:t>La</w:t>
      </w:r>
      <w:r>
        <w:rPr>
          <w:spacing w:val="-3"/>
        </w:rPr>
        <w:t> </w:t>
      </w:r>
      <w:r>
        <w:rPr/>
        <w:t>manra</w:t>
      </w:r>
      <w:r>
        <w:rPr>
          <w:spacing w:val="-3"/>
        </w:rPr>
        <w:t> </w:t>
      </w:r>
      <w:r>
        <w:rPr/>
        <w:t>en</w:t>
      </w:r>
      <w:r>
        <w:rPr>
          <w:spacing w:val="-6"/>
        </w:rPr>
        <w:t> </w:t>
      </w:r>
      <w:r>
        <w:rPr/>
        <w:t>que</w:t>
      </w:r>
      <w:r>
        <w:rPr>
          <w:spacing w:val="-1"/>
        </w:rPr>
        <w:t> </w:t>
      </w:r>
      <w:r>
        <w:rPr/>
        <w:t>se</w:t>
      </w:r>
      <w:r>
        <w:rPr>
          <w:spacing w:val="-3"/>
        </w:rPr>
        <w:t> </w:t>
      </w:r>
      <w:r>
        <w:rPr/>
        <w:t>aplican</w:t>
      </w:r>
      <w:r>
        <w:rPr>
          <w:spacing w:val="-2"/>
        </w:rPr>
        <w:t> </w:t>
      </w:r>
      <w:r>
        <w:rPr/>
        <w:t>las leyes que protegen los derechos de las mujeres indiciadas dentro de los procedimientos penales a los que son sometidad. De ahí surge la importancia de incorporar la perspectiva de género en la defensa de las mujeres indiciadas para proporcionarles una adecuada defensa.</w:t>
      </w:r>
    </w:p>
    <w:p>
      <w:pPr>
        <w:pStyle w:val="BodyText"/>
        <w:spacing w:before="9"/>
        <w:rPr>
          <w:sz w:val="17"/>
        </w:rPr>
      </w:pPr>
    </w:p>
    <w:p>
      <w:pPr>
        <w:pStyle w:val="BodyText"/>
        <w:spacing w:line="360" w:lineRule="auto"/>
        <w:ind w:left="102" w:right="117"/>
        <w:jc w:val="both"/>
      </w:pPr>
      <w:r>
        <w:rPr/>
        <w:t>Este</w:t>
      </w:r>
      <w:r>
        <w:rPr>
          <w:spacing w:val="-11"/>
        </w:rPr>
        <w:t> </w:t>
      </w:r>
      <w:r>
        <w:rPr/>
        <w:t>trabajo</w:t>
      </w:r>
      <w:r>
        <w:rPr>
          <w:spacing w:val="-11"/>
        </w:rPr>
        <w:t> </w:t>
      </w:r>
      <w:r>
        <w:rPr/>
        <w:t>tiene</w:t>
      </w:r>
      <w:r>
        <w:rPr>
          <w:spacing w:val="-11"/>
        </w:rPr>
        <w:t> </w:t>
      </w:r>
      <w:r>
        <w:rPr/>
        <w:t>como</w:t>
      </w:r>
      <w:r>
        <w:rPr>
          <w:spacing w:val="-13"/>
        </w:rPr>
        <w:t> </w:t>
      </w:r>
      <w:r>
        <w:rPr/>
        <w:t>base</w:t>
      </w:r>
      <w:r>
        <w:rPr>
          <w:spacing w:val="-9"/>
        </w:rPr>
        <w:t> </w:t>
      </w:r>
      <w:r>
        <w:rPr/>
        <w:t>teórica-metodológica</w:t>
      </w:r>
      <w:r>
        <w:rPr>
          <w:spacing w:val="-9"/>
        </w:rPr>
        <w:t> </w:t>
      </w:r>
      <w:r>
        <w:rPr/>
        <w:t>la</w:t>
      </w:r>
      <w:r>
        <w:rPr>
          <w:spacing w:val="-9"/>
        </w:rPr>
        <w:t> </w:t>
      </w:r>
      <w:r>
        <w:rPr/>
        <w:t>Perspectiva</w:t>
      </w:r>
      <w:r>
        <w:rPr>
          <w:spacing w:val="-9"/>
        </w:rPr>
        <w:t> </w:t>
      </w:r>
      <w:r>
        <w:rPr/>
        <w:t>de</w:t>
      </w:r>
      <w:r>
        <w:rPr>
          <w:spacing w:val="-11"/>
        </w:rPr>
        <w:t> </w:t>
      </w:r>
      <w:r>
        <w:rPr/>
        <w:t>género,</w:t>
      </w:r>
      <w:r>
        <w:rPr>
          <w:spacing w:val="-10"/>
        </w:rPr>
        <w:t> </w:t>
      </w:r>
      <w:r>
        <w:rPr/>
        <w:t>el</w:t>
      </w:r>
      <w:r>
        <w:rPr>
          <w:spacing w:val="-10"/>
        </w:rPr>
        <w:t> </w:t>
      </w:r>
      <w:r>
        <w:rPr/>
        <w:t>principio</w:t>
      </w:r>
      <w:r>
        <w:rPr>
          <w:spacing w:val="-9"/>
        </w:rPr>
        <w:t> </w:t>
      </w:r>
      <w:r>
        <w:rPr/>
        <w:t>de igualdad, la acción afirmativa, Derechos Humanos, el control de convencionalidad y el sistema de justicia penal</w:t>
      </w:r>
      <w:r>
        <w:rPr>
          <w:spacing w:val="-8"/>
        </w:rPr>
        <w:t> </w:t>
      </w:r>
      <w:r>
        <w:rPr/>
        <w:t>acusatorio.</w:t>
      </w:r>
    </w:p>
    <w:p>
      <w:pPr>
        <w:pStyle w:val="BodyText"/>
        <w:spacing w:before="4"/>
        <w:rPr>
          <w:sz w:val="17"/>
        </w:rPr>
      </w:pPr>
    </w:p>
    <w:p>
      <w:pPr>
        <w:pStyle w:val="Heading8"/>
        <w:numPr>
          <w:ilvl w:val="1"/>
          <w:numId w:val="1"/>
        </w:numPr>
        <w:tabs>
          <w:tab w:pos="472" w:val="left" w:leader="none"/>
        </w:tabs>
        <w:spacing w:line="240" w:lineRule="auto" w:before="0" w:after="0"/>
        <w:ind w:left="471" w:right="0" w:hanging="369"/>
        <w:jc w:val="both"/>
        <w:rPr>
          <w:rFonts w:ascii="Arial" w:hAnsi="Arial"/>
        </w:rPr>
      </w:pPr>
      <w:r>
        <w:rPr>
          <w:rFonts w:ascii="Arial" w:hAnsi="Arial"/>
        </w:rPr>
        <w:t>Perspectiva de</w:t>
      </w:r>
      <w:r>
        <w:rPr>
          <w:rFonts w:ascii="Arial" w:hAnsi="Arial"/>
          <w:spacing w:val="-6"/>
        </w:rPr>
        <w:t> </w:t>
      </w:r>
      <w:r>
        <w:rPr>
          <w:rFonts w:ascii="Arial" w:hAnsi="Arial"/>
        </w:rPr>
        <w:t>género</w:t>
      </w:r>
    </w:p>
    <w:p>
      <w:pPr>
        <w:pStyle w:val="BodyText"/>
        <w:spacing w:before="8"/>
        <w:rPr>
          <w:b/>
          <w:sz w:val="28"/>
        </w:rPr>
      </w:pPr>
    </w:p>
    <w:p>
      <w:pPr>
        <w:pStyle w:val="BodyText"/>
        <w:spacing w:line="360" w:lineRule="auto"/>
        <w:ind w:left="102" w:right="114"/>
        <w:jc w:val="both"/>
      </w:pPr>
      <w:r>
        <w:rPr/>
        <w:t>La perspectiva de género, constituye una herramienta adecuada para visibilizar las circunstancias de discriminación entre los géneros, evidencia las relaciones de poder originadas por las diferencias de género. De acuerdo con Estela Serret, la perspectiva de género es “el punto de vista mediante el cual se visualizan distintos fenómenos de la realidad, que tiene en cuenta las implicaciones y los efectos de las relaciones sociales de poder entre los géneros” (Serret, 2008: 15).</w:t>
      </w:r>
    </w:p>
    <w:p>
      <w:pPr>
        <w:pStyle w:val="BodyText"/>
        <w:spacing w:before="9"/>
        <w:rPr>
          <w:sz w:val="17"/>
        </w:rPr>
      </w:pPr>
    </w:p>
    <w:p>
      <w:pPr>
        <w:pStyle w:val="BodyText"/>
        <w:spacing w:line="360" w:lineRule="auto"/>
        <w:ind w:left="102" w:right="118"/>
        <w:jc w:val="both"/>
      </w:pPr>
      <w:r>
        <w:rPr/>
        <w:t>El Instituto Nacional de las Mujeres (Inmujeres) (2007: 104), señala que la perspectiva de género es: “una herramienta conceptual que busca mostrar que las diferencias entre mujeres y hombres se dan no sólo por su determinación biológica, sino también por las diferencias culturales asignadas a los humanos. El empleo de la perspectiva de género plantea</w:t>
      </w:r>
      <w:r>
        <w:rPr>
          <w:spacing w:val="-11"/>
        </w:rPr>
        <w:t> </w:t>
      </w:r>
      <w:r>
        <w:rPr/>
        <w:t>la</w:t>
      </w:r>
      <w:r>
        <w:rPr>
          <w:spacing w:val="-11"/>
        </w:rPr>
        <w:t> </w:t>
      </w:r>
      <w:r>
        <w:rPr/>
        <w:t>necesidad</w:t>
      </w:r>
      <w:r>
        <w:rPr>
          <w:spacing w:val="-11"/>
        </w:rPr>
        <w:t> </w:t>
      </w:r>
      <w:r>
        <w:rPr/>
        <w:t>de</w:t>
      </w:r>
      <w:r>
        <w:rPr>
          <w:spacing w:val="-16"/>
        </w:rPr>
        <w:t> </w:t>
      </w:r>
      <w:r>
        <w:rPr/>
        <w:t>solucionar</w:t>
      </w:r>
      <w:r>
        <w:rPr>
          <w:spacing w:val="-10"/>
        </w:rPr>
        <w:t> </w:t>
      </w:r>
      <w:r>
        <w:rPr/>
        <w:t>los</w:t>
      </w:r>
      <w:r>
        <w:rPr>
          <w:spacing w:val="-11"/>
        </w:rPr>
        <w:t> </w:t>
      </w:r>
      <w:r>
        <w:rPr/>
        <w:t>desequilibrios</w:t>
      </w:r>
      <w:r>
        <w:rPr>
          <w:spacing w:val="-11"/>
        </w:rPr>
        <w:t> </w:t>
      </w:r>
      <w:r>
        <w:rPr/>
        <w:t>que</w:t>
      </w:r>
      <w:r>
        <w:rPr>
          <w:spacing w:val="-14"/>
        </w:rPr>
        <w:t> </w:t>
      </w:r>
      <w:r>
        <w:rPr/>
        <w:t>existen</w:t>
      </w:r>
      <w:r>
        <w:rPr>
          <w:spacing w:val="-11"/>
        </w:rPr>
        <w:t> </w:t>
      </w:r>
      <w:r>
        <w:rPr/>
        <w:t>entre</w:t>
      </w:r>
      <w:r>
        <w:rPr>
          <w:spacing w:val="-13"/>
        </w:rPr>
        <w:t> </w:t>
      </w:r>
      <w:r>
        <w:rPr/>
        <w:t>mujeres</w:t>
      </w:r>
      <w:r>
        <w:rPr>
          <w:spacing w:val="-11"/>
        </w:rPr>
        <w:t> </w:t>
      </w:r>
      <w:r>
        <w:rPr/>
        <w:t>y</w:t>
      </w:r>
      <w:r>
        <w:rPr>
          <w:spacing w:val="-13"/>
        </w:rPr>
        <w:t> </w:t>
      </w:r>
      <w:r>
        <w:rPr/>
        <w:t>hombres”.</w:t>
      </w:r>
    </w:p>
    <w:p>
      <w:pPr>
        <w:pStyle w:val="BodyText"/>
        <w:spacing w:before="9"/>
        <w:rPr>
          <w:sz w:val="17"/>
        </w:rPr>
      </w:pPr>
    </w:p>
    <w:p>
      <w:pPr>
        <w:pStyle w:val="BodyText"/>
        <w:spacing w:line="360" w:lineRule="auto" w:before="1"/>
        <w:ind w:left="102" w:right="122"/>
        <w:jc w:val="both"/>
      </w:pPr>
      <w:r>
        <w:rPr/>
        <w:t>En el contexto jurídico, este método de análisis deberá estar presente en los casos en los que se encuentren controvertidos los derechos de las mujeres, con el objeto de  visibilizar</w:t>
      </w:r>
    </w:p>
    <w:p>
      <w:pPr>
        <w:spacing w:after="0" w:line="360" w:lineRule="auto"/>
        <w:jc w:val="both"/>
        <w:sectPr>
          <w:pgSz w:w="12240" w:h="15840"/>
          <w:pgMar w:header="0" w:footer="1002" w:top="1500" w:bottom="1200" w:left="1600" w:right="1580"/>
        </w:sectPr>
      </w:pPr>
    </w:p>
    <w:p>
      <w:pPr>
        <w:pStyle w:val="BodyText"/>
        <w:spacing w:line="362" w:lineRule="auto" w:before="54"/>
        <w:ind w:left="102" w:right="114"/>
        <w:jc w:val="both"/>
      </w:pPr>
      <w:r>
        <w:rPr/>
        <w:t>aquellas circunstancias de discriminación y diferenciación de género, que refuerzan los prejuicios violatorios del principio de igualdad.</w:t>
      </w:r>
    </w:p>
    <w:p>
      <w:pPr>
        <w:pStyle w:val="BodyText"/>
        <w:spacing w:before="4"/>
        <w:rPr>
          <w:sz w:val="17"/>
        </w:rPr>
      </w:pPr>
    </w:p>
    <w:p>
      <w:pPr>
        <w:pStyle w:val="BodyText"/>
        <w:spacing w:line="360" w:lineRule="auto"/>
        <w:ind w:left="102" w:right="118"/>
        <w:jc w:val="both"/>
      </w:pPr>
      <w:r>
        <w:rPr/>
        <w:t>La perspectiva de género aparece como una acción afirmativa en la protección de los derechos humanos de las mujeres al incorporarla en los juicios en los que se encuentran controvertidos derechos fundamentales de las mujeres, en la defensa y la labor jurisdiccional.</w:t>
      </w:r>
    </w:p>
    <w:p>
      <w:pPr>
        <w:pStyle w:val="BodyText"/>
        <w:spacing w:before="7"/>
        <w:rPr>
          <w:sz w:val="17"/>
        </w:rPr>
      </w:pPr>
    </w:p>
    <w:p>
      <w:pPr>
        <w:pStyle w:val="Heading8"/>
        <w:numPr>
          <w:ilvl w:val="1"/>
          <w:numId w:val="1"/>
        </w:numPr>
        <w:tabs>
          <w:tab w:pos="472" w:val="left" w:leader="none"/>
        </w:tabs>
        <w:spacing w:line="240" w:lineRule="auto" w:before="0" w:after="0"/>
        <w:ind w:left="471" w:right="0" w:hanging="369"/>
        <w:jc w:val="both"/>
        <w:rPr>
          <w:rFonts w:ascii="Arial"/>
        </w:rPr>
      </w:pPr>
      <w:r>
        <w:rPr>
          <w:rFonts w:ascii="Arial"/>
        </w:rPr>
        <w:t>Principio de</w:t>
      </w:r>
      <w:r>
        <w:rPr>
          <w:rFonts w:ascii="Arial"/>
          <w:spacing w:val="-9"/>
        </w:rPr>
        <w:t> </w:t>
      </w:r>
      <w:r>
        <w:rPr>
          <w:rFonts w:ascii="Arial"/>
        </w:rPr>
        <w:t>igualdad</w:t>
      </w:r>
    </w:p>
    <w:p>
      <w:pPr>
        <w:pStyle w:val="BodyText"/>
        <w:spacing w:before="5"/>
        <w:rPr>
          <w:b/>
          <w:sz w:val="28"/>
        </w:rPr>
      </w:pPr>
    </w:p>
    <w:p>
      <w:pPr>
        <w:pStyle w:val="BodyText"/>
        <w:spacing w:line="360" w:lineRule="auto" w:before="1"/>
        <w:ind w:left="102" w:right="169"/>
        <w:jc w:val="both"/>
      </w:pPr>
      <w:r>
        <w:rPr/>
        <w:t>En nuestro país el principio de igualdad encuentra sustento en la Constitución Política de los Estados Unidos Mexicanos, así como en diversos instrumentos de carácter internacional de los que el Estado mexicano es parte, el cual concentra la titularidad universal de los derechos humanos.</w:t>
      </w:r>
    </w:p>
    <w:p>
      <w:pPr>
        <w:pStyle w:val="BodyText"/>
        <w:spacing w:before="7"/>
        <w:rPr>
          <w:sz w:val="17"/>
        </w:rPr>
      </w:pPr>
    </w:p>
    <w:p>
      <w:pPr>
        <w:pStyle w:val="BodyText"/>
        <w:spacing w:line="360" w:lineRule="auto"/>
        <w:ind w:left="102" w:right="168"/>
        <w:jc w:val="both"/>
      </w:pPr>
      <w:r>
        <w:rPr/>
        <w:t>La igualdad “como principio” da sustento al marco jurídico y a los actos que derivan de él (SCJN, 2013:30), lo que implica que la igualdad aparece como criterio de creación e interpretación del Derecho, sobre el cual las autoridades jurisdiccionales y legislativas deben regir su actividad.</w:t>
      </w:r>
    </w:p>
    <w:p>
      <w:pPr>
        <w:pStyle w:val="BodyText"/>
        <w:spacing w:before="9"/>
        <w:rPr>
          <w:sz w:val="17"/>
        </w:rPr>
      </w:pPr>
    </w:p>
    <w:p>
      <w:pPr>
        <w:pStyle w:val="BodyText"/>
        <w:spacing w:line="360" w:lineRule="auto"/>
        <w:ind w:left="102" w:right="167"/>
        <w:jc w:val="both"/>
      </w:pPr>
      <w:r>
        <w:rPr/>
        <w:t>Asimismo,</w:t>
      </w:r>
      <w:r>
        <w:rPr>
          <w:spacing w:val="-7"/>
        </w:rPr>
        <w:t> </w:t>
      </w:r>
      <w:r>
        <w:rPr/>
        <w:t>la</w:t>
      </w:r>
      <w:r>
        <w:rPr>
          <w:spacing w:val="-8"/>
        </w:rPr>
        <w:t> </w:t>
      </w:r>
      <w:r>
        <w:rPr/>
        <w:t>Suprema</w:t>
      </w:r>
      <w:r>
        <w:rPr>
          <w:spacing w:val="-7"/>
        </w:rPr>
        <w:t> </w:t>
      </w:r>
      <w:r>
        <w:rPr/>
        <w:t>Corte</w:t>
      </w:r>
      <w:r>
        <w:rPr>
          <w:spacing w:val="-8"/>
        </w:rPr>
        <w:t> </w:t>
      </w:r>
      <w:r>
        <w:rPr/>
        <w:t>de</w:t>
      </w:r>
      <w:r>
        <w:rPr>
          <w:spacing w:val="-10"/>
        </w:rPr>
        <w:t> </w:t>
      </w:r>
      <w:r>
        <w:rPr/>
        <w:t>Justicia</w:t>
      </w:r>
      <w:r>
        <w:rPr>
          <w:spacing w:val="-8"/>
        </w:rPr>
        <w:t> </w:t>
      </w:r>
      <w:r>
        <w:rPr/>
        <w:t>de</w:t>
      </w:r>
      <w:r>
        <w:rPr>
          <w:spacing w:val="-8"/>
        </w:rPr>
        <w:t> </w:t>
      </w:r>
      <w:r>
        <w:rPr/>
        <w:t>la</w:t>
      </w:r>
      <w:r>
        <w:rPr>
          <w:spacing w:val="-8"/>
        </w:rPr>
        <w:t> </w:t>
      </w:r>
      <w:r>
        <w:rPr/>
        <w:t>Nación</w:t>
      </w:r>
      <w:r>
        <w:rPr>
          <w:spacing w:val="-8"/>
        </w:rPr>
        <w:t> </w:t>
      </w:r>
      <w:r>
        <w:rPr/>
        <w:t>(2013),</w:t>
      </w:r>
      <w:r>
        <w:rPr>
          <w:spacing w:val="-9"/>
        </w:rPr>
        <w:t> </w:t>
      </w:r>
      <w:r>
        <w:rPr/>
        <w:t>señala</w:t>
      </w:r>
      <w:r>
        <w:rPr>
          <w:spacing w:val="-10"/>
        </w:rPr>
        <w:t> </w:t>
      </w:r>
      <w:r>
        <w:rPr/>
        <w:t>que</w:t>
      </w:r>
      <w:r>
        <w:rPr>
          <w:spacing w:val="-8"/>
        </w:rPr>
        <w:t> </w:t>
      </w:r>
      <w:r>
        <w:rPr/>
        <w:t>la</w:t>
      </w:r>
      <w:r>
        <w:rPr>
          <w:spacing w:val="-10"/>
        </w:rPr>
        <w:t> </w:t>
      </w:r>
      <w:r>
        <w:rPr/>
        <w:t>igualdad</w:t>
      </w:r>
      <w:r>
        <w:rPr>
          <w:spacing w:val="-8"/>
        </w:rPr>
        <w:t> </w:t>
      </w:r>
      <w:r>
        <w:rPr/>
        <w:t>“como derecho”, constituye una herramienta subjetiva para acceder a la justicia en tanto permite a las personas reclamar la realización efectiva de la igualdad en el ejercicio de los derechos. Implica una obligación a cargo del Estado mexicano a fin de vigilar el estricto cumplimiento de la</w:t>
      </w:r>
      <w:r>
        <w:rPr>
          <w:spacing w:val="-10"/>
        </w:rPr>
        <w:t> </w:t>
      </w:r>
      <w:r>
        <w:rPr/>
        <w:t>igualdad.</w:t>
      </w:r>
    </w:p>
    <w:p>
      <w:pPr>
        <w:pStyle w:val="BodyText"/>
        <w:spacing w:before="10"/>
        <w:rPr>
          <w:sz w:val="17"/>
        </w:rPr>
      </w:pPr>
    </w:p>
    <w:p>
      <w:pPr>
        <w:spacing w:line="360" w:lineRule="auto" w:before="0"/>
        <w:ind w:left="102" w:right="163" w:firstLine="0"/>
        <w:jc w:val="both"/>
        <w:rPr>
          <w:sz w:val="22"/>
        </w:rPr>
      </w:pPr>
      <w:r>
        <w:rPr>
          <w:sz w:val="22"/>
        </w:rPr>
        <w:t>Por otro lado, la Suprema Corte de Justicia de la Nación señala que la igualdad es </w:t>
      </w:r>
      <w:r>
        <w:rPr>
          <w:i/>
          <w:sz w:val="22"/>
        </w:rPr>
        <w:t>“tratar </w:t>
      </w:r>
      <w:r>
        <w:rPr>
          <w:i/>
          <w:sz w:val="22"/>
        </w:rPr>
        <w:t>del mismo modo a quienes se encuentran en iguales situaciones” </w:t>
      </w:r>
      <w:r>
        <w:rPr>
          <w:sz w:val="22"/>
        </w:rPr>
        <w:t>(SCJN, 1997: 106), es decir, el igual tratamiento de los iguales en igualdad de circunstancias.</w:t>
      </w:r>
    </w:p>
    <w:p>
      <w:pPr>
        <w:pStyle w:val="BodyText"/>
        <w:spacing w:before="7"/>
        <w:rPr>
          <w:sz w:val="17"/>
        </w:rPr>
      </w:pPr>
    </w:p>
    <w:p>
      <w:pPr>
        <w:pStyle w:val="BodyText"/>
        <w:spacing w:line="360" w:lineRule="auto"/>
        <w:ind w:left="102" w:right="162"/>
        <w:jc w:val="both"/>
      </w:pPr>
      <w:r>
        <w:rPr/>
        <w:t>El problema surge cuando se trata a los desiguales de forma igual, es decir, cuando hay ausencia de visibilización jurídica de ciertos grupos que socialmente se encuentran en situación de vulnerabilidad. Es decir, la igualdad requiere de acciones de reconocimiento, redistribución y representación.</w:t>
      </w:r>
    </w:p>
    <w:p>
      <w:pPr>
        <w:pStyle w:val="BodyText"/>
        <w:spacing w:before="7"/>
        <w:rPr>
          <w:sz w:val="17"/>
        </w:rPr>
      </w:pPr>
    </w:p>
    <w:p>
      <w:pPr>
        <w:pStyle w:val="BodyText"/>
        <w:ind w:left="102"/>
        <w:jc w:val="both"/>
      </w:pPr>
      <w:r>
        <w:rPr/>
        <w:t>Al respecto el Juez Rodolfo E. Piza Escalante en la Opinión Consultiva 4/84, señala que:</w:t>
      </w:r>
    </w:p>
    <w:p>
      <w:pPr>
        <w:pStyle w:val="BodyText"/>
        <w:spacing w:before="5"/>
        <w:rPr>
          <w:sz w:val="28"/>
        </w:rPr>
      </w:pPr>
    </w:p>
    <w:p>
      <w:pPr>
        <w:spacing w:line="357" w:lineRule="auto" w:before="0"/>
        <w:ind w:left="668" w:right="418" w:firstLine="0"/>
        <w:jc w:val="left"/>
        <w:rPr>
          <w:sz w:val="20"/>
        </w:rPr>
      </w:pPr>
      <w:r>
        <w:rPr>
          <w:sz w:val="20"/>
        </w:rPr>
        <w:t>(…) los conceptos de igualdad y de no discriminación se corresponden mutuamente, como las dos caras de una misma institución: la igualdad es la cara positiva de la no</w:t>
      </w:r>
    </w:p>
    <w:p>
      <w:pPr>
        <w:spacing w:after="0" w:line="357" w:lineRule="auto"/>
        <w:jc w:val="left"/>
        <w:rPr>
          <w:sz w:val="20"/>
        </w:rPr>
        <w:sectPr>
          <w:pgSz w:w="12240" w:h="15840"/>
          <w:pgMar w:header="0" w:footer="1002" w:top="1360" w:bottom="1200" w:left="1600" w:right="1580"/>
        </w:sectPr>
      </w:pPr>
    </w:p>
    <w:p>
      <w:pPr>
        <w:spacing w:line="362" w:lineRule="auto" w:before="53"/>
        <w:ind w:left="668" w:right="687" w:firstLine="0"/>
        <w:jc w:val="both"/>
        <w:rPr>
          <w:sz w:val="20"/>
        </w:rPr>
      </w:pPr>
      <w:r>
        <w:rPr>
          <w:sz w:val="20"/>
        </w:rPr>
        <w:t>discriminación, y la no doscriminación es la cara negativa de la igualdad, y ambas la expresión de una valor jurídico de la igualdad que está implícito en el concepto mismo del Derecho como orden de justicia para el bien común (CIDH, 1984: 6).</w:t>
      </w:r>
    </w:p>
    <w:p>
      <w:pPr>
        <w:pStyle w:val="BodyText"/>
        <w:spacing w:before="3"/>
        <w:rPr>
          <w:sz w:val="17"/>
        </w:rPr>
      </w:pPr>
    </w:p>
    <w:p>
      <w:pPr>
        <w:pStyle w:val="BodyText"/>
        <w:spacing w:line="360" w:lineRule="auto"/>
        <w:ind w:left="102" w:right="119"/>
        <w:jc w:val="both"/>
      </w:pPr>
      <w:r>
        <w:rPr/>
        <w:t>Estos requerimientos para la igualdad deben estar presentes en el acceso a la justicia de grupos específicos que tienen circunstancias especiales y se encuentran en una situación de</w:t>
      </w:r>
      <w:r>
        <w:rPr>
          <w:spacing w:val="-15"/>
        </w:rPr>
        <w:t> </w:t>
      </w:r>
      <w:r>
        <w:rPr/>
        <w:t>vulnerabilidad,</w:t>
      </w:r>
      <w:r>
        <w:rPr>
          <w:spacing w:val="-14"/>
        </w:rPr>
        <w:t> </w:t>
      </w:r>
      <w:r>
        <w:rPr/>
        <w:t>a</w:t>
      </w:r>
      <w:r>
        <w:rPr>
          <w:spacing w:val="-17"/>
        </w:rPr>
        <w:t> </w:t>
      </w:r>
      <w:r>
        <w:rPr/>
        <w:t>fin</w:t>
      </w:r>
      <w:r>
        <w:rPr>
          <w:spacing w:val="-15"/>
        </w:rPr>
        <w:t> </w:t>
      </w:r>
      <w:r>
        <w:rPr/>
        <w:t>de</w:t>
      </w:r>
      <w:r>
        <w:rPr>
          <w:spacing w:val="-20"/>
        </w:rPr>
        <w:t> </w:t>
      </w:r>
      <w:r>
        <w:rPr/>
        <w:t>que</w:t>
      </w:r>
      <w:r>
        <w:rPr>
          <w:spacing w:val="-15"/>
        </w:rPr>
        <w:t> </w:t>
      </w:r>
      <w:r>
        <w:rPr/>
        <w:t>estos</w:t>
      </w:r>
      <w:r>
        <w:rPr>
          <w:spacing w:val="-17"/>
        </w:rPr>
        <w:t> </w:t>
      </w:r>
      <w:r>
        <w:rPr/>
        <w:t>grupos</w:t>
      </w:r>
      <w:r>
        <w:rPr>
          <w:spacing w:val="-20"/>
        </w:rPr>
        <w:t> </w:t>
      </w:r>
      <w:r>
        <w:rPr/>
        <w:t>que</w:t>
      </w:r>
      <w:r>
        <w:rPr>
          <w:spacing w:val="-15"/>
        </w:rPr>
        <w:t> </w:t>
      </w:r>
      <w:r>
        <w:rPr/>
        <w:t>son</w:t>
      </w:r>
      <w:r>
        <w:rPr>
          <w:spacing w:val="-15"/>
        </w:rPr>
        <w:t> </w:t>
      </w:r>
      <w:r>
        <w:rPr/>
        <w:t>excluidos,</w:t>
      </w:r>
      <w:r>
        <w:rPr>
          <w:spacing w:val="-14"/>
        </w:rPr>
        <w:t> </w:t>
      </w:r>
      <w:r>
        <w:rPr/>
        <w:t>puedan</w:t>
      </w:r>
      <w:r>
        <w:rPr>
          <w:spacing w:val="-15"/>
        </w:rPr>
        <w:t> </w:t>
      </w:r>
      <w:r>
        <w:rPr/>
        <w:t>ejercer</w:t>
      </w:r>
      <w:r>
        <w:rPr>
          <w:spacing w:val="-14"/>
        </w:rPr>
        <w:t> </w:t>
      </w:r>
      <w:r>
        <w:rPr/>
        <w:t>sus</w:t>
      </w:r>
      <w:r>
        <w:rPr>
          <w:spacing w:val="-18"/>
        </w:rPr>
        <w:t> </w:t>
      </w:r>
      <w:r>
        <w:rPr/>
        <w:t>derechos en condiciones de</w:t>
      </w:r>
      <w:r>
        <w:rPr>
          <w:spacing w:val="-7"/>
        </w:rPr>
        <w:t> </w:t>
      </w:r>
      <w:r>
        <w:rPr/>
        <w:t>igualdad.</w:t>
      </w:r>
    </w:p>
    <w:p>
      <w:pPr>
        <w:pStyle w:val="BodyText"/>
        <w:spacing w:before="7"/>
        <w:rPr>
          <w:sz w:val="17"/>
        </w:rPr>
      </w:pPr>
    </w:p>
    <w:p>
      <w:pPr>
        <w:pStyle w:val="Heading8"/>
        <w:numPr>
          <w:ilvl w:val="1"/>
          <w:numId w:val="1"/>
        </w:numPr>
        <w:tabs>
          <w:tab w:pos="474" w:val="left" w:leader="none"/>
        </w:tabs>
        <w:spacing w:line="240" w:lineRule="auto" w:before="0" w:after="0"/>
        <w:ind w:left="473" w:right="0" w:hanging="371"/>
        <w:jc w:val="both"/>
        <w:rPr>
          <w:rFonts w:ascii="Arial" w:hAnsi="Arial"/>
        </w:rPr>
      </w:pPr>
      <w:r>
        <w:rPr>
          <w:rFonts w:ascii="Arial" w:hAnsi="Arial"/>
        </w:rPr>
        <w:t>Acción</w:t>
      </w:r>
      <w:r>
        <w:rPr>
          <w:rFonts w:ascii="Arial" w:hAnsi="Arial"/>
          <w:spacing w:val="-10"/>
        </w:rPr>
        <w:t> </w:t>
      </w:r>
      <w:r>
        <w:rPr>
          <w:rFonts w:ascii="Arial" w:hAnsi="Arial"/>
        </w:rPr>
        <w:t>afirmativa</w:t>
      </w:r>
    </w:p>
    <w:p>
      <w:pPr>
        <w:pStyle w:val="BodyText"/>
        <w:spacing w:before="5"/>
        <w:rPr>
          <w:b/>
          <w:sz w:val="28"/>
        </w:rPr>
      </w:pPr>
    </w:p>
    <w:p>
      <w:pPr>
        <w:pStyle w:val="BodyText"/>
        <w:spacing w:line="360" w:lineRule="auto" w:before="1"/>
        <w:ind w:left="102" w:right="116"/>
        <w:jc w:val="both"/>
      </w:pPr>
      <w:r>
        <w:rPr/>
        <w:t>Las consideraciones especiales que se deben dar a los grupos excluidos, a fin de que puedan</w:t>
      </w:r>
      <w:r>
        <w:rPr>
          <w:spacing w:val="-13"/>
        </w:rPr>
        <w:t> </w:t>
      </w:r>
      <w:r>
        <w:rPr/>
        <w:t>acceder</w:t>
      </w:r>
      <w:r>
        <w:rPr>
          <w:spacing w:val="-14"/>
        </w:rPr>
        <w:t> </w:t>
      </w:r>
      <w:r>
        <w:rPr/>
        <w:t>a</w:t>
      </w:r>
      <w:r>
        <w:rPr>
          <w:spacing w:val="-12"/>
        </w:rPr>
        <w:t> </w:t>
      </w:r>
      <w:r>
        <w:rPr/>
        <w:t>la</w:t>
      </w:r>
      <w:r>
        <w:rPr>
          <w:spacing w:val="-15"/>
        </w:rPr>
        <w:t> </w:t>
      </w:r>
      <w:r>
        <w:rPr/>
        <w:t>justicia</w:t>
      </w:r>
      <w:r>
        <w:rPr>
          <w:spacing w:val="-12"/>
        </w:rPr>
        <w:t> </w:t>
      </w:r>
      <w:r>
        <w:rPr/>
        <w:t>en</w:t>
      </w:r>
      <w:r>
        <w:rPr>
          <w:spacing w:val="-13"/>
        </w:rPr>
        <w:t> </w:t>
      </w:r>
      <w:r>
        <w:rPr/>
        <w:t>condiciones</w:t>
      </w:r>
      <w:r>
        <w:rPr>
          <w:spacing w:val="-12"/>
        </w:rPr>
        <w:t> </w:t>
      </w:r>
      <w:r>
        <w:rPr/>
        <w:t>de</w:t>
      </w:r>
      <w:r>
        <w:rPr>
          <w:spacing w:val="-13"/>
        </w:rPr>
        <w:t> </w:t>
      </w:r>
      <w:r>
        <w:rPr/>
        <w:t>igualdad,</w:t>
      </w:r>
      <w:r>
        <w:rPr>
          <w:spacing w:val="-12"/>
        </w:rPr>
        <w:t> </w:t>
      </w:r>
      <w:r>
        <w:rPr/>
        <w:t>aparecen</w:t>
      </w:r>
      <w:r>
        <w:rPr>
          <w:spacing w:val="-15"/>
        </w:rPr>
        <w:t> </w:t>
      </w:r>
      <w:r>
        <w:rPr/>
        <w:t>como</w:t>
      </w:r>
      <w:r>
        <w:rPr>
          <w:spacing w:val="-14"/>
        </w:rPr>
        <w:t> </w:t>
      </w:r>
      <w:r>
        <w:rPr/>
        <w:t>una</w:t>
      </w:r>
      <w:r>
        <w:rPr>
          <w:spacing w:val="-12"/>
        </w:rPr>
        <w:t> </w:t>
      </w:r>
      <w:r>
        <w:rPr/>
        <w:t>discriminación positiva, o bien como acción</w:t>
      </w:r>
      <w:r>
        <w:rPr>
          <w:spacing w:val="-14"/>
        </w:rPr>
        <w:t> </w:t>
      </w:r>
      <w:r>
        <w:rPr/>
        <w:t>afirmativa.</w:t>
      </w:r>
    </w:p>
    <w:p>
      <w:pPr>
        <w:pStyle w:val="BodyText"/>
        <w:spacing w:before="9"/>
        <w:rPr>
          <w:sz w:val="17"/>
        </w:rPr>
      </w:pPr>
    </w:p>
    <w:p>
      <w:pPr>
        <w:spacing w:line="360" w:lineRule="auto" w:before="0"/>
        <w:ind w:left="668" w:right="688" w:firstLine="0"/>
        <w:jc w:val="both"/>
        <w:rPr>
          <w:sz w:val="20"/>
        </w:rPr>
      </w:pPr>
      <w:r>
        <w:rPr>
          <w:sz w:val="20"/>
        </w:rPr>
        <w:t>La acción afirmativa es un conjunto de medidas de carácter temporal encaminadas a acelerar la igualdad de hecho entre hombres y mujeres. El objetivo principal de estas medidas es lograr la igualdad efectiva y corregir la distribución desigual de oportunidades y servicios en una sociedad determinada. La idea de acción afirmativa tiene su origen en Estados Unidos como mecanismo independiente a combatir la marginación social y económica de las personas afrodescendientes en los ámbitos laborales y educativos. Posteriormente, estas medidas se extendieron a las mujeres, minorías étnicas y personas con discapacidad, entre otros grupos afectados visiblemente por prácticas discriminatorias. Las características principales de las acciones afirmativas son: La temporalidad, una vez que la situación de subordinación social en la que se encuentra la población beneficiaria, las medidas deben cesar o suspenderse. Legitimidad, debe existir una discriminación verificada en la realidad y</w:t>
      </w:r>
      <w:r>
        <w:rPr>
          <w:spacing w:val="-35"/>
          <w:sz w:val="20"/>
        </w:rPr>
        <w:t> </w:t>
      </w:r>
      <w:r>
        <w:rPr>
          <w:sz w:val="20"/>
        </w:rPr>
        <w:t>su adopción deberá ser compatible con el principio constitucional de igualdad vigente en el país. Proporcionalidad, la finalidad de las medidas deben ser proporcional a los medios</w:t>
      </w:r>
      <w:r>
        <w:rPr>
          <w:spacing w:val="-5"/>
          <w:sz w:val="20"/>
        </w:rPr>
        <w:t> </w:t>
      </w:r>
      <w:r>
        <w:rPr>
          <w:sz w:val="20"/>
        </w:rPr>
        <w:t>a</w:t>
      </w:r>
      <w:r>
        <w:rPr>
          <w:spacing w:val="-6"/>
          <w:sz w:val="20"/>
        </w:rPr>
        <w:t> </w:t>
      </w:r>
      <w:r>
        <w:rPr>
          <w:sz w:val="20"/>
        </w:rPr>
        <w:t>utilizar y</w:t>
      </w:r>
      <w:r>
        <w:rPr>
          <w:spacing w:val="-9"/>
          <w:sz w:val="20"/>
        </w:rPr>
        <w:t> </w:t>
      </w:r>
      <w:r>
        <w:rPr>
          <w:sz w:val="20"/>
        </w:rPr>
        <w:t>con</w:t>
      </w:r>
      <w:r>
        <w:rPr>
          <w:spacing w:val="-3"/>
          <w:sz w:val="20"/>
        </w:rPr>
        <w:t> </w:t>
      </w:r>
      <w:r>
        <w:rPr>
          <w:sz w:val="20"/>
        </w:rPr>
        <w:t>las</w:t>
      </w:r>
      <w:r>
        <w:rPr>
          <w:spacing w:val="-5"/>
          <w:sz w:val="20"/>
        </w:rPr>
        <w:t> </w:t>
      </w:r>
      <w:r>
        <w:rPr>
          <w:sz w:val="20"/>
        </w:rPr>
        <w:t>consecuencias</w:t>
      </w:r>
      <w:r>
        <w:rPr>
          <w:spacing w:val="-5"/>
          <w:sz w:val="20"/>
        </w:rPr>
        <w:t> </w:t>
      </w:r>
      <w:r>
        <w:rPr>
          <w:sz w:val="20"/>
        </w:rPr>
        <w:t>jurídicas</w:t>
      </w:r>
      <w:r>
        <w:rPr>
          <w:spacing w:val="-5"/>
          <w:sz w:val="20"/>
        </w:rPr>
        <w:t> </w:t>
      </w:r>
      <w:r>
        <w:rPr>
          <w:sz w:val="20"/>
        </w:rPr>
        <w:t>de</w:t>
      </w:r>
      <w:r>
        <w:rPr>
          <w:spacing w:val="-6"/>
          <w:sz w:val="20"/>
        </w:rPr>
        <w:t> </w:t>
      </w:r>
      <w:r>
        <w:rPr>
          <w:sz w:val="20"/>
        </w:rPr>
        <w:t>la</w:t>
      </w:r>
      <w:r>
        <w:rPr>
          <w:spacing w:val="-6"/>
          <w:sz w:val="20"/>
        </w:rPr>
        <w:t> </w:t>
      </w:r>
      <w:r>
        <w:rPr>
          <w:sz w:val="20"/>
        </w:rPr>
        <w:t>diferenciación,</w:t>
      </w:r>
      <w:r>
        <w:rPr>
          <w:spacing w:val="-6"/>
          <w:sz w:val="20"/>
        </w:rPr>
        <w:t> </w:t>
      </w:r>
      <w:r>
        <w:rPr>
          <w:sz w:val="20"/>
        </w:rPr>
        <w:t>la</w:t>
      </w:r>
      <w:r>
        <w:rPr>
          <w:spacing w:val="-6"/>
          <w:sz w:val="20"/>
        </w:rPr>
        <w:t> </w:t>
      </w:r>
      <w:r>
        <w:rPr>
          <w:sz w:val="20"/>
        </w:rPr>
        <w:t>aplicación</w:t>
      </w:r>
      <w:r>
        <w:rPr>
          <w:spacing w:val="-6"/>
          <w:sz w:val="20"/>
        </w:rPr>
        <w:t> </w:t>
      </w:r>
      <w:r>
        <w:rPr>
          <w:sz w:val="20"/>
        </w:rPr>
        <w:t>de estas medidas no debe perjudicar a terceros excluidos por trato preferente (Inmujeres, 2007:</w:t>
      </w:r>
      <w:r>
        <w:rPr>
          <w:spacing w:val="-6"/>
          <w:sz w:val="20"/>
        </w:rPr>
        <w:t> </w:t>
      </w:r>
      <w:r>
        <w:rPr>
          <w:sz w:val="20"/>
        </w:rPr>
        <w:t>13).</w:t>
      </w:r>
    </w:p>
    <w:p>
      <w:pPr>
        <w:pStyle w:val="BodyText"/>
        <w:spacing w:before="5"/>
        <w:rPr>
          <w:sz w:val="17"/>
        </w:rPr>
      </w:pPr>
    </w:p>
    <w:p>
      <w:pPr>
        <w:pStyle w:val="BodyText"/>
        <w:spacing w:line="360" w:lineRule="auto"/>
        <w:ind w:left="102" w:right="115"/>
        <w:jc w:val="both"/>
      </w:pPr>
      <w:r>
        <w:rPr/>
        <w:t>Al respeto, la Corte Interamericana de Derechos Humanos, a partir de las Opiniones Consultivas 4/84 y 18/03, establece, respectivamente:</w:t>
      </w:r>
    </w:p>
    <w:p>
      <w:pPr>
        <w:pStyle w:val="BodyText"/>
        <w:spacing w:before="6"/>
        <w:rPr>
          <w:sz w:val="17"/>
        </w:rPr>
      </w:pPr>
    </w:p>
    <w:p>
      <w:pPr>
        <w:spacing w:line="360" w:lineRule="auto" w:before="0"/>
        <w:ind w:left="668" w:right="695" w:firstLine="0"/>
        <w:jc w:val="both"/>
        <w:rPr>
          <w:sz w:val="20"/>
        </w:rPr>
      </w:pPr>
      <w:r>
        <w:rPr>
          <w:sz w:val="20"/>
        </w:rPr>
        <w:t>Existen en efecto desigualdades de hecho que legítimamente pueden traducirse en desigualdades de tratamiento jurídico, sin que tales situaciones contraríen la    justicia.</w:t>
      </w:r>
    </w:p>
    <w:p>
      <w:pPr>
        <w:spacing w:after="0" w:line="360" w:lineRule="auto"/>
        <w:jc w:val="both"/>
        <w:rPr>
          <w:sz w:val="20"/>
        </w:rPr>
        <w:sectPr>
          <w:pgSz w:w="12240" w:h="15840"/>
          <w:pgMar w:header="0" w:footer="1002" w:top="1360" w:bottom="1200" w:left="1600" w:right="1580"/>
        </w:sectPr>
      </w:pPr>
    </w:p>
    <w:p>
      <w:pPr>
        <w:spacing w:line="362" w:lineRule="auto" w:before="53"/>
        <w:ind w:left="668" w:right="687" w:firstLine="0"/>
        <w:jc w:val="both"/>
        <w:rPr>
          <w:sz w:val="20"/>
        </w:rPr>
      </w:pPr>
      <w:r>
        <w:rPr>
          <w:sz w:val="20"/>
        </w:rPr>
        <w:t>Por el contrario pueden ser un vehículo para realizarla o ara proteger a los que aparezcan jurídicamente como los débiles (CIDH, 1984: 16).</w:t>
      </w:r>
    </w:p>
    <w:p>
      <w:pPr>
        <w:pStyle w:val="BodyText"/>
        <w:spacing w:before="3"/>
        <w:rPr>
          <w:sz w:val="17"/>
        </w:rPr>
      </w:pPr>
    </w:p>
    <w:p>
      <w:pPr>
        <w:spacing w:line="362" w:lineRule="auto" w:before="0"/>
        <w:ind w:left="668" w:right="697" w:firstLine="0"/>
        <w:jc w:val="both"/>
        <w:rPr>
          <w:sz w:val="20"/>
        </w:rPr>
      </w:pPr>
      <w:r>
        <w:rPr>
          <w:sz w:val="20"/>
        </w:rPr>
        <w:t>[…] los Estados sólo podrán establecer distinciones objetivas y razonables, cuando estás se realicen con el debido respeto a los derechos humanos y de conformidad con el principio de la norma que mejor proteja a la persona humana (CIDH, 2003: 827).</w:t>
      </w:r>
    </w:p>
    <w:p>
      <w:pPr>
        <w:pStyle w:val="BodyText"/>
        <w:spacing w:before="3"/>
        <w:rPr>
          <w:sz w:val="17"/>
        </w:rPr>
      </w:pPr>
    </w:p>
    <w:p>
      <w:pPr>
        <w:pStyle w:val="BodyText"/>
        <w:spacing w:line="360" w:lineRule="auto"/>
        <w:ind w:left="102" w:right="118"/>
        <w:jc w:val="both"/>
      </w:pPr>
      <w:r>
        <w:rPr/>
        <w:t>En ese orden de ideas, y tomando en consideración el contexto patriarcal en el que nos encontramos,</w:t>
      </w:r>
      <w:r>
        <w:rPr>
          <w:spacing w:val="-6"/>
        </w:rPr>
        <w:t> </w:t>
      </w:r>
      <w:r>
        <w:rPr/>
        <w:t>para</w:t>
      </w:r>
      <w:r>
        <w:rPr>
          <w:spacing w:val="-10"/>
        </w:rPr>
        <w:t> </w:t>
      </w:r>
      <w:r>
        <w:rPr/>
        <w:t>que</w:t>
      </w:r>
      <w:r>
        <w:rPr>
          <w:spacing w:val="-8"/>
        </w:rPr>
        <w:t> </w:t>
      </w:r>
      <w:r>
        <w:rPr/>
        <w:t>la</w:t>
      </w:r>
      <w:r>
        <w:rPr>
          <w:spacing w:val="-8"/>
        </w:rPr>
        <w:t> </w:t>
      </w:r>
      <w:r>
        <w:rPr/>
        <w:t>mujeres</w:t>
      </w:r>
      <w:r>
        <w:rPr>
          <w:spacing w:val="-8"/>
        </w:rPr>
        <w:t> </w:t>
      </w:r>
      <w:r>
        <w:rPr/>
        <w:t>puedan</w:t>
      </w:r>
      <w:r>
        <w:rPr>
          <w:spacing w:val="-10"/>
        </w:rPr>
        <w:t> </w:t>
      </w:r>
      <w:r>
        <w:rPr/>
        <w:t>tener</w:t>
      </w:r>
      <w:r>
        <w:rPr>
          <w:spacing w:val="-9"/>
        </w:rPr>
        <w:t> </w:t>
      </w:r>
      <w:r>
        <w:rPr/>
        <w:t>un</w:t>
      </w:r>
      <w:r>
        <w:rPr>
          <w:spacing w:val="-8"/>
        </w:rPr>
        <w:t> </w:t>
      </w:r>
      <w:r>
        <w:rPr/>
        <w:t>tratamiento</w:t>
      </w:r>
      <w:r>
        <w:rPr>
          <w:spacing w:val="-7"/>
        </w:rPr>
        <w:t> </w:t>
      </w:r>
      <w:r>
        <w:rPr/>
        <w:t>igualitario</w:t>
      </w:r>
      <w:r>
        <w:rPr>
          <w:spacing w:val="-11"/>
        </w:rPr>
        <w:t> </w:t>
      </w:r>
      <w:r>
        <w:rPr/>
        <w:t>al</w:t>
      </w:r>
      <w:r>
        <w:rPr>
          <w:spacing w:val="-6"/>
        </w:rPr>
        <w:t> </w:t>
      </w:r>
      <w:r>
        <w:rPr/>
        <w:t>momento</w:t>
      </w:r>
      <w:r>
        <w:rPr>
          <w:spacing w:val="-8"/>
        </w:rPr>
        <w:t> </w:t>
      </w:r>
      <w:r>
        <w:rPr/>
        <w:t>en</w:t>
      </w:r>
      <w:r>
        <w:rPr>
          <w:spacing w:val="-8"/>
        </w:rPr>
        <w:t> </w:t>
      </w:r>
      <w:r>
        <w:rPr/>
        <w:t>el que buscan acceso a la justicia, se deben adoptar medidas especiales, toda vez que son un</w:t>
      </w:r>
      <w:r>
        <w:rPr>
          <w:spacing w:val="-8"/>
        </w:rPr>
        <w:t> </w:t>
      </w:r>
      <w:r>
        <w:rPr/>
        <w:t>grupo</w:t>
      </w:r>
      <w:r>
        <w:rPr>
          <w:spacing w:val="-10"/>
        </w:rPr>
        <w:t> </w:t>
      </w:r>
      <w:r>
        <w:rPr/>
        <w:t>que</w:t>
      </w:r>
      <w:r>
        <w:rPr>
          <w:spacing w:val="-8"/>
        </w:rPr>
        <w:t> </w:t>
      </w:r>
      <w:r>
        <w:rPr/>
        <w:t>sufre</w:t>
      </w:r>
      <w:r>
        <w:rPr>
          <w:spacing w:val="-8"/>
        </w:rPr>
        <w:t> </w:t>
      </w:r>
      <w:r>
        <w:rPr/>
        <w:t>discriminación</w:t>
      </w:r>
      <w:r>
        <w:rPr>
          <w:spacing w:val="-6"/>
        </w:rPr>
        <w:t> </w:t>
      </w:r>
      <w:r>
        <w:rPr/>
        <w:t>debido</w:t>
      </w:r>
      <w:r>
        <w:rPr>
          <w:spacing w:val="-8"/>
        </w:rPr>
        <w:t> </w:t>
      </w:r>
      <w:r>
        <w:rPr/>
        <w:t>a</w:t>
      </w:r>
      <w:r>
        <w:rPr>
          <w:spacing w:val="-8"/>
        </w:rPr>
        <w:t> </w:t>
      </w:r>
      <w:r>
        <w:rPr/>
        <w:t>los</w:t>
      </w:r>
      <w:r>
        <w:rPr>
          <w:spacing w:val="-8"/>
        </w:rPr>
        <w:t> </w:t>
      </w:r>
      <w:r>
        <w:rPr/>
        <w:t>estereotipos</w:t>
      </w:r>
      <w:r>
        <w:rPr>
          <w:spacing w:val="-5"/>
        </w:rPr>
        <w:t> </w:t>
      </w:r>
      <w:r>
        <w:rPr/>
        <w:t>de</w:t>
      </w:r>
      <w:r>
        <w:rPr>
          <w:spacing w:val="-10"/>
        </w:rPr>
        <w:t> </w:t>
      </w:r>
      <w:r>
        <w:rPr/>
        <w:t>género</w:t>
      </w:r>
      <w:r>
        <w:rPr>
          <w:spacing w:val="-10"/>
        </w:rPr>
        <w:t> </w:t>
      </w:r>
      <w:r>
        <w:rPr/>
        <w:t>que</w:t>
      </w:r>
      <w:r>
        <w:rPr>
          <w:spacing w:val="-8"/>
        </w:rPr>
        <w:t> </w:t>
      </w:r>
      <w:r>
        <w:rPr/>
        <w:t>los</w:t>
      </w:r>
      <w:r>
        <w:rPr>
          <w:spacing w:val="-8"/>
        </w:rPr>
        <w:t> </w:t>
      </w:r>
      <w:r>
        <w:rPr/>
        <w:t>actores</w:t>
      </w:r>
      <w:r>
        <w:rPr>
          <w:spacing w:val="-7"/>
        </w:rPr>
        <w:t> </w:t>
      </w:r>
      <w:r>
        <w:rPr/>
        <w:t>y</w:t>
      </w:r>
      <w:r>
        <w:rPr>
          <w:spacing w:val="-7"/>
        </w:rPr>
        <w:t> </w:t>
      </w:r>
      <w:r>
        <w:rPr/>
        <w:t>las actoras intervinientes en la actividad judicial atribuyen a las</w:t>
      </w:r>
      <w:r>
        <w:rPr>
          <w:spacing w:val="-23"/>
        </w:rPr>
        <w:t> </w:t>
      </w:r>
      <w:r>
        <w:rPr/>
        <w:t>mujeres.</w:t>
      </w:r>
    </w:p>
    <w:p>
      <w:pPr>
        <w:pStyle w:val="BodyText"/>
        <w:spacing w:before="9"/>
        <w:rPr>
          <w:sz w:val="17"/>
        </w:rPr>
      </w:pPr>
    </w:p>
    <w:p>
      <w:pPr>
        <w:spacing w:line="360" w:lineRule="auto" w:before="0"/>
        <w:ind w:left="668" w:right="693" w:firstLine="0"/>
        <w:jc w:val="both"/>
        <w:rPr>
          <w:sz w:val="20"/>
        </w:rPr>
      </w:pPr>
      <w:r>
        <w:rPr>
          <w:sz w:val="20"/>
        </w:rPr>
        <w:t>Un estereotipo es una percepción surgida a partir de adscribir a las personas ciertos atributos,</w:t>
      </w:r>
      <w:r>
        <w:rPr>
          <w:spacing w:val="-13"/>
          <w:sz w:val="20"/>
        </w:rPr>
        <w:t> </w:t>
      </w:r>
      <w:r>
        <w:rPr>
          <w:sz w:val="20"/>
        </w:rPr>
        <w:t>características</w:t>
      </w:r>
      <w:r>
        <w:rPr>
          <w:spacing w:val="-12"/>
          <w:sz w:val="20"/>
        </w:rPr>
        <w:t> </w:t>
      </w:r>
      <w:r>
        <w:rPr>
          <w:sz w:val="20"/>
        </w:rPr>
        <w:t>o</w:t>
      </w:r>
      <w:r>
        <w:rPr>
          <w:spacing w:val="-13"/>
          <w:sz w:val="20"/>
        </w:rPr>
        <w:t> </w:t>
      </w:r>
      <w:r>
        <w:rPr>
          <w:sz w:val="20"/>
        </w:rPr>
        <w:t>roles,</w:t>
      </w:r>
      <w:r>
        <w:rPr>
          <w:spacing w:val="-10"/>
          <w:sz w:val="20"/>
        </w:rPr>
        <w:t> </w:t>
      </w:r>
      <w:r>
        <w:rPr>
          <w:sz w:val="20"/>
        </w:rPr>
        <w:t>en</w:t>
      </w:r>
      <w:r>
        <w:rPr>
          <w:spacing w:val="-13"/>
          <w:sz w:val="20"/>
        </w:rPr>
        <w:t> </w:t>
      </w:r>
      <w:r>
        <w:rPr>
          <w:sz w:val="20"/>
        </w:rPr>
        <w:t>razón</w:t>
      </w:r>
      <w:r>
        <w:rPr>
          <w:spacing w:val="-13"/>
          <w:sz w:val="20"/>
        </w:rPr>
        <w:t> </w:t>
      </w:r>
      <w:r>
        <w:rPr>
          <w:sz w:val="20"/>
        </w:rPr>
        <w:t>de</w:t>
      </w:r>
      <w:r>
        <w:rPr>
          <w:spacing w:val="-13"/>
          <w:sz w:val="20"/>
        </w:rPr>
        <w:t> </w:t>
      </w:r>
      <w:r>
        <w:rPr>
          <w:sz w:val="20"/>
        </w:rPr>
        <w:t>su</w:t>
      </w:r>
      <w:r>
        <w:rPr>
          <w:spacing w:val="-10"/>
          <w:sz w:val="20"/>
        </w:rPr>
        <w:t> </w:t>
      </w:r>
      <w:r>
        <w:rPr>
          <w:sz w:val="20"/>
        </w:rPr>
        <w:t>aparente</w:t>
      </w:r>
      <w:r>
        <w:rPr>
          <w:spacing w:val="-13"/>
          <w:sz w:val="20"/>
        </w:rPr>
        <w:t> </w:t>
      </w:r>
      <w:r>
        <w:rPr>
          <w:sz w:val="20"/>
        </w:rPr>
        <w:t>pertenencia</w:t>
      </w:r>
      <w:r>
        <w:rPr>
          <w:spacing w:val="-11"/>
          <w:sz w:val="20"/>
        </w:rPr>
        <w:t> </w:t>
      </w:r>
      <w:r>
        <w:rPr>
          <w:sz w:val="20"/>
        </w:rPr>
        <w:t>a</w:t>
      </w:r>
      <w:r>
        <w:rPr>
          <w:spacing w:val="-10"/>
          <w:sz w:val="20"/>
        </w:rPr>
        <w:t> </w:t>
      </w:r>
      <w:r>
        <w:rPr>
          <w:sz w:val="20"/>
        </w:rPr>
        <w:t>un</w:t>
      </w:r>
      <w:r>
        <w:rPr>
          <w:spacing w:val="-11"/>
          <w:sz w:val="20"/>
        </w:rPr>
        <w:t> </w:t>
      </w:r>
      <w:r>
        <w:rPr>
          <w:sz w:val="20"/>
        </w:rPr>
        <w:t>determinado grupo social (Cook, 2010, en SCJN, 2010:</w:t>
      </w:r>
      <w:r>
        <w:rPr>
          <w:spacing w:val="-12"/>
          <w:sz w:val="20"/>
        </w:rPr>
        <w:t> </w:t>
      </w:r>
      <w:r>
        <w:rPr>
          <w:sz w:val="20"/>
        </w:rPr>
        <w:t>60).</w:t>
      </w:r>
    </w:p>
    <w:p>
      <w:pPr>
        <w:pStyle w:val="BodyText"/>
        <w:spacing w:before="5"/>
        <w:rPr>
          <w:sz w:val="17"/>
        </w:rPr>
      </w:pPr>
    </w:p>
    <w:p>
      <w:pPr>
        <w:pStyle w:val="BodyText"/>
        <w:spacing w:line="360" w:lineRule="auto"/>
        <w:ind w:left="102" w:right="162"/>
        <w:jc w:val="both"/>
      </w:pPr>
      <w:r>
        <w:rPr/>
        <w:t>Los estereotipos de género, están relacionados con las características sociales y culturalmente</w:t>
      </w:r>
      <w:r>
        <w:rPr>
          <w:spacing w:val="-5"/>
        </w:rPr>
        <w:t> </w:t>
      </w:r>
      <w:r>
        <w:rPr/>
        <w:t>asignadas</w:t>
      </w:r>
      <w:r>
        <w:rPr>
          <w:spacing w:val="-7"/>
        </w:rPr>
        <w:t> </w:t>
      </w:r>
      <w:r>
        <w:rPr/>
        <w:t>a</w:t>
      </w:r>
      <w:r>
        <w:rPr>
          <w:spacing w:val="-5"/>
        </w:rPr>
        <w:t> </w:t>
      </w:r>
      <w:r>
        <w:rPr/>
        <w:t>mujeres</w:t>
      </w:r>
      <w:r>
        <w:rPr>
          <w:spacing w:val="-5"/>
        </w:rPr>
        <w:t> </w:t>
      </w:r>
      <w:r>
        <w:rPr/>
        <w:t>y</w:t>
      </w:r>
      <w:r>
        <w:rPr>
          <w:spacing w:val="-7"/>
        </w:rPr>
        <w:t> </w:t>
      </w:r>
      <w:r>
        <w:rPr/>
        <w:t>a</w:t>
      </w:r>
      <w:r>
        <w:rPr>
          <w:spacing w:val="-4"/>
        </w:rPr>
        <w:t> </w:t>
      </w:r>
      <w:r>
        <w:rPr/>
        <w:t>hombres,</w:t>
      </w:r>
      <w:r>
        <w:rPr>
          <w:spacing w:val="-7"/>
        </w:rPr>
        <w:t> </w:t>
      </w:r>
      <w:r>
        <w:rPr/>
        <w:t>a</w:t>
      </w:r>
      <w:r>
        <w:rPr>
          <w:spacing w:val="-5"/>
        </w:rPr>
        <w:t> </w:t>
      </w:r>
      <w:r>
        <w:rPr/>
        <w:t>partir</w:t>
      </w:r>
      <w:r>
        <w:rPr>
          <w:spacing w:val="-7"/>
        </w:rPr>
        <w:t> </w:t>
      </w:r>
      <w:r>
        <w:rPr/>
        <w:t>de</w:t>
      </w:r>
      <w:r>
        <w:rPr>
          <w:spacing w:val="-6"/>
        </w:rPr>
        <w:t> </w:t>
      </w:r>
      <w:r>
        <w:rPr/>
        <w:t>las</w:t>
      </w:r>
      <w:r>
        <w:rPr>
          <w:spacing w:val="-5"/>
        </w:rPr>
        <w:t> </w:t>
      </w:r>
      <w:r>
        <w:rPr/>
        <w:t>diferencias</w:t>
      </w:r>
      <w:r>
        <w:rPr>
          <w:spacing w:val="-8"/>
        </w:rPr>
        <w:t> </w:t>
      </w:r>
      <w:r>
        <w:rPr/>
        <w:t>físicas</w:t>
      </w:r>
      <w:r>
        <w:rPr>
          <w:spacing w:val="-5"/>
        </w:rPr>
        <w:t> </w:t>
      </w:r>
      <w:r>
        <w:rPr/>
        <w:t>basadas en su sexo, estos estereotipos de género, afectan en mayor medida a las mujeres que a los</w:t>
      </w:r>
      <w:r>
        <w:rPr>
          <w:spacing w:val="-3"/>
        </w:rPr>
        <w:t> </w:t>
      </w:r>
      <w:r>
        <w:rPr/>
        <w:t>hombres,</w:t>
      </w:r>
      <w:r>
        <w:rPr>
          <w:spacing w:val="-4"/>
        </w:rPr>
        <w:t> </w:t>
      </w:r>
      <w:r>
        <w:rPr/>
        <w:t>pues</w:t>
      </w:r>
      <w:r>
        <w:rPr>
          <w:spacing w:val="-5"/>
        </w:rPr>
        <w:t> </w:t>
      </w:r>
      <w:r>
        <w:rPr/>
        <w:t>socialmente</w:t>
      </w:r>
      <w:r>
        <w:rPr>
          <w:spacing w:val="-5"/>
        </w:rPr>
        <w:t> </w:t>
      </w:r>
      <w:r>
        <w:rPr/>
        <w:t>se</w:t>
      </w:r>
      <w:r>
        <w:rPr>
          <w:spacing w:val="-3"/>
        </w:rPr>
        <w:t> </w:t>
      </w:r>
      <w:r>
        <w:rPr/>
        <w:t>les</w:t>
      </w:r>
      <w:r>
        <w:rPr>
          <w:spacing w:val="-5"/>
        </w:rPr>
        <w:t> </w:t>
      </w:r>
      <w:r>
        <w:rPr/>
        <w:t>han</w:t>
      </w:r>
      <w:r>
        <w:rPr>
          <w:spacing w:val="-3"/>
        </w:rPr>
        <w:t> </w:t>
      </w:r>
      <w:r>
        <w:rPr/>
        <w:t>asignado</w:t>
      </w:r>
      <w:r>
        <w:rPr>
          <w:spacing w:val="-3"/>
        </w:rPr>
        <w:t> </w:t>
      </w:r>
      <w:r>
        <w:rPr/>
        <w:t>roles</w:t>
      </w:r>
      <w:r>
        <w:rPr>
          <w:spacing w:val="-5"/>
        </w:rPr>
        <w:t> </w:t>
      </w:r>
      <w:r>
        <w:rPr/>
        <w:t>secundarios,</w:t>
      </w:r>
      <w:r>
        <w:rPr>
          <w:spacing w:val="-4"/>
        </w:rPr>
        <w:t> </w:t>
      </w:r>
      <w:r>
        <w:rPr/>
        <w:t>menos</w:t>
      </w:r>
      <w:r>
        <w:rPr>
          <w:spacing w:val="-3"/>
        </w:rPr>
        <w:t> </w:t>
      </w:r>
      <w:r>
        <w:rPr/>
        <w:t>valorados</w:t>
      </w:r>
      <w:r>
        <w:rPr>
          <w:spacing w:val="-3"/>
        </w:rPr>
        <w:t> </w:t>
      </w:r>
      <w:r>
        <w:rPr/>
        <w:t>e inferiores (Cook, 2010, en SCJN,</w:t>
      </w:r>
      <w:r>
        <w:rPr>
          <w:spacing w:val="-13"/>
        </w:rPr>
        <w:t> </w:t>
      </w:r>
      <w:r>
        <w:rPr/>
        <w:t>2010).</w:t>
      </w:r>
    </w:p>
    <w:p>
      <w:pPr>
        <w:pStyle w:val="BodyText"/>
        <w:spacing w:before="7"/>
        <w:rPr>
          <w:sz w:val="17"/>
        </w:rPr>
      </w:pPr>
    </w:p>
    <w:p>
      <w:pPr>
        <w:pStyle w:val="BodyText"/>
        <w:spacing w:line="360" w:lineRule="auto"/>
        <w:ind w:left="102" w:right="162"/>
        <w:jc w:val="both"/>
      </w:pPr>
      <w:r>
        <w:rPr/>
        <w:t>Estos estereotipos de género, constituyen un grave problema, sobre todo cuando se operan</w:t>
      </w:r>
      <w:r>
        <w:rPr>
          <w:spacing w:val="-7"/>
        </w:rPr>
        <w:t> </w:t>
      </w:r>
      <w:r>
        <w:rPr/>
        <w:t>para</w:t>
      </w:r>
      <w:r>
        <w:rPr>
          <w:spacing w:val="-9"/>
        </w:rPr>
        <w:t> </w:t>
      </w:r>
      <w:r>
        <w:rPr/>
        <w:t>ignorar</w:t>
      </w:r>
      <w:r>
        <w:rPr>
          <w:spacing w:val="-8"/>
        </w:rPr>
        <w:t> </w:t>
      </w:r>
      <w:r>
        <w:rPr/>
        <w:t>necesidades,</w:t>
      </w:r>
      <w:r>
        <w:rPr>
          <w:spacing w:val="-6"/>
        </w:rPr>
        <w:t> </w:t>
      </w:r>
      <w:r>
        <w:rPr/>
        <w:t>para</w:t>
      </w:r>
      <w:r>
        <w:rPr>
          <w:spacing w:val="-9"/>
        </w:rPr>
        <w:t> </w:t>
      </w:r>
      <w:r>
        <w:rPr/>
        <w:t>restringir</w:t>
      </w:r>
      <w:r>
        <w:rPr>
          <w:spacing w:val="-8"/>
        </w:rPr>
        <w:t> </w:t>
      </w:r>
      <w:r>
        <w:rPr/>
        <w:t>e</w:t>
      </w:r>
      <w:r>
        <w:rPr>
          <w:spacing w:val="-9"/>
        </w:rPr>
        <w:t> </w:t>
      </w:r>
      <w:r>
        <w:rPr/>
        <w:t>ignorar</w:t>
      </w:r>
      <w:r>
        <w:rPr>
          <w:spacing w:val="-8"/>
        </w:rPr>
        <w:t> </w:t>
      </w:r>
      <w:r>
        <w:rPr/>
        <w:t>los</w:t>
      </w:r>
      <w:r>
        <w:rPr>
          <w:spacing w:val="-9"/>
        </w:rPr>
        <w:t> </w:t>
      </w:r>
      <w:r>
        <w:rPr/>
        <w:t>derechos</w:t>
      </w:r>
      <w:r>
        <w:rPr>
          <w:spacing w:val="-8"/>
        </w:rPr>
        <w:t> </w:t>
      </w:r>
      <w:r>
        <w:rPr/>
        <w:t>fundamentales</w:t>
      </w:r>
      <w:r>
        <w:rPr>
          <w:spacing w:val="-9"/>
        </w:rPr>
        <w:t> </w:t>
      </w:r>
      <w:r>
        <w:rPr/>
        <w:t>y</w:t>
      </w:r>
      <w:r>
        <w:rPr>
          <w:spacing w:val="-8"/>
        </w:rPr>
        <w:t> </w:t>
      </w:r>
      <w:r>
        <w:rPr/>
        <w:t>la subordinación</w:t>
      </w:r>
      <w:r>
        <w:rPr>
          <w:spacing w:val="-6"/>
        </w:rPr>
        <w:t> </w:t>
      </w:r>
      <w:r>
        <w:rPr/>
        <w:t>de</w:t>
      </w:r>
      <w:r>
        <w:rPr>
          <w:spacing w:val="-8"/>
        </w:rPr>
        <w:t> </w:t>
      </w:r>
      <w:r>
        <w:rPr/>
        <w:t>grupos</w:t>
      </w:r>
      <w:r>
        <w:rPr>
          <w:spacing w:val="-10"/>
        </w:rPr>
        <w:t> </w:t>
      </w:r>
      <w:r>
        <w:rPr/>
        <w:t>sociales.</w:t>
      </w:r>
      <w:r>
        <w:rPr>
          <w:spacing w:val="-4"/>
        </w:rPr>
        <w:t> </w:t>
      </w:r>
      <w:r>
        <w:rPr/>
        <w:t>Esta</w:t>
      </w:r>
      <w:r>
        <w:rPr>
          <w:spacing w:val="-8"/>
        </w:rPr>
        <w:t> </w:t>
      </w:r>
      <w:r>
        <w:rPr/>
        <w:t>situación</w:t>
      </w:r>
      <w:r>
        <w:rPr>
          <w:spacing w:val="-8"/>
        </w:rPr>
        <w:t> </w:t>
      </w:r>
      <w:r>
        <w:rPr/>
        <w:t>constituye</w:t>
      </w:r>
      <w:r>
        <w:rPr>
          <w:spacing w:val="-5"/>
        </w:rPr>
        <w:t> </w:t>
      </w:r>
      <w:r>
        <w:rPr/>
        <w:t>un</w:t>
      </w:r>
      <w:r>
        <w:rPr>
          <w:spacing w:val="-6"/>
        </w:rPr>
        <w:t> </w:t>
      </w:r>
      <w:r>
        <w:rPr/>
        <w:t>problema</w:t>
      </w:r>
      <w:r>
        <w:rPr>
          <w:spacing w:val="-7"/>
        </w:rPr>
        <w:t> </w:t>
      </w:r>
      <w:r>
        <w:rPr/>
        <w:t>mayor</w:t>
      </w:r>
      <w:r>
        <w:rPr>
          <w:spacing w:val="-5"/>
        </w:rPr>
        <w:t> </w:t>
      </w:r>
      <w:r>
        <w:rPr/>
        <w:t>cuando</w:t>
      </w:r>
      <w:r>
        <w:rPr>
          <w:spacing w:val="-5"/>
        </w:rPr>
        <w:t> </w:t>
      </w:r>
      <w:r>
        <w:rPr/>
        <w:t>se institucionaliza a partir del Derecho, reforzándolos y perpetuándolos, dándoles fuerza y autoridad (SCJN, 2010). Lo anterior, trae como consecuencia que, quienes intervienen en la actividad judicial, acepten los estereotipos de género como verdaderos e inevitables, adecuando su labor a las demandas</w:t>
      </w:r>
      <w:r>
        <w:rPr>
          <w:spacing w:val="-5"/>
        </w:rPr>
        <w:t> </w:t>
      </w:r>
      <w:r>
        <w:rPr/>
        <w:t>sociales.</w:t>
      </w:r>
    </w:p>
    <w:p>
      <w:pPr>
        <w:pStyle w:val="BodyText"/>
        <w:spacing w:before="7"/>
        <w:rPr>
          <w:sz w:val="17"/>
        </w:rPr>
      </w:pPr>
    </w:p>
    <w:p>
      <w:pPr>
        <w:pStyle w:val="BodyText"/>
        <w:spacing w:line="360" w:lineRule="auto"/>
        <w:ind w:left="102" w:right="164"/>
        <w:jc w:val="both"/>
      </w:pPr>
      <w:r>
        <w:rPr/>
        <w:t>En</w:t>
      </w:r>
      <w:r>
        <w:rPr>
          <w:spacing w:val="-9"/>
        </w:rPr>
        <w:t> </w:t>
      </w:r>
      <w:r>
        <w:rPr/>
        <w:t>su</w:t>
      </w:r>
      <w:r>
        <w:rPr>
          <w:spacing w:val="-9"/>
        </w:rPr>
        <w:t> </w:t>
      </w:r>
      <w:r>
        <w:rPr/>
        <w:t>recomendación</w:t>
      </w:r>
      <w:r>
        <w:rPr>
          <w:spacing w:val="-11"/>
        </w:rPr>
        <w:t> </w:t>
      </w:r>
      <w:r>
        <w:rPr/>
        <w:t>general</w:t>
      </w:r>
      <w:r>
        <w:rPr>
          <w:spacing w:val="-10"/>
        </w:rPr>
        <w:t> </w:t>
      </w:r>
      <w:r>
        <w:rPr/>
        <w:t>número</w:t>
      </w:r>
      <w:r>
        <w:rPr>
          <w:spacing w:val="-9"/>
        </w:rPr>
        <w:t> </w:t>
      </w:r>
      <w:r>
        <w:rPr/>
        <w:t>28,</w:t>
      </w:r>
      <w:r>
        <w:rPr>
          <w:spacing w:val="-8"/>
        </w:rPr>
        <w:t> </w:t>
      </w:r>
      <w:r>
        <w:rPr/>
        <w:t>el</w:t>
      </w:r>
      <w:r>
        <w:rPr>
          <w:spacing w:val="-8"/>
        </w:rPr>
        <w:t> </w:t>
      </w:r>
      <w:r>
        <w:rPr/>
        <w:t>Comité</w:t>
      </w:r>
      <w:r>
        <w:rPr>
          <w:spacing w:val="-9"/>
        </w:rPr>
        <w:t> </w:t>
      </w:r>
      <w:r>
        <w:rPr/>
        <w:t>de</w:t>
      </w:r>
      <w:r>
        <w:rPr>
          <w:spacing w:val="-9"/>
        </w:rPr>
        <w:t> </w:t>
      </w:r>
      <w:r>
        <w:rPr/>
        <w:t>la</w:t>
      </w:r>
      <w:r>
        <w:rPr>
          <w:spacing w:val="-9"/>
        </w:rPr>
        <w:t> </w:t>
      </w:r>
      <w:r>
        <w:rPr/>
        <w:t>Convención</w:t>
      </w:r>
      <w:r>
        <w:rPr>
          <w:spacing w:val="-9"/>
        </w:rPr>
        <w:t> </w:t>
      </w:r>
      <w:r>
        <w:rPr/>
        <w:t>sobre</w:t>
      </w:r>
      <w:r>
        <w:rPr>
          <w:spacing w:val="-9"/>
        </w:rPr>
        <w:t> </w:t>
      </w:r>
      <w:r>
        <w:rPr/>
        <w:t>la</w:t>
      </w:r>
      <w:r>
        <w:rPr>
          <w:spacing w:val="-9"/>
        </w:rPr>
        <w:t> </w:t>
      </w:r>
      <w:r>
        <w:rPr/>
        <w:t>Eliminación de todas las formas de Discriminación contra la Mujer,</w:t>
      </w:r>
      <w:r>
        <w:rPr>
          <w:spacing w:val="-16"/>
        </w:rPr>
        <w:t> </w:t>
      </w:r>
      <w:r>
        <w:rPr/>
        <w:t>señala:</w:t>
      </w:r>
    </w:p>
    <w:p>
      <w:pPr>
        <w:pStyle w:val="BodyText"/>
        <w:spacing w:before="9"/>
        <w:rPr>
          <w:sz w:val="17"/>
        </w:rPr>
      </w:pPr>
    </w:p>
    <w:p>
      <w:pPr>
        <w:spacing w:line="360" w:lineRule="auto" w:before="0"/>
        <w:ind w:left="668" w:right="687" w:firstLine="141"/>
        <w:jc w:val="both"/>
        <w:rPr>
          <w:sz w:val="20"/>
        </w:rPr>
      </w:pPr>
      <w:r>
        <w:rPr>
          <w:sz w:val="20"/>
        </w:rPr>
        <w:t>La discriminación por motivos de sexo o género puede afectar a las mujeres de algunos grupos en diferente medida o forma que a los hombres. Los Estados partes deben reconocer y prohibir en sus instrumentos jurídicos estas formas entrecruzadas de</w:t>
      </w:r>
      <w:r>
        <w:rPr>
          <w:spacing w:val="-6"/>
          <w:sz w:val="20"/>
        </w:rPr>
        <w:t> </w:t>
      </w:r>
      <w:r>
        <w:rPr>
          <w:sz w:val="20"/>
        </w:rPr>
        <w:t>discriminación</w:t>
      </w:r>
      <w:r>
        <w:rPr>
          <w:spacing w:val="-3"/>
          <w:sz w:val="20"/>
        </w:rPr>
        <w:t> </w:t>
      </w:r>
      <w:r>
        <w:rPr>
          <w:sz w:val="20"/>
        </w:rPr>
        <w:t>y</w:t>
      </w:r>
      <w:r>
        <w:rPr>
          <w:spacing w:val="-9"/>
          <w:sz w:val="20"/>
        </w:rPr>
        <w:t> </w:t>
      </w:r>
      <w:r>
        <w:rPr>
          <w:sz w:val="20"/>
        </w:rPr>
        <w:t>su</w:t>
      </w:r>
      <w:r>
        <w:rPr>
          <w:spacing w:val="-6"/>
          <w:sz w:val="20"/>
        </w:rPr>
        <w:t> </w:t>
      </w:r>
      <w:r>
        <w:rPr>
          <w:sz w:val="20"/>
        </w:rPr>
        <w:t>impacto</w:t>
      </w:r>
      <w:r>
        <w:rPr>
          <w:spacing w:val="-6"/>
          <w:sz w:val="20"/>
        </w:rPr>
        <w:t> </w:t>
      </w:r>
      <w:r>
        <w:rPr>
          <w:sz w:val="20"/>
        </w:rPr>
        <w:t>negativo</w:t>
      </w:r>
      <w:r>
        <w:rPr>
          <w:spacing w:val="-6"/>
          <w:sz w:val="20"/>
        </w:rPr>
        <w:t> </w:t>
      </w:r>
      <w:r>
        <w:rPr>
          <w:sz w:val="20"/>
        </w:rPr>
        <w:t>combinado</w:t>
      </w:r>
      <w:r>
        <w:rPr>
          <w:spacing w:val="-6"/>
          <w:sz w:val="20"/>
        </w:rPr>
        <w:t> </w:t>
      </w:r>
      <w:r>
        <w:rPr>
          <w:sz w:val="20"/>
        </w:rPr>
        <w:t>en</w:t>
      </w:r>
      <w:r>
        <w:rPr>
          <w:spacing w:val="-3"/>
          <w:sz w:val="20"/>
        </w:rPr>
        <w:t> </w:t>
      </w:r>
      <w:r>
        <w:rPr>
          <w:sz w:val="20"/>
        </w:rPr>
        <w:t>las</w:t>
      </w:r>
      <w:r>
        <w:rPr>
          <w:spacing w:val="-5"/>
          <w:sz w:val="20"/>
        </w:rPr>
        <w:t> </w:t>
      </w:r>
      <w:r>
        <w:rPr>
          <w:sz w:val="20"/>
        </w:rPr>
        <w:t>mujeres</w:t>
      </w:r>
      <w:r>
        <w:rPr>
          <w:spacing w:val="-4"/>
          <w:sz w:val="20"/>
        </w:rPr>
        <w:t> </w:t>
      </w:r>
      <w:r>
        <w:rPr>
          <w:sz w:val="20"/>
        </w:rPr>
        <w:t>afectadas.</w:t>
      </w:r>
      <w:r>
        <w:rPr>
          <w:spacing w:val="-5"/>
          <w:sz w:val="20"/>
        </w:rPr>
        <w:t> </w:t>
      </w:r>
      <w:r>
        <w:rPr>
          <w:sz w:val="20"/>
        </w:rPr>
        <w:t>También deben</w:t>
      </w:r>
      <w:r>
        <w:rPr>
          <w:spacing w:val="-13"/>
          <w:sz w:val="20"/>
        </w:rPr>
        <w:t> </w:t>
      </w:r>
      <w:r>
        <w:rPr>
          <w:sz w:val="20"/>
        </w:rPr>
        <w:t>aprobar</w:t>
      </w:r>
      <w:r>
        <w:rPr>
          <w:spacing w:val="-9"/>
          <w:sz w:val="20"/>
        </w:rPr>
        <w:t> </w:t>
      </w:r>
      <w:r>
        <w:rPr>
          <w:sz w:val="20"/>
        </w:rPr>
        <w:t>y</w:t>
      </w:r>
      <w:r>
        <w:rPr>
          <w:spacing w:val="-14"/>
          <w:sz w:val="20"/>
        </w:rPr>
        <w:t> </w:t>
      </w:r>
      <w:r>
        <w:rPr>
          <w:sz w:val="20"/>
        </w:rPr>
        <w:t>poner</w:t>
      </w:r>
      <w:r>
        <w:rPr>
          <w:spacing w:val="-12"/>
          <w:sz w:val="20"/>
        </w:rPr>
        <w:t> </w:t>
      </w:r>
      <w:r>
        <w:rPr>
          <w:sz w:val="20"/>
        </w:rPr>
        <w:t>en</w:t>
      </w:r>
      <w:r>
        <w:rPr>
          <w:spacing w:val="-13"/>
          <w:sz w:val="20"/>
        </w:rPr>
        <w:t> </w:t>
      </w:r>
      <w:r>
        <w:rPr>
          <w:sz w:val="20"/>
        </w:rPr>
        <w:t>practica</w:t>
      </w:r>
      <w:r>
        <w:rPr>
          <w:spacing w:val="-13"/>
          <w:sz w:val="20"/>
        </w:rPr>
        <w:t> </w:t>
      </w:r>
      <w:r>
        <w:rPr>
          <w:sz w:val="20"/>
        </w:rPr>
        <w:t>políticas</w:t>
      </w:r>
      <w:r>
        <w:rPr>
          <w:spacing w:val="-9"/>
          <w:sz w:val="20"/>
        </w:rPr>
        <w:t> </w:t>
      </w:r>
      <w:r>
        <w:rPr>
          <w:sz w:val="20"/>
        </w:rPr>
        <w:t>y</w:t>
      </w:r>
      <w:r>
        <w:rPr>
          <w:spacing w:val="-14"/>
          <w:sz w:val="20"/>
        </w:rPr>
        <w:t> </w:t>
      </w:r>
      <w:r>
        <w:rPr>
          <w:sz w:val="20"/>
        </w:rPr>
        <w:t>programas</w:t>
      </w:r>
      <w:r>
        <w:rPr>
          <w:spacing w:val="-11"/>
          <w:sz w:val="20"/>
        </w:rPr>
        <w:t> </w:t>
      </w:r>
      <w:r>
        <w:rPr>
          <w:sz w:val="20"/>
        </w:rPr>
        <w:t>para</w:t>
      </w:r>
      <w:r>
        <w:rPr>
          <w:spacing w:val="-13"/>
          <w:sz w:val="20"/>
        </w:rPr>
        <w:t> </w:t>
      </w:r>
      <w:r>
        <w:rPr>
          <w:sz w:val="20"/>
        </w:rPr>
        <w:t>eliminar</w:t>
      </w:r>
      <w:r>
        <w:rPr>
          <w:spacing w:val="-12"/>
          <w:sz w:val="20"/>
        </w:rPr>
        <w:t> </w:t>
      </w:r>
      <w:r>
        <w:rPr>
          <w:sz w:val="20"/>
        </w:rPr>
        <w:t>estas</w:t>
      </w:r>
      <w:r>
        <w:rPr>
          <w:spacing w:val="-12"/>
          <w:sz w:val="20"/>
        </w:rPr>
        <w:t> </w:t>
      </w:r>
      <w:r>
        <w:rPr>
          <w:sz w:val="20"/>
        </w:rPr>
        <w:t>situaciones</w:t>
      </w:r>
    </w:p>
    <w:p>
      <w:pPr>
        <w:spacing w:after="0" w:line="360" w:lineRule="auto"/>
        <w:jc w:val="both"/>
        <w:rPr>
          <w:sz w:val="20"/>
        </w:rPr>
        <w:sectPr>
          <w:pgSz w:w="12240" w:h="15840"/>
          <w:pgMar w:header="0" w:footer="1002" w:top="1360" w:bottom="1200" w:left="1600" w:right="1580"/>
        </w:sectPr>
      </w:pPr>
    </w:p>
    <w:p>
      <w:pPr>
        <w:spacing w:line="362" w:lineRule="auto" w:before="53"/>
        <w:ind w:left="668" w:right="96" w:firstLine="0"/>
        <w:jc w:val="left"/>
        <w:rPr>
          <w:sz w:val="20"/>
        </w:rPr>
      </w:pPr>
      <w:r>
        <w:rPr>
          <w:sz w:val="20"/>
        </w:rPr>
        <w:t>y, en particular cuando corresponda, adoptar medidas especiales de carácter temporal (Comité CEDAW, 2010: 2)</w:t>
      </w:r>
    </w:p>
    <w:p>
      <w:pPr>
        <w:pStyle w:val="BodyText"/>
        <w:spacing w:before="1"/>
        <w:rPr>
          <w:sz w:val="17"/>
        </w:rPr>
      </w:pPr>
    </w:p>
    <w:p>
      <w:pPr>
        <w:pStyle w:val="Heading8"/>
        <w:numPr>
          <w:ilvl w:val="1"/>
          <w:numId w:val="1"/>
        </w:numPr>
        <w:tabs>
          <w:tab w:pos="472" w:val="left" w:leader="none"/>
        </w:tabs>
        <w:spacing w:line="240" w:lineRule="auto" w:before="0" w:after="0"/>
        <w:ind w:left="471" w:right="0" w:hanging="369"/>
        <w:jc w:val="both"/>
        <w:rPr>
          <w:rFonts w:ascii="Arial"/>
        </w:rPr>
      </w:pPr>
      <w:r>
        <w:rPr>
          <w:rFonts w:ascii="Arial"/>
        </w:rPr>
        <w:t>Derechos</w:t>
      </w:r>
      <w:r>
        <w:rPr>
          <w:rFonts w:ascii="Arial"/>
          <w:spacing w:val="-4"/>
        </w:rPr>
        <w:t> </w:t>
      </w:r>
      <w:r>
        <w:rPr>
          <w:rFonts w:ascii="Arial"/>
        </w:rPr>
        <w:t>humanos</w:t>
      </w:r>
    </w:p>
    <w:p>
      <w:pPr>
        <w:pStyle w:val="BodyText"/>
        <w:spacing w:before="8"/>
        <w:rPr>
          <w:b/>
          <w:sz w:val="28"/>
        </w:rPr>
      </w:pPr>
    </w:p>
    <w:p>
      <w:pPr>
        <w:pStyle w:val="BodyText"/>
        <w:spacing w:line="360" w:lineRule="auto"/>
        <w:ind w:left="102" w:right="120"/>
        <w:jc w:val="both"/>
      </w:pPr>
      <w:r>
        <w:rPr/>
        <w:t>Los derechos humanos son el conjunto de prerrogativas sustentadas en la dignidad humana, cuya realización afectiva resulta indispensable para el desarrollo integral de la persona. Este conjunto de prerrogativas se encuentra en la Constitución Federal, en los Tratados Internacionales y en las leyes (Badillo, </w:t>
      </w:r>
      <w:r>
        <w:rPr>
          <w:i/>
        </w:rPr>
        <w:t>et al</w:t>
      </w:r>
      <w:r>
        <w:rPr/>
        <w:t>., 2005).</w:t>
      </w:r>
    </w:p>
    <w:p>
      <w:pPr>
        <w:pStyle w:val="BodyText"/>
        <w:spacing w:before="7"/>
        <w:rPr>
          <w:sz w:val="17"/>
        </w:rPr>
      </w:pPr>
    </w:p>
    <w:p>
      <w:pPr>
        <w:pStyle w:val="BodyText"/>
        <w:spacing w:line="360" w:lineRule="auto"/>
        <w:ind w:left="102" w:right="117"/>
        <w:jc w:val="both"/>
      </w:pPr>
      <w:r>
        <w:rPr/>
        <w:t>Los Derechos Humanos tienen los siguientes principios: 1. Universalidad, los derechos humanos corresponden a todas la personas por igual, 2. Interdependencia, los derechos humanos se encuentran ligados unos con otros, el reconocimiento de uno implica el reconocimiento</w:t>
      </w:r>
      <w:r>
        <w:rPr>
          <w:spacing w:val="-11"/>
        </w:rPr>
        <w:t> </w:t>
      </w:r>
      <w:r>
        <w:rPr/>
        <w:t>de</w:t>
      </w:r>
      <w:r>
        <w:rPr>
          <w:spacing w:val="-9"/>
        </w:rPr>
        <w:t> </w:t>
      </w:r>
      <w:r>
        <w:rPr/>
        <w:t>los</w:t>
      </w:r>
      <w:r>
        <w:rPr>
          <w:spacing w:val="-11"/>
        </w:rPr>
        <w:t> </w:t>
      </w:r>
      <w:r>
        <w:rPr/>
        <w:t>demás,</w:t>
      </w:r>
      <w:r>
        <w:rPr>
          <w:spacing w:val="-10"/>
        </w:rPr>
        <w:t> </w:t>
      </w:r>
      <w:r>
        <w:rPr/>
        <w:t>3.</w:t>
      </w:r>
      <w:r>
        <w:rPr>
          <w:spacing w:val="-10"/>
        </w:rPr>
        <w:t> </w:t>
      </w:r>
      <w:r>
        <w:rPr/>
        <w:t>Indivisibilidad,</w:t>
      </w:r>
      <w:r>
        <w:rPr>
          <w:spacing w:val="-8"/>
        </w:rPr>
        <w:t> </w:t>
      </w:r>
      <w:r>
        <w:rPr/>
        <w:t>todos</w:t>
      </w:r>
      <w:r>
        <w:rPr>
          <w:spacing w:val="-8"/>
        </w:rPr>
        <w:t> </w:t>
      </w:r>
      <w:r>
        <w:rPr/>
        <w:t>los</w:t>
      </w:r>
      <w:r>
        <w:rPr>
          <w:spacing w:val="-9"/>
        </w:rPr>
        <w:t> </w:t>
      </w:r>
      <w:r>
        <w:rPr/>
        <w:t>derechos</w:t>
      </w:r>
      <w:r>
        <w:rPr>
          <w:spacing w:val="-8"/>
        </w:rPr>
        <w:t> </w:t>
      </w:r>
      <w:r>
        <w:rPr/>
        <w:t>humanos,</w:t>
      </w:r>
      <w:r>
        <w:rPr>
          <w:spacing w:val="-8"/>
        </w:rPr>
        <w:t> </w:t>
      </w:r>
      <w:r>
        <w:rPr/>
        <w:t>son</w:t>
      </w:r>
      <w:r>
        <w:rPr>
          <w:spacing w:val="-11"/>
        </w:rPr>
        <w:t> </w:t>
      </w:r>
      <w:r>
        <w:rPr/>
        <w:t>inheretes al ser humano y derivan de su dignidad, 4. Progresividad, obligación del Estado para asegurar el desarrollo colectivo de los derechos humanos (CNDH,</w:t>
      </w:r>
      <w:r>
        <w:rPr>
          <w:spacing w:val="-20"/>
        </w:rPr>
        <w:t> </w:t>
      </w:r>
      <w:r>
        <w:rPr/>
        <w:t>2010).</w:t>
      </w:r>
    </w:p>
    <w:p>
      <w:pPr>
        <w:pStyle w:val="BodyText"/>
        <w:spacing w:before="7"/>
        <w:rPr>
          <w:sz w:val="17"/>
        </w:rPr>
      </w:pPr>
    </w:p>
    <w:p>
      <w:pPr>
        <w:pStyle w:val="BodyText"/>
        <w:spacing w:line="360" w:lineRule="auto"/>
        <w:ind w:left="102" w:right="116"/>
        <w:jc w:val="both"/>
      </w:pPr>
      <w:r>
        <w:rPr/>
        <w:t>Aunque desde hace mucho tiempo, a partir del princpio de universalidad de los Derechos Humanos, se han reconocido a las mujeres como titulares de dichos derechos, esto no siempre fue así. En el tiempo de la Revolución Francesa y la Declaración Francesa de los Derechos del Hombre y del Ciudadano, dichos derechos se habían fundamentado en la exclusión</w:t>
      </w:r>
      <w:r>
        <w:rPr>
          <w:spacing w:val="-11"/>
        </w:rPr>
        <w:t> </w:t>
      </w:r>
      <w:r>
        <w:rPr/>
        <w:t>femenina</w:t>
      </w:r>
      <w:r>
        <w:rPr>
          <w:spacing w:val="-14"/>
        </w:rPr>
        <w:t> </w:t>
      </w:r>
      <w:r>
        <w:rPr/>
        <w:t>y</w:t>
      </w:r>
      <w:r>
        <w:rPr>
          <w:spacing w:val="-13"/>
        </w:rPr>
        <w:t> </w:t>
      </w:r>
      <w:r>
        <w:rPr/>
        <w:t>en</w:t>
      </w:r>
      <w:r>
        <w:rPr>
          <w:spacing w:val="-11"/>
        </w:rPr>
        <w:t> </w:t>
      </w:r>
      <w:r>
        <w:rPr/>
        <w:t>la</w:t>
      </w:r>
      <w:r>
        <w:rPr>
          <w:spacing w:val="-11"/>
        </w:rPr>
        <w:t> </w:t>
      </w:r>
      <w:r>
        <w:rPr/>
        <w:t>creciente</w:t>
      </w:r>
      <w:r>
        <w:rPr>
          <w:spacing w:val="-11"/>
        </w:rPr>
        <w:t> </w:t>
      </w:r>
      <w:r>
        <w:rPr/>
        <w:t>universalización</w:t>
      </w:r>
      <w:r>
        <w:rPr>
          <w:spacing w:val="-11"/>
        </w:rPr>
        <w:t> </w:t>
      </w:r>
      <w:r>
        <w:rPr/>
        <w:t>de</w:t>
      </w:r>
      <w:r>
        <w:rPr>
          <w:spacing w:val="-11"/>
        </w:rPr>
        <w:t> </w:t>
      </w:r>
      <w:r>
        <w:rPr/>
        <w:t>los</w:t>
      </w:r>
      <w:r>
        <w:rPr>
          <w:spacing w:val="-11"/>
        </w:rPr>
        <w:t> </w:t>
      </w:r>
      <w:r>
        <w:rPr/>
        <w:t>varones</w:t>
      </w:r>
      <w:r>
        <w:rPr>
          <w:spacing w:val="-14"/>
        </w:rPr>
        <w:t> </w:t>
      </w:r>
      <w:r>
        <w:rPr/>
        <w:t>como</w:t>
      </w:r>
      <w:r>
        <w:rPr>
          <w:spacing w:val="-14"/>
        </w:rPr>
        <w:t> </w:t>
      </w:r>
      <w:r>
        <w:rPr/>
        <w:t>sujetos</w:t>
      </w:r>
      <w:r>
        <w:rPr>
          <w:spacing w:val="-11"/>
        </w:rPr>
        <w:t> </w:t>
      </w:r>
      <w:r>
        <w:rPr/>
        <w:t>políticos, por</w:t>
      </w:r>
      <w:r>
        <w:rPr>
          <w:spacing w:val="-15"/>
        </w:rPr>
        <w:t> </w:t>
      </w:r>
      <w:r>
        <w:rPr/>
        <w:t>lo</w:t>
      </w:r>
      <w:r>
        <w:rPr>
          <w:spacing w:val="-19"/>
        </w:rPr>
        <w:t> </w:t>
      </w:r>
      <w:r>
        <w:rPr/>
        <w:t>cual,</w:t>
      </w:r>
      <w:r>
        <w:rPr>
          <w:spacing w:val="-17"/>
        </w:rPr>
        <w:t> </w:t>
      </w:r>
      <w:r>
        <w:rPr/>
        <w:t>su</w:t>
      </w:r>
      <w:r>
        <w:rPr>
          <w:spacing w:val="-19"/>
        </w:rPr>
        <w:t> </w:t>
      </w:r>
      <w:r>
        <w:rPr/>
        <w:t>supuesto</w:t>
      </w:r>
      <w:r>
        <w:rPr>
          <w:spacing w:val="-19"/>
        </w:rPr>
        <w:t> </w:t>
      </w:r>
      <w:r>
        <w:rPr/>
        <w:t>universalismo</w:t>
      </w:r>
      <w:r>
        <w:rPr>
          <w:spacing w:val="-16"/>
        </w:rPr>
        <w:t> </w:t>
      </w:r>
      <w:r>
        <w:rPr/>
        <w:t>quedó</w:t>
      </w:r>
      <w:r>
        <w:rPr>
          <w:spacing w:val="-19"/>
        </w:rPr>
        <w:t> </w:t>
      </w:r>
      <w:r>
        <w:rPr/>
        <w:t>invalidado</w:t>
      </w:r>
      <w:r>
        <w:rPr>
          <w:spacing w:val="-16"/>
        </w:rPr>
        <w:t> </w:t>
      </w:r>
      <w:r>
        <w:rPr/>
        <w:t>al</w:t>
      </w:r>
      <w:r>
        <w:rPr>
          <w:spacing w:val="-17"/>
        </w:rPr>
        <w:t> </w:t>
      </w:r>
      <w:r>
        <w:rPr/>
        <w:t>negar</w:t>
      </w:r>
      <w:r>
        <w:rPr>
          <w:spacing w:val="-17"/>
        </w:rPr>
        <w:t> </w:t>
      </w:r>
      <w:r>
        <w:rPr/>
        <w:t>a</w:t>
      </w:r>
      <w:r>
        <w:rPr>
          <w:spacing w:val="-19"/>
        </w:rPr>
        <w:t> </w:t>
      </w:r>
      <w:r>
        <w:rPr/>
        <w:t>las</w:t>
      </w:r>
      <w:r>
        <w:rPr>
          <w:spacing w:val="-18"/>
        </w:rPr>
        <w:t> </w:t>
      </w:r>
      <w:r>
        <w:rPr/>
        <w:t>mujeres</w:t>
      </w:r>
      <w:r>
        <w:rPr>
          <w:spacing w:val="-16"/>
        </w:rPr>
        <w:t> </w:t>
      </w:r>
      <w:r>
        <w:rPr/>
        <w:t>la</w:t>
      </w:r>
      <w:r>
        <w:rPr>
          <w:spacing w:val="-18"/>
        </w:rPr>
        <w:t> </w:t>
      </w:r>
      <w:r>
        <w:rPr/>
        <w:t>atribuación de sujetos de derecho (Nash,</w:t>
      </w:r>
      <w:r>
        <w:rPr>
          <w:spacing w:val="-9"/>
        </w:rPr>
        <w:t> </w:t>
      </w:r>
      <w:r>
        <w:rPr/>
        <w:t>2004).</w:t>
      </w:r>
    </w:p>
    <w:p>
      <w:pPr>
        <w:pStyle w:val="BodyText"/>
        <w:spacing w:before="10"/>
        <w:rPr>
          <w:sz w:val="17"/>
        </w:rPr>
      </w:pPr>
    </w:p>
    <w:p>
      <w:pPr>
        <w:pStyle w:val="BodyText"/>
        <w:spacing w:line="360" w:lineRule="auto"/>
        <w:ind w:left="102" w:right="117"/>
        <w:jc w:val="both"/>
      </w:pPr>
      <w:r>
        <w:rPr/>
        <w:t>No debe soslayarse el hecho de que ha sido gracias a los distintos movimiento feministas, que las mujeres pueden ser consideradas como sujetos de los derechos humanos, y que se ha dejado de considerado al varón como sujeto universal de los derechos.</w:t>
      </w:r>
    </w:p>
    <w:p>
      <w:pPr>
        <w:pStyle w:val="BodyText"/>
        <w:spacing w:before="7"/>
        <w:rPr>
          <w:sz w:val="17"/>
        </w:rPr>
      </w:pPr>
    </w:p>
    <w:p>
      <w:pPr>
        <w:pStyle w:val="BodyText"/>
        <w:spacing w:line="360" w:lineRule="auto"/>
        <w:ind w:left="102" w:right="115"/>
        <w:jc w:val="both"/>
      </w:pPr>
      <w:r>
        <w:rPr/>
        <w:t>Es</w:t>
      </w:r>
      <w:r>
        <w:rPr>
          <w:spacing w:val="-3"/>
        </w:rPr>
        <w:t> </w:t>
      </w:r>
      <w:r>
        <w:rPr/>
        <w:t>así</w:t>
      </w:r>
      <w:r>
        <w:rPr>
          <w:spacing w:val="-7"/>
        </w:rPr>
        <w:t> </w:t>
      </w:r>
      <w:r>
        <w:rPr/>
        <w:t>que</w:t>
      </w:r>
      <w:r>
        <w:rPr>
          <w:spacing w:val="-3"/>
        </w:rPr>
        <w:t> </w:t>
      </w:r>
      <w:r>
        <w:rPr/>
        <w:t>los</w:t>
      </w:r>
      <w:r>
        <w:rPr>
          <w:spacing w:val="-3"/>
        </w:rPr>
        <w:t> </w:t>
      </w:r>
      <w:r>
        <w:rPr/>
        <w:t>derechos</w:t>
      </w:r>
      <w:r>
        <w:rPr>
          <w:spacing w:val="-5"/>
        </w:rPr>
        <w:t> </w:t>
      </w:r>
      <w:r>
        <w:rPr/>
        <w:t>humanos</w:t>
      </w:r>
      <w:r>
        <w:rPr>
          <w:spacing w:val="-3"/>
        </w:rPr>
        <w:t> </w:t>
      </w:r>
      <w:r>
        <w:rPr/>
        <w:t>de</w:t>
      </w:r>
      <w:r>
        <w:rPr>
          <w:spacing w:val="-6"/>
        </w:rPr>
        <w:t> </w:t>
      </w:r>
      <w:r>
        <w:rPr/>
        <w:t>las</w:t>
      </w:r>
      <w:r>
        <w:rPr>
          <w:spacing w:val="-3"/>
        </w:rPr>
        <w:t> </w:t>
      </w:r>
      <w:r>
        <w:rPr/>
        <w:t>mujeres</w:t>
      </w:r>
      <w:r>
        <w:rPr>
          <w:spacing w:val="-5"/>
        </w:rPr>
        <w:t> </w:t>
      </w:r>
      <w:r>
        <w:rPr/>
        <w:t>deben</w:t>
      </w:r>
      <w:r>
        <w:rPr>
          <w:spacing w:val="-1"/>
        </w:rPr>
        <w:t> </w:t>
      </w:r>
      <w:r>
        <w:rPr/>
        <w:t>ser</w:t>
      </w:r>
      <w:r>
        <w:rPr>
          <w:spacing w:val="-5"/>
        </w:rPr>
        <w:t> </w:t>
      </w:r>
      <w:r>
        <w:rPr/>
        <w:t>respetados</w:t>
      </w:r>
      <w:r>
        <w:rPr>
          <w:spacing w:val="-3"/>
        </w:rPr>
        <w:t> </w:t>
      </w:r>
      <w:r>
        <w:rPr/>
        <w:t>y</w:t>
      </w:r>
      <w:r>
        <w:rPr>
          <w:spacing w:val="-7"/>
        </w:rPr>
        <w:t> </w:t>
      </w:r>
      <w:r>
        <w:rPr/>
        <w:t>garantizados</w:t>
      </w:r>
      <w:r>
        <w:rPr>
          <w:spacing w:val="-1"/>
        </w:rPr>
        <w:t> </w:t>
      </w:r>
      <w:r>
        <w:rPr/>
        <w:t>por el</w:t>
      </w:r>
      <w:r>
        <w:rPr>
          <w:spacing w:val="-9"/>
        </w:rPr>
        <w:t> </w:t>
      </w:r>
      <w:r>
        <w:rPr/>
        <w:t>Estado,</w:t>
      </w:r>
      <w:r>
        <w:rPr>
          <w:spacing w:val="-7"/>
        </w:rPr>
        <w:t> </w:t>
      </w:r>
      <w:r>
        <w:rPr/>
        <w:t>atendiendo</w:t>
      </w:r>
      <w:r>
        <w:rPr>
          <w:spacing w:val="-8"/>
        </w:rPr>
        <w:t> </w:t>
      </w:r>
      <w:r>
        <w:rPr/>
        <w:t>al</w:t>
      </w:r>
      <w:r>
        <w:rPr>
          <w:spacing w:val="-11"/>
        </w:rPr>
        <w:t> </w:t>
      </w:r>
      <w:r>
        <w:rPr/>
        <w:t>principio</w:t>
      </w:r>
      <w:r>
        <w:rPr>
          <w:spacing w:val="-8"/>
        </w:rPr>
        <w:t> </w:t>
      </w:r>
      <w:r>
        <w:rPr/>
        <w:t>de</w:t>
      </w:r>
      <w:r>
        <w:rPr>
          <w:spacing w:val="-8"/>
        </w:rPr>
        <w:t> </w:t>
      </w:r>
      <w:r>
        <w:rPr/>
        <w:t>progresividad,</w:t>
      </w:r>
      <w:r>
        <w:rPr>
          <w:spacing w:val="-7"/>
        </w:rPr>
        <w:t> </w:t>
      </w:r>
      <w:r>
        <w:rPr/>
        <w:t>y</w:t>
      </w:r>
      <w:r>
        <w:rPr>
          <w:spacing w:val="-10"/>
        </w:rPr>
        <w:t> </w:t>
      </w:r>
      <w:r>
        <w:rPr/>
        <w:t>tomando</w:t>
      </w:r>
      <w:r>
        <w:rPr>
          <w:spacing w:val="-11"/>
        </w:rPr>
        <w:t> </w:t>
      </w:r>
      <w:r>
        <w:rPr/>
        <w:t>en</w:t>
      </w:r>
      <w:r>
        <w:rPr>
          <w:spacing w:val="-8"/>
        </w:rPr>
        <w:t> </w:t>
      </w:r>
      <w:r>
        <w:rPr/>
        <w:t>consideración</w:t>
      </w:r>
      <w:r>
        <w:rPr>
          <w:spacing w:val="-8"/>
        </w:rPr>
        <w:t> </w:t>
      </w:r>
      <w:r>
        <w:rPr/>
        <w:t>el</w:t>
      </w:r>
      <w:r>
        <w:rPr>
          <w:spacing w:val="-9"/>
        </w:rPr>
        <w:t> </w:t>
      </w:r>
      <w:r>
        <w:rPr/>
        <w:t>principio de interdependencia de los seres humanos, los derechos humanos de las mujeres indiciadas de acceso a la justica deben tutelarse, ya que por el hecho de ser indiciadas,</w:t>
      </w:r>
      <w:r>
        <w:rPr>
          <w:spacing w:val="-32"/>
        </w:rPr>
        <w:t> </w:t>
      </w:r>
      <w:r>
        <w:rPr/>
        <w:t>no pierden su calidad de seres</w:t>
      </w:r>
      <w:r>
        <w:rPr>
          <w:spacing w:val="-8"/>
        </w:rPr>
        <w:t> </w:t>
      </w:r>
      <w:r>
        <w:rPr/>
        <w:t>humanos.</w:t>
      </w:r>
    </w:p>
    <w:p>
      <w:pPr>
        <w:spacing w:after="0" w:line="360" w:lineRule="auto"/>
        <w:jc w:val="both"/>
        <w:sectPr>
          <w:pgSz w:w="12240" w:h="15840"/>
          <w:pgMar w:header="0" w:footer="1002" w:top="1360" w:bottom="1200" w:left="1600" w:right="1580"/>
        </w:sectPr>
      </w:pPr>
    </w:p>
    <w:p>
      <w:pPr>
        <w:pStyle w:val="BodyText"/>
        <w:rPr>
          <w:sz w:val="20"/>
        </w:rPr>
      </w:pPr>
    </w:p>
    <w:p>
      <w:pPr>
        <w:pStyle w:val="BodyText"/>
        <w:spacing w:before="5"/>
        <w:rPr>
          <w:sz w:val="16"/>
        </w:rPr>
      </w:pPr>
    </w:p>
    <w:p>
      <w:pPr>
        <w:pStyle w:val="Heading8"/>
        <w:numPr>
          <w:ilvl w:val="1"/>
          <w:numId w:val="1"/>
        </w:numPr>
        <w:tabs>
          <w:tab w:pos="472" w:val="left" w:leader="none"/>
        </w:tabs>
        <w:spacing w:line="240" w:lineRule="auto" w:before="73" w:after="0"/>
        <w:ind w:left="471" w:right="0" w:hanging="369"/>
        <w:jc w:val="both"/>
        <w:rPr>
          <w:rFonts w:ascii="Arial"/>
        </w:rPr>
      </w:pPr>
      <w:r>
        <w:rPr>
          <w:rFonts w:ascii="Arial"/>
        </w:rPr>
        <w:t>Sistema penal</w:t>
      </w:r>
      <w:r>
        <w:rPr>
          <w:rFonts w:ascii="Arial"/>
          <w:spacing w:val="-5"/>
        </w:rPr>
        <w:t> </w:t>
      </w:r>
      <w:r>
        <w:rPr>
          <w:rFonts w:ascii="Arial"/>
        </w:rPr>
        <w:t>acusatorio</w:t>
      </w:r>
    </w:p>
    <w:p>
      <w:pPr>
        <w:pStyle w:val="BodyText"/>
        <w:spacing w:before="5"/>
        <w:rPr>
          <w:b/>
          <w:sz w:val="28"/>
        </w:rPr>
      </w:pPr>
    </w:p>
    <w:p>
      <w:pPr>
        <w:pStyle w:val="BodyText"/>
        <w:spacing w:line="360" w:lineRule="auto" w:before="1"/>
        <w:ind w:left="102" w:right="116"/>
        <w:jc w:val="both"/>
      </w:pPr>
      <w:r>
        <w:rPr/>
        <w:t>El 18 de junio del 2008 fue publicado en el Diario Oficial de la Federación, la reforma constitucional en la que se establece que el proceso penal mexicano es acusatorio y oral, derivado de razones que giran en torno al respecto de las garatías como la eficacia de la procuración y administración de justicia.</w:t>
      </w:r>
    </w:p>
    <w:p>
      <w:pPr>
        <w:pStyle w:val="BodyText"/>
        <w:spacing w:before="7"/>
        <w:rPr>
          <w:sz w:val="17"/>
        </w:rPr>
      </w:pPr>
    </w:p>
    <w:p>
      <w:pPr>
        <w:pStyle w:val="BodyText"/>
        <w:spacing w:line="360" w:lineRule="auto"/>
        <w:ind w:left="102" w:right="117"/>
        <w:jc w:val="both"/>
      </w:pPr>
      <w:r>
        <w:rPr/>
        <w:t>Al ser el procedimiento penal de caracter acusatorio y adversarial, refiere la división de responsabilidades entre quien toma la decisión, el juez, y las partes, es decir la responsabilidad de investigar los hechos y determinar la argumentación pertinente es de las partes adversarias (Benavente, 2014a: 39).</w:t>
      </w:r>
    </w:p>
    <w:p>
      <w:pPr>
        <w:pStyle w:val="BodyText"/>
        <w:spacing w:before="9"/>
        <w:rPr>
          <w:sz w:val="17"/>
        </w:rPr>
      </w:pPr>
    </w:p>
    <w:p>
      <w:pPr>
        <w:pStyle w:val="BodyText"/>
        <w:spacing w:line="360" w:lineRule="auto"/>
        <w:ind w:left="102" w:right="114"/>
        <w:jc w:val="both"/>
      </w:pPr>
      <w:r>
        <w:rPr/>
        <w:t>Este nuevo procedimiento es importante para el caso que nos atañe, en tanto que, en</w:t>
      </w:r>
      <w:r>
        <w:rPr>
          <w:spacing w:val="-25"/>
        </w:rPr>
        <w:t> </w:t>
      </w:r>
      <w:r>
        <w:rPr/>
        <w:t>este procedimiento tienen gran importancia las partes, pues se encargan de aportar los elementos que puedan dar convicción al juez para resolver, en ese sentido se puede argumentar, a partir de los tratados internacionales y los principios de derechos humanos, como lo es el </w:t>
      </w:r>
      <w:r>
        <w:rPr>
          <w:i/>
        </w:rPr>
        <w:t>principio pro persona </w:t>
      </w:r>
      <w:r>
        <w:rPr/>
        <w:t>que se refiere a un criterio fundamental que impone la naturaleza</w:t>
      </w:r>
      <w:r>
        <w:rPr>
          <w:spacing w:val="-9"/>
        </w:rPr>
        <w:t> </w:t>
      </w:r>
      <w:r>
        <w:rPr/>
        <w:t>misma</w:t>
      </w:r>
      <w:r>
        <w:rPr>
          <w:spacing w:val="-9"/>
        </w:rPr>
        <w:t> </w:t>
      </w:r>
      <w:r>
        <w:rPr/>
        <w:t>de</w:t>
      </w:r>
      <w:r>
        <w:rPr>
          <w:spacing w:val="-11"/>
        </w:rPr>
        <w:t> </w:t>
      </w:r>
      <w:r>
        <w:rPr/>
        <w:t>los</w:t>
      </w:r>
      <w:r>
        <w:rPr>
          <w:spacing w:val="-11"/>
        </w:rPr>
        <w:t> </w:t>
      </w:r>
      <w:r>
        <w:rPr/>
        <w:t>derechos</w:t>
      </w:r>
      <w:r>
        <w:rPr>
          <w:spacing w:val="-9"/>
        </w:rPr>
        <w:t> </w:t>
      </w:r>
      <w:r>
        <w:rPr/>
        <w:t>humanos,</w:t>
      </w:r>
      <w:r>
        <w:rPr>
          <w:spacing w:val="-10"/>
        </w:rPr>
        <w:t> </w:t>
      </w:r>
      <w:r>
        <w:rPr/>
        <w:t>la</w:t>
      </w:r>
      <w:r>
        <w:rPr>
          <w:spacing w:val="-9"/>
        </w:rPr>
        <w:t> </w:t>
      </w:r>
      <w:r>
        <w:rPr/>
        <w:t>cual</w:t>
      </w:r>
      <w:r>
        <w:rPr>
          <w:spacing w:val="-10"/>
        </w:rPr>
        <w:t> </w:t>
      </w:r>
      <w:r>
        <w:rPr/>
        <w:t>obliga</w:t>
      </w:r>
      <w:r>
        <w:rPr>
          <w:spacing w:val="-9"/>
        </w:rPr>
        <w:t> </w:t>
      </w:r>
      <w:r>
        <w:rPr/>
        <w:t>a</w:t>
      </w:r>
      <w:r>
        <w:rPr>
          <w:spacing w:val="-9"/>
        </w:rPr>
        <w:t> </w:t>
      </w:r>
      <w:r>
        <w:rPr/>
        <w:t>interpretar</w:t>
      </w:r>
      <w:r>
        <w:rPr>
          <w:spacing w:val="-8"/>
        </w:rPr>
        <w:t> </w:t>
      </w:r>
      <w:r>
        <w:rPr/>
        <w:t>extensivamente</w:t>
      </w:r>
      <w:r>
        <w:rPr>
          <w:spacing w:val="-9"/>
        </w:rPr>
        <w:t> </w:t>
      </w:r>
      <w:r>
        <w:rPr/>
        <w:t>las normas que los consagran o amplían y restrictivamente las que los limitan o restringen. El principio </w:t>
      </w:r>
      <w:r>
        <w:rPr>
          <w:i/>
        </w:rPr>
        <w:t>pro persona </w:t>
      </w:r>
      <w:r>
        <w:rPr/>
        <w:t>conduce a la conclusión de que la exigibilidad inmediata e incondicional de los derecho humanos es la regla y su condicionamiento la excepción (Escalante 1986, en Medellín 2013: 57). Al aplicar el principio </w:t>
      </w:r>
      <w:r>
        <w:rPr>
          <w:i/>
        </w:rPr>
        <w:t>pro persona </w:t>
      </w:r>
      <w:r>
        <w:rPr/>
        <w:t>a los casos en los que las mujeres sean acusadas de cometer delitos, permitirá que se consideren todas las medidas necesarias para la protección de los derechos humanos de las mujeres, es decir debiéndose estar a la ley más favorable para ellas, pudiendo dar lugar a una interpretación con perspectiva de género a fin de garantizar el máximo de protección a los derechos humanos de las</w:t>
      </w:r>
      <w:r>
        <w:rPr>
          <w:spacing w:val="-6"/>
        </w:rPr>
        <w:t> </w:t>
      </w:r>
      <w:r>
        <w:rPr/>
        <w:t>mujeres.</w:t>
      </w:r>
    </w:p>
    <w:p>
      <w:pPr>
        <w:pStyle w:val="BodyText"/>
      </w:pPr>
    </w:p>
    <w:p>
      <w:pPr>
        <w:pStyle w:val="BodyText"/>
      </w:pPr>
    </w:p>
    <w:p>
      <w:pPr>
        <w:pStyle w:val="BodyText"/>
        <w:spacing w:before="10"/>
        <w:rPr>
          <w:sz w:val="23"/>
        </w:rPr>
      </w:pPr>
    </w:p>
    <w:p>
      <w:pPr>
        <w:pStyle w:val="Heading8"/>
        <w:numPr>
          <w:ilvl w:val="1"/>
          <w:numId w:val="1"/>
        </w:numPr>
        <w:tabs>
          <w:tab w:pos="472" w:val="left" w:leader="none"/>
        </w:tabs>
        <w:spacing w:line="240" w:lineRule="auto" w:before="0" w:after="0"/>
        <w:ind w:left="471" w:right="0" w:hanging="369"/>
        <w:jc w:val="both"/>
        <w:rPr>
          <w:rFonts w:ascii="Arial"/>
        </w:rPr>
      </w:pPr>
      <w:r>
        <w:rPr>
          <w:rFonts w:ascii="Arial"/>
        </w:rPr>
        <w:t>Control de</w:t>
      </w:r>
      <w:r>
        <w:rPr>
          <w:rFonts w:ascii="Arial"/>
          <w:spacing w:val="-7"/>
        </w:rPr>
        <w:t> </w:t>
      </w:r>
      <w:r>
        <w:rPr>
          <w:rFonts w:ascii="Arial"/>
        </w:rPr>
        <w:t>convencionalidad</w:t>
      </w:r>
    </w:p>
    <w:p>
      <w:pPr>
        <w:pStyle w:val="BodyText"/>
        <w:spacing w:before="8"/>
        <w:rPr>
          <w:b/>
          <w:sz w:val="28"/>
        </w:rPr>
      </w:pPr>
    </w:p>
    <w:p>
      <w:pPr>
        <w:pStyle w:val="BodyText"/>
        <w:spacing w:line="360" w:lineRule="auto"/>
        <w:ind w:left="102" w:right="168"/>
        <w:jc w:val="both"/>
      </w:pPr>
      <w:r>
        <w:rPr/>
        <w:t>“El control de convencionalidad es una expresión o vertiente de la recepción nacional, sistemática y organizada del orden jurídico convencional internacional (o supranacional). Constituye un dato relevante para la construcción y consolidación de ese sistema y ese</w:t>
      </w:r>
    </w:p>
    <w:p>
      <w:pPr>
        <w:spacing w:after="0" w:line="360" w:lineRule="auto"/>
        <w:jc w:val="both"/>
        <w:sectPr>
          <w:pgSz w:w="12240" w:h="15840"/>
          <w:pgMar w:header="0" w:footer="1002" w:top="1500" w:bottom="1200" w:left="1600" w:right="1580"/>
        </w:sectPr>
      </w:pPr>
    </w:p>
    <w:p>
      <w:pPr>
        <w:pStyle w:val="BodyText"/>
        <w:spacing w:line="360" w:lineRule="auto" w:before="54"/>
        <w:ind w:left="122" w:right="164"/>
        <w:jc w:val="both"/>
      </w:pPr>
      <w:r>
        <w:rPr/>
        <w:t>orden,</w:t>
      </w:r>
      <w:r>
        <w:rPr>
          <w:spacing w:val="-8"/>
        </w:rPr>
        <w:t> </w:t>
      </w:r>
      <w:r>
        <w:rPr/>
        <w:t>que</w:t>
      </w:r>
      <w:r>
        <w:rPr>
          <w:spacing w:val="-9"/>
        </w:rPr>
        <w:t> </w:t>
      </w:r>
      <w:r>
        <w:rPr/>
        <w:t>en</w:t>
      </w:r>
      <w:r>
        <w:rPr>
          <w:spacing w:val="-7"/>
        </w:rPr>
        <w:t> </w:t>
      </w:r>
      <w:r>
        <w:rPr/>
        <w:t>definitiva</w:t>
      </w:r>
      <w:r>
        <w:rPr>
          <w:spacing w:val="-6"/>
        </w:rPr>
        <w:t> </w:t>
      </w:r>
      <w:r>
        <w:rPr/>
        <w:t>se</w:t>
      </w:r>
      <w:r>
        <w:rPr>
          <w:spacing w:val="-6"/>
        </w:rPr>
        <w:t> </w:t>
      </w:r>
      <w:r>
        <w:rPr/>
        <w:t>traducen</w:t>
      </w:r>
      <w:r>
        <w:rPr>
          <w:spacing w:val="-7"/>
        </w:rPr>
        <w:t> </w:t>
      </w:r>
      <w:r>
        <w:rPr/>
        <w:t>en</w:t>
      </w:r>
      <w:r>
        <w:rPr>
          <w:spacing w:val="-7"/>
        </w:rPr>
        <w:t> </w:t>
      </w:r>
      <w:r>
        <w:rPr/>
        <w:t>el</w:t>
      </w:r>
      <w:r>
        <w:rPr>
          <w:spacing w:val="-9"/>
        </w:rPr>
        <w:t> </w:t>
      </w:r>
      <w:r>
        <w:rPr/>
        <w:t>mejor</w:t>
      </w:r>
      <w:r>
        <w:rPr>
          <w:spacing w:val="-6"/>
        </w:rPr>
        <w:t> </w:t>
      </w:r>
      <w:r>
        <w:rPr/>
        <w:t>imperio</w:t>
      </w:r>
      <w:r>
        <w:rPr>
          <w:spacing w:val="-6"/>
        </w:rPr>
        <w:t> </w:t>
      </w:r>
      <w:r>
        <w:rPr/>
        <w:t>del</w:t>
      </w:r>
      <w:r>
        <w:rPr>
          <w:spacing w:val="-7"/>
        </w:rPr>
        <w:t> </w:t>
      </w:r>
      <w:r>
        <w:rPr/>
        <w:t>Estado</w:t>
      </w:r>
      <w:r>
        <w:rPr>
          <w:spacing w:val="-6"/>
        </w:rPr>
        <w:t> </w:t>
      </w:r>
      <w:r>
        <w:rPr/>
        <w:t>de</w:t>
      </w:r>
      <w:r>
        <w:rPr>
          <w:spacing w:val="-7"/>
        </w:rPr>
        <w:t> </w:t>
      </w:r>
      <w:r>
        <w:rPr/>
        <w:t>derecho,</w:t>
      </w:r>
      <w:r>
        <w:rPr>
          <w:spacing w:val="-5"/>
        </w:rPr>
        <w:t> </w:t>
      </w:r>
      <w:r>
        <w:rPr/>
        <w:t>la</w:t>
      </w:r>
      <w:r>
        <w:rPr>
          <w:spacing w:val="-6"/>
        </w:rPr>
        <w:t> </w:t>
      </w:r>
      <w:r>
        <w:rPr/>
        <w:t>vigencia de los derechos y la armonización del ordenamiento regional interamericano, con vistas a la formación de un </w:t>
      </w:r>
      <w:r>
        <w:rPr>
          <w:i/>
        </w:rPr>
        <w:t>ius commune </w:t>
      </w:r>
      <w:r>
        <w:rPr/>
        <w:t>del mismo alcance geográfico-jurídico” (García, 2011: 127).</w:t>
      </w:r>
    </w:p>
    <w:p>
      <w:pPr>
        <w:pStyle w:val="BodyText"/>
        <w:spacing w:before="7"/>
        <w:rPr>
          <w:sz w:val="17"/>
        </w:rPr>
      </w:pPr>
    </w:p>
    <w:p>
      <w:pPr>
        <w:spacing w:line="360" w:lineRule="auto" w:before="0"/>
        <w:ind w:left="122" w:right="116" w:firstLine="0"/>
        <w:jc w:val="both"/>
        <w:rPr>
          <w:sz w:val="22"/>
        </w:rPr>
      </w:pPr>
      <w:r>
        <w:rPr>
          <w:sz w:val="22"/>
        </w:rPr>
        <w:t>Miguel Carbonell (2012: 146), apunta que el control de convencionalidad debe de entenderse como “</w:t>
      </w:r>
      <w:r>
        <w:rPr>
          <w:i/>
          <w:sz w:val="22"/>
        </w:rPr>
        <w:t>una herramienta que permite a los jueces contrastar normas generales </w:t>
      </w:r>
      <w:r>
        <w:rPr>
          <w:i/>
          <w:sz w:val="22"/>
        </w:rPr>
        <w:t>internas frente a las normas del sistema convencional internacional”</w:t>
      </w:r>
      <w:r>
        <w:rPr>
          <w:sz w:val="22"/>
        </w:rPr>
        <w:t>.</w:t>
      </w:r>
    </w:p>
    <w:p>
      <w:pPr>
        <w:pStyle w:val="BodyText"/>
        <w:spacing w:line="360" w:lineRule="auto" w:before="126"/>
        <w:ind w:left="122" w:right="163"/>
        <w:jc w:val="both"/>
      </w:pPr>
      <w:r>
        <w:rPr/>
        <w:t>“El control de convencionalidad es la forma de garantizar a la ciudadanía que el Poder Judicial (…) utilizará las normas interamericanas en armonía con la legislación nacional. Para ello aplicará la legislación y escogerá aquella interpretación que es más favorable (Equis Justicia para las Mujeres, 2015).</w:t>
      </w:r>
    </w:p>
    <w:p>
      <w:pPr>
        <w:pStyle w:val="BodyText"/>
        <w:spacing w:line="360" w:lineRule="auto" w:before="123"/>
        <w:ind w:left="122" w:right="165"/>
        <w:jc w:val="both"/>
      </w:pPr>
      <w:r>
        <w:rPr/>
        <w:t>El Control de convencionalidad tiene su fundamento internacional en la Convención Americana sobre Derechos Humanos y a nivel nacional en la Reforma Constitucional de 2011 y la Interpretación de la Suprema Corte de Justicia de la Nación respecto al Caso Radilla</w:t>
      </w:r>
      <w:r>
        <w:rPr>
          <w:spacing w:val="-11"/>
        </w:rPr>
        <w:t> </w:t>
      </w:r>
      <w:r>
        <w:rPr/>
        <w:t>Pacheco</w:t>
      </w:r>
      <w:r>
        <w:rPr>
          <w:position w:val="8"/>
          <w:sz w:val="14"/>
        </w:rPr>
        <w:t>4</w:t>
      </w:r>
      <w:r>
        <w:rPr>
          <w:spacing w:val="11"/>
          <w:position w:val="8"/>
          <w:sz w:val="14"/>
        </w:rPr>
        <w:t> </w:t>
      </w:r>
      <w:r>
        <w:rPr/>
        <w:t>contra</w:t>
      </w:r>
      <w:r>
        <w:rPr>
          <w:spacing w:val="-13"/>
        </w:rPr>
        <w:t> </w:t>
      </w:r>
      <w:r>
        <w:rPr/>
        <w:t>México,</w:t>
      </w:r>
      <w:r>
        <w:rPr>
          <w:spacing w:val="-10"/>
        </w:rPr>
        <w:t> </w:t>
      </w:r>
      <w:r>
        <w:rPr/>
        <w:t>estableciendo</w:t>
      </w:r>
      <w:r>
        <w:rPr>
          <w:spacing w:val="-11"/>
        </w:rPr>
        <w:t> </w:t>
      </w:r>
      <w:r>
        <w:rPr/>
        <w:t>la</w:t>
      </w:r>
      <w:r>
        <w:rPr>
          <w:spacing w:val="-11"/>
        </w:rPr>
        <w:t> </w:t>
      </w:r>
      <w:r>
        <w:rPr/>
        <w:t>armonización</w:t>
      </w:r>
      <w:r>
        <w:rPr>
          <w:spacing w:val="-11"/>
        </w:rPr>
        <w:t> </w:t>
      </w:r>
      <w:r>
        <w:rPr/>
        <w:t>de</w:t>
      </w:r>
      <w:r>
        <w:rPr>
          <w:spacing w:val="-11"/>
        </w:rPr>
        <w:t> </w:t>
      </w:r>
      <w:r>
        <w:rPr/>
        <w:t>las</w:t>
      </w:r>
      <w:r>
        <w:rPr>
          <w:spacing w:val="-11"/>
        </w:rPr>
        <w:t> </w:t>
      </w:r>
      <w:r>
        <w:rPr/>
        <w:t>normas</w:t>
      </w:r>
      <w:r>
        <w:rPr>
          <w:spacing w:val="-11"/>
        </w:rPr>
        <w:t> </w:t>
      </w:r>
      <w:r>
        <w:rPr/>
        <w:t>internas</w:t>
      </w:r>
      <w:r>
        <w:rPr>
          <w:spacing w:val="-11"/>
        </w:rPr>
        <w:t> </w:t>
      </w:r>
      <w:r>
        <w:rPr/>
        <w:t>con los</w:t>
      </w:r>
      <w:r>
        <w:rPr>
          <w:spacing w:val="-11"/>
        </w:rPr>
        <w:t> </w:t>
      </w:r>
      <w:r>
        <w:rPr/>
        <w:t>derechos</w:t>
      </w:r>
      <w:r>
        <w:rPr>
          <w:spacing w:val="-14"/>
        </w:rPr>
        <w:t> </w:t>
      </w:r>
      <w:r>
        <w:rPr/>
        <w:t>humanos,</w:t>
      </w:r>
      <w:r>
        <w:rPr>
          <w:spacing w:val="-12"/>
        </w:rPr>
        <w:t> </w:t>
      </w:r>
      <w:r>
        <w:rPr/>
        <w:t>las</w:t>
      </w:r>
      <w:r>
        <w:rPr>
          <w:spacing w:val="-11"/>
        </w:rPr>
        <w:t> </w:t>
      </w:r>
      <w:r>
        <w:rPr/>
        <w:t>normas</w:t>
      </w:r>
      <w:r>
        <w:rPr>
          <w:spacing w:val="-11"/>
        </w:rPr>
        <w:t> </w:t>
      </w:r>
      <w:r>
        <w:rPr/>
        <w:t>de</w:t>
      </w:r>
      <w:r>
        <w:rPr>
          <w:spacing w:val="-14"/>
        </w:rPr>
        <w:t> </w:t>
      </w:r>
      <w:r>
        <w:rPr/>
        <w:t>interpretación</w:t>
      </w:r>
      <w:r>
        <w:rPr>
          <w:spacing w:val="-11"/>
        </w:rPr>
        <w:t> </w:t>
      </w:r>
      <w:r>
        <w:rPr/>
        <w:t>conforme,</w:t>
      </w:r>
      <w:r>
        <w:rPr>
          <w:spacing w:val="-10"/>
        </w:rPr>
        <w:t> </w:t>
      </w:r>
      <w:r>
        <w:rPr/>
        <w:t>el</w:t>
      </w:r>
      <w:r>
        <w:rPr>
          <w:spacing w:val="-12"/>
        </w:rPr>
        <w:t> </w:t>
      </w:r>
      <w:r>
        <w:rPr/>
        <w:t>principio</w:t>
      </w:r>
      <w:r>
        <w:rPr>
          <w:spacing w:val="-13"/>
        </w:rPr>
        <w:t> </w:t>
      </w:r>
      <w:r>
        <w:rPr/>
        <w:t>pro</w:t>
      </w:r>
      <w:r>
        <w:rPr>
          <w:spacing w:val="-11"/>
        </w:rPr>
        <w:t> </w:t>
      </w:r>
      <w:r>
        <w:rPr/>
        <w:t>persona,</w:t>
      </w:r>
      <w:r>
        <w:rPr>
          <w:spacing w:val="-13"/>
        </w:rPr>
        <w:t> </w:t>
      </w:r>
      <w:r>
        <w:rPr/>
        <w:t>los niveles de obligación estatal de promover, respetar, proteger y garantizar los derechos humanos, y la vinculación de la jurisprudencia de la Corte Interamericana de Derechos Humanos (Equis Justicia para las Mujeres,</w:t>
      </w:r>
      <w:r>
        <w:rPr>
          <w:spacing w:val="-13"/>
        </w:rPr>
        <w:t> </w:t>
      </w:r>
      <w:r>
        <w:rPr/>
        <w:t>2015).</w:t>
      </w:r>
    </w:p>
    <w:p>
      <w:pPr>
        <w:spacing w:before="123"/>
        <w:ind w:left="122" w:right="0" w:firstLine="0"/>
        <w:jc w:val="both"/>
        <w:rPr>
          <w:i/>
          <w:sz w:val="22"/>
        </w:rPr>
      </w:pPr>
      <w:r>
        <w:rPr>
          <w:i/>
          <w:sz w:val="22"/>
        </w:rPr>
        <w:t>Control difuso</w:t>
      </w:r>
    </w:p>
    <w:p>
      <w:pPr>
        <w:pStyle w:val="BodyText"/>
        <w:spacing w:line="360" w:lineRule="auto" w:before="126"/>
        <w:ind w:left="122" w:right="117"/>
        <w:jc w:val="both"/>
      </w:pPr>
      <w:r>
        <w:rPr/>
        <w:t>El</w:t>
      </w:r>
      <w:r>
        <w:rPr>
          <w:spacing w:val="-11"/>
        </w:rPr>
        <w:t> </w:t>
      </w:r>
      <w:r>
        <w:rPr/>
        <w:t>control</w:t>
      </w:r>
      <w:r>
        <w:rPr>
          <w:spacing w:val="-11"/>
        </w:rPr>
        <w:t> </w:t>
      </w:r>
      <w:r>
        <w:rPr/>
        <w:t>difuso</w:t>
      </w:r>
      <w:r>
        <w:rPr>
          <w:spacing w:val="-13"/>
        </w:rPr>
        <w:t> </w:t>
      </w:r>
      <w:r>
        <w:rPr/>
        <w:t>de</w:t>
      </w:r>
      <w:r>
        <w:rPr>
          <w:spacing w:val="-10"/>
        </w:rPr>
        <w:t> </w:t>
      </w:r>
      <w:r>
        <w:rPr/>
        <w:t>convencionalidad</w:t>
      </w:r>
      <w:r>
        <w:rPr>
          <w:spacing w:val="-10"/>
        </w:rPr>
        <w:t> </w:t>
      </w:r>
      <w:r>
        <w:rPr/>
        <w:t>es</w:t>
      </w:r>
      <w:r>
        <w:rPr>
          <w:spacing w:val="-10"/>
        </w:rPr>
        <w:t> </w:t>
      </w:r>
      <w:r>
        <w:rPr/>
        <w:t>aquel</w:t>
      </w:r>
      <w:r>
        <w:rPr>
          <w:spacing w:val="-13"/>
        </w:rPr>
        <w:t> </w:t>
      </w:r>
      <w:r>
        <w:rPr/>
        <w:t>que</w:t>
      </w:r>
      <w:r>
        <w:rPr>
          <w:spacing w:val="-10"/>
        </w:rPr>
        <w:t> </w:t>
      </w:r>
      <w:r>
        <w:rPr/>
        <w:t>debe</w:t>
      </w:r>
      <w:r>
        <w:rPr>
          <w:spacing w:val="-10"/>
        </w:rPr>
        <w:t> </w:t>
      </w:r>
      <w:r>
        <w:rPr/>
        <w:t>realizarse</w:t>
      </w:r>
      <w:r>
        <w:rPr>
          <w:spacing w:val="-10"/>
        </w:rPr>
        <w:t> </w:t>
      </w:r>
      <w:r>
        <w:rPr/>
        <w:t>por</w:t>
      </w:r>
      <w:r>
        <w:rPr>
          <w:spacing w:val="-9"/>
        </w:rPr>
        <w:t> </w:t>
      </w:r>
      <w:r>
        <w:rPr/>
        <w:t>los</w:t>
      </w:r>
      <w:r>
        <w:rPr>
          <w:spacing w:val="-12"/>
        </w:rPr>
        <w:t> </w:t>
      </w:r>
      <w:r>
        <w:rPr/>
        <w:t>jueces</w:t>
      </w:r>
      <w:r>
        <w:rPr>
          <w:spacing w:val="-10"/>
        </w:rPr>
        <w:t> </w:t>
      </w:r>
      <w:r>
        <w:rPr/>
        <w:t>y</w:t>
      </w:r>
      <w:r>
        <w:rPr>
          <w:spacing w:val="-12"/>
        </w:rPr>
        <w:t> </w:t>
      </w:r>
      <w:r>
        <w:rPr/>
        <w:t>órganos de administración pública nacionales o domésticos de los Estados que han suscrito o se han adherido a la CADH y con mayor intensidad los que han aceptado la jurisdicción de la Corte IDH (Ferrer 2012, en Carbonell, 2012). En ese sentido el control difuso es un mecanismo</w:t>
      </w:r>
      <w:r>
        <w:rPr>
          <w:spacing w:val="33"/>
        </w:rPr>
        <w:t> </w:t>
      </w:r>
      <w:r>
        <w:rPr/>
        <w:t>de</w:t>
      </w:r>
      <w:r>
        <w:rPr>
          <w:spacing w:val="35"/>
        </w:rPr>
        <w:t> </w:t>
      </w:r>
      <w:r>
        <w:rPr/>
        <w:t>protección</w:t>
      </w:r>
      <w:r>
        <w:rPr>
          <w:spacing w:val="35"/>
        </w:rPr>
        <w:t> </w:t>
      </w:r>
      <w:r>
        <w:rPr/>
        <w:t>de</w:t>
      </w:r>
      <w:r>
        <w:rPr>
          <w:spacing w:val="35"/>
        </w:rPr>
        <w:t> </w:t>
      </w:r>
      <w:r>
        <w:rPr/>
        <w:t>los</w:t>
      </w:r>
      <w:r>
        <w:rPr>
          <w:spacing w:val="35"/>
        </w:rPr>
        <w:t> </w:t>
      </w:r>
      <w:r>
        <w:rPr/>
        <w:t>Derechos</w:t>
      </w:r>
      <w:r>
        <w:rPr>
          <w:spacing w:val="36"/>
        </w:rPr>
        <w:t> </w:t>
      </w:r>
      <w:r>
        <w:rPr/>
        <w:t>Humanos,</w:t>
      </w:r>
      <w:r>
        <w:rPr>
          <w:spacing w:val="31"/>
        </w:rPr>
        <w:t> </w:t>
      </w:r>
      <w:r>
        <w:rPr/>
        <w:t>que</w:t>
      </w:r>
      <w:r>
        <w:rPr>
          <w:spacing w:val="35"/>
        </w:rPr>
        <w:t> </w:t>
      </w:r>
      <w:r>
        <w:rPr/>
        <w:t>es</w:t>
      </w:r>
      <w:r>
        <w:rPr>
          <w:spacing w:val="33"/>
        </w:rPr>
        <w:t> </w:t>
      </w:r>
      <w:r>
        <w:rPr/>
        <w:t>aplicado</w:t>
      </w:r>
      <w:r>
        <w:rPr>
          <w:spacing w:val="35"/>
        </w:rPr>
        <w:t> </w:t>
      </w:r>
      <w:r>
        <w:rPr/>
        <w:t>por</w:t>
      </w:r>
      <w:r>
        <w:rPr>
          <w:spacing w:val="36"/>
        </w:rPr>
        <w:t> </w:t>
      </w:r>
      <w:r>
        <w:rPr/>
        <w:t>los</w:t>
      </w:r>
      <w:r>
        <w:rPr>
          <w:spacing w:val="35"/>
        </w:rPr>
        <w:t> </w:t>
      </w:r>
      <w:r>
        <w:rPr/>
        <w:t>órganos</w:t>
      </w:r>
    </w:p>
    <w:p>
      <w:pPr>
        <w:pStyle w:val="BodyText"/>
        <w:spacing w:before="9"/>
        <w:rPr>
          <w:sz w:val="10"/>
        </w:rPr>
      </w:pPr>
      <w:r>
        <w:rPr/>
        <w:pict>
          <v:line style="position:absolute;mso-position-horizontal-relative:page;mso-position-vertical-relative:paragraph;z-index:1264;mso-wrap-distance-left:0;mso-wrap-distance-right:0" from="85.103996pt,8.564392pt" to="229.123996pt,8.564392pt" stroked="true" strokeweight=".72003pt" strokecolor="#000000">
            <w10:wrap type="topAndBottom"/>
          </v:line>
        </w:pict>
      </w:r>
    </w:p>
    <w:p>
      <w:pPr>
        <w:spacing w:before="69"/>
        <w:ind w:left="122" w:right="119" w:firstLine="0"/>
        <w:jc w:val="both"/>
        <w:rPr>
          <w:rFonts w:ascii="Calibri" w:hAnsi="Calibri"/>
          <w:sz w:val="20"/>
        </w:rPr>
      </w:pPr>
      <w:r>
        <w:rPr>
          <w:rFonts w:ascii="Calibri" w:hAnsi="Calibri"/>
          <w:position w:val="7"/>
          <w:sz w:val="13"/>
        </w:rPr>
        <w:t>4 </w:t>
      </w:r>
      <w:r>
        <w:rPr>
          <w:rFonts w:ascii="Calibri" w:hAnsi="Calibri"/>
          <w:sz w:val="20"/>
        </w:rPr>
        <w:t>En 1974 el señor Rosendo Radilla Pacheco, fue víctima de desaparición forzada por elementos del ejército mexicano, después de varias denuncia ante instancias estatales y federales, se presentó una denuncia en contra del Estado Mexicano ante la Comisión Interamericana de Derechos Humanos. Ante el incumplimiento del Estado Mexicano respecto de las recomendaciones hechas por la Comisión Interamericana de Derechos Humanos,</w:t>
      </w:r>
      <w:r>
        <w:rPr>
          <w:rFonts w:ascii="Calibri" w:hAnsi="Calibri"/>
          <w:spacing w:val="-3"/>
          <w:sz w:val="20"/>
        </w:rPr>
        <w:t> </w:t>
      </w:r>
      <w:r>
        <w:rPr>
          <w:rFonts w:ascii="Calibri" w:hAnsi="Calibri"/>
          <w:sz w:val="20"/>
        </w:rPr>
        <w:t>se</w:t>
      </w:r>
      <w:r>
        <w:rPr>
          <w:rFonts w:ascii="Calibri" w:hAnsi="Calibri"/>
          <w:spacing w:val="-5"/>
          <w:sz w:val="20"/>
        </w:rPr>
        <w:t> </w:t>
      </w:r>
      <w:r>
        <w:rPr>
          <w:rFonts w:ascii="Calibri" w:hAnsi="Calibri"/>
          <w:sz w:val="20"/>
        </w:rPr>
        <w:t>sometió</w:t>
      </w:r>
      <w:r>
        <w:rPr>
          <w:rFonts w:ascii="Calibri" w:hAnsi="Calibri"/>
          <w:spacing w:val="-3"/>
          <w:sz w:val="20"/>
        </w:rPr>
        <w:t> </w:t>
      </w:r>
      <w:r>
        <w:rPr>
          <w:rFonts w:ascii="Calibri" w:hAnsi="Calibri"/>
          <w:sz w:val="20"/>
        </w:rPr>
        <w:t>el</w:t>
      </w:r>
      <w:r>
        <w:rPr>
          <w:rFonts w:ascii="Calibri" w:hAnsi="Calibri"/>
          <w:spacing w:val="-4"/>
          <w:sz w:val="20"/>
        </w:rPr>
        <w:t> </w:t>
      </w:r>
      <w:r>
        <w:rPr>
          <w:rFonts w:ascii="Calibri" w:hAnsi="Calibri"/>
          <w:sz w:val="20"/>
        </w:rPr>
        <w:t>caso</w:t>
      </w:r>
      <w:r>
        <w:rPr>
          <w:rFonts w:ascii="Calibri" w:hAnsi="Calibri"/>
          <w:spacing w:val="-1"/>
          <w:sz w:val="20"/>
        </w:rPr>
        <w:t> </w:t>
      </w:r>
      <w:r>
        <w:rPr>
          <w:rFonts w:ascii="Calibri" w:hAnsi="Calibri"/>
          <w:sz w:val="20"/>
        </w:rPr>
        <w:t>a</w:t>
      </w:r>
      <w:r>
        <w:rPr>
          <w:rFonts w:ascii="Calibri" w:hAnsi="Calibri"/>
          <w:spacing w:val="-3"/>
          <w:sz w:val="20"/>
        </w:rPr>
        <w:t> </w:t>
      </w:r>
      <w:r>
        <w:rPr>
          <w:rFonts w:ascii="Calibri" w:hAnsi="Calibri"/>
          <w:sz w:val="20"/>
        </w:rPr>
        <w:t>consideración</w:t>
      </w:r>
      <w:r>
        <w:rPr>
          <w:rFonts w:ascii="Calibri" w:hAnsi="Calibri"/>
          <w:spacing w:val="-3"/>
          <w:sz w:val="20"/>
        </w:rPr>
        <w:t> </w:t>
      </w:r>
      <w:r>
        <w:rPr>
          <w:rFonts w:ascii="Calibri" w:hAnsi="Calibri"/>
          <w:sz w:val="20"/>
        </w:rPr>
        <w:t>de</w:t>
      </w:r>
      <w:r>
        <w:rPr>
          <w:rFonts w:ascii="Calibri" w:hAnsi="Calibri"/>
          <w:spacing w:val="-4"/>
          <w:sz w:val="20"/>
        </w:rPr>
        <w:t> </w:t>
      </w:r>
      <w:r>
        <w:rPr>
          <w:rFonts w:ascii="Calibri" w:hAnsi="Calibri"/>
          <w:sz w:val="20"/>
        </w:rPr>
        <w:t>la</w:t>
      </w:r>
      <w:r>
        <w:rPr>
          <w:rFonts w:ascii="Calibri" w:hAnsi="Calibri"/>
          <w:spacing w:val="-3"/>
          <w:sz w:val="20"/>
        </w:rPr>
        <w:t> </w:t>
      </w:r>
      <w:r>
        <w:rPr>
          <w:rFonts w:ascii="Calibri" w:hAnsi="Calibri"/>
          <w:sz w:val="20"/>
        </w:rPr>
        <w:t>Corte</w:t>
      </w:r>
      <w:r>
        <w:rPr>
          <w:rFonts w:ascii="Calibri" w:hAnsi="Calibri"/>
          <w:spacing w:val="-4"/>
          <w:sz w:val="20"/>
        </w:rPr>
        <w:t> </w:t>
      </w:r>
      <w:r>
        <w:rPr>
          <w:rFonts w:ascii="Calibri" w:hAnsi="Calibri"/>
          <w:sz w:val="20"/>
        </w:rPr>
        <w:t>Interamricana</w:t>
      </w:r>
      <w:r>
        <w:rPr>
          <w:rFonts w:ascii="Calibri" w:hAnsi="Calibri"/>
          <w:spacing w:val="-3"/>
          <w:sz w:val="20"/>
        </w:rPr>
        <w:t> </w:t>
      </w:r>
      <w:r>
        <w:rPr>
          <w:rFonts w:ascii="Calibri" w:hAnsi="Calibri"/>
          <w:sz w:val="20"/>
        </w:rPr>
        <w:t>de</w:t>
      </w:r>
      <w:r>
        <w:rPr>
          <w:rFonts w:ascii="Calibri" w:hAnsi="Calibri"/>
          <w:spacing w:val="-4"/>
          <w:sz w:val="20"/>
        </w:rPr>
        <w:t> </w:t>
      </w:r>
      <w:r>
        <w:rPr>
          <w:rFonts w:ascii="Calibri" w:hAnsi="Calibri"/>
          <w:sz w:val="20"/>
        </w:rPr>
        <w:t>Derechos</w:t>
      </w:r>
      <w:r>
        <w:rPr>
          <w:rFonts w:ascii="Calibri" w:hAnsi="Calibri"/>
          <w:spacing w:val="-5"/>
          <w:sz w:val="20"/>
        </w:rPr>
        <w:t> </w:t>
      </w:r>
      <w:r>
        <w:rPr>
          <w:rFonts w:ascii="Calibri" w:hAnsi="Calibri"/>
          <w:sz w:val="20"/>
        </w:rPr>
        <w:t>Humanos,</w:t>
      </w:r>
      <w:r>
        <w:rPr>
          <w:rFonts w:ascii="Calibri" w:hAnsi="Calibri"/>
          <w:spacing w:val="-3"/>
          <w:sz w:val="20"/>
        </w:rPr>
        <w:t> </w:t>
      </w:r>
      <w:r>
        <w:rPr>
          <w:rFonts w:ascii="Calibri" w:hAnsi="Calibri"/>
          <w:sz w:val="20"/>
        </w:rPr>
        <w:t>la</w:t>
      </w:r>
      <w:r>
        <w:rPr>
          <w:rFonts w:ascii="Calibri" w:hAnsi="Calibri"/>
          <w:spacing w:val="-3"/>
          <w:sz w:val="20"/>
        </w:rPr>
        <w:t> </w:t>
      </w:r>
      <w:r>
        <w:rPr>
          <w:rFonts w:ascii="Calibri" w:hAnsi="Calibri"/>
          <w:sz w:val="20"/>
        </w:rPr>
        <w:t>cual</w:t>
      </w:r>
      <w:r>
        <w:rPr>
          <w:rFonts w:ascii="Calibri" w:hAnsi="Calibri"/>
          <w:spacing w:val="-3"/>
          <w:sz w:val="20"/>
        </w:rPr>
        <w:t> </w:t>
      </w:r>
      <w:r>
        <w:rPr>
          <w:rFonts w:ascii="Calibri" w:hAnsi="Calibri"/>
          <w:sz w:val="20"/>
        </w:rPr>
        <w:t>emitió sentencia en contra del Estado Mexicano. Las decisiones tomadas por el Estado Mexicano a partir de la sentencia,</w:t>
      </w:r>
      <w:r>
        <w:rPr>
          <w:rFonts w:ascii="Calibri" w:hAnsi="Calibri"/>
          <w:spacing w:val="-5"/>
          <w:sz w:val="20"/>
        </w:rPr>
        <w:t> </w:t>
      </w:r>
      <w:r>
        <w:rPr>
          <w:rFonts w:ascii="Calibri" w:hAnsi="Calibri"/>
          <w:sz w:val="20"/>
        </w:rPr>
        <w:t>permean</w:t>
      </w:r>
      <w:r>
        <w:rPr>
          <w:rFonts w:ascii="Calibri" w:hAnsi="Calibri"/>
          <w:spacing w:val="-4"/>
          <w:sz w:val="20"/>
        </w:rPr>
        <w:t> </w:t>
      </w:r>
      <w:r>
        <w:rPr>
          <w:rFonts w:ascii="Calibri" w:hAnsi="Calibri"/>
          <w:sz w:val="20"/>
        </w:rPr>
        <w:t>en</w:t>
      </w:r>
      <w:r>
        <w:rPr>
          <w:rFonts w:ascii="Calibri" w:hAnsi="Calibri"/>
          <w:spacing w:val="-5"/>
          <w:sz w:val="20"/>
        </w:rPr>
        <w:t> </w:t>
      </w:r>
      <w:r>
        <w:rPr>
          <w:rFonts w:ascii="Calibri" w:hAnsi="Calibri"/>
          <w:sz w:val="20"/>
        </w:rPr>
        <w:t>todos</w:t>
      </w:r>
      <w:r>
        <w:rPr>
          <w:rFonts w:ascii="Calibri" w:hAnsi="Calibri"/>
          <w:spacing w:val="-6"/>
          <w:sz w:val="20"/>
        </w:rPr>
        <w:t> </w:t>
      </w:r>
      <w:r>
        <w:rPr>
          <w:rFonts w:ascii="Calibri" w:hAnsi="Calibri"/>
          <w:sz w:val="20"/>
        </w:rPr>
        <w:t>ámbitos</w:t>
      </w:r>
      <w:r>
        <w:rPr>
          <w:rFonts w:ascii="Calibri" w:hAnsi="Calibri"/>
          <w:spacing w:val="-6"/>
          <w:sz w:val="20"/>
        </w:rPr>
        <w:t> </w:t>
      </w:r>
      <w:r>
        <w:rPr>
          <w:rFonts w:ascii="Calibri" w:hAnsi="Calibri"/>
          <w:sz w:val="20"/>
        </w:rPr>
        <w:t>de</w:t>
      </w:r>
      <w:r>
        <w:rPr>
          <w:rFonts w:ascii="Calibri" w:hAnsi="Calibri"/>
          <w:spacing w:val="-6"/>
          <w:sz w:val="20"/>
        </w:rPr>
        <w:t> </w:t>
      </w:r>
      <w:r>
        <w:rPr>
          <w:rFonts w:ascii="Calibri" w:hAnsi="Calibri"/>
          <w:sz w:val="20"/>
        </w:rPr>
        <w:t>impartición</w:t>
      </w:r>
      <w:r>
        <w:rPr>
          <w:rFonts w:ascii="Calibri" w:hAnsi="Calibri"/>
          <w:spacing w:val="-4"/>
          <w:sz w:val="20"/>
        </w:rPr>
        <w:t> </w:t>
      </w:r>
      <w:r>
        <w:rPr>
          <w:rFonts w:ascii="Calibri" w:hAnsi="Calibri"/>
          <w:sz w:val="20"/>
        </w:rPr>
        <w:t>de</w:t>
      </w:r>
      <w:r>
        <w:rPr>
          <w:rFonts w:ascii="Calibri" w:hAnsi="Calibri"/>
          <w:spacing w:val="-6"/>
          <w:sz w:val="20"/>
        </w:rPr>
        <w:t> </w:t>
      </w:r>
      <w:r>
        <w:rPr>
          <w:rFonts w:ascii="Calibri" w:hAnsi="Calibri"/>
          <w:sz w:val="20"/>
        </w:rPr>
        <w:t>justicia,</w:t>
      </w:r>
      <w:r>
        <w:rPr>
          <w:rFonts w:ascii="Calibri" w:hAnsi="Calibri"/>
          <w:spacing w:val="-4"/>
          <w:sz w:val="20"/>
        </w:rPr>
        <w:t> </w:t>
      </w:r>
      <w:r>
        <w:rPr>
          <w:rFonts w:ascii="Calibri" w:hAnsi="Calibri"/>
          <w:sz w:val="20"/>
        </w:rPr>
        <w:t>estableciendo</w:t>
      </w:r>
      <w:r>
        <w:rPr>
          <w:rFonts w:ascii="Calibri" w:hAnsi="Calibri"/>
          <w:spacing w:val="-5"/>
          <w:sz w:val="20"/>
        </w:rPr>
        <w:t> </w:t>
      </w:r>
      <w:r>
        <w:rPr>
          <w:rFonts w:ascii="Calibri" w:hAnsi="Calibri"/>
          <w:sz w:val="20"/>
        </w:rPr>
        <w:t>la</w:t>
      </w:r>
      <w:r>
        <w:rPr>
          <w:rFonts w:ascii="Calibri" w:hAnsi="Calibri"/>
          <w:spacing w:val="-5"/>
          <w:sz w:val="20"/>
        </w:rPr>
        <w:t> </w:t>
      </w:r>
      <w:r>
        <w:rPr>
          <w:rFonts w:ascii="Calibri" w:hAnsi="Calibri"/>
          <w:sz w:val="20"/>
        </w:rPr>
        <w:t>obligación</w:t>
      </w:r>
      <w:r>
        <w:rPr>
          <w:rFonts w:ascii="Calibri" w:hAnsi="Calibri"/>
          <w:spacing w:val="-5"/>
          <w:sz w:val="20"/>
        </w:rPr>
        <w:t> </w:t>
      </w:r>
      <w:r>
        <w:rPr>
          <w:rFonts w:ascii="Calibri" w:hAnsi="Calibri"/>
          <w:sz w:val="20"/>
        </w:rPr>
        <w:t>de</w:t>
      </w:r>
      <w:r>
        <w:rPr>
          <w:rFonts w:ascii="Calibri" w:hAnsi="Calibri"/>
          <w:spacing w:val="-6"/>
          <w:sz w:val="20"/>
        </w:rPr>
        <w:t> </w:t>
      </w:r>
      <w:r>
        <w:rPr>
          <w:rFonts w:ascii="Calibri" w:hAnsi="Calibri"/>
          <w:sz w:val="20"/>
        </w:rPr>
        <w:t>para</w:t>
      </w:r>
      <w:r>
        <w:rPr>
          <w:rFonts w:ascii="Calibri" w:hAnsi="Calibri"/>
          <w:spacing w:val="-5"/>
          <w:sz w:val="20"/>
        </w:rPr>
        <w:t> </w:t>
      </w:r>
      <w:r>
        <w:rPr>
          <w:rFonts w:ascii="Calibri" w:hAnsi="Calibri"/>
          <w:sz w:val="20"/>
        </w:rPr>
        <w:t>todas</w:t>
      </w:r>
      <w:r>
        <w:rPr>
          <w:rFonts w:ascii="Calibri" w:hAnsi="Calibri"/>
          <w:spacing w:val="-6"/>
          <w:sz w:val="20"/>
        </w:rPr>
        <w:t> </w:t>
      </w:r>
      <w:r>
        <w:rPr>
          <w:rFonts w:ascii="Calibri" w:hAnsi="Calibri"/>
          <w:sz w:val="20"/>
        </w:rPr>
        <w:t>las autoridades</w:t>
      </w:r>
      <w:r>
        <w:rPr>
          <w:rFonts w:ascii="Calibri" w:hAnsi="Calibri"/>
          <w:spacing w:val="-15"/>
          <w:sz w:val="20"/>
        </w:rPr>
        <w:t> </w:t>
      </w:r>
      <w:r>
        <w:rPr>
          <w:rFonts w:ascii="Calibri" w:hAnsi="Calibri"/>
          <w:sz w:val="20"/>
        </w:rPr>
        <w:t>del</w:t>
      </w:r>
      <w:r>
        <w:rPr>
          <w:rFonts w:ascii="Calibri" w:hAnsi="Calibri"/>
          <w:spacing w:val="-14"/>
          <w:sz w:val="20"/>
        </w:rPr>
        <w:t> </w:t>
      </w:r>
      <w:r>
        <w:rPr>
          <w:rFonts w:ascii="Calibri" w:hAnsi="Calibri"/>
          <w:sz w:val="20"/>
        </w:rPr>
        <w:t>país,</w:t>
      </w:r>
      <w:r>
        <w:rPr>
          <w:rFonts w:ascii="Calibri" w:hAnsi="Calibri"/>
          <w:spacing w:val="-12"/>
          <w:sz w:val="20"/>
        </w:rPr>
        <w:t> </w:t>
      </w:r>
      <w:r>
        <w:rPr>
          <w:rFonts w:ascii="Calibri" w:hAnsi="Calibri"/>
          <w:sz w:val="20"/>
        </w:rPr>
        <w:t>a</w:t>
      </w:r>
      <w:r>
        <w:rPr>
          <w:rFonts w:ascii="Calibri" w:hAnsi="Calibri"/>
          <w:spacing w:val="-11"/>
          <w:sz w:val="20"/>
        </w:rPr>
        <w:t> </w:t>
      </w:r>
      <w:r>
        <w:rPr>
          <w:rFonts w:ascii="Calibri" w:hAnsi="Calibri"/>
          <w:sz w:val="20"/>
        </w:rPr>
        <w:t>fin</w:t>
      </w:r>
      <w:r>
        <w:rPr>
          <w:rFonts w:ascii="Calibri" w:hAnsi="Calibri"/>
          <w:spacing w:val="-14"/>
          <w:sz w:val="20"/>
        </w:rPr>
        <w:t> </w:t>
      </w:r>
      <w:r>
        <w:rPr>
          <w:rFonts w:ascii="Calibri" w:hAnsi="Calibri"/>
          <w:sz w:val="20"/>
        </w:rPr>
        <w:t>de</w:t>
      </w:r>
      <w:r>
        <w:rPr>
          <w:rFonts w:ascii="Calibri" w:hAnsi="Calibri"/>
          <w:spacing w:val="-15"/>
          <w:sz w:val="20"/>
        </w:rPr>
        <w:t> </w:t>
      </w:r>
      <w:r>
        <w:rPr>
          <w:rFonts w:ascii="Calibri" w:hAnsi="Calibri"/>
          <w:sz w:val="20"/>
        </w:rPr>
        <w:t>que</w:t>
      </w:r>
      <w:r>
        <w:rPr>
          <w:rFonts w:ascii="Calibri" w:hAnsi="Calibri"/>
          <w:spacing w:val="-15"/>
          <w:sz w:val="20"/>
        </w:rPr>
        <w:t> </w:t>
      </w:r>
      <w:r>
        <w:rPr>
          <w:rFonts w:ascii="Calibri" w:hAnsi="Calibri"/>
          <w:sz w:val="20"/>
        </w:rPr>
        <w:t>en</w:t>
      </w:r>
      <w:r>
        <w:rPr>
          <w:rFonts w:ascii="Calibri" w:hAnsi="Calibri"/>
          <w:spacing w:val="-13"/>
          <w:sz w:val="20"/>
        </w:rPr>
        <w:t> </w:t>
      </w:r>
      <w:r>
        <w:rPr>
          <w:rFonts w:ascii="Calibri" w:hAnsi="Calibri"/>
          <w:sz w:val="20"/>
        </w:rPr>
        <w:t>al</w:t>
      </w:r>
      <w:r>
        <w:rPr>
          <w:rFonts w:ascii="Calibri" w:hAnsi="Calibri"/>
          <w:spacing w:val="-14"/>
          <w:sz w:val="20"/>
        </w:rPr>
        <w:t> </w:t>
      </w:r>
      <w:r>
        <w:rPr>
          <w:rFonts w:ascii="Calibri" w:hAnsi="Calibri"/>
          <w:sz w:val="20"/>
        </w:rPr>
        <w:t>ámbito</w:t>
      </w:r>
      <w:r>
        <w:rPr>
          <w:rFonts w:ascii="Calibri" w:hAnsi="Calibri"/>
          <w:spacing w:val="-14"/>
          <w:sz w:val="20"/>
        </w:rPr>
        <w:t> </w:t>
      </w:r>
      <w:r>
        <w:rPr>
          <w:rFonts w:ascii="Calibri" w:hAnsi="Calibri"/>
          <w:sz w:val="20"/>
        </w:rPr>
        <w:t>de</w:t>
      </w:r>
      <w:r>
        <w:rPr>
          <w:rFonts w:ascii="Calibri" w:hAnsi="Calibri"/>
          <w:spacing w:val="-13"/>
          <w:sz w:val="20"/>
        </w:rPr>
        <w:t> </w:t>
      </w:r>
      <w:r>
        <w:rPr>
          <w:rFonts w:ascii="Calibri" w:hAnsi="Calibri"/>
          <w:sz w:val="20"/>
        </w:rPr>
        <w:t>sus</w:t>
      </w:r>
      <w:r>
        <w:rPr>
          <w:rFonts w:ascii="Calibri" w:hAnsi="Calibri"/>
          <w:spacing w:val="-15"/>
          <w:sz w:val="20"/>
        </w:rPr>
        <w:t> </w:t>
      </w:r>
      <w:r>
        <w:rPr>
          <w:rFonts w:ascii="Calibri" w:hAnsi="Calibri"/>
          <w:sz w:val="20"/>
        </w:rPr>
        <w:t>competencias</w:t>
      </w:r>
      <w:r>
        <w:rPr>
          <w:rFonts w:ascii="Calibri" w:hAnsi="Calibri"/>
          <w:spacing w:val="-15"/>
          <w:sz w:val="20"/>
        </w:rPr>
        <w:t> </w:t>
      </w:r>
      <w:r>
        <w:rPr>
          <w:rFonts w:ascii="Calibri" w:hAnsi="Calibri"/>
          <w:sz w:val="20"/>
        </w:rPr>
        <w:t>promuevan,</w:t>
      </w:r>
      <w:r>
        <w:rPr>
          <w:rFonts w:ascii="Calibri" w:hAnsi="Calibri"/>
          <w:spacing w:val="-14"/>
          <w:sz w:val="20"/>
        </w:rPr>
        <w:t> </w:t>
      </w:r>
      <w:r>
        <w:rPr>
          <w:rFonts w:ascii="Calibri" w:hAnsi="Calibri"/>
          <w:sz w:val="20"/>
        </w:rPr>
        <w:t>respeten,</w:t>
      </w:r>
      <w:r>
        <w:rPr>
          <w:rFonts w:ascii="Calibri" w:hAnsi="Calibri"/>
          <w:spacing w:val="-11"/>
          <w:sz w:val="20"/>
        </w:rPr>
        <w:t> </w:t>
      </w:r>
      <w:r>
        <w:rPr>
          <w:rFonts w:ascii="Calibri" w:hAnsi="Calibri"/>
          <w:sz w:val="20"/>
        </w:rPr>
        <w:t>garnticen</w:t>
      </w:r>
      <w:r>
        <w:rPr>
          <w:rFonts w:ascii="Calibri" w:hAnsi="Calibri"/>
          <w:spacing w:val="-13"/>
          <w:sz w:val="20"/>
        </w:rPr>
        <w:t> </w:t>
      </w:r>
      <w:r>
        <w:rPr>
          <w:rFonts w:ascii="Calibri" w:hAnsi="Calibri"/>
          <w:sz w:val="20"/>
        </w:rPr>
        <w:t>y</w:t>
      </w:r>
      <w:r>
        <w:rPr>
          <w:rFonts w:ascii="Calibri" w:hAnsi="Calibri"/>
          <w:spacing w:val="-13"/>
          <w:sz w:val="20"/>
        </w:rPr>
        <w:t> </w:t>
      </w:r>
      <w:r>
        <w:rPr>
          <w:rFonts w:ascii="Calibri" w:hAnsi="Calibri"/>
          <w:sz w:val="20"/>
        </w:rPr>
        <w:t>protejan los derechos humanos, de conformidad con los principios de interdependencia, idivisibilidad y progresividad, así como hacia el Estado, el cual deberá prevenir, invetigar, sancionar y reparar las violaciones de derechos humanos en los término que establezca la ley (Prado,</w:t>
      </w:r>
      <w:r>
        <w:rPr>
          <w:rFonts w:ascii="Calibri" w:hAnsi="Calibri"/>
          <w:spacing w:val="-26"/>
          <w:sz w:val="20"/>
        </w:rPr>
        <w:t> </w:t>
      </w:r>
      <w:r>
        <w:rPr>
          <w:rFonts w:ascii="Calibri" w:hAnsi="Calibri"/>
          <w:sz w:val="20"/>
        </w:rPr>
        <w:t>2012).</w:t>
      </w:r>
    </w:p>
    <w:p>
      <w:pPr>
        <w:spacing w:after="0"/>
        <w:jc w:val="both"/>
        <w:rPr>
          <w:rFonts w:ascii="Calibri" w:hAnsi="Calibri"/>
          <w:sz w:val="20"/>
        </w:rPr>
        <w:sectPr>
          <w:pgSz w:w="12240" w:h="15840"/>
          <w:pgMar w:header="0" w:footer="1002" w:top="1360" w:bottom="1200" w:left="1580" w:right="1580"/>
        </w:sectPr>
      </w:pPr>
    </w:p>
    <w:p>
      <w:pPr>
        <w:pStyle w:val="BodyText"/>
        <w:spacing w:line="360" w:lineRule="auto" w:before="54"/>
        <w:ind w:left="102" w:right="117"/>
        <w:jc w:val="both"/>
      </w:pPr>
      <w:r>
        <w:rPr/>
        <w:t>jurisdiccionales y autoridades públicas de un Estado en todos sus niveles y con independencia de jerarquía, grado, cuantía y materia, siempre que éste sea parte de la CADH y haya reconocido la competencia de la Corte IDH. Consiste en llevar a cabo un ejercicio de compatibilidad entre los actos o leyes internas, con las contenidas en la Constitución, en la convención de referencia y sus protocolos, así como con la jurisprudencia que la corte de mérito emita. Para aplicar la norma que más beneficie al gobernado y si esto no fuera posible, inaplicar la norma que se considere que vaya en contra de la Ley Suprema y los instrumentos internacionales señalados.</w:t>
      </w:r>
    </w:p>
    <w:p>
      <w:pPr>
        <w:pStyle w:val="BodyText"/>
        <w:spacing w:line="360" w:lineRule="auto" w:before="3"/>
        <w:ind w:left="102" w:right="164"/>
        <w:jc w:val="both"/>
      </w:pPr>
      <w:r>
        <w:rPr/>
        <w:t>Es así que las autoridades jurisdiccionales se encuentran obligadas a vigilar la estricta observancia de los Instrumentos Internacionales, para el caso de los derechos humanos de las mujeres indiciadas, los jueces y las juezas deberán vigilar en todo momento la estricta aplicación de instrumentos como la CEDAW, la Convención Belém Do Pará, entre otros, a fin de garantizar la protección de los derechos humanos de las mujeres en el procedimiento penal.</w:t>
      </w:r>
    </w:p>
    <w:p>
      <w:pPr>
        <w:pStyle w:val="BodyText"/>
        <w:spacing w:before="7"/>
        <w:rPr>
          <w:sz w:val="17"/>
        </w:rPr>
      </w:pPr>
    </w:p>
    <w:p>
      <w:pPr>
        <w:pStyle w:val="BodyText"/>
        <w:spacing w:line="360" w:lineRule="auto"/>
        <w:ind w:left="102" w:right="117"/>
        <w:jc w:val="both"/>
      </w:pPr>
      <w:r>
        <w:rPr/>
        <w:t>En ese sentido, las autoridades jurisdiccionales deberán vigilar el cumplimiento de los derechos</w:t>
      </w:r>
      <w:r>
        <w:rPr>
          <w:spacing w:val="-5"/>
        </w:rPr>
        <w:t> </w:t>
      </w:r>
      <w:r>
        <w:rPr/>
        <w:t>humanos</w:t>
      </w:r>
      <w:r>
        <w:rPr>
          <w:spacing w:val="-8"/>
        </w:rPr>
        <w:t> </w:t>
      </w:r>
      <w:r>
        <w:rPr/>
        <w:t>de</w:t>
      </w:r>
      <w:r>
        <w:rPr>
          <w:spacing w:val="-6"/>
        </w:rPr>
        <w:t> </w:t>
      </w:r>
      <w:r>
        <w:rPr/>
        <w:t>las</w:t>
      </w:r>
      <w:r>
        <w:rPr>
          <w:spacing w:val="-5"/>
        </w:rPr>
        <w:t> </w:t>
      </w:r>
      <w:r>
        <w:rPr/>
        <w:t>mujeres,</w:t>
      </w:r>
      <w:r>
        <w:rPr>
          <w:spacing w:val="-6"/>
        </w:rPr>
        <w:t> </w:t>
      </w:r>
      <w:r>
        <w:rPr/>
        <w:t>al</w:t>
      </w:r>
      <w:r>
        <w:rPr>
          <w:spacing w:val="-6"/>
        </w:rPr>
        <w:t> </w:t>
      </w:r>
      <w:r>
        <w:rPr/>
        <w:t>aplicar</w:t>
      </w:r>
      <w:r>
        <w:rPr>
          <w:spacing w:val="-5"/>
        </w:rPr>
        <w:t> </w:t>
      </w:r>
      <w:r>
        <w:rPr/>
        <w:t>las</w:t>
      </w:r>
      <w:r>
        <w:rPr>
          <w:spacing w:val="-8"/>
        </w:rPr>
        <w:t> </w:t>
      </w:r>
      <w:r>
        <w:rPr/>
        <w:t>normas</w:t>
      </w:r>
      <w:r>
        <w:rPr>
          <w:spacing w:val="-10"/>
        </w:rPr>
        <w:t> </w:t>
      </w:r>
      <w:r>
        <w:rPr/>
        <w:t>que</w:t>
      </w:r>
      <w:r>
        <w:rPr>
          <w:spacing w:val="-6"/>
        </w:rPr>
        <w:t> </w:t>
      </w:r>
      <w:r>
        <w:rPr/>
        <w:t>protejan</w:t>
      </w:r>
      <w:r>
        <w:rPr>
          <w:spacing w:val="-6"/>
        </w:rPr>
        <w:t> </w:t>
      </w:r>
      <w:r>
        <w:rPr/>
        <w:t>de</w:t>
      </w:r>
      <w:r>
        <w:rPr>
          <w:spacing w:val="-10"/>
        </w:rPr>
        <w:t> </w:t>
      </w:r>
      <w:r>
        <w:rPr/>
        <w:t>forma</w:t>
      </w:r>
      <w:r>
        <w:rPr>
          <w:spacing w:val="-8"/>
        </w:rPr>
        <w:t> </w:t>
      </w:r>
      <w:r>
        <w:rPr/>
        <w:t>más</w:t>
      </w:r>
      <w:r>
        <w:rPr>
          <w:spacing w:val="-8"/>
        </w:rPr>
        <w:t> </w:t>
      </w:r>
      <w:r>
        <w:rPr/>
        <w:t>amplia a las mujeres en el sistema de justicia penal, tal es el caso de las medidas alternas a las privación</w:t>
      </w:r>
      <w:r>
        <w:rPr>
          <w:spacing w:val="-4"/>
        </w:rPr>
        <w:t> </w:t>
      </w:r>
      <w:r>
        <w:rPr/>
        <w:t>de</w:t>
      </w:r>
      <w:r>
        <w:rPr>
          <w:spacing w:val="-4"/>
        </w:rPr>
        <w:t> </w:t>
      </w:r>
      <w:r>
        <w:rPr/>
        <w:t>la</w:t>
      </w:r>
      <w:r>
        <w:rPr>
          <w:spacing w:val="-4"/>
        </w:rPr>
        <w:t> </w:t>
      </w:r>
      <w:r>
        <w:rPr/>
        <w:t>libertad,</w:t>
      </w:r>
      <w:r>
        <w:rPr>
          <w:spacing w:val="-5"/>
        </w:rPr>
        <w:t> </w:t>
      </w:r>
      <w:r>
        <w:rPr/>
        <w:t>son</w:t>
      </w:r>
      <w:r>
        <w:rPr>
          <w:spacing w:val="-4"/>
        </w:rPr>
        <w:t> </w:t>
      </w:r>
      <w:r>
        <w:rPr/>
        <w:t>normas</w:t>
      </w:r>
      <w:r>
        <w:rPr>
          <w:spacing w:val="-6"/>
        </w:rPr>
        <w:t> </w:t>
      </w:r>
      <w:r>
        <w:rPr/>
        <w:t>que</w:t>
      </w:r>
      <w:r>
        <w:rPr>
          <w:spacing w:val="-7"/>
        </w:rPr>
        <w:t> </w:t>
      </w:r>
      <w:r>
        <w:rPr/>
        <w:t>protegen</w:t>
      </w:r>
      <w:r>
        <w:rPr>
          <w:spacing w:val="-7"/>
        </w:rPr>
        <w:t> </w:t>
      </w:r>
      <w:r>
        <w:rPr/>
        <w:t>en</w:t>
      </w:r>
      <w:r>
        <w:rPr>
          <w:spacing w:val="-4"/>
        </w:rPr>
        <w:t> </w:t>
      </w:r>
      <w:r>
        <w:rPr/>
        <w:t>mayor</w:t>
      </w:r>
      <w:r>
        <w:rPr>
          <w:spacing w:val="-6"/>
        </w:rPr>
        <w:t> </w:t>
      </w:r>
      <w:r>
        <w:rPr/>
        <w:t>medida</w:t>
      </w:r>
      <w:r>
        <w:rPr>
          <w:spacing w:val="-4"/>
        </w:rPr>
        <w:t> </w:t>
      </w:r>
      <w:r>
        <w:rPr/>
        <w:t>los</w:t>
      </w:r>
      <w:r>
        <w:rPr>
          <w:spacing w:val="-4"/>
        </w:rPr>
        <w:t> </w:t>
      </w:r>
      <w:r>
        <w:rPr/>
        <w:t>derechos</w:t>
      </w:r>
      <w:r>
        <w:rPr>
          <w:spacing w:val="-4"/>
        </w:rPr>
        <w:t> </w:t>
      </w:r>
      <w:r>
        <w:rPr/>
        <w:t>humanos de</w:t>
      </w:r>
      <w:r>
        <w:rPr>
          <w:spacing w:val="-6"/>
        </w:rPr>
        <w:t> </w:t>
      </w:r>
      <w:r>
        <w:rPr/>
        <w:t>las</w:t>
      </w:r>
      <w:r>
        <w:rPr>
          <w:spacing w:val="-5"/>
        </w:rPr>
        <w:t> </w:t>
      </w:r>
      <w:r>
        <w:rPr/>
        <w:t>mujeres</w:t>
      </w:r>
      <w:r>
        <w:rPr>
          <w:spacing w:val="-7"/>
        </w:rPr>
        <w:t> </w:t>
      </w:r>
      <w:r>
        <w:rPr/>
        <w:t>procesadas,</w:t>
      </w:r>
      <w:r>
        <w:rPr>
          <w:spacing w:val="-4"/>
        </w:rPr>
        <w:t> </w:t>
      </w:r>
      <w:r>
        <w:rPr/>
        <w:t>y</w:t>
      </w:r>
      <w:r>
        <w:rPr>
          <w:spacing w:val="-10"/>
        </w:rPr>
        <w:t> </w:t>
      </w:r>
      <w:r>
        <w:rPr/>
        <w:t>que</w:t>
      </w:r>
      <w:r>
        <w:rPr>
          <w:spacing w:val="-6"/>
        </w:rPr>
        <w:t> </w:t>
      </w:r>
      <w:r>
        <w:rPr/>
        <w:t>a</w:t>
      </w:r>
      <w:r>
        <w:rPr>
          <w:spacing w:val="-5"/>
        </w:rPr>
        <w:t> </w:t>
      </w:r>
      <w:r>
        <w:rPr/>
        <w:t>partir</w:t>
      </w:r>
      <w:r>
        <w:rPr>
          <w:spacing w:val="-7"/>
        </w:rPr>
        <w:t> </w:t>
      </w:r>
      <w:r>
        <w:rPr/>
        <w:t>del</w:t>
      </w:r>
      <w:r>
        <w:rPr>
          <w:spacing w:val="-6"/>
        </w:rPr>
        <w:t> </w:t>
      </w:r>
      <w:r>
        <w:rPr/>
        <w:t>control</w:t>
      </w:r>
      <w:r>
        <w:rPr>
          <w:spacing w:val="-6"/>
        </w:rPr>
        <w:t> </w:t>
      </w:r>
      <w:r>
        <w:rPr/>
        <w:t>difuso</w:t>
      </w:r>
      <w:r>
        <w:rPr>
          <w:spacing w:val="-6"/>
        </w:rPr>
        <w:t> </w:t>
      </w:r>
      <w:r>
        <w:rPr/>
        <w:t>deben</w:t>
      </w:r>
      <w:r>
        <w:rPr>
          <w:spacing w:val="-8"/>
        </w:rPr>
        <w:t> </w:t>
      </w:r>
      <w:r>
        <w:rPr/>
        <w:t>prevalecer</w:t>
      </w:r>
      <w:r>
        <w:rPr>
          <w:spacing w:val="-4"/>
        </w:rPr>
        <w:t> </w:t>
      </w:r>
      <w:r>
        <w:rPr/>
        <w:t>en</w:t>
      </w:r>
      <w:r>
        <w:rPr>
          <w:spacing w:val="-6"/>
        </w:rPr>
        <w:t> </w:t>
      </w:r>
      <w:r>
        <w:rPr/>
        <w:t>el</w:t>
      </w:r>
      <w:r>
        <w:rPr>
          <w:spacing w:val="-6"/>
        </w:rPr>
        <w:t> </w:t>
      </w:r>
      <w:r>
        <w:rPr/>
        <w:t>proceso penal.</w:t>
      </w:r>
    </w:p>
    <w:p>
      <w:pPr>
        <w:pStyle w:val="BodyText"/>
        <w:spacing w:before="4"/>
        <w:rPr>
          <w:sz w:val="17"/>
        </w:rPr>
      </w:pPr>
    </w:p>
    <w:p>
      <w:pPr>
        <w:pStyle w:val="Heading8"/>
        <w:numPr>
          <w:ilvl w:val="1"/>
          <w:numId w:val="1"/>
        </w:numPr>
        <w:tabs>
          <w:tab w:pos="472" w:val="left" w:leader="none"/>
        </w:tabs>
        <w:spacing w:line="240" w:lineRule="auto" w:before="0" w:after="0"/>
        <w:ind w:left="471" w:right="0" w:hanging="369"/>
        <w:jc w:val="both"/>
        <w:rPr>
          <w:rFonts w:ascii="Arial" w:hAnsi="Arial"/>
        </w:rPr>
      </w:pPr>
      <w:r>
        <w:rPr>
          <w:rFonts w:ascii="Arial" w:hAnsi="Arial"/>
        </w:rPr>
        <w:t>Defensa con perspectiva de</w:t>
      </w:r>
      <w:r>
        <w:rPr>
          <w:rFonts w:ascii="Arial" w:hAnsi="Arial"/>
          <w:spacing w:val="-8"/>
        </w:rPr>
        <w:t> </w:t>
      </w:r>
      <w:r>
        <w:rPr>
          <w:rFonts w:ascii="Arial" w:hAnsi="Arial"/>
        </w:rPr>
        <w:t>género</w:t>
      </w:r>
    </w:p>
    <w:p>
      <w:pPr>
        <w:pStyle w:val="BodyText"/>
        <w:spacing w:before="8"/>
        <w:rPr>
          <w:b/>
          <w:sz w:val="28"/>
        </w:rPr>
      </w:pPr>
    </w:p>
    <w:p>
      <w:pPr>
        <w:pStyle w:val="BodyText"/>
        <w:spacing w:line="360" w:lineRule="auto" w:before="1"/>
        <w:ind w:left="102" w:right="117"/>
        <w:jc w:val="both"/>
      </w:pPr>
      <w:r>
        <w:rPr/>
        <w:t>La</w:t>
      </w:r>
      <w:r>
        <w:rPr>
          <w:spacing w:val="-4"/>
        </w:rPr>
        <w:t> </w:t>
      </w:r>
      <w:r>
        <w:rPr/>
        <w:t>defensa</w:t>
      </w:r>
      <w:r>
        <w:rPr>
          <w:spacing w:val="-6"/>
        </w:rPr>
        <w:t> </w:t>
      </w:r>
      <w:r>
        <w:rPr/>
        <w:t>con</w:t>
      </w:r>
      <w:r>
        <w:rPr>
          <w:spacing w:val="-4"/>
        </w:rPr>
        <w:t> </w:t>
      </w:r>
      <w:r>
        <w:rPr/>
        <w:t>perspectiva</w:t>
      </w:r>
      <w:r>
        <w:rPr>
          <w:spacing w:val="-4"/>
        </w:rPr>
        <w:t> </w:t>
      </w:r>
      <w:r>
        <w:rPr/>
        <w:t>de</w:t>
      </w:r>
      <w:r>
        <w:rPr>
          <w:spacing w:val="-4"/>
        </w:rPr>
        <w:t> </w:t>
      </w:r>
      <w:r>
        <w:rPr/>
        <w:t>género,</w:t>
      </w:r>
      <w:r>
        <w:rPr>
          <w:spacing w:val="-5"/>
        </w:rPr>
        <w:t> </w:t>
      </w:r>
      <w:r>
        <w:rPr/>
        <w:t>aparece</w:t>
      </w:r>
      <w:r>
        <w:rPr>
          <w:spacing w:val="-6"/>
        </w:rPr>
        <w:t> </w:t>
      </w:r>
      <w:r>
        <w:rPr/>
        <w:t>como</w:t>
      </w:r>
      <w:r>
        <w:rPr>
          <w:spacing w:val="-4"/>
        </w:rPr>
        <w:t> </w:t>
      </w:r>
      <w:r>
        <w:rPr/>
        <w:t>acción</w:t>
      </w:r>
      <w:r>
        <w:rPr>
          <w:spacing w:val="-7"/>
        </w:rPr>
        <w:t> </w:t>
      </w:r>
      <w:r>
        <w:rPr/>
        <w:t>afirmativa,</w:t>
      </w:r>
      <w:r>
        <w:rPr>
          <w:spacing w:val="-3"/>
        </w:rPr>
        <w:t> </w:t>
      </w:r>
      <w:r>
        <w:rPr/>
        <w:t>con</w:t>
      </w:r>
      <w:r>
        <w:rPr>
          <w:spacing w:val="-4"/>
        </w:rPr>
        <w:t> </w:t>
      </w:r>
      <w:r>
        <w:rPr/>
        <w:t>la</w:t>
      </w:r>
      <w:r>
        <w:rPr>
          <w:spacing w:val="-6"/>
        </w:rPr>
        <w:t> </w:t>
      </w:r>
      <w:r>
        <w:rPr/>
        <w:t>finalidad</w:t>
      </w:r>
      <w:r>
        <w:rPr>
          <w:spacing w:val="-4"/>
        </w:rPr>
        <w:t> </w:t>
      </w:r>
      <w:r>
        <w:rPr/>
        <w:t>de evitar</w:t>
      </w:r>
      <w:r>
        <w:rPr>
          <w:spacing w:val="-10"/>
        </w:rPr>
        <w:t> </w:t>
      </w:r>
      <w:r>
        <w:rPr/>
        <w:t>el</w:t>
      </w:r>
      <w:r>
        <w:rPr>
          <w:spacing w:val="-12"/>
        </w:rPr>
        <w:t> </w:t>
      </w:r>
      <w:r>
        <w:rPr/>
        <w:t>acceso</w:t>
      </w:r>
      <w:r>
        <w:rPr>
          <w:spacing w:val="-11"/>
        </w:rPr>
        <w:t> </w:t>
      </w:r>
      <w:r>
        <w:rPr/>
        <w:t>diferenciado</w:t>
      </w:r>
      <w:r>
        <w:rPr>
          <w:spacing w:val="-11"/>
        </w:rPr>
        <w:t> </w:t>
      </w:r>
      <w:r>
        <w:rPr/>
        <w:t>a</w:t>
      </w:r>
      <w:r>
        <w:rPr>
          <w:spacing w:val="-11"/>
        </w:rPr>
        <w:t> </w:t>
      </w:r>
      <w:r>
        <w:rPr/>
        <w:t>la</w:t>
      </w:r>
      <w:r>
        <w:rPr>
          <w:spacing w:val="-11"/>
        </w:rPr>
        <w:t> </w:t>
      </w:r>
      <w:r>
        <w:rPr/>
        <w:t>justicia.</w:t>
      </w:r>
      <w:r>
        <w:rPr>
          <w:spacing w:val="-13"/>
        </w:rPr>
        <w:t> </w:t>
      </w:r>
      <w:r>
        <w:rPr/>
        <w:t>Tomando</w:t>
      </w:r>
      <w:r>
        <w:rPr>
          <w:spacing w:val="-11"/>
        </w:rPr>
        <w:t> </w:t>
      </w:r>
      <w:r>
        <w:rPr/>
        <w:t>en</w:t>
      </w:r>
      <w:r>
        <w:rPr>
          <w:spacing w:val="-11"/>
        </w:rPr>
        <w:t> </w:t>
      </w:r>
      <w:r>
        <w:rPr/>
        <w:t>consideración</w:t>
      </w:r>
      <w:r>
        <w:rPr>
          <w:spacing w:val="-11"/>
        </w:rPr>
        <w:t> </w:t>
      </w:r>
      <w:r>
        <w:rPr/>
        <w:t>los</w:t>
      </w:r>
      <w:r>
        <w:rPr>
          <w:spacing w:val="-11"/>
        </w:rPr>
        <w:t> </w:t>
      </w:r>
      <w:r>
        <w:rPr/>
        <w:t>referentes</w:t>
      </w:r>
      <w:r>
        <w:rPr>
          <w:spacing w:val="-11"/>
        </w:rPr>
        <w:t> </w:t>
      </w:r>
      <w:r>
        <w:rPr/>
        <w:t>teóricos preciados, se proponen como características del litigio con perspectiva de género las siguientes:</w:t>
      </w:r>
    </w:p>
    <w:p>
      <w:pPr>
        <w:pStyle w:val="BodyText"/>
        <w:spacing w:before="9"/>
        <w:rPr>
          <w:sz w:val="17"/>
        </w:rPr>
      </w:pPr>
    </w:p>
    <w:p>
      <w:pPr>
        <w:pStyle w:val="BodyText"/>
        <w:spacing w:line="360" w:lineRule="auto"/>
        <w:ind w:left="102" w:right="117"/>
        <w:jc w:val="both"/>
      </w:pPr>
      <w:r>
        <w:rPr/>
        <w:t>La Perspectiva de género como punto de vista por el cual se analizará el caso concreto en el que se controviertan los derechos de una mujer, a fin de vislumbrar las condiciones de desigualdad y subordinación que estén presentes, y tengan relación directa con el asunto jurídico.</w:t>
      </w:r>
    </w:p>
    <w:p>
      <w:pPr>
        <w:pStyle w:val="BodyText"/>
        <w:spacing w:before="7"/>
        <w:rPr>
          <w:sz w:val="17"/>
        </w:rPr>
      </w:pPr>
    </w:p>
    <w:p>
      <w:pPr>
        <w:pStyle w:val="BodyText"/>
        <w:spacing w:line="360" w:lineRule="auto"/>
        <w:ind w:left="102" w:right="121"/>
        <w:jc w:val="both"/>
      </w:pPr>
      <w:r>
        <w:rPr/>
        <w:t>La aplicación de las normas que protegen los derechos humanos de las mujeres, las legislaciones locales, los criterior emitidos por la Suprema Corte de Justicia de la  Nación,</w:t>
      </w:r>
    </w:p>
    <w:p>
      <w:pPr>
        <w:spacing w:after="0" w:line="360" w:lineRule="auto"/>
        <w:jc w:val="both"/>
        <w:sectPr>
          <w:footerReference w:type="default" r:id="rId10"/>
          <w:pgSz w:w="12240" w:h="15840"/>
          <w:pgMar w:footer="1002" w:header="0" w:top="1360" w:bottom="1200" w:left="1600" w:right="1580"/>
        </w:sectPr>
      </w:pPr>
    </w:p>
    <w:p>
      <w:pPr>
        <w:pStyle w:val="BodyText"/>
        <w:spacing w:line="360" w:lineRule="auto" w:before="54"/>
        <w:ind w:left="102" w:right="118"/>
        <w:jc w:val="both"/>
      </w:pPr>
      <w:r>
        <w:rPr/>
        <w:t>en adelante SCJN, los tratados internacionales y la jurisprudencia de la Corte Interamericana de Derechos Humanos, haciendo valer el artículo 133 Constitucional y el control de convencionalidad, como mecanismo encargado de velar por el efecto útil de los instrumentos internacionales (Hitters, 2009: 112).</w:t>
      </w:r>
    </w:p>
    <w:p>
      <w:pPr>
        <w:pStyle w:val="BodyText"/>
        <w:spacing w:before="7"/>
        <w:rPr>
          <w:sz w:val="17"/>
        </w:rPr>
      </w:pPr>
    </w:p>
    <w:p>
      <w:pPr>
        <w:pStyle w:val="BodyText"/>
        <w:spacing w:line="360" w:lineRule="auto"/>
        <w:ind w:left="102" w:right="117"/>
        <w:jc w:val="both"/>
      </w:pPr>
      <w:r>
        <w:rPr/>
        <w:t>Argumentación</w:t>
      </w:r>
      <w:r>
        <w:rPr>
          <w:spacing w:val="-9"/>
        </w:rPr>
        <w:t> </w:t>
      </w:r>
      <w:r>
        <w:rPr/>
        <w:t>jurídica,</w:t>
      </w:r>
      <w:r>
        <w:rPr>
          <w:spacing w:val="-6"/>
        </w:rPr>
        <w:t> </w:t>
      </w:r>
      <w:r>
        <w:rPr/>
        <w:t>que</w:t>
      </w:r>
      <w:r>
        <w:rPr>
          <w:spacing w:val="-9"/>
        </w:rPr>
        <w:t> </w:t>
      </w:r>
      <w:r>
        <w:rPr/>
        <w:t>es</w:t>
      </w:r>
      <w:r>
        <w:rPr>
          <w:spacing w:val="-8"/>
        </w:rPr>
        <w:t> </w:t>
      </w:r>
      <w:r>
        <w:rPr/>
        <w:t>un</w:t>
      </w:r>
      <w:r>
        <w:rPr>
          <w:spacing w:val="-9"/>
        </w:rPr>
        <w:t> </w:t>
      </w:r>
      <w:r>
        <w:rPr/>
        <w:t>proceso</w:t>
      </w:r>
      <w:r>
        <w:rPr>
          <w:spacing w:val="-9"/>
        </w:rPr>
        <w:t> </w:t>
      </w:r>
      <w:r>
        <w:rPr/>
        <w:t>cognitivo</w:t>
      </w:r>
      <w:r>
        <w:rPr>
          <w:spacing w:val="-7"/>
        </w:rPr>
        <w:t> </w:t>
      </w:r>
      <w:r>
        <w:rPr/>
        <w:t>especializado</w:t>
      </w:r>
      <w:r>
        <w:rPr>
          <w:spacing w:val="-7"/>
        </w:rPr>
        <w:t> </w:t>
      </w:r>
      <w:r>
        <w:rPr/>
        <w:t>que</w:t>
      </w:r>
      <w:r>
        <w:rPr>
          <w:spacing w:val="-11"/>
        </w:rPr>
        <w:t> </w:t>
      </w:r>
      <w:r>
        <w:rPr/>
        <w:t>se</w:t>
      </w:r>
      <w:r>
        <w:rPr>
          <w:spacing w:val="-11"/>
        </w:rPr>
        <w:t> </w:t>
      </w:r>
      <w:r>
        <w:rPr/>
        <w:t>realiza</w:t>
      </w:r>
      <w:r>
        <w:rPr>
          <w:spacing w:val="-7"/>
        </w:rPr>
        <w:t> </w:t>
      </w:r>
      <w:r>
        <w:rPr/>
        <w:t>mediante la</w:t>
      </w:r>
      <w:r>
        <w:rPr>
          <w:spacing w:val="-10"/>
        </w:rPr>
        <w:t> </w:t>
      </w:r>
      <w:r>
        <w:rPr/>
        <w:t>concatenación</w:t>
      </w:r>
      <w:r>
        <w:rPr>
          <w:spacing w:val="-10"/>
        </w:rPr>
        <w:t> </w:t>
      </w:r>
      <w:r>
        <w:rPr/>
        <w:t>de</w:t>
      </w:r>
      <w:r>
        <w:rPr>
          <w:spacing w:val="-11"/>
        </w:rPr>
        <w:t> </w:t>
      </w:r>
      <w:r>
        <w:rPr/>
        <w:t>inferencias</w:t>
      </w:r>
      <w:r>
        <w:rPr>
          <w:spacing w:val="-10"/>
        </w:rPr>
        <w:t> </w:t>
      </w:r>
      <w:r>
        <w:rPr/>
        <w:t>jurídicas</w:t>
      </w:r>
      <w:r>
        <w:rPr>
          <w:spacing w:val="-10"/>
        </w:rPr>
        <w:t> </w:t>
      </w:r>
      <w:r>
        <w:rPr/>
        <w:t>consistentes,</w:t>
      </w:r>
      <w:r>
        <w:rPr>
          <w:spacing w:val="-10"/>
        </w:rPr>
        <w:t> </w:t>
      </w:r>
      <w:r>
        <w:rPr/>
        <w:t>coherente,</w:t>
      </w:r>
      <w:r>
        <w:rPr>
          <w:spacing w:val="-10"/>
        </w:rPr>
        <w:t> </w:t>
      </w:r>
      <w:r>
        <w:rPr/>
        <w:t>teeologica</w:t>
      </w:r>
      <w:r>
        <w:rPr>
          <w:spacing w:val="-10"/>
        </w:rPr>
        <w:t> </w:t>
      </w:r>
      <w:r>
        <w:rPr/>
        <w:t>y</w:t>
      </w:r>
      <w:r>
        <w:rPr>
          <w:spacing w:val="-13"/>
        </w:rPr>
        <w:t> </w:t>
      </w:r>
      <w:r>
        <w:rPr/>
        <w:t>fundadas</w:t>
      </w:r>
      <w:r>
        <w:rPr>
          <w:spacing w:val="-11"/>
        </w:rPr>
        <w:t> </w:t>
      </w:r>
      <w:r>
        <w:rPr/>
        <w:t>en razón y conocimiento suficiente (Moreno, 2011: 7). Dicha argumentación deberá</w:t>
      </w:r>
      <w:r>
        <w:rPr>
          <w:spacing w:val="-28"/>
        </w:rPr>
        <w:t> </w:t>
      </w:r>
      <w:r>
        <w:rPr/>
        <w:t>realizarse al tenor de la perspectiva de</w:t>
      </w:r>
      <w:r>
        <w:rPr>
          <w:spacing w:val="-9"/>
        </w:rPr>
        <w:t> </w:t>
      </w:r>
      <w:r>
        <w:rPr/>
        <w:t>género.</w:t>
      </w:r>
    </w:p>
    <w:p>
      <w:pPr>
        <w:pStyle w:val="BodyText"/>
        <w:spacing w:before="7"/>
        <w:rPr>
          <w:sz w:val="17"/>
        </w:rPr>
      </w:pPr>
    </w:p>
    <w:p>
      <w:pPr>
        <w:pStyle w:val="BodyText"/>
        <w:spacing w:line="360" w:lineRule="auto"/>
        <w:ind w:left="102" w:right="119"/>
        <w:jc w:val="both"/>
      </w:pPr>
      <w:r>
        <w:rPr/>
        <w:t>Recursos</w:t>
      </w:r>
      <w:r>
        <w:rPr>
          <w:spacing w:val="-9"/>
        </w:rPr>
        <w:t> </w:t>
      </w:r>
      <w:r>
        <w:rPr/>
        <w:t>legales</w:t>
      </w:r>
      <w:r>
        <w:rPr>
          <w:spacing w:val="-9"/>
        </w:rPr>
        <w:t> </w:t>
      </w:r>
      <w:r>
        <w:rPr/>
        <w:t>en</w:t>
      </w:r>
      <w:r>
        <w:rPr>
          <w:spacing w:val="-9"/>
        </w:rPr>
        <w:t> </w:t>
      </w:r>
      <w:r>
        <w:rPr/>
        <w:t>caso</w:t>
      </w:r>
      <w:r>
        <w:rPr>
          <w:spacing w:val="-9"/>
        </w:rPr>
        <w:t> </w:t>
      </w:r>
      <w:r>
        <w:rPr/>
        <w:t>de</w:t>
      </w:r>
      <w:r>
        <w:rPr>
          <w:spacing w:val="-9"/>
        </w:rPr>
        <w:t> </w:t>
      </w:r>
      <w:r>
        <w:rPr/>
        <w:t>que</w:t>
      </w:r>
      <w:r>
        <w:rPr>
          <w:spacing w:val="-10"/>
        </w:rPr>
        <w:t> </w:t>
      </w:r>
      <w:r>
        <w:rPr/>
        <w:t>la</w:t>
      </w:r>
      <w:r>
        <w:rPr>
          <w:spacing w:val="-9"/>
        </w:rPr>
        <w:t> </w:t>
      </w:r>
      <w:r>
        <w:rPr/>
        <w:t>autoridad</w:t>
      </w:r>
      <w:r>
        <w:rPr>
          <w:spacing w:val="-9"/>
        </w:rPr>
        <w:t> </w:t>
      </w:r>
      <w:r>
        <w:rPr/>
        <w:t>jurisdiccional</w:t>
      </w:r>
      <w:r>
        <w:rPr>
          <w:spacing w:val="-10"/>
        </w:rPr>
        <w:t> </w:t>
      </w:r>
      <w:r>
        <w:rPr/>
        <w:t>no</w:t>
      </w:r>
      <w:r>
        <w:rPr>
          <w:spacing w:val="-9"/>
        </w:rPr>
        <w:t> </w:t>
      </w:r>
      <w:r>
        <w:rPr/>
        <w:t>provea</w:t>
      </w:r>
      <w:r>
        <w:rPr>
          <w:spacing w:val="-9"/>
        </w:rPr>
        <w:t> </w:t>
      </w:r>
      <w:r>
        <w:rPr/>
        <w:t>de</w:t>
      </w:r>
      <w:r>
        <w:rPr>
          <w:spacing w:val="-9"/>
        </w:rPr>
        <w:t> </w:t>
      </w:r>
      <w:r>
        <w:rPr/>
        <w:t>conformidad</w:t>
      </w:r>
      <w:r>
        <w:rPr>
          <w:spacing w:val="-9"/>
        </w:rPr>
        <w:t> </w:t>
      </w:r>
      <w:r>
        <w:rPr/>
        <w:t>a</w:t>
      </w:r>
      <w:r>
        <w:rPr>
          <w:spacing w:val="-9"/>
        </w:rPr>
        <w:t> </w:t>
      </w:r>
      <w:r>
        <w:rPr/>
        <w:t>las normas jurídicas que protegen los derechos humanos de las mujeres y con base en la Perspectiva de</w:t>
      </w:r>
      <w:r>
        <w:rPr>
          <w:spacing w:val="-4"/>
        </w:rPr>
        <w:t> </w:t>
      </w:r>
      <w:r>
        <w:rPr/>
        <w:t>género.</w:t>
      </w:r>
    </w:p>
    <w:p>
      <w:pPr>
        <w:pStyle w:val="BodyText"/>
        <w:spacing w:before="9"/>
        <w:rPr>
          <w:sz w:val="17"/>
        </w:rPr>
      </w:pPr>
    </w:p>
    <w:p>
      <w:pPr>
        <w:pStyle w:val="BodyText"/>
        <w:spacing w:line="360" w:lineRule="auto"/>
        <w:ind w:left="102" w:right="114"/>
        <w:jc w:val="both"/>
      </w:pPr>
      <w:r>
        <w:rPr/>
        <w:t>Ahora bien, esta “Defensa con Perspectiva de género”, debe estar presente en todos </w:t>
      </w:r>
      <w:r>
        <w:rPr>
          <w:spacing w:val="-3"/>
        </w:rPr>
        <w:t>los </w:t>
      </w:r>
      <w:r>
        <w:rPr/>
        <w:t>casos en los que se encuentren controvirtiendo los derechos de una mujer, no obstante, para</w:t>
      </w:r>
      <w:r>
        <w:rPr>
          <w:spacing w:val="-8"/>
        </w:rPr>
        <w:t> </w:t>
      </w:r>
      <w:r>
        <w:rPr/>
        <w:t>el</w:t>
      </w:r>
      <w:r>
        <w:rPr>
          <w:spacing w:val="-6"/>
        </w:rPr>
        <w:t> </w:t>
      </w:r>
      <w:r>
        <w:rPr/>
        <w:t>caso</w:t>
      </w:r>
      <w:r>
        <w:rPr>
          <w:spacing w:val="-8"/>
        </w:rPr>
        <w:t> </w:t>
      </w:r>
      <w:r>
        <w:rPr/>
        <w:t>de</w:t>
      </w:r>
      <w:r>
        <w:rPr>
          <w:spacing w:val="-8"/>
        </w:rPr>
        <w:t> </w:t>
      </w:r>
      <w:r>
        <w:rPr/>
        <w:t>la</w:t>
      </w:r>
      <w:r>
        <w:rPr>
          <w:spacing w:val="-5"/>
        </w:rPr>
        <w:t> </w:t>
      </w:r>
      <w:r>
        <w:rPr/>
        <w:t>defena</w:t>
      </w:r>
      <w:r>
        <w:rPr>
          <w:spacing w:val="-8"/>
        </w:rPr>
        <w:t> </w:t>
      </w:r>
      <w:r>
        <w:rPr/>
        <w:t>de</w:t>
      </w:r>
      <w:r>
        <w:rPr>
          <w:spacing w:val="-10"/>
        </w:rPr>
        <w:t> </w:t>
      </w:r>
      <w:r>
        <w:rPr/>
        <w:t>mujeres</w:t>
      </w:r>
      <w:r>
        <w:rPr>
          <w:spacing w:val="-10"/>
        </w:rPr>
        <w:t> </w:t>
      </w:r>
      <w:r>
        <w:rPr/>
        <w:t>que</w:t>
      </w:r>
      <w:r>
        <w:rPr>
          <w:spacing w:val="-8"/>
        </w:rPr>
        <w:t> </w:t>
      </w:r>
      <w:r>
        <w:rPr/>
        <w:t>son</w:t>
      </w:r>
      <w:r>
        <w:rPr>
          <w:spacing w:val="-8"/>
        </w:rPr>
        <w:t> </w:t>
      </w:r>
      <w:r>
        <w:rPr/>
        <w:t>acusadas</w:t>
      </w:r>
      <w:r>
        <w:rPr>
          <w:spacing w:val="-5"/>
        </w:rPr>
        <w:t> </w:t>
      </w:r>
      <w:r>
        <w:rPr/>
        <w:t>de</w:t>
      </w:r>
      <w:r>
        <w:rPr>
          <w:spacing w:val="-10"/>
        </w:rPr>
        <w:t> </w:t>
      </w:r>
      <w:r>
        <w:rPr/>
        <w:t>cometer</w:t>
      </w:r>
      <w:r>
        <w:rPr>
          <w:spacing w:val="-7"/>
        </w:rPr>
        <w:t> </w:t>
      </w:r>
      <w:r>
        <w:rPr/>
        <w:t>una</w:t>
      </w:r>
      <w:r>
        <w:rPr>
          <w:spacing w:val="-10"/>
        </w:rPr>
        <w:t> </w:t>
      </w:r>
      <w:r>
        <w:rPr/>
        <w:t>conducta</w:t>
      </w:r>
      <w:r>
        <w:rPr>
          <w:spacing w:val="-7"/>
        </w:rPr>
        <w:t> </w:t>
      </w:r>
      <w:r>
        <w:rPr/>
        <w:t>delictiva, además</w:t>
      </w:r>
      <w:r>
        <w:rPr>
          <w:spacing w:val="-15"/>
        </w:rPr>
        <w:t> </w:t>
      </w:r>
      <w:r>
        <w:rPr/>
        <w:t>de</w:t>
      </w:r>
      <w:r>
        <w:rPr>
          <w:spacing w:val="-16"/>
        </w:rPr>
        <w:t> </w:t>
      </w:r>
      <w:r>
        <w:rPr/>
        <w:t>utilizar</w:t>
      </w:r>
      <w:r>
        <w:rPr>
          <w:spacing w:val="-15"/>
        </w:rPr>
        <w:t> </w:t>
      </w:r>
      <w:r>
        <w:rPr/>
        <w:t>los</w:t>
      </w:r>
      <w:r>
        <w:rPr>
          <w:spacing w:val="-16"/>
        </w:rPr>
        <w:t> </w:t>
      </w:r>
      <w:r>
        <w:rPr/>
        <w:t>elementos</w:t>
      </w:r>
      <w:r>
        <w:rPr>
          <w:spacing w:val="-19"/>
        </w:rPr>
        <w:t> </w:t>
      </w:r>
      <w:r>
        <w:rPr/>
        <w:t>referidos</w:t>
      </w:r>
      <w:r>
        <w:rPr>
          <w:spacing w:val="-16"/>
        </w:rPr>
        <w:t> </w:t>
      </w:r>
      <w:r>
        <w:rPr/>
        <w:t>con</w:t>
      </w:r>
      <w:r>
        <w:rPr>
          <w:spacing w:val="-19"/>
        </w:rPr>
        <w:t> </w:t>
      </w:r>
      <w:r>
        <w:rPr/>
        <w:t>anterioridad,</w:t>
      </w:r>
      <w:r>
        <w:rPr>
          <w:spacing w:val="-15"/>
        </w:rPr>
        <w:t> </w:t>
      </w:r>
      <w:r>
        <w:rPr/>
        <w:t>deberá</w:t>
      </w:r>
      <w:r>
        <w:rPr>
          <w:spacing w:val="-16"/>
        </w:rPr>
        <w:t> </w:t>
      </w:r>
      <w:r>
        <w:rPr/>
        <w:t>observarse</w:t>
      </w:r>
      <w:r>
        <w:rPr>
          <w:spacing w:val="-15"/>
        </w:rPr>
        <w:t> </w:t>
      </w:r>
      <w:r>
        <w:rPr/>
        <w:t>una</w:t>
      </w:r>
      <w:r>
        <w:rPr>
          <w:spacing w:val="-15"/>
        </w:rPr>
        <w:t> </w:t>
      </w:r>
      <w:r>
        <w:rPr/>
        <w:t>defensa con Perspectiva de género, mediante la cual se pretende observar el estricto cumplimiento de</w:t>
      </w:r>
      <w:r>
        <w:rPr>
          <w:spacing w:val="-4"/>
        </w:rPr>
        <w:t> </w:t>
      </w:r>
      <w:r>
        <w:rPr/>
        <w:t>los</w:t>
      </w:r>
      <w:r>
        <w:rPr>
          <w:spacing w:val="-4"/>
        </w:rPr>
        <w:t> </w:t>
      </w:r>
      <w:r>
        <w:rPr/>
        <w:t>Derechos</w:t>
      </w:r>
      <w:r>
        <w:rPr>
          <w:spacing w:val="-4"/>
        </w:rPr>
        <w:t> </w:t>
      </w:r>
      <w:r>
        <w:rPr/>
        <w:t>Humanos</w:t>
      </w:r>
      <w:r>
        <w:rPr>
          <w:spacing w:val="-4"/>
        </w:rPr>
        <w:t> </w:t>
      </w:r>
      <w:r>
        <w:rPr/>
        <w:t>de</w:t>
      </w:r>
      <w:r>
        <w:rPr>
          <w:spacing w:val="-4"/>
        </w:rPr>
        <w:t> </w:t>
      </w:r>
      <w:r>
        <w:rPr/>
        <w:t>las</w:t>
      </w:r>
      <w:r>
        <w:rPr>
          <w:spacing w:val="-6"/>
        </w:rPr>
        <w:t> </w:t>
      </w:r>
      <w:r>
        <w:rPr/>
        <w:t>mujeres,</w:t>
      </w:r>
      <w:r>
        <w:rPr>
          <w:spacing w:val="-5"/>
        </w:rPr>
        <w:t> </w:t>
      </w:r>
      <w:r>
        <w:rPr/>
        <w:t>a</w:t>
      </w:r>
      <w:r>
        <w:rPr>
          <w:spacing w:val="-6"/>
        </w:rPr>
        <w:t> </w:t>
      </w:r>
      <w:r>
        <w:rPr/>
        <w:t>fin</w:t>
      </w:r>
      <w:r>
        <w:rPr>
          <w:spacing w:val="-4"/>
        </w:rPr>
        <w:t> </w:t>
      </w:r>
      <w:r>
        <w:rPr/>
        <w:t>de</w:t>
      </w:r>
      <w:r>
        <w:rPr>
          <w:spacing w:val="-6"/>
        </w:rPr>
        <w:t> </w:t>
      </w:r>
      <w:r>
        <w:rPr/>
        <w:t>que</w:t>
      </w:r>
      <w:r>
        <w:rPr>
          <w:spacing w:val="-4"/>
        </w:rPr>
        <w:t> </w:t>
      </w:r>
      <w:r>
        <w:rPr/>
        <w:t>sean</w:t>
      </w:r>
      <w:r>
        <w:rPr>
          <w:spacing w:val="-6"/>
        </w:rPr>
        <w:t> </w:t>
      </w:r>
      <w:r>
        <w:rPr/>
        <w:t>sentenciadas</w:t>
      </w:r>
      <w:r>
        <w:rPr>
          <w:spacing w:val="-6"/>
        </w:rPr>
        <w:t> </w:t>
      </w:r>
      <w:r>
        <w:rPr/>
        <w:t>por</w:t>
      </w:r>
      <w:r>
        <w:rPr>
          <w:spacing w:val="-5"/>
        </w:rPr>
        <w:t> </w:t>
      </w:r>
      <w:r>
        <w:rPr/>
        <w:t>el</w:t>
      </w:r>
      <w:r>
        <w:rPr>
          <w:spacing w:val="-5"/>
        </w:rPr>
        <w:t> </w:t>
      </w:r>
      <w:r>
        <w:rPr/>
        <w:t>delito</w:t>
      </w:r>
      <w:r>
        <w:rPr>
          <w:spacing w:val="-6"/>
        </w:rPr>
        <w:t> </w:t>
      </w:r>
      <w:r>
        <w:rPr/>
        <w:t>que pudieran haber cometido y no por el hecho de ser mujeres, dicha defensa con Perspectiva de género deberá tener las siguientes</w:t>
      </w:r>
      <w:r>
        <w:rPr>
          <w:spacing w:val="-14"/>
        </w:rPr>
        <w:t> </w:t>
      </w:r>
      <w:r>
        <w:rPr/>
        <w:t>características:</w:t>
      </w:r>
    </w:p>
    <w:p>
      <w:pPr>
        <w:pStyle w:val="BodyText"/>
        <w:spacing w:before="9"/>
        <w:rPr>
          <w:sz w:val="17"/>
        </w:rPr>
      </w:pPr>
    </w:p>
    <w:p>
      <w:pPr>
        <w:pStyle w:val="BodyText"/>
        <w:spacing w:line="549" w:lineRule="auto"/>
        <w:ind w:left="102" w:right="2114"/>
      </w:pPr>
      <w:r>
        <w:rPr/>
        <w:t>1.- Observarse los planteamientos de la Teoría del Garantismo Penal. 2.- Elaboración de una Teoría del Caso con Perspectiva de género.</w:t>
      </w:r>
    </w:p>
    <w:p>
      <w:pPr>
        <w:pStyle w:val="BodyText"/>
        <w:spacing w:line="360" w:lineRule="auto" w:before="10"/>
        <w:ind w:left="102" w:right="115"/>
        <w:jc w:val="both"/>
      </w:pPr>
      <w:r>
        <w:rPr/>
        <w:t>La</w:t>
      </w:r>
      <w:r>
        <w:rPr>
          <w:spacing w:val="-8"/>
        </w:rPr>
        <w:t> </w:t>
      </w:r>
      <w:r>
        <w:rPr/>
        <w:t>Teoria</w:t>
      </w:r>
      <w:r>
        <w:rPr>
          <w:spacing w:val="-8"/>
        </w:rPr>
        <w:t> </w:t>
      </w:r>
      <w:r>
        <w:rPr/>
        <w:t>del</w:t>
      </w:r>
      <w:r>
        <w:rPr>
          <w:spacing w:val="-9"/>
        </w:rPr>
        <w:t> </w:t>
      </w:r>
      <w:r>
        <w:rPr/>
        <w:t>Caso,</w:t>
      </w:r>
      <w:r>
        <w:rPr>
          <w:spacing w:val="-7"/>
        </w:rPr>
        <w:t> </w:t>
      </w:r>
      <w:r>
        <w:rPr/>
        <w:t>es</w:t>
      </w:r>
      <w:r>
        <w:rPr>
          <w:spacing w:val="-8"/>
        </w:rPr>
        <w:t> </w:t>
      </w:r>
      <w:r>
        <w:rPr/>
        <w:t>la</w:t>
      </w:r>
      <w:r>
        <w:rPr>
          <w:spacing w:val="-10"/>
        </w:rPr>
        <w:t> </w:t>
      </w:r>
      <w:r>
        <w:rPr/>
        <w:t>estrategia</w:t>
      </w:r>
      <w:r>
        <w:rPr>
          <w:spacing w:val="-8"/>
        </w:rPr>
        <w:t> </w:t>
      </w:r>
      <w:r>
        <w:rPr/>
        <w:t>metodológica</w:t>
      </w:r>
      <w:r>
        <w:rPr>
          <w:spacing w:val="-10"/>
        </w:rPr>
        <w:t> </w:t>
      </w:r>
      <w:r>
        <w:rPr/>
        <w:t>que</w:t>
      </w:r>
      <w:r>
        <w:rPr>
          <w:spacing w:val="-10"/>
        </w:rPr>
        <w:t> </w:t>
      </w:r>
      <w:r>
        <w:rPr/>
        <w:t>tiene</w:t>
      </w:r>
      <w:r>
        <w:rPr>
          <w:spacing w:val="-8"/>
        </w:rPr>
        <w:t> </w:t>
      </w:r>
      <w:r>
        <w:rPr/>
        <w:t>cada</w:t>
      </w:r>
      <w:r>
        <w:rPr>
          <w:spacing w:val="-8"/>
        </w:rPr>
        <w:t> </w:t>
      </w:r>
      <w:r>
        <w:rPr/>
        <w:t>una</w:t>
      </w:r>
      <w:r>
        <w:rPr>
          <w:spacing w:val="-8"/>
        </w:rPr>
        <w:t> </w:t>
      </w:r>
      <w:r>
        <w:rPr/>
        <w:t>de</w:t>
      </w:r>
      <w:r>
        <w:rPr>
          <w:spacing w:val="-8"/>
        </w:rPr>
        <w:t> </w:t>
      </w:r>
      <w:r>
        <w:rPr/>
        <w:t>las</w:t>
      </w:r>
      <w:r>
        <w:rPr>
          <w:spacing w:val="-7"/>
        </w:rPr>
        <w:t> </w:t>
      </w:r>
      <w:r>
        <w:rPr/>
        <w:t>parte</w:t>
      </w:r>
      <w:r>
        <w:rPr>
          <w:spacing w:val="-8"/>
        </w:rPr>
        <w:t> </w:t>
      </w:r>
      <w:r>
        <w:rPr/>
        <w:t>sobre</w:t>
      </w:r>
      <w:r>
        <w:rPr>
          <w:spacing w:val="-8"/>
        </w:rPr>
        <w:t> </w:t>
      </w:r>
      <w:r>
        <w:rPr/>
        <w:t>los hechos que va a probar, la cual tiene tres elementos sustanciales, fácticos, jurídicos y probatorios (Benavente, 2014b: 306). Por lo que hace a los elementos fácticos, se deberá considerar la situación de vulnerbilidad de las mujeres, en cuanto a los elementos jurísidicos, la aplicación del cuarpo legislativo que protege derechos humanos de las mujeres, y a los probatorios la prueba psicológica para demostrar el contexto de violencia en el que puede estar inmersa una</w:t>
      </w:r>
      <w:r>
        <w:rPr>
          <w:spacing w:val="-8"/>
        </w:rPr>
        <w:t> </w:t>
      </w:r>
      <w:r>
        <w:rPr/>
        <w:t>mujer.</w:t>
      </w:r>
    </w:p>
    <w:p>
      <w:pPr>
        <w:pStyle w:val="BodyText"/>
        <w:spacing w:before="9"/>
        <w:rPr>
          <w:sz w:val="17"/>
        </w:rPr>
      </w:pPr>
    </w:p>
    <w:p>
      <w:pPr>
        <w:pStyle w:val="BodyText"/>
        <w:spacing w:line="360" w:lineRule="auto"/>
        <w:ind w:left="102" w:right="117"/>
        <w:jc w:val="both"/>
      </w:pPr>
      <w:r>
        <w:rPr/>
        <w:t>Ahora bien, esta defensa con perspectiva de género tiene que ver con el hecho de que las mujeres que cometen un delito, como ya se refirió antes, son consideradas como “mujeres</w:t>
      </w:r>
    </w:p>
    <w:p>
      <w:pPr>
        <w:spacing w:after="0" w:line="360" w:lineRule="auto"/>
        <w:jc w:val="both"/>
        <w:sectPr>
          <w:footerReference w:type="default" r:id="rId11"/>
          <w:pgSz w:w="12240" w:h="15840"/>
          <w:pgMar w:footer="1002" w:header="0" w:top="1360" w:bottom="1200" w:left="1600" w:right="1580"/>
          <w:pgNumType w:start="21"/>
        </w:sectPr>
      </w:pPr>
    </w:p>
    <w:p>
      <w:pPr>
        <w:pStyle w:val="BodyText"/>
        <w:spacing w:line="360" w:lineRule="auto" w:before="54"/>
        <w:ind w:left="102" w:right="116"/>
        <w:jc w:val="both"/>
      </w:pPr>
      <w:r>
        <w:rPr/>
        <w:t>malas. Esta ideología evidentemente tiene peso en los procedimientos penales a los que son sujetas en razón de que no sólo se les juzga por el delito cometido, sino por haber desobedecido el mandato social de cumplir los roles que les son asignados por la cultura patriarcal. Es así que, el calificativo “mujeres malas” resalta la ideología machista al respecto de las mujeres que salen del rol social asignado cometiendo un acto antijurídico, culpable y punible.</w:t>
      </w:r>
    </w:p>
    <w:p>
      <w:pPr>
        <w:pStyle w:val="BodyText"/>
        <w:spacing w:before="7"/>
        <w:rPr>
          <w:sz w:val="17"/>
        </w:rPr>
      </w:pPr>
    </w:p>
    <w:p>
      <w:pPr>
        <w:pStyle w:val="BodyText"/>
        <w:spacing w:line="360" w:lineRule="auto"/>
        <w:ind w:left="102" w:right="117"/>
        <w:jc w:val="both"/>
      </w:pPr>
      <w:r>
        <w:rPr/>
        <w:t>La defensa con perpestiva de género, tiene como finalidad la protección estricta de los derechos humanos, en el proceso juridiccional, permitiendo que las mujeres tengan un acceso a la justicia sin prejuicios sexistas que vulneran sus derechos fundamentales.</w:t>
      </w:r>
    </w:p>
    <w:p>
      <w:pPr>
        <w:spacing w:after="0" w:line="360" w:lineRule="auto"/>
        <w:jc w:val="both"/>
        <w:sectPr>
          <w:pgSz w:w="12240" w:h="15840"/>
          <w:pgMar w:header="0" w:footer="1002" w:top="1360" w:bottom="1200" w:left="1600" w:right="1580"/>
        </w:sectPr>
      </w:pPr>
    </w:p>
    <w:p>
      <w:pPr>
        <w:pStyle w:val="Heading8"/>
        <w:numPr>
          <w:ilvl w:val="0"/>
          <w:numId w:val="1"/>
        </w:numPr>
        <w:tabs>
          <w:tab w:pos="810" w:val="left" w:leader="none"/>
        </w:tabs>
        <w:spacing w:line="240" w:lineRule="auto" w:before="51" w:after="0"/>
        <w:ind w:left="810" w:right="0" w:hanging="708"/>
        <w:jc w:val="both"/>
        <w:rPr>
          <w:rFonts w:ascii="Arial" w:hAnsi="Arial"/>
        </w:rPr>
      </w:pPr>
      <w:r>
        <w:rPr>
          <w:rFonts w:ascii="Arial" w:hAnsi="Arial"/>
        </w:rPr>
        <w:t>JUSTIFICACIÓN</w:t>
      </w:r>
    </w:p>
    <w:p>
      <w:pPr>
        <w:pStyle w:val="BodyText"/>
        <w:spacing w:before="8"/>
        <w:rPr>
          <w:b/>
          <w:sz w:val="28"/>
        </w:rPr>
      </w:pPr>
    </w:p>
    <w:p>
      <w:pPr>
        <w:pStyle w:val="BodyText"/>
        <w:spacing w:line="360" w:lineRule="auto"/>
        <w:ind w:left="102" w:right="162"/>
        <w:jc w:val="both"/>
      </w:pPr>
      <w:r>
        <w:rPr/>
        <w:t>La reforma constitucional en materia penal del 2008, en el que se cambia del sistema inquisitivo al sistema acusatorio, cuyo objetivo principal es mejorar el desempeño en la procuración e impartición de justicia en materia penal; establecer un sistema de igualdad de</w:t>
      </w:r>
      <w:r>
        <w:rPr>
          <w:spacing w:val="-14"/>
        </w:rPr>
        <w:t> </w:t>
      </w:r>
      <w:r>
        <w:rPr/>
        <w:t>las</w:t>
      </w:r>
      <w:r>
        <w:rPr>
          <w:spacing w:val="-13"/>
        </w:rPr>
        <w:t> </w:t>
      </w:r>
      <w:r>
        <w:rPr/>
        <w:t>partes</w:t>
      </w:r>
      <w:r>
        <w:rPr>
          <w:spacing w:val="-13"/>
        </w:rPr>
        <w:t> </w:t>
      </w:r>
      <w:r>
        <w:rPr/>
        <w:t>y</w:t>
      </w:r>
      <w:r>
        <w:rPr>
          <w:spacing w:val="-16"/>
        </w:rPr>
        <w:t> </w:t>
      </w:r>
      <w:r>
        <w:rPr/>
        <w:t>lograr</w:t>
      </w:r>
      <w:r>
        <w:rPr>
          <w:spacing w:val="-15"/>
        </w:rPr>
        <w:t> </w:t>
      </w:r>
      <w:r>
        <w:rPr/>
        <w:t>el</w:t>
      </w:r>
      <w:r>
        <w:rPr>
          <w:spacing w:val="-15"/>
        </w:rPr>
        <w:t> </w:t>
      </w:r>
      <w:r>
        <w:rPr/>
        <w:t>reconocimiento</w:t>
      </w:r>
      <w:r>
        <w:rPr>
          <w:spacing w:val="-16"/>
        </w:rPr>
        <w:t> </w:t>
      </w:r>
      <w:r>
        <w:rPr/>
        <w:t>y</w:t>
      </w:r>
      <w:r>
        <w:rPr>
          <w:spacing w:val="-16"/>
        </w:rPr>
        <w:t> </w:t>
      </w:r>
      <w:r>
        <w:rPr/>
        <w:t>protección</w:t>
      </w:r>
      <w:r>
        <w:rPr>
          <w:spacing w:val="-14"/>
        </w:rPr>
        <w:t> </w:t>
      </w:r>
      <w:r>
        <w:rPr/>
        <w:t>de</w:t>
      </w:r>
      <w:r>
        <w:rPr>
          <w:spacing w:val="-16"/>
        </w:rPr>
        <w:t> </w:t>
      </w:r>
      <w:r>
        <w:rPr/>
        <w:t>los</w:t>
      </w:r>
      <w:r>
        <w:rPr>
          <w:spacing w:val="-13"/>
        </w:rPr>
        <w:t> </w:t>
      </w:r>
      <w:r>
        <w:rPr/>
        <w:t>derechos</w:t>
      </w:r>
      <w:r>
        <w:rPr>
          <w:spacing w:val="-16"/>
        </w:rPr>
        <w:t> </w:t>
      </w:r>
      <w:r>
        <w:rPr/>
        <w:t>humanos</w:t>
      </w:r>
      <w:r>
        <w:rPr>
          <w:spacing w:val="-13"/>
        </w:rPr>
        <w:t> </w:t>
      </w:r>
      <w:r>
        <w:rPr/>
        <w:t>establecidos en</w:t>
      </w:r>
      <w:r>
        <w:rPr>
          <w:spacing w:val="-16"/>
        </w:rPr>
        <w:t> </w:t>
      </w:r>
      <w:r>
        <w:rPr/>
        <w:t>la</w:t>
      </w:r>
      <w:r>
        <w:rPr>
          <w:spacing w:val="-16"/>
        </w:rPr>
        <w:t> </w:t>
      </w:r>
      <w:r>
        <w:rPr/>
        <w:t>Constitución</w:t>
      </w:r>
      <w:r>
        <w:rPr>
          <w:spacing w:val="-16"/>
        </w:rPr>
        <w:t> </w:t>
      </w:r>
      <w:r>
        <w:rPr/>
        <w:t>Política</w:t>
      </w:r>
      <w:r>
        <w:rPr>
          <w:spacing w:val="-16"/>
        </w:rPr>
        <w:t> </w:t>
      </w:r>
      <w:r>
        <w:rPr/>
        <w:t>de</w:t>
      </w:r>
      <w:r>
        <w:rPr>
          <w:spacing w:val="-16"/>
        </w:rPr>
        <w:t> </w:t>
      </w:r>
      <w:r>
        <w:rPr/>
        <w:t>los</w:t>
      </w:r>
      <w:r>
        <w:rPr>
          <w:spacing w:val="-16"/>
        </w:rPr>
        <w:t> </w:t>
      </w:r>
      <w:r>
        <w:rPr/>
        <w:t>Estados</w:t>
      </w:r>
      <w:r>
        <w:rPr>
          <w:spacing w:val="-16"/>
        </w:rPr>
        <w:t> </w:t>
      </w:r>
      <w:r>
        <w:rPr/>
        <w:t>Unidos</w:t>
      </w:r>
      <w:r>
        <w:rPr>
          <w:spacing w:val="-18"/>
        </w:rPr>
        <w:t> </w:t>
      </w:r>
      <w:r>
        <w:rPr/>
        <w:t>Mexicanos</w:t>
      </w:r>
      <w:r>
        <w:rPr>
          <w:spacing w:val="-16"/>
        </w:rPr>
        <w:t> </w:t>
      </w:r>
      <w:r>
        <w:rPr/>
        <w:t>y</w:t>
      </w:r>
      <w:r>
        <w:rPr>
          <w:spacing w:val="-18"/>
        </w:rPr>
        <w:t> </w:t>
      </w:r>
      <w:r>
        <w:rPr/>
        <w:t>los</w:t>
      </w:r>
      <w:r>
        <w:rPr>
          <w:spacing w:val="-16"/>
        </w:rPr>
        <w:t> </w:t>
      </w:r>
      <w:r>
        <w:rPr/>
        <w:t>Tratados</w:t>
      </w:r>
      <w:r>
        <w:rPr>
          <w:spacing w:val="-18"/>
        </w:rPr>
        <w:t> </w:t>
      </w:r>
      <w:r>
        <w:rPr/>
        <w:t>Internacionales.</w:t>
      </w:r>
    </w:p>
    <w:p>
      <w:pPr>
        <w:pStyle w:val="BodyText"/>
        <w:spacing w:before="10"/>
        <w:rPr>
          <w:sz w:val="17"/>
        </w:rPr>
      </w:pPr>
    </w:p>
    <w:p>
      <w:pPr>
        <w:pStyle w:val="BodyText"/>
        <w:spacing w:line="360" w:lineRule="auto"/>
        <w:ind w:left="102" w:right="163"/>
        <w:jc w:val="both"/>
      </w:pPr>
      <w:r>
        <w:rPr/>
        <w:t>En ese sentido, tomando en consideración que de la interpretación literal del artículo primero constitucional, se deriva el derecho de todos los individuos que se encuentren en el territorio mexicano de gozar los derechos humanos reconocidos en la constitución y en los tratado internacionales, y en consecuencia la obligatoriedad de los Estados para garantizar la observancia y protección de los Derechos Humanos consagrados en la Contitución y los Tratados Internacionales, es decir, la aplicación de los Trados Internacionales es de carácter obligatorio.</w:t>
      </w:r>
    </w:p>
    <w:p>
      <w:pPr>
        <w:pStyle w:val="BodyText"/>
        <w:spacing w:before="9"/>
        <w:rPr>
          <w:sz w:val="17"/>
        </w:rPr>
      </w:pPr>
    </w:p>
    <w:p>
      <w:pPr>
        <w:pStyle w:val="BodyText"/>
        <w:spacing w:line="360" w:lineRule="auto" w:before="1"/>
        <w:ind w:left="102" w:right="116"/>
        <w:jc w:val="both"/>
      </w:pPr>
      <w:r>
        <w:rPr/>
        <w:t>En esa inteligencia, existen diveros tratados internacionales que protegen los derechos humanos</w:t>
      </w:r>
      <w:r>
        <w:rPr>
          <w:spacing w:val="-10"/>
        </w:rPr>
        <w:t> </w:t>
      </w:r>
      <w:r>
        <w:rPr/>
        <w:t>de</w:t>
      </w:r>
      <w:r>
        <w:rPr>
          <w:spacing w:val="-10"/>
        </w:rPr>
        <w:t> </w:t>
      </w:r>
      <w:r>
        <w:rPr/>
        <w:t>las</w:t>
      </w:r>
      <w:r>
        <w:rPr>
          <w:spacing w:val="-10"/>
        </w:rPr>
        <w:t> </w:t>
      </w:r>
      <w:r>
        <w:rPr/>
        <w:t>mujeres,</w:t>
      </w:r>
      <w:r>
        <w:rPr>
          <w:spacing w:val="-9"/>
        </w:rPr>
        <w:t> </w:t>
      </w:r>
      <w:r>
        <w:rPr/>
        <w:t>de</w:t>
      </w:r>
      <w:r>
        <w:rPr>
          <w:spacing w:val="-9"/>
        </w:rPr>
        <w:t> </w:t>
      </w:r>
      <w:r>
        <w:rPr/>
        <w:t>manera</w:t>
      </w:r>
      <w:r>
        <w:rPr>
          <w:spacing w:val="-10"/>
        </w:rPr>
        <w:t> </w:t>
      </w:r>
      <w:r>
        <w:rPr/>
        <w:t>particular,</w:t>
      </w:r>
      <w:r>
        <w:rPr>
          <w:spacing w:val="-8"/>
        </w:rPr>
        <w:t> </w:t>
      </w:r>
      <w:r>
        <w:rPr/>
        <w:t>la</w:t>
      </w:r>
      <w:r>
        <w:rPr>
          <w:spacing w:val="-13"/>
        </w:rPr>
        <w:t> </w:t>
      </w:r>
      <w:r>
        <w:rPr>
          <w:spacing w:val="-3"/>
        </w:rPr>
        <w:t>CEDAW</w:t>
      </w:r>
      <w:r>
        <w:rPr/>
        <w:t> y</w:t>
      </w:r>
      <w:r>
        <w:rPr>
          <w:spacing w:val="-12"/>
        </w:rPr>
        <w:t> </w:t>
      </w:r>
      <w:r>
        <w:rPr/>
        <w:t>la</w:t>
      </w:r>
      <w:r>
        <w:rPr>
          <w:spacing w:val="-8"/>
        </w:rPr>
        <w:t> </w:t>
      </w:r>
      <w:r>
        <w:rPr/>
        <w:t>Convención</w:t>
      </w:r>
      <w:r>
        <w:rPr>
          <w:spacing w:val="-8"/>
        </w:rPr>
        <w:t> </w:t>
      </w:r>
      <w:r>
        <w:rPr/>
        <w:t>Belém</w:t>
      </w:r>
      <w:r>
        <w:rPr>
          <w:spacing w:val="-9"/>
        </w:rPr>
        <w:t> </w:t>
      </w:r>
      <w:r>
        <w:rPr/>
        <w:t>Do</w:t>
      </w:r>
      <w:r>
        <w:rPr>
          <w:spacing w:val="-10"/>
        </w:rPr>
        <w:t> </w:t>
      </w:r>
      <w:r>
        <w:rPr/>
        <w:t>Pará, establecen el derecho de las mujeres al acceso de la</w:t>
      </w:r>
      <w:r>
        <w:rPr>
          <w:spacing w:val="-18"/>
        </w:rPr>
        <w:t> </w:t>
      </w:r>
      <w:r>
        <w:rPr/>
        <w:t>justicia.</w:t>
      </w:r>
    </w:p>
    <w:p>
      <w:pPr>
        <w:pStyle w:val="BodyText"/>
        <w:spacing w:before="3"/>
        <w:ind w:left="102"/>
        <w:jc w:val="both"/>
      </w:pPr>
      <w:r>
        <w:rPr/>
        <w:t>El artículo 15 de la CEDAW establece:</w:t>
      </w:r>
    </w:p>
    <w:p>
      <w:pPr>
        <w:pStyle w:val="BodyText"/>
        <w:spacing w:before="5"/>
        <w:rPr>
          <w:sz w:val="28"/>
        </w:rPr>
      </w:pPr>
    </w:p>
    <w:p>
      <w:pPr>
        <w:spacing w:before="0"/>
        <w:ind w:left="668" w:right="691" w:firstLine="0"/>
        <w:jc w:val="both"/>
        <w:rPr>
          <w:sz w:val="20"/>
        </w:rPr>
      </w:pPr>
      <w:r>
        <w:rPr>
          <w:sz w:val="20"/>
        </w:rPr>
        <w:t>Artículo 15: 1. Los Estados Partes reconocerán a la mujer la igualdad con el hombre ante la ley.</w:t>
      </w:r>
    </w:p>
    <w:p>
      <w:pPr>
        <w:pStyle w:val="ListParagraph"/>
        <w:numPr>
          <w:ilvl w:val="0"/>
          <w:numId w:val="2"/>
        </w:numPr>
        <w:tabs>
          <w:tab w:pos="930" w:val="left" w:leader="none"/>
        </w:tabs>
        <w:spacing w:line="240" w:lineRule="auto" w:before="0" w:after="0"/>
        <w:ind w:left="668" w:right="691" w:firstLine="0"/>
        <w:jc w:val="both"/>
        <w:rPr>
          <w:sz w:val="20"/>
        </w:rPr>
      </w:pPr>
      <w:r>
        <w:rPr>
          <w:sz w:val="20"/>
        </w:rPr>
        <w:t>Los Estados Partes reconocerán a la mujer, en materias civiles, una capacidad jurídica idéntica a la del hombre y las mismas oportunidades para el ejercicio de esa capacidad. En particular, le reconocerán a la mujer iguales derechos para firmar contratos y administrar bienes y le dispensarán un trato igual en todas las etapas del procedimiento en las cortes de justicia y los</w:t>
      </w:r>
      <w:r>
        <w:rPr>
          <w:spacing w:val="-14"/>
          <w:sz w:val="20"/>
        </w:rPr>
        <w:t> </w:t>
      </w:r>
      <w:r>
        <w:rPr>
          <w:sz w:val="20"/>
        </w:rPr>
        <w:t>tribunales.</w:t>
      </w:r>
    </w:p>
    <w:p>
      <w:pPr>
        <w:pStyle w:val="BodyText"/>
        <w:rPr>
          <w:sz w:val="20"/>
        </w:rPr>
      </w:pPr>
    </w:p>
    <w:p>
      <w:pPr>
        <w:pStyle w:val="BodyText"/>
        <w:spacing w:before="9"/>
      </w:pPr>
    </w:p>
    <w:p>
      <w:pPr>
        <w:pStyle w:val="BodyText"/>
        <w:spacing w:before="1"/>
        <w:ind w:left="102"/>
        <w:jc w:val="both"/>
      </w:pPr>
      <w:r>
        <w:rPr/>
        <w:t>El artículo 7 de la Convención Belém Do Pará señala:</w:t>
      </w:r>
    </w:p>
    <w:p>
      <w:pPr>
        <w:pStyle w:val="BodyText"/>
        <w:spacing w:before="2"/>
        <w:rPr>
          <w:sz w:val="32"/>
        </w:rPr>
      </w:pPr>
    </w:p>
    <w:p>
      <w:pPr>
        <w:spacing w:line="376" w:lineRule="auto" w:before="0"/>
        <w:ind w:left="668" w:right="687" w:firstLine="141"/>
        <w:jc w:val="both"/>
        <w:rPr>
          <w:sz w:val="20"/>
        </w:rPr>
      </w:pPr>
      <w:r>
        <w:rPr>
          <w:sz w:val="20"/>
        </w:rPr>
        <w:t>Artículo</w:t>
      </w:r>
      <w:r>
        <w:rPr>
          <w:spacing w:val="-8"/>
          <w:sz w:val="20"/>
        </w:rPr>
        <w:t> </w:t>
      </w:r>
      <w:r>
        <w:rPr>
          <w:sz w:val="20"/>
        </w:rPr>
        <w:t>7:</w:t>
      </w:r>
      <w:r>
        <w:rPr>
          <w:spacing w:val="-7"/>
          <w:sz w:val="20"/>
        </w:rPr>
        <w:t> </w:t>
      </w:r>
      <w:r>
        <w:rPr>
          <w:sz w:val="20"/>
        </w:rPr>
        <w:t>Los</w:t>
      </w:r>
      <w:r>
        <w:rPr>
          <w:spacing w:val="-7"/>
          <w:sz w:val="20"/>
        </w:rPr>
        <w:t> </w:t>
      </w:r>
      <w:r>
        <w:rPr>
          <w:sz w:val="20"/>
        </w:rPr>
        <w:t>Estados</w:t>
      </w:r>
      <w:r>
        <w:rPr>
          <w:spacing w:val="-7"/>
          <w:sz w:val="20"/>
        </w:rPr>
        <w:t> </w:t>
      </w:r>
      <w:r>
        <w:rPr>
          <w:sz w:val="20"/>
        </w:rPr>
        <w:t>Partes</w:t>
      </w:r>
      <w:r>
        <w:rPr>
          <w:spacing w:val="-7"/>
          <w:sz w:val="20"/>
        </w:rPr>
        <w:t> </w:t>
      </w:r>
      <w:r>
        <w:rPr>
          <w:sz w:val="20"/>
        </w:rPr>
        <w:t>condenan</w:t>
      </w:r>
      <w:r>
        <w:rPr>
          <w:spacing w:val="-8"/>
          <w:sz w:val="20"/>
        </w:rPr>
        <w:t> </w:t>
      </w:r>
      <w:r>
        <w:rPr>
          <w:sz w:val="20"/>
        </w:rPr>
        <w:t>todas</w:t>
      </w:r>
      <w:r>
        <w:rPr>
          <w:spacing w:val="-7"/>
          <w:sz w:val="20"/>
        </w:rPr>
        <w:t> </w:t>
      </w:r>
      <w:r>
        <w:rPr>
          <w:sz w:val="20"/>
        </w:rPr>
        <w:t>las</w:t>
      </w:r>
      <w:r>
        <w:rPr>
          <w:spacing w:val="-7"/>
          <w:sz w:val="20"/>
        </w:rPr>
        <w:t> </w:t>
      </w:r>
      <w:r>
        <w:rPr>
          <w:sz w:val="20"/>
        </w:rPr>
        <w:t>formas</w:t>
      </w:r>
      <w:r>
        <w:rPr>
          <w:spacing w:val="-7"/>
          <w:sz w:val="20"/>
        </w:rPr>
        <w:t> </w:t>
      </w:r>
      <w:r>
        <w:rPr>
          <w:sz w:val="20"/>
        </w:rPr>
        <w:t>de</w:t>
      </w:r>
      <w:r>
        <w:rPr>
          <w:spacing w:val="-5"/>
          <w:sz w:val="20"/>
        </w:rPr>
        <w:t> </w:t>
      </w:r>
      <w:r>
        <w:rPr>
          <w:sz w:val="20"/>
        </w:rPr>
        <w:t>violencia</w:t>
      </w:r>
      <w:r>
        <w:rPr>
          <w:spacing w:val="-8"/>
          <w:sz w:val="20"/>
        </w:rPr>
        <w:t> </w:t>
      </w:r>
      <w:r>
        <w:rPr>
          <w:sz w:val="20"/>
        </w:rPr>
        <w:t>contra</w:t>
      </w:r>
      <w:r>
        <w:rPr>
          <w:spacing w:val="-8"/>
          <w:sz w:val="20"/>
        </w:rPr>
        <w:t> </w:t>
      </w:r>
      <w:r>
        <w:rPr>
          <w:sz w:val="20"/>
        </w:rPr>
        <w:t>la</w:t>
      </w:r>
      <w:r>
        <w:rPr>
          <w:spacing w:val="-8"/>
          <w:sz w:val="20"/>
        </w:rPr>
        <w:t> </w:t>
      </w:r>
      <w:r>
        <w:rPr>
          <w:sz w:val="20"/>
        </w:rPr>
        <w:t>mujer y convienen en adoptar, por todos los medios apropiados y sin dilaciones, políticas orientadas a prevenir, sancionar y erradicar dicha violencia y en llevar a cabo lo siguiente:</w:t>
      </w:r>
    </w:p>
    <w:p>
      <w:pPr>
        <w:pStyle w:val="ListParagraph"/>
        <w:numPr>
          <w:ilvl w:val="1"/>
          <w:numId w:val="2"/>
        </w:numPr>
        <w:tabs>
          <w:tab w:pos="930" w:val="left" w:leader="none"/>
        </w:tabs>
        <w:spacing w:line="376" w:lineRule="auto" w:before="3" w:after="0"/>
        <w:ind w:left="668" w:right="687" w:firstLine="48"/>
        <w:jc w:val="both"/>
        <w:rPr>
          <w:sz w:val="20"/>
        </w:rPr>
      </w:pPr>
      <w:r>
        <w:rPr>
          <w:sz w:val="20"/>
        </w:rPr>
        <w:t>abstenerse</w:t>
      </w:r>
      <w:r>
        <w:rPr>
          <w:spacing w:val="-10"/>
          <w:sz w:val="20"/>
        </w:rPr>
        <w:t> </w:t>
      </w:r>
      <w:r>
        <w:rPr>
          <w:sz w:val="20"/>
        </w:rPr>
        <w:t>de</w:t>
      </w:r>
      <w:r>
        <w:rPr>
          <w:spacing w:val="-10"/>
          <w:sz w:val="20"/>
        </w:rPr>
        <w:t> </w:t>
      </w:r>
      <w:r>
        <w:rPr>
          <w:sz w:val="20"/>
        </w:rPr>
        <w:t>cualquier</w:t>
      </w:r>
      <w:r>
        <w:rPr>
          <w:spacing w:val="-9"/>
          <w:sz w:val="20"/>
        </w:rPr>
        <w:t> </w:t>
      </w:r>
      <w:r>
        <w:rPr>
          <w:sz w:val="20"/>
        </w:rPr>
        <w:t>acción</w:t>
      </w:r>
      <w:r>
        <w:rPr>
          <w:spacing w:val="-11"/>
          <w:sz w:val="20"/>
        </w:rPr>
        <w:t> </w:t>
      </w:r>
      <w:r>
        <w:rPr>
          <w:sz w:val="20"/>
        </w:rPr>
        <w:t>o</w:t>
      </w:r>
      <w:r>
        <w:rPr>
          <w:spacing w:val="-10"/>
          <w:sz w:val="20"/>
        </w:rPr>
        <w:t> </w:t>
      </w:r>
      <w:r>
        <w:rPr>
          <w:sz w:val="20"/>
        </w:rPr>
        <w:t>práctica</w:t>
      </w:r>
      <w:r>
        <w:rPr>
          <w:spacing w:val="-10"/>
          <w:sz w:val="20"/>
        </w:rPr>
        <w:t> </w:t>
      </w:r>
      <w:r>
        <w:rPr>
          <w:sz w:val="20"/>
        </w:rPr>
        <w:t>de</w:t>
      </w:r>
      <w:r>
        <w:rPr>
          <w:spacing w:val="-10"/>
          <w:sz w:val="20"/>
        </w:rPr>
        <w:t> </w:t>
      </w:r>
      <w:r>
        <w:rPr>
          <w:sz w:val="20"/>
        </w:rPr>
        <w:t>violencia</w:t>
      </w:r>
      <w:r>
        <w:rPr>
          <w:spacing w:val="-10"/>
          <w:sz w:val="20"/>
        </w:rPr>
        <w:t> </w:t>
      </w:r>
      <w:r>
        <w:rPr>
          <w:sz w:val="20"/>
        </w:rPr>
        <w:t>contra</w:t>
      </w:r>
      <w:r>
        <w:rPr>
          <w:spacing w:val="-10"/>
          <w:sz w:val="20"/>
        </w:rPr>
        <w:t> </w:t>
      </w:r>
      <w:r>
        <w:rPr>
          <w:sz w:val="20"/>
        </w:rPr>
        <w:t>la</w:t>
      </w:r>
      <w:r>
        <w:rPr>
          <w:spacing w:val="-10"/>
          <w:sz w:val="20"/>
        </w:rPr>
        <w:t> </w:t>
      </w:r>
      <w:r>
        <w:rPr>
          <w:sz w:val="20"/>
        </w:rPr>
        <w:t>mujer</w:t>
      </w:r>
      <w:r>
        <w:rPr>
          <w:spacing w:val="-9"/>
          <w:sz w:val="20"/>
        </w:rPr>
        <w:t> </w:t>
      </w:r>
      <w:r>
        <w:rPr>
          <w:sz w:val="20"/>
        </w:rPr>
        <w:t>y</w:t>
      </w:r>
      <w:r>
        <w:rPr>
          <w:spacing w:val="-15"/>
          <w:sz w:val="20"/>
        </w:rPr>
        <w:t> </w:t>
      </w:r>
      <w:r>
        <w:rPr>
          <w:sz w:val="20"/>
        </w:rPr>
        <w:t>velar</w:t>
      </w:r>
      <w:r>
        <w:rPr>
          <w:spacing w:val="-9"/>
          <w:sz w:val="20"/>
        </w:rPr>
        <w:t> </w:t>
      </w:r>
      <w:r>
        <w:rPr>
          <w:sz w:val="20"/>
        </w:rPr>
        <w:t>por</w:t>
      </w:r>
      <w:r>
        <w:rPr>
          <w:spacing w:val="-9"/>
          <w:sz w:val="20"/>
        </w:rPr>
        <w:t> </w:t>
      </w:r>
      <w:r>
        <w:rPr>
          <w:sz w:val="20"/>
        </w:rPr>
        <w:t>que las autoridades, sus funcionarios, personal y agentes e instituciones se comporten de conformidad con esta</w:t>
      </w:r>
      <w:r>
        <w:rPr>
          <w:spacing w:val="-12"/>
          <w:sz w:val="20"/>
        </w:rPr>
        <w:t> </w:t>
      </w:r>
      <w:r>
        <w:rPr>
          <w:sz w:val="20"/>
        </w:rPr>
        <w:t>obligación;</w:t>
      </w:r>
    </w:p>
    <w:p>
      <w:pPr>
        <w:spacing w:after="0" w:line="376" w:lineRule="auto"/>
        <w:jc w:val="both"/>
        <w:rPr>
          <w:sz w:val="20"/>
        </w:rPr>
        <w:sectPr>
          <w:pgSz w:w="12240" w:h="15840"/>
          <w:pgMar w:header="0" w:footer="1002" w:top="1360" w:bottom="1200" w:left="1600" w:right="1580"/>
        </w:sectPr>
      </w:pPr>
    </w:p>
    <w:p>
      <w:pPr>
        <w:pStyle w:val="ListParagraph"/>
        <w:numPr>
          <w:ilvl w:val="1"/>
          <w:numId w:val="2"/>
        </w:numPr>
        <w:tabs>
          <w:tab w:pos="1009" w:val="left" w:leader="none"/>
        </w:tabs>
        <w:spacing w:line="376" w:lineRule="auto" w:before="45" w:after="0"/>
        <w:ind w:left="668" w:right="696" w:firstLine="86"/>
        <w:jc w:val="both"/>
        <w:rPr>
          <w:sz w:val="20"/>
        </w:rPr>
      </w:pPr>
      <w:r>
        <w:rPr>
          <w:sz w:val="20"/>
        </w:rPr>
        <w:t>actuar con la debida diligencia para prevenir, investigar y sancionar la violencia contra la</w:t>
      </w:r>
      <w:r>
        <w:rPr>
          <w:spacing w:val="-4"/>
          <w:sz w:val="20"/>
        </w:rPr>
        <w:t> </w:t>
      </w:r>
      <w:r>
        <w:rPr>
          <w:sz w:val="20"/>
        </w:rPr>
        <w:t>mujer;</w:t>
      </w:r>
    </w:p>
    <w:p>
      <w:pPr>
        <w:pStyle w:val="ListParagraph"/>
        <w:numPr>
          <w:ilvl w:val="1"/>
          <w:numId w:val="2"/>
        </w:numPr>
        <w:tabs>
          <w:tab w:pos="954" w:val="left" w:leader="none"/>
        </w:tabs>
        <w:spacing w:line="376" w:lineRule="auto" w:before="2" w:after="0"/>
        <w:ind w:left="668" w:right="686" w:firstLine="65"/>
        <w:jc w:val="both"/>
        <w:rPr>
          <w:sz w:val="20"/>
        </w:rPr>
      </w:pPr>
      <w:r>
        <w:rPr>
          <w:sz w:val="20"/>
        </w:rPr>
        <w:t>incluir en su legislación interna normas penales, civiles y administrativas, así como las de otra naturaleza que sean necesarias para prevenir, sancionar y erradicar la violencia</w:t>
      </w:r>
      <w:r>
        <w:rPr>
          <w:spacing w:val="-10"/>
          <w:sz w:val="20"/>
        </w:rPr>
        <w:t> </w:t>
      </w:r>
      <w:r>
        <w:rPr>
          <w:sz w:val="20"/>
        </w:rPr>
        <w:t>contra</w:t>
      </w:r>
      <w:r>
        <w:rPr>
          <w:spacing w:val="-10"/>
          <w:sz w:val="20"/>
        </w:rPr>
        <w:t> </w:t>
      </w:r>
      <w:r>
        <w:rPr>
          <w:sz w:val="20"/>
        </w:rPr>
        <w:t>la</w:t>
      </w:r>
      <w:r>
        <w:rPr>
          <w:spacing w:val="-10"/>
          <w:sz w:val="20"/>
        </w:rPr>
        <w:t> </w:t>
      </w:r>
      <w:r>
        <w:rPr>
          <w:sz w:val="20"/>
        </w:rPr>
        <w:t>mujer</w:t>
      </w:r>
      <w:r>
        <w:rPr>
          <w:spacing w:val="-7"/>
          <w:sz w:val="20"/>
        </w:rPr>
        <w:t> </w:t>
      </w:r>
      <w:r>
        <w:rPr>
          <w:sz w:val="20"/>
        </w:rPr>
        <w:t>y</w:t>
      </w:r>
      <w:r>
        <w:rPr>
          <w:spacing w:val="-16"/>
          <w:sz w:val="20"/>
        </w:rPr>
        <w:t> </w:t>
      </w:r>
      <w:r>
        <w:rPr>
          <w:sz w:val="20"/>
        </w:rPr>
        <w:t>adoptar</w:t>
      </w:r>
      <w:r>
        <w:rPr>
          <w:spacing w:val="-9"/>
          <w:sz w:val="20"/>
        </w:rPr>
        <w:t> </w:t>
      </w:r>
      <w:r>
        <w:rPr>
          <w:sz w:val="20"/>
        </w:rPr>
        <w:t>las</w:t>
      </w:r>
      <w:r>
        <w:rPr>
          <w:spacing w:val="-9"/>
          <w:sz w:val="20"/>
        </w:rPr>
        <w:t> </w:t>
      </w:r>
      <w:r>
        <w:rPr>
          <w:sz w:val="20"/>
        </w:rPr>
        <w:t>medidas</w:t>
      </w:r>
      <w:r>
        <w:rPr>
          <w:spacing w:val="-9"/>
          <w:sz w:val="20"/>
        </w:rPr>
        <w:t> </w:t>
      </w:r>
      <w:r>
        <w:rPr>
          <w:sz w:val="20"/>
        </w:rPr>
        <w:t>administrativas</w:t>
      </w:r>
      <w:r>
        <w:rPr>
          <w:spacing w:val="-9"/>
          <w:sz w:val="20"/>
        </w:rPr>
        <w:t> </w:t>
      </w:r>
      <w:r>
        <w:rPr>
          <w:sz w:val="20"/>
        </w:rPr>
        <w:t>apropiadas</w:t>
      </w:r>
      <w:r>
        <w:rPr>
          <w:spacing w:val="-9"/>
          <w:sz w:val="20"/>
        </w:rPr>
        <w:t> </w:t>
      </w:r>
      <w:r>
        <w:rPr>
          <w:sz w:val="20"/>
        </w:rPr>
        <w:t>que</w:t>
      </w:r>
      <w:r>
        <w:rPr>
          <w:spacing w:val="-10"/>
          <w:sz w:val="20"/>
        </w:rPr>
        <w:t> </w:t>
      </w:r>
      <w:r>
        <w:rPr>
          <w:sz w:val="20"/>
        </w:rPr>
        <w:t>sean</w:t>
      </w:r>
      <w:r>
        <w:rPr>
          <w:spacing w:val="-10"/>
          <w:sz w:val="20"/>
        </w:rPr>
        <w:t> </w:t>
      </w:r>
      <w:r>
        <w:rPr>
          <w:sz w:val="20"/>
        </w:rPr>
        <w:t>del caso;</w:t>
      </w:r>
    </w:p>
    <w:p>
      <w:pPr>
        <w:pStyle w:val="ListParagraph"/>
        <w:numPr>
          <w:ilvl w:val="1"/>
          <w:numId w:val="2"/>
        </w:numPr>
        <w:tabs>
          <w:tab w:pos="1036" w:val="left" w:leader="none"/>
        </w:tabs>
        <w:spacing w:line="376" w:lineRule="auto" w:before="2" w:after="0"/>
        <w:ind w:left="668" w:right="692" w:firstLine="101"/>
        <w:jc w:val="both"/>
        <w:rPr>
          <w:sz w:val="20"/>
        </w:rPr>
      </w:pPr>
      <w:r>
        <w:rPr>
          <w:sz w:val="20"/>
        </w:rPr>
        <w:t>adoptar medidas jurídicas para conminar al agresor a abstenerse de hostigar, intimidar,</w:t>
      </w:r>
      <w:r>
        <w:rPr>
          <w:spacing w:val="-10"/>
          <w:sz w:val="20"/>
        </w:rPr>
        <w:t> </w:t>
      </w:r>
      <w:r>
        <w:rPr>
          <w:sz w:val="20"/>
        </w:rPr>
        <w:t>amenazar,</w:t>
      </w:r>
      <w:r>
        <w:rPr>
          <w:spacing w:val="-10"/>
          <w:sz w:val="20"/>
        </w:rPr>
        <w:t> </w:t>
      </w:r>
      <w:r>
        <w:rPr>
          <w:sz w:val="20"/>
        </w:rPr>
        <w:t>dañar</w:t>
      </w:r>
      <w:r>
        <w:rPr>
          <w:spacing w:val="-9"/>
          <w:sz w:val="20"/>
        </w:rPr>
        <w:t> </w:t>
      </w:r>
      <w:r>
        <w:rPr>
          <w:sz w:val="20"/>
        </w:rPr>
        <w:t>o</w:t>
      </w:r>
      <w:r>
        <w:rPr>
          <w:spacing w:val="-10"/>
          <w:sz w:val="20"/>
        </w:rPr>
        <w:t> </w:t>
      </w:r>
      <w:r>
        <w:rPr>
          <w:sz w:val="20"/>
        </w:rPr>
        <w:t>poner</w:t>
      </w:r>
      <w:r>
        <w:rPr>
          <w:spacing w:val="-9"/>
          <w:sz w:val="20"/>
        </w:rPr>
        <w:t> </w:t>
      </w:r>
      <w:r>
        <w:rPr>
          <w:sz w:val="20"/>
        </w:rPr>
        <w:t>en</w:t>
      </w:r>
      <w:r>
        <w:rPr>
          <w:spacing w:val="-10"/>
          <w:sz w:val="20"/>
        </w:rPr>
        <w:t> </w:t>
      </w:r>
      <w:r>
        <w:rPr>
          <w:sz w:val="20"/>
        </w:rPr>
        <w:t>peligro</w:t>
      </w:r>
      <w:r>
        <w:rPr>
          <w:spacing w:val="-10"/>
          <w:sz w:val="20"/>
        </w:rPr>
        <w:t> </w:t>
      </w:r>
      <w:r>
        <w:rPr>
          <w:sz w:val="20"/>
        </w:rPr>
        <w:t>la</w:t>
      </w:r>
      <w:r>
        <w:rPr>
          <w:spacing w:val="-8"/>
          <w:sz w:val="20"/>
        </w:rPr>
        <w:t> </w:t>
      </w:r>
      <w:r>
        <w:rPr>
          <w:sz w:val="20"/>
        </w:rPr>
        <w:t>vida</w:t>
      </w:r>
      <w:r>
        <w:rPr>
          <w:spacing w:val="-11"/>
          <w:sz w:val="20"/>
        </w:rPr>
        <w:t> </w:t>
      </w:r>
      <w:r>
        <w:rPr>
          <w:sz w:val="20"/>
        </w:rPr>
        <w:t>de</w:t>
      </w:r>
      <w:r>
        <w:rPr>
          <w:spacing w:val="-10"/>
          <w:sz w:val="20"/>
        </w:rPr>
        <w:t> </w:t>
      </w:r>
      <w:r>
        <w:rPr>
          <w:sz w:val="20"/>
        </w:rPr>
        <w:t>la</w:t>
      </w:r>
      <w:r>
        <w:rPr>
          <w:spacing w:val="-10"/>
          <w:sz w:val="20"/>
        </w:rPr>
        <w:t> </w:t>
      </w:r>
      <w:r>
        <w:rPr>
          <w:sz w:val="20"/>
        </w:rPr>
        <w:t>mujer</w:t>
      </w:r>
      <w:r>
        <w:rPr>
          <w:spacing w:val="-9"/>
          <w:sz w:val="20"/>
        </w:rPr>
        <w:t> </w:t>
      </w:r>
      <w:r>
        <w:rPr>
          <w:sz w:val="20"/>
        </w:rPr>
        <w:t>de</w:t>
      </w:r>
      <w:r>
        <w:rPr>
          <w:spacing w:val="-11"/>
          <w:sz w:val="20"/>
        </w:rPr>
        <w:t> </w:t>
      </w:r>
      <w:r>
        <w:rPr>
          <w:sz w:val="20"/>
        </w:rPr>
        <w:t>cualquier</w:t>
      </w:r>
      <w:r>
        <w:rPr>
          <w:spacing w:val="-9"/>
          <w:sz w:val="20"/>
        </w:rPr>
        <w:t> </w:t>
      </w:r>
      <w:r>
        <w:rPr>
          <w:sz w:val="20"/>
        </w:rPr>
        <w:t>forma</w:t>
      </w:r>
      <w:r>
        <w:rPr>
          <w:spacing w:val="-10"/>
          <w:sz w:val="20"/>
        </w:rPr>
        <w:t> </w:t>
      </w:r>
      <w:r>
        <w:rPr>
          <w:sz w:val="20"/>
        </w:rPr>
        <w:t>que atente contra su integridad o perjudique su</w:t>
      </w:r>
      <w:r>
        <w:rPr>
          <w:spacing w:val="-18"/>
          <w:sz w:val="20"/>
        </w:rPr>
        <w:t> </w:t>
      </w:r>
      <w:r>
        <w:rPr>
          <w:sz w:val="20"/>
        </w:rPr>
        <w:t>propiedad;</w:t>
      </w:r>
    </w:p>
    <w:p>
      <w:pPr>
        <w:pStyle w:val="ListParagraph"/>
        <w:numPr>
          <w:ilvl w:val="1"/>
          <w:numId w:val="2"/>
        </w:numPr>
        <w:tabs>
          <w:tab w:pos="983" w:val="left" w:leader="none"/>
        </w:tabs>
        <w:spacing w:line="376" w:lineRule="auto" w:before="2" w:after="0"/>
        <w:ind w:left="668" w:right="692" w:firstLine="74"/>
        <w:jc w:val="both"/>
        <w:rPr>
          <w:sz w:val="20"/>
        </w:rPr>
      </w:pPr>
      <w:r>
        <w:rPr>
          <w:sz w:val="20"/>
        </w:rPr>
        <w:t>tomar todas las medidas apropiadas, incluyendo medidas de tipo legislativo, para modificar o abolir leyes y reglamentos vigentes, o para modificar prácticas jurídicas o consuetudinarias que respalden la persistencia o la tolerancia de la violencia contra la mujer;</w:t>
      </w:r>
    </w:p>
    <w:p>
      <w:pPr>
        <w:pStyle w:val="ListParagraph"/>
        <w:numPr>
          <w:ilvl w:val="1"/>
          <w:numId w:val="2"/>
        </w:numPr>
        <w:tabs>
          <w:tab w:pos="954" w:val="left" w:leader="none"/>
        </w:tabs>
        <w:spacing w:line="376" w:lineRule="auto" w:before="2" w:after="0"/>
        <w:ind w:left="668" w:right="693" w:firstLine="86"/>
        <w:jc w:val="both"/>
        <w:rPr>
          <w:sz w:val="20"/>
        </w:rPr>
      </w:pPr>
      <w:r>
        <w:rPr/>
        <w:pict>
          <v:line style="position:absolute;mso-position-horizontal-relative:page;mso-position-vertical-relative:paragraph;z-index:-100192" from="345.670013pt,46.93988pt" to="348.550013pt,46.93988pt" stroked="true" strokeweight=".72pt" strokecolor="#000000">
            <w10:wrap type="none"/>
          </v:line>
        </w:pict>
      </w:r>
      <w:r>
        <w:rPr>
          <w:sz w:val="20"/>
        </w:rPr>
        <w:t>establecer procedimientos legales justos y eficaces para la mujer que haya sido sometida a violencia, que incluyan, entre otros, medidas de protección, un juicio oportuno y el acceso efectivo a tales</w:t>
      </w:r>
      <w:r>
        <w:rPr>
          <w:spacing w:val="-14"/>
          <w:sz w:val="20"/>
        </w:rPr>
        <w:t> </w:t>
      </w:r>
      <w:r>
        <w:rPr>
          <w:sz w:val="20"/>
        </w:rPr>
        <w:t>procedimientos;</w:t>
      </w:r>
    </w:p>
    <w:p>
      <w:pPr>
        <w:pStyle w:val="ListParagraph"/>
        <w:numPr>
          <w:ilvl w:val="1"/>
          <w:numId w:val="2"/>
        </w:numPr>
        <w:tabs>
          <w:tab w:pos="923" w:val="left" w:leader="none"/>
        </w:tabs>
        <w:spacing w:line="376" w:lineRule="auto" w:before="2" w:after="0"/>
        <w:ind w:left="668" w:right="691" w:firstLine="43"/>
        <w:jc w:val="both"/>
        <w:rPr>
          <w:sz w:val="20"/>
        </w:rPr>
      </w:pPr>
      <w:r>
        <w:rPr>
          <w:sz w:val="20"/>
        </w:rPr>
        <w:t>establecer</w:t>
      </w:r>
      <w:r>
        <w:rPr>
          <w:spacing w:val="-12"/>
          <w:sz w:val="20"/>
        </w:rPr>
        <w:t> </w:t>
      </w:r>
      <w:r>
        <w:rPr>
          <w:sz w:val="20"/>
        </w:rPr>
        <w:t>los</w:t>
      </w:r>
      <w:r>
        <w:rPr>
          <w:spacing w:val="-12"/>
          <w:sz w:val="20"/>
        </w:rPr>
        <w:t> </w:t>
      </w:r>
      <w:r>
        <w:rPr>
          <w:sz w:val="20"/>
        </w:rPr>
        <w:t>mecanismos</w:t>
      </w:r>
      <w:r>
        <w:rPr>
          <w:spacing w:val="-14"/>
          <w:sz w:val="20"/>
        </w:rPr>
        <w:t> </w:t>
      </w:r>
      <w:r>
        <w:rPr>
          <w:sz w:val="20"/>
        </w:rPr>
        <w:t>judiciales</w:t>
      </w:r>
      <w:r>
        <w:rPr>
          <w:spacing w:val="-10"/>
          <w:sz w:val="20"/>
        </w:rPr>
        <w:t> </w:t>
      </w:r>
      <w:r>
        <w:rPr>
          <w:sz w:val="20"/>
        </w:rPr>
        <w:t>y</w:t>
      </w:r>
      <w:r>
        <w:rPr>
          <w:spacing w:val="-18"/>
          <w:sz w:val="20"/>
        </w:rPr>
        <w:t> </w:t>
      </w:r>
      <w:r>
        <w:rPr>
          <w:sz w:val="20"/>
        </w:rPr>
        <w:t>administrativos</w:t>
      </w:r>
      <w:r>
        <w:rPr>
          <w:spacing w:val="-14"/>
          <w:sz w:val="20"/>
        </w:rPr>
        <w:t> </w:t>
      </w:r>
      <w:r>
        <w:rPr>
          <w:sz w:val="20"/>
        </w:rPr>
        <w:t>necesarios</w:t>
      </w:r>
      <w:r>
        <w:rPr>
          <w:spacing w:val="-14"/>
          <w:sz w:val="20"/>
        </w:rPr>
        <w:t> </w:t>
      </w:r>
      <w:r>
        <w:rPr>
          <w:sz w:val="20"/>
        </w:rPr>
        <w:t>para</w:t>
      </w:r>
      <w:r>
        <w:rPr>
          <w:spacing w:val="-12"/>
          <w:sz w:val="20"/>
        </w:rPr>
        <w:t> </w:t>
      </w:r>
      <w:r>
        <w:rPr>
          <w:sz w:val="20"/>
        </w:rPr>
        <w:t>asegurar</w:t>
      </w:r>
      <w:r>
        <w:rPr>
          <w:spacing w:val="-14"/>
          <w:sz w:val="20"/>
        </w:rPr>
        <w:t> </w:t>
      </w:r>
      <w:r>
        <w:rPr>
          <w:sz w:val="20"/>
        </w:rPr>
        <w:t>que la mujer objeto de violencia tenga acceso efectivo a resarcimiento, reparación del</w:t>
      </w:r>
      <w:r>
        <w:rPr>
          <w:spacing w:val="-38"/>
          <w:sz w:val="20"/>
        </w:rPr>
        <w:t> </w:t>
      </w:r>
      <w:r>
        <w:rPr>
          <w:sz w:val="20"/>
        </w:rPr>
        <w:t>daño u otros medios de compensación justos y eficaces,</w:t>
      </w:r>
      <w:r>
        <w:rPr>
          <w:spacing w:val="-13"/>
          <w:sz w:val="20"/>
        </w:rPr>
        <w:t> </w:t>
      </w:r>
      <w:r>
        <w:rPr>
          <w:sz w:val="20"/>
        </w:rPr>
        <w:t>y</w:t>
      </w:r>
    </w:p>
    <w:p>
      <w:pPr>
        <w:pStyle w:val="ListParagraph"/>
        <w:numPr>
          <w:ilvl w:val="1"/>
          <w:numId w:val="2"/>
        </w:numPr>
        <w:tabs>
          <w:tab w:pos="997" w:val="left" w:leader="none"/>
        </w:tabs>
        <w:spacing w:line="376" w:lineRule="auto" w:before="2" w:after="0"/>
        <w:ind w:left="668" w:right="686" w:firstLine="82"/>
        <w:jc w:val="both"/>
        <w:rPr>
          <w:sz w:val="20"/>
        </w:rPr>
      </w:pPr>
      <w:r>
        <w:rPr>
          <w:sz w:val="20"/>
        </w:rPr>
        <w:t>adoptar las disposiciones legislativas o de otra índole que sean necesarias para hacer efectiva esta</w:t>
      </w:r>
      <w:r>
        <w:rPr>
          <w:spacing w:val="-11"/>
          <w:sz w:val="20"/>
        </w:rPr>
        <w:t> </w:t>
      </w:r>
      <w:r>
        <w:rPr>
          <w:sz w:val="20"/>
        </w:rPr>
        <w:t>Convención.</w:t>
      </w:r>
    </w:p>
    <w:p>
      <w:pPr>
        <w:pStyle w:val="BodyText"/>
        <w:spacing w:line="360" w:lineRule="auto" w:before="111"/>
        <w:ind w:left="102" w:right="120"/>
        <w:jc w:val="both"/>
      </w:pPr>
      <w:r>
        <w:rPr/>
        <w:t>Por lo anterior, es obligación del Estado velar por que las mujeres tengan acceso a la justicia, en esa inteligencia, es deber del Estado velar para que las mujeres sean juzgadas con perspectiva de género a fin de tener un adecuado acceso a la justicia.</w:t>
      </w:r>
    </w:p>
    <w:p>
      <w:pPr>
        <w:pStyle w:val="BodyText"/>
        <w:spacing w:before="1"/>
        <w:rPr>
          <w:sz w:val="21"/>
        </w:rPr>
      </w:pPr>
    </w:p>
    <w:p>
      <w:pPr>
        <w:pStyle w:val="BodyText"/>
        <w:spacing w:line="360" w:lineRule="auto" w:before="1"/>
        <w:ind w:left="102" w:right="117"/>
        <w:jc w:val="both"/>
      </w:pPr>
      <w:r>
        <w:rPr/>
        <w:t>Asimismo, los postulados del proceso penal acusatorio, constriñen a garantizar a </w:t>
      </w:r>
      <w:r>
        <w:rPr>
          <w:spacing w:val="-3"/>
        </w:rPr>
        <w:t>las </w:t>
      </w:r>
      <w:r>
        <w:rPr/>
        <w:t>personas indiciadas una adecuada defensa, para el caso concreto de las mujeres indiciadas, una defensa técnica adecuada debe de incorporar la perspectiva de género en la defensa, de lo contrario no se garantiza la defensa técnica de las mujeres indiciadas, ya que</w:t>
      </w:r>
      <w:r>
        <w:rPr>
          <w:spacing w:val="-6"/>
        </w:rPr>
        <w:t> </w:t>
      </w:r>
      <w:r>
        <w:rPr/>
        <w:t>sin</w:t>
      </w:r>
      <w:r>
        <w:rPr>
          <w:spacing w:val="-5"/>
        </w:rPr>
        <w:t> </w:t>
      </w:r>
      <w:r>
        <w:rPr/>
        <w:t>la</w:t>
      </w:r>
      <w:r>
        <w:rPr>
          <w:spacing w:val="-5"/>
        </w:rPr>
        <w:t> </w:t>
      </w:r>
      <w:r>
        <w:rPr/>
        <w:t>presencia</w:t>
      </w:r>
      <w:r>
        <w:rPr>
          <w:spacing w:val="-5"/>
        </w:rPr>
        <w:t> </w:t>
      </w:r>
      <w:r>
        <w:rPr/>
        <w:t>de</w:t>
      </w:r>
      <w:r>
        <w:rPr>
          <w:spacing w:val="-6"/>
        </w:rPr>
        <w:t> </w:t>
      </w:r>
      <w:r>
        <w:rPr/>
        <w:t>a</w:t>
      </w:r>
      <w:r>
        <w:rPr>
          <w:spacing w:val="-8"/>
        </w:rPr>
        <w:t> </w:t>
      </w:r>
      <w:r>
        <w:rPr/>
        <w:t>perspectiva</w:t>
      </w:r>
      <w:r>
        <w:rPr>
          <w:spacing w:val="-5"/>
        </w:rPr>
        <w:t> </w:t>
      </w:r>
      <w:r>
        <w:rPr/>
        <w:t>de</w:t>
      </w:r>
      <w:r>
        <w:rPr>
          <w:spacing w:val="-6"/>
        </w:rPr>
        <w:t> </w:t>
      </w:r>
      <w:r>
        <w:rPr/>
        <w:t>género</w:t>
      </w:r>
      <w:r>
        <w:rPr>
          <w:spacing w:val="-7"/>
        </w:rPr>
        <w:t> </w:t>
      </w:r>
      <w:r>
        <w:rPr/>
        <w:t>en</w:t>
      </w:r>
      <w:r>
        <w:rPr>
          <w:spacing w:val="-5"/>
        </w:rPr>
        <w:t> </w:t>
      </w:r>
      <w:r>
        <w:rPr/>
        <w:t>la</w:t>
      </w:r>
      <w:r>
        <w:rPr>
          <w:spacing w:val="-5"/>
        </w:rPr>
        <w:t> </w:t>
      </w:r>
      <w:r>
        <w:rPr/>
        <w:t>defensa</w:t>
      </w:r>
      <w:r>
        <w:rPr>
          <w:spacing w:val="-5"/>
        </w:rPr>
        <w:t> </w:t>
      </w:r>
      <w:r>
        <w:rPr/>
        <w:t>de</w:t>
      </w:r>
      <w:r>
        <w:rPr>
          <w:spacing w:val="-6"/>
        </w:rPr>
        <w:t> </w:t>
      </w:r>
      <w:r>
        <w:rPr/>
        <w:t>as</w:t>
      </w:r>
      <w:r>
        <w:rPr>
          <w:spacing w:val="-5"/>
        </w:rPr>
        <w:t> </w:t>
      </w:r>
      <w:r>
        <w:rPr/>
        <w:t>mujeres</w:t>
      </w:r>
      <w:r>
        <w:rPr>
          <w:spacing w:val="-5"/>
        </w:rPr>
        <w:t> </w:t>
      </w:r>
      <w:r>
        <w:rPr/>
        <w:t>indiciadas,</w:t>
      </w:r>
      <w:r>
        <w:rPr>
          <w:spacing w:val="-5"/>
        </w:rPr>
        <w:t> </w:t>
      </w:r>
      <w:r>
        <w:rPr/>
        <w:t>se dejan fuera elementos que puede tomar en cuanta el juez al momento de dictar sentencia, lo cual deja en estado de ineguridad jurídica a las mujeres indiciadas. Aunado a lo anterior es que, los abogados y las abogadas, son los protagonistas del drama judicial, en quienes recae gran responsabilidad, en razón de que deben defender de forma idónea, de la cual depende el éxito del</w:t>
      </w:r>
      <w:r>
        <w:rPr>
          <w:spacing w:val="-15"/>
        </w:rPr>
        <w:t> </w:t>
      </w:r>
      <w:r>
        <w:rPr/>
        <w:t>caso.</w:t>
      </w:r>
    </w:p>
    <w:p>
      <w:pPr>
        <w:spacing w:after="0" w:line="360" w:lineRule="auto"/>
        <w:jc w:val="both"/>
        <w:sectPr>
          <w:pgSz w:w="12240" w:h="15840"/>
          <w:pgMar w:header="0" w:footer="1002" w:top="1500" w:bottom="1200" w:left="1600" w:right="1580"/>
        </w:sectPr>
      </w:pPr>
    </w:p>
    <w:p>
      <w:pPr>
        <w:pStyle w:val="BodyText"/>
        <w:spacing w:line="360" w:lineRule="auto" w:before="54"/>
        <w:ind w:left="102" w:right="164"/>
        <w:jc w:val="both"/>
      </w:pPr>
      <w:r>
        <w:rPr/>
        <w:t>La</w:t>
      </w:r>
      <w:r>
        <w:rPr>
          <w:spacing w:val="-14"/>
        </w:rPr>
        <w:t> </w:t>
      </w:r>
      <w:r>
        <w:rPr/>
        <w:t>incorporación</w:t>
      </w:r>
      <w:r>
        <w:rPr>
          <w:spacing w:val="-14"/>
        </w:rPr>
        <w:t> </w:t>
      </w:r>
      <w:r>
        <w:rPr/>
        <w:t>de</w:t>
      </w:r>
      <w:r>
        <w:rPr>
          <w:spacing w:val="-16"/>
        </w:rPr>
        <w:t> </w:t>
      </w:r>
      <w:r>
        <w:rPr/>
        <w:t>la</w:t>
      </w:r>
      <w:r>
        <w:rPr>
          <w:spacing w:val="-13"/>
        </w:rPr>
        <w:t> </w:t>
      </w:r>
      <w:r>
        <w:rPr/>
        <w:t>perspectiva</w:t>
      </w:r>
      <w:r>
        <w:rPr>
          <w:spacing w:val="-13"/>
        </w:rPr>
        <w:t> </w:t>
      </w:r>
      <w:r>
        <w:rPr/>
        <w:t>de</w:t>
      </w:r>
      <w:r>
        <w:rPr>
          <w:spacing w:val="-19"/>
        </w:rPr>
        <w:t> </w:t>
      </w:r>
      <w:r>
        <w:rPr/>
        <w:t>género</w:t>
      </w:r>
      <w:r>
        <w:rPr>
          <w:spacing w:val="-15"/>
        </w:rPr>
        <w:t> </w:t>
      </w:r>
      <w:r>
        <w:rPr/>
        <w:t>en</w:t>
      </w:r>
      <w:r>
        <w:rPr>
          <w:spacing w:val="-16"/>
        </w:rPr>
        <w:t> </w:t>
      </w:r>
      <w:r>
        <w:rPr/>
        <w:t>la</w:t>
      </w:r>
      <w:r>
        <w:rPr>
          <w:spacing w:val="-13"/>
        </w:rPr>
        <w:t> </w:t>
      </w:r>
      <w:r>
        <w:rPr/>
        <w:t>defensa</w:t>
      </w:r>
      <w:r>
        <w:rPr>
          <w:spacing w:val="-13"/>
        </w:rPr>
        <w:t> </w:t>
      </w:r>
      <w:r>
        <w:rPr/>
        <w:t>de</w:t>
      </w:r>
      <w:r>
        <w:rPr>
          <w:spacing w:val="-19"/>
        </w:rPr>
        <w:t> </w:t>
      </w:r>
      <w:r>
        <w:rPr/>
        <w:t>mujeres</w:t>
      </w:r>
      <w:r>
        <w:rPr>
          <w:spacing w:val="-16"/>
        </w:rPr>
        <w:t> </w:t>
      </w:r>
      <w:r>
        <w:rPr/>
        <w:t>indiciadas,</w:t>
      </w:r>
      <w:r>
        <w:rPr>
          <w:spacing w:val="-13"/>
        </w:rPr>
        <w:t> </w:t>
      </w:r>
      <w:r>
        <w:rPr/>
        <w:t>permitirá que sus derechos humanos sean respetados durante el procedimiento penal al que sean sujetas,</w:t>
      </w:r>
      <w:r>
        <w:rPr>
          <w:spacing w:val="-4"/>
        </w:rPr>
        <w:t> </w:t>
      </w:r>
      <w:r>
        <w:rPr/>
        <w:t>evitar</w:t>
      </w:r>
      <w:r>
        <w:rPr>
          <w:spacing w:val="-5"/>
        </w:rPr>
        <w:t> </w:t>
      </w:r>
      <w:r>
        <w:rPr/>
        <w:t>su</w:t>
      </w:r>
      <w:r>
        <w:rPr>
          <w:spacing w:val="-8"/>
        </w:rPr>
        <w:t> </w:t>
      </w:r>
      <w:r>
        <w:rPr/>
        <w:t>transgresión</w:t>
      </w:r>
      <w:r>
        <w:rPr>
          <w:spacing w:val="-4"/>
        </w:rPr>
        <w:t> </w:t>
      </w:r>
      <w:r>
        <w:rPr/>
        <w:t>debido</w:t>
      </w:r>
      <w:r>
        <w:rPr>
          <w:spacing w:val="-6"/>
        </w:rPr>
        <w:t> </w:t>
      </w:r>
      <w:r>
        <w:rPr/>
        <w:t>a</w:t>
      </w:r>
      <w:r>
        <w:rPr>
          <w:spacing w:val="-5"/>
        </w:rPr>
        <w:t> </w:t>
      </w:r>
      <w:r>
        <w:rPr/>
        <w:t>los</w:t>
      </w:r>
      <w:r>
        <w:rPr>
          <w:spacing w:val="-5"/>
        </w:rPr>
        <w:t> </w:t>
      </w:r>
      <w:r>
        <w:rPr/>
        <w:t>roles</w:t>
      </w:r>
      <w:r>
        <w:rPr>
          <w:spacing w:val="-8"/>
        </w:rPr>
        <w:t> </w:t>
      </w:r>
      <w:r>
        <w:rPr/>
        <w:t>que</w:t>
      </w:r>
      <w:r>
        <w:rPr>
          <w:spacing w:val="-6"/>
        </w:rPr>
        <w:t> </w:t>
      </w:r>
      <w:r>
        <w:rPr/>
        <w:t>la</w:t>
      </w:r>
      <w:r>
        <w:rPr>
          <w:spacing w:val="-5"/>
        </w:rPr>
        <w:t> </w:t>
      </w:r>
      <w:r>
        <w:rPr/>
        <w:t>cultura</w:t>
      </w:r>
      <w:r>
        <w:rPr>
          <w:spacing w:val="-5"/>
        </w:rPr>
        <w:t> </w:t>
      </w:r>
      <w:r>
        <w:rPr/>
        <w:t>patriarcal</w:t>
      </w:r>
      <w:r>
        <w:rPr>
          <w:spacing w:val="-6"/>
        </w:rPr>
        <w:t> </w:t>
      </w:r>
      <w:r>
        <w:rPr/>
        <w:t>ha</w:t>
      </w:r>
      <w:r>
        <w:rPr>
          <w:spacing w:val="-4"/>
        </w:rPr>
        <w:t> </w:t>
      </w:r>
      <w:r>
        <w:rPr/>
        <w:t>asignado</w:t>
      </w:r>
      <w:r>
        <w:rPr>
          <w:spacing w:val="-6"/>
        </w:rPr>
        <w:t> </w:t>
      </w:r>
      <w:r>
        <w:rPr/>
        <w:t>a</w:t>
      </w:r>
      <w:r>
        <w:rPr>
          <w:spacing w:val="-5"/>
        </w:rPr>
        <w:t> </w:t>
      </w:r>
      <w:r>
        <w:rPr/>
        <w:t>las mujeres, y en consecuencia, que el Estado Mexicano cumpla con su obligación de observar, respetar y garantizar los derechos humanos de las mujeres, y sólo entonces podrá cumplir de manera competa con los objetivos de la reforma penal mexicana, sin excluir a las</w:t>
      </w:r>
      <w:r>
        <w:rPr>
          <w:spacing w:val="-5"/>
        </w:rPr>
        <w:t> </w:t>
      </w:r>
      <w:r>
        <w:rPr/>
        <w:t>mujeres.</w:t>
      </w:r>
    </w:p>
    <w:p>
      <w:pPr>
        <w:spacing w:after="0" w:line="360" w:lineRule="auto"/>
        <w:jc w:val="both"/>
        <w:sectPr>
          <w:pgSz w:w="12240" w:h="15840"/>
          <w:pgMar w:header="0" w:footer="1002" w:top="1360" w:bottom="1200" w:left="1600" w:right="1580"/>
        </w:sectPr>
      </w:pPr>
    </w:p>
    <w:p>
      <w:pPr>
        <w:pStyle w:val="BodyText"/>
        <w:rPr>
          <w:sz w:val="20"/>
        </w:rPr>
      </w:pPr>
    </w:p>
    <w:p>
      <w:pPr>
        <w:pStyle w:val="BodyText"/>
        <w:spacing w:before="5"/>
        <w:rPr>
          <w:sz w:val="16"/>
        </w:rPr>
      </w:pPr>
    </w:p>
    <w:p>
      <w:pPr>
        <w:pStyle w:val="Heading8"/>
        <w:numPr>
          <w:ilvl w:val="0"/>
          <w:numId w:val="1"/>
        </w:numPr>
        <w:tabs>
          <w:tab w:pos="810" w:val="left" w:leader="none"/>
        </w:tabs>
        <w:spacing w:line="240" w:lineRule="auto" w:before="73" w:after="0"/>
        <w:ind w:left="810" w:right="0" w:hanging="708"/>
        <w:jc w:val="both"/>
        <w:rPr>
          <w:rFonts w:ascii="Arial" w:hAnsi="Arial"/>
        </w:rPr>
      </w:pPr>
      <w:r>
        <w:rPr>
          <w:rFonts w:ascii="Arial" w:hAnsi="Arial"/>
        </w:rPr>
        <w:t>DIAGNÓSTICO</w:t>
      </w:r>
    </w:p>
    <w:p>
      <w:pPr>
        <w:pStyle w:val="ListParagraph"/>
        <w:numPr>
          <w:ilvl w:val="1"/>
          <w:numId w:val="1"/>
        </w:numPr>
        <w:tabs>
          <w:tab w:pos="462" w:val="left" w:leader="none"/>
        </w:tabs>
        <w:spacing w:line="240" w:lineRule="auto" w:before="126" w:after="0"/>
        <w:ind w:left="462" w:right="0" w:hanging="360"/>
        <w:jc w:val="both"/>
        <w:rPr>
          <w:b/>
          <w:sz w:val="22"/>
        </w:rPr>
      </w:pPr>
      <w:r>
        <w:rPr>
          <w:b/>
          <w:sz w:val="22"/>
        </w:rPr>
        <w:t>Estrategia</w:t>
      </w:r>
      <w:r>
        <w:rPr>
          <w:b/>
          <w:spacing w:val="-8"/>
          <w:sz w:val="22"/>
        </w:rPr>
        <w:t> </w:t>
      </w:r>
      <w:r>
        <w:rPr>
          <w:b/>
          <w:sz w:val="22"/>
        </w:rPr>
        <w:t>metodológica</w:t>
      </w:r>
    </w:p>
    <w:p>
      <w:pPr>
        <w:pStyle w:val="BodyText"/>
        <w:spacing w:before="5"/>
        <w:rPr>
          <w:b/>
          <w:sz w:val="28"/>
        </w:rPr>
      </w:pPr>
    </w:p>
    <w:p>
      <w:pPr>
        <w:pStyle w:val="BodyText"/>
        <w:spacing w:line="360" w:lineRule="auto" w:before="1"/>
        <w:ind w:left="102" w:right="116"/>
        <w:jc w:val="both"/>
      </w:pPr>
      <w:r>
        <w:rPr/>
        <w:t>Objetivo</w:t>
      </w:r>
      <w:r>
        <w:rPr>
          <w:spacing w:val="-9"/>
        </w:rPr>
        <w:t> </w:t>
      </w:r>
      <w:r>
        <w:rPr/>
        <w:t>General:</w:t>
      </w:r>
      <w:r>
        <w:rPr>
          <w:spacing w:val="-9"/>
        </w:rPr>
        <w:t> </w:t>
      </w:r>
      <w:r>
        <w:rPr/>
        <w:t>Indagar</w:t>
      </w:r>
      <w:r>
        <w:rPr>
          <w:spacing w:val="-6"/>
        </w:rPr>
        <w:t> </w:t>
      </w:r>
      <w:r>
        <w:rPr/>
        <w:t>la</w:t>
      </w:r>
      <w:r>
        <w:rPr>
          <w:spacing w:val="-9"/>
        </w:rPr>
        <w:t> </w:t>
      </w:r>
      <w:r>
        <w:rPr/>
        <w:t>incorporación</w:t>
      </w:r>
      <w:r>
        <w:rPr>
          <w:spacing w:val="-9"/>
        </w:rPr>
        <w:t> </w:t>
      </w:r>
      <w:r>
        <w:rPr/>
        <w:t>de</w:t>
      </w:r>
      <w:r>
        <w:rPr>
          <w:spacing w:val="-9"/>
        </w:rPr>
        <w:t> </w:t>
      </w:r>
      <w:r>
        <w:rPr/>
        <w:t>la</w:t>
      </w:r>
      <w:r>
        <w:rPr>
          <w:spacing w:val="-9"/>
        </w:rPr>
        <w:t> </w:t>
      </w:r>
      <w:r>
        <w:rPr/>
        <w:t>perspectiva</w:t>
      </w:r>
      <w:r>
        <w:rPr>
          <w:spacing w:val="-9"/>
        </w:rPr>
        <w:t> </w:t>
      </w:r>
      <w:r>
        <w:rPr/>
        <w:t>de</w:t>
      </w:r>
      <w:r>
        <w:rPr>
          <w:spacing w:val="-11"/>
        </w:rPr>
        <w:t> </w:t>
      </w:r>
      <w:r>
        <w:rPr/>
        <w:t>género</w:t>
      </w:r>
      <w:r>
        <w:rPr>
          <w:spacing w:val="-9"/>
        </w:rPr>
        <w:t> </w:t>
      </w:r>
      <w:r>
        <w:rPr/>
        <w:t>en</w:t>
      </w:r>
      <w:r>
        <w:rPr>
          <w:spacing w:val="-9"/>
        </w:rPr>
        <w:t> </w:t>
      </w:r>
      <w:r>
        <w:rPr/>
        <w:t>la</w:t>
      </w:r>
      <w:r>
        <w:rPr>
          <w:spacing w:val="-9"/>
        </w:rPr>
        <w:t> </w:t>
      </w:r>
      <w:r>
        <w:rPr/>
        <w:t>defensa</w:t>
      </w:r>
      <w:r>
        <w:rPr>
          <w:spacing w:val="-11"/>
        </w:rPr>
        <w:t> </w:t>
      </w:r>
      <w:r>
        <w:rPr/>
        <w:t>de</w:t>
      </w:r>
      <w:r>
        <w:rPr>
          <w:spacing w:val="-11"/>
        </w:rPr>
        <w:t> </w:t>
      </w:r>
      <w:r>
        <w:rPr/>
        <w:t>las mujeres que son acusadas de cometer conductas delictivas, por parte de los</w:t>
      </w:r>
      <w:r>
        <w:rPr>
          <w:spacing w:val="-32"/>
        </w:rPr>
        <w:t> </w:t>
      </w:r>
      <w:r>
        <w:rPr/>
        <w:t>profesionales del derecho que se encargan de representar jurídicamente a mujeres</w:t>
      </w:r>
      <w:r>
        <w:rPr>
          <w:spacing w:val="-18"/>
        </w:rPr>
        <w:t> </w:t>
      </w:r>
      <w:r>
        <w:rPr/>
        <w:t>imputadas.</w:t>
      </w:r>
    </w:p>
    <w:p>
      <w:pPr>
        <w:pStyle w:val="BodyText"/>
        <w:spacing w:before="7"/>
        <w:rPr>
          <w:sz w:val="17"/>
        </w:rPr>
      </w:pPr>
    </w:p>
    <w:p>
      <w:pPr>
        <w:pStyle w:val="BodyText"/>
        <w:ind w:left="102"/>
        <w:jc w:val="both"/>
      </w:pPr>
      <w:r>
        <w:rPr/>
        <w:t>Objetivos específicos:</w:t>
      </w:r>
    </w:p>
    <w:p>
      <w:pPr>
        <w:pStyle w:val="BodyText"/>
        <w:spacing w:before="5"/>
        <w:rPr>
          <w:sz w:val="28"/>
        </w:rPr>
      </w:pPr>
    </w:p>
    <w:p>
      <w:pPr>
        <w:pStyle w:val="ListParagraph"/>
        <w:numPr>
          <w:ilvl w:val="2"/>
          <w:numId w:val="1"/>
        </w:numPr>
        <w:tabs>
          <w:tab w:pos="822" w:val="left" w:leader="none"/>
        </w:tabs>
        <w:spacing w:line="355" w:lineRule="auto" w:before="0" w:after="0"/>
        <w:ind w:left="822" w:right="117" w:hanging="360"/>
        <w:jc w:val="both"/>
        <w:rPr>
          <w:sz w:val="22"/>
        </w:rPr>
      </w:pPr>
      <w:r>
        <w:rPr>
          <w:sz w:val="22"/>
        </w:rPr>
        <w:t>Conocer sí los y las profesionales del derecho que defienden a mujeres que son acusadas de cometer una conducta delictiva, se encuentran sensibilizados en cuanto a género y la discriminación derivada de la construcción social del</w:t>
      </w:r>
      <w:r>
        <w:rPr>
          <w:spacing w:val="-25"/>
          <w:sz w:val="22"/>
        </w:rPr>
        <w:t> </w:t>
      </w:r>
      <w:r>
        <w:rPr>
          <w:sz w:val="22"/>
        </w:rPr>
        <w:t>sexo.</w:t>
      </w:r>
    </w:p>
    <w:p>
      <w:pPr>
        <w:pStyle w:val="ListParagraph"/>
        <w:numPr>
          <w:ilvl w:val="2"/>
          <w:numId w:val="1"/>
        </w:numPr>
        <w:tabs>
          <w:tab w:pos="822" w:val="left" w:leader="none"/>
        </w:tabs>
        <w:spacing w:line="350" w:lineRule="auto" w:before="8" w:after="0"/>
        <w:ind w:left="822" w:right="114" w:hanging="360"/>
        <w:jc w:val="both"/>
        <w:rPr>
          <w:sz w:val="22"/>
        </w:rPr>
      </w:pPr>
      <w:r>
        <w:rPr>
          <w:sz w:val="22"/>
        </w:rPr>
        <w:t>Determinar la presencia de elementos que permitan incorporar la perspectiva de género en la defensa de las mujeres que son acusadas de cometer un</w:t>
      </w:r>
      <w:r>
        <w:rPr>
          <w:spacing w:val="-16"/>
          <w:sz w:val="22"/>
        </w:rPr>
        <w:t> </w:t>
      </w:r>
      <w:r>
        <w:rPr>
          <w:sz w:val="22"/>
        </w:rPr>
        <w:t>delito.</w:t>
      </w:r>
    </w:p>
    <w:p>
      <w:pPr>
        <w:pStyle w:val="ListParagraph"/>
        <w:numPr>
          <w:ilvl w:val="2"/>
          <w:numId w:val="1"/>
        </w:numPr>
        <w:tabs>
          <w:tab w:pos="822" w:val="left" w:leader="none"/>
        </w:tabs>
        <w:spacing w:line="357" w:lineRule="auto" w:before="12" w:after="0"/>
        <w:ind w:left="822" w:right="119" w:hanging="360"/>
        <w:jc w:val="both"/>
        <w:rPr>
          <w:sz w:val="22"/>
        </w:rPr>
      </w:pPr>
      <w:r>
        <w:rPr>
          <w:sz w:val="22"/>
        </w:rPr>
        <w:t>Aproximarme sobre el conocimiento que tienen los abogados y las abogadas en materia de legislación nacional e internacional que protegen los derechos de las mujeres y su</w:t>
      </w:r>
      <w:r>
        <w:rPr>
          <w:spacing w:val="-7"/>
          <w:sz w:val="22"/>
        </w:rPr>
        <w:t> </w:t>
      </w:r>
      <w:r>
        <w:rPr>
          <w:sz w:val="22"/>
        </w:rPr>
        <w:t>aplicación.</w:t>
      </w:r>
    </w:p>
    <w:p>
      <w:pPr>
        <w:pStyle w:val="BodyText"/>
        <w:spacing w:before="9"/>
        <w:rPr>
          <w:sz w:val="17"/>
        </w:rPr>
      </w:pPr>
    </w:p>
    <w:p>
      <w:pPr>
        <w:pStyle w:val="ListParagraph"/>
        <w:numPr>
          <w:ilvl w:val="2"/>
          <w:numId w:val="3"/>
        </w:numPr>
        <w:tabs>
          <w:tab w:pos="654" w:val="left" w:leader="none"/>
        </w:tabs>
        <w:spacing w:line="240" w:lineRule="auto" w:before="0" w:after="0"/>
        <w:ind w:left="653" w:right="0" w:hanging="551"/>
        <w:jc w:val="both"/>
        <w:rPr>
          <w:i/>
          <w:sz w:val="22"/>
        </w:rPr>
      </w:pPr>
      <w:r>
        <w:rPr>
          <w:i/>
          <w:sz w:val="22"/>
        </w:rPr>
        <w:t>Cobertura</w:t>
      </w:r>
      <w:r>
        <w:rPr>
          <w:i/>
          <w:spacing w:val="-8"/>
          <w:sz w:val="22"/>
        </w:rPr>
        <w:t> </w:t>
      </w:r>
      <w:r>
        <w:rPr>
          <w:i/>
          <w:sz w:val="22"/>
        </w:rPr>
        <w:t>geográfica</w:t>
      </w:r>
    </w:p>
    <w:p>
      <w:pPr>
        <w:pStyle w:val="BodyText"/>
        <w:spacing w:before="5"/>
        <w:rPr>
          <w:i/>
          <w:sz w:val="28"/>
        </w:rPr>
      </w:pPr>
    </w:p>
    <w:p>
      <w:pPr>
        <w:pStyle w:val="BodyText"/>
        <w:spacing w:line="360" w:lineRule="auto" w:before="1"/>
        <w:ind w:left="102" w:right="117"/>
        <w:jc w:val="both"/>
      </w:pPr>
      <w:r>
        <w:rPr/>
        <w:t>El diagnóstico se aplicó en el Distrito Judicial de El Oro, que abarca los municipios de El Oro, Atlacomulco, Temascalcingo y Acambay, y del Distrito Judicial de Ixtlahuaca que comprende los municipios de Ixtlahuaca, San Felipe del Progreso, San José del Rincón, Jiquipilco, Morelos y Jocotitlán. Los sujetos de indagación fueron específicamente los abogados que litigan en estos Distritos Judiciales del Estado de México.</w:t>
      </w:r>
    </w:p>
    <w:p>
      <w:pPr>
        <w:pStyle w:val="BodyText"/>
        <w:spacing w:before="9"/>
        <w:rPr>
          <w:sz w:val="17"/>
        </w:rPr>
      </w:pPr>
    </w:p>
    <w:p>
      <w:pPr>
        <w:pStyle w:val="ListParagraph"/>
        <w:numPr>
          <w:ilvl w:val="2"/>
          <w:numId w:val="3"/>
        </w:numPr>
        <w:tabs>
          <w:tab w:pos="654" w:val="left" w:leader="none"/>
        </w:tabs>
        <w:spacing w:line="240" w:lineRule="auto" w:before="0" w:after="0"/>
        <w:ind w:left="653" w:right="0" w:hanging="551"/>
        <w:jc w:val="both"/>
        <w:rPr>
          <w:i/>
          <w:sz w:val="22"/>
        </w:rPr>
      </w:pPr>
      <w:r>
        <w:rPr>
          <w:i/>
          <w:sz w:val="22"/>
        </w:rPr>
        <w:t>Diseño</w:t>
      </w:r>
      <w:r>
        <w:rPr>
          <w:i/>
          <w:spacing w:val="-5"/>
          <w:sz w:val="22"/>
        </w:rPr>
        <w:t> </w:t>
      </w:r>
      <w:r>
        <w:rPr>
          <w:i/>
          <w:sz w:val="22"/>
        </w:rPr>
        <w:t>muestral</w:t>
      </w:r>
    </w:p>
    <w:p>
      <w:pPr>
        <w:pStyle w:val="BodyText"/>
        <w:spacing w:before="3"/>
        <w:rPr>
          <w:i/>
          <w:sz w:val="28"/>
        </w:rPr>
      </w:pPr>
    </w:p>
    <w:p>
      <w:pPr>
        <w:pStyle w:val="BodyText"/>
        <w:spacing w:line="360" w:lineRule="auto"/>
        <w:ind w:left="102" w:right="118"/>
        <w:jc w:val="both"/>
      </w:pPr>
      <w:r>
        <w:rPr/>
        <w:t>Se trabajó con una muestra no probabilística de tipo intencional, porque no todos los elementos del subgrupo de la población a seleccionar, en este caso los abogados y las abogadas que litigan en los Distritos Judiciales de El Oro e Ixtlahuaca, tuvieron la misma probabilidad de ser elegidos, sino que su elección dependió de las características del proyecto.</w:t>
      </w:r>
    </w:p>
    <w:p>
      <w:pPr>
        <w:pStyle w:val="BodyText"/>
        <w:spacing w:before="7"/>
        <w:rPr>
          <w:sz w:val="17"/>
        </w:rPr>
      </w:pPr>
    </w:p>
    <w:p>
      <w:pPr>
        <w:pStyle w:val="BodyText"/>
        <w:spacing w:line="360" w:lineRule="auto"/>
        <w:ind w:left="102" w:right="120"/>
        <w:jc w:val="both"/>
      </w:pPr>
      <w:r>
        <w:rPr/>
        <w:t>Con el fin de obtener información oportuna para determinar el número de la población a estudiar, relacionada con el número de profesionales del derecho que se dedican a  litigar</w:t>
      </w:r>
    </w:p>
    <w:p>
      <w:pPr>
        <w:spacing w:after="0" w:line="360" w:lineRule="auto"/>
        <w:jc w:val="both"/>
        <w:sectPr>
          <w:pgSz w:w="12240" w:h="15840"/>
          <w:pgMar w:header="0" w:footer="1002" w:top="1500" w:bottom="1200" w:left="1600" w:right="1580"/>
        </w:sectPr>
      </w:pPr>
    </w:p>
    <w:p>
      <w:pPr>
        <w:pStyle w:val="BodyText"/>
        <w:spacing w:line="360" w:lineRule="auto" w:before="54"/>
        <w:ind w:left="102" w:right="115"/>
        <w:jc w:val="both"/>
      </w:pPr>
      <w:r>
        <w:rPr/>
        <w:t>asuntos penales en los Distritos Judiciales del Estado de México, procedí a consultar los libros de registro de cédulas de los Juzgados Penales de Primera Instancia del Distrito Judicial de Ixtlahuaca y El Oro. En dichos libros de cédulas se registran los abogados que realizan alguna actividad procesal dentro de los juzgados en los que se encuentran los libros,</w:t>
      </w:r>
      <w:r>
        <w:rPr>
          <w:spacing w:val="-3"/>
        </w:rPr>
        <w:t> </w:t>
      </w:r>
      <w:r>
        <w:rPr/>
        <w:t>al</w:t>
      </w:r>
      <w:r>
        <w:rPr>
          <w:spacing w:val="-7"/>
        </w:rPr>
        <w:t> </w:t>
      </w:r>
      <w:r>
        <w:rPr/>
        <w:t>registrarse</w:t>
      </w:r>
      <w:r>
        <w:rPr>
          <w:spacing w:val="-6"/>
        </w:rPr>
        <w:t> </w:t>
      </w:r>
      <w:r>
        <w:rPr/>
        <w:t>a</w:t>
      </w:r>
      <w:r>
        <w:rPr>
          <w:spacing w:val="-4"/>
        </w:rPr>
        <w:t> </w:t>
      </w:r>
      <w:r>
        <w:rPr/>
        <w:t>los</w:t>
      </w:r>
      <w:r>
        <w:rPr>
          <w:spacing w:val="-6"/>
        </w:rPr>
        <w:t> </w:t>
      </w:r>
      <w:r>
        <w:rPr/>
        <w:t>abogados</w:t>
      </w:r>
      <w:r>
        <w:rPr>
          <w:spacing w:val="-6"/>
        </w:rPr>
        <w:t> </w:t>
      </w:r>
      <w:r>
        <w:rPr/>
        <w:t>y</w:t>
      </w:r>
      <w:r>
        <w:rPr>
          <w:spacing w:val="-6"/>
        </w:rPr>
        <w:t> </w:t>
      </w:r>
      <w:r>
        <w:rPr/>
        <w:t>las</w:t>
      </w:r>
      <w:r>
        <w:rPr>
          <w:spacing w:val="-6"/>
        </w:rPr>
        <w:t> </w:t>
      </w:r>
      <w:r>
        <w:rPr/>
        <w:t>abogadas</w:t>
      </w:r>
      <w:r>
        <w:rPr>
          <w:spacing w:val="-4"/>
        </w:rPr>
        <w:t> </w:t>
      </w:r>
      <w:r>
        <w:rPr/>
        <w:t>se</w:t>
      </w:r>
      <w:r>
        <w:rPr>
          <w:spacing w:val="-6"/>
        </w:rPr>
        <w:t> </w:t>
      </w:r>
      <w:r>
        <w:rPr/>
        <w:t>les</w:t>
      </w:r>
      <w:r>
        <w:rPr>
          <w:spacing w:val="-6"/>
        </w:rPr>
        <w:t> </w:t>
      </w:r>
      <w:r>
        <w:rPr/>
        <w:t>da</w:t>
      </w:r>
      <w:r>
        <w:rPr>
          <w:spacing w:val="-4"/>
        </w:rPr>
        <w:t> </w:t>
      </w:r>
      <w:r>
        <w:rPr/>
        <w:t>un</w:t>
      </w:r>
      <w:r>
        <w:rPr>
          <w:spacing w:val="-4"/>
        </w:rPr>
        <w:t> </w:t>
      </w:r>
      <w:r>
        <w:rPr/>
        <w:t>número</w:t>
      </w:r>
      <w:r>
        <w:rPr>
          <w:spacing w:val="-6"/>
        </w:rPr>
        <w:t> </w:t>
      </w:r>
      <w:r>
        <w:rPr/>
        <w:t>de</w:t>
      </w:r>
      <w:r>
        <w:rPr>
          <w:spacing w:val="-7"/>
        </w:rPr>
        <w:t> </w:t>
      </w:r>
      <w:r>
        <w:rPr/>
        <w:t>registro</w:t>
      </w:r>
      <w:r>
        <w:rPr>
          <w:spacing w:val="-6"/>
        </w:rPr>
        <w:t> </w:t>
      </w:r>
      <w:r>
        <w:rPr/>
        <w:t>ante</w:t>
      </w:r>
      <w:r>
        <w:rPr>
          <w:spacing w:val="-4"/>
        </w:rPr>
        <w:t> </w:t>
      </w:r>
      <w:r>
        <w:rPr/>
        <w:t>el Poder Judicial del Estado de México, lo que permite que los registros no se repitan en los distintos</w:t>
      </w:r>
      <w:r>
        <w:rPr>
          <w:spacing w:val="-4"/>
        </w:rPr>
        <w:t> </w:t>
      </w:r>
      <w:r>
        <w:rPr/>
        <w:t>juzgados.</w:t>
      </w:r>
    </w:p>
    <w:p>
      <w:pPr>
        <w:pStyle w:val="BodyText"/>
        <w:spacing w:before="10"/>
        <w:rPr>
          <w:sz w:val="17"/>
        </w:rPr>
      </w:pPr>
    </w:p>
    <w:p>
      <w:pPr>
        <w:pStyle w:val="BodyText"/>
        <w:spacing w:line="360" w:lineRule="auto"/>
        <w:ind w:left="102" w:right="114"/>
        <w:jc w:val="both"/>
      </w:pPr>
      <w:r>
        <w:rPr/>
        <w:t>Dicha consulta de los libros de cédulas de los juzgados Penales de Primera Instancia del Distrito Judicial de El Oro y de Ixtlahuaca, arrojó un total de 453 abogados y abogadas. No obstante, hay que resaltar que las cédulas pueden registrarse en cualquier juzgado, de las distintas materias, por lo que puede haber abogados que se registren en el juzgado civil, pero que lleven comparecencia en el juzgado penal. Sin embargo, en el sistema de estadística del Poder Judicial del Estado de México, no existe un registro preciso sobre el número de abogados y abogadas que trabajen en una región en específico. Por lo cual, resulta complejo determinar cuántos abogados y cuántas abogadas trabajen en la zona geográfica antes mencionada, y los libros de cédulas permiten tener un aproximado.</w:t>
      </w:r>
    </w:p>
    <w:p>
      <w:pPr>
        <w:pStyle w:val="BodyText"/>
        <w:spacing w:before="9"/>
        <w:rPr>
          <w:sz w:val="17"/>
        </w:rPr>
      </w:pPr>
    </w:p>
    <w:p>
      <w:pPr>
        <w:pStyle w:val="BodyText"/>
        <w:spacing w:line="360" w:lineRule="auto"/>
        <w:ind w:left="102" w:right="116"/>
        <w:jc w:val="both"/>
      </w:pPr>
      <w:r>
        <w:rPr/>
        <w:t>En virtud de que la presente encuesta es de carácter no probabilístico, para la toma de datos se consideró 10 por ciento del universo, tomando como universo total a los y las 453 que se obtuvieron de la consulta de los libros de cédulas. Por lo tanto el número de cuestionarios a levantar son 45.3, cerrándolo en 46 cuestionarios a aplicar.</w:t>
      </w:r>
    </w:p>
    <w:p>
      <w:pPr>
        <w:pStyle w:val="BodyText"/>
        <w:spacing w:before="9"/>
        <w:rPr>
          <w:sz w:val="17"/>
        </w:rPr>
      </w:pPr>
    </w:p>
    <w:p>
      <w:pPr>
        <w:pStyle w:val="BodyText"/>
        <w:spacing w:line="360" w:lineRule="auto"/>
        <w:ind w:left="102" w:right="117"/>
        <w:jc w:val="both"/>
      </w:pPr>
      <w:r>
        <w:rPr/>
        <w:t>Para</w:t>
      </w:r>
      <w:r>
        <w:rPr>
          <w:spacing w:val="-7"/>
        </w:rPr>
        <w:t> </w:t>
      </w:r>
      <w:r>
        <w:rPr/>
        <w:t>seleccionar</w:t>
      </w:r>
      <w:r>
        <w:rPr>
          <w:spacing w:val="-7"/>
        </w:rPr>
        <w:t> </w:t>
      </w:r>
      <w:r>
        <w:rPr/>
        <w:t>a</w:t>
      </w:r>
      <w:r>
        <w:rPr>
          <w:spacing w:val="-8"/>
        </w:rPr>
        <w:t> </w:t>
      </w:r>
      <w:r>
        <w:rPr/>
        <w:t>las</w:t>
      </w:r>
      <w:r>
        <w:rPr>
          <w:spacing w:val="-8"/>
        </w:rPr>
        <w:t> </w:t>
      </w:r>
      <w:r>
        <w:rPr/>
        <w:t>personas</w:t>
      </w:r>
      <w:r>
        <w:rPr>
          <w:spacing w:val="-8"/>
        </w:rPr>
        <w:t> </w:t>
      </w:r>
      <w:r>
        <w:rPr/>
        <w:t>dedicadas</w:t>
      </w:r>
      <w:r>
        <w:rPr>
          <w:spacing w:val="-8"/>
        </w:rPr>
        <w:t> </w:t>
      </w:r>
      <w:r>
        <w:rPr/>
        <w:t>a</w:t>
      </w:r>
      <w:r>
        <w:rPr>
          <w:spacing w:val="-10"/>
        </w:rPr>
        <w:t> </w:t>
      </w:r>
      <w:r>
        <w:rPr/>
        <w:t>la</w:t>
      </w:r>
      <w:r>
        <w:rPr>
          <w:spacing w:val="-8"/>
        </w:rPr>
        <w:t> </w:t>
      </w:r>
      <w:r>
        <w:rPr/>
        <w:t>abogacía,</w:t>
      </w:r>
      <w:r>
        <w:rPr>
          <w:spacing w:val="-7"/>
        </w:rPr>
        <w:t> </w:t>
      </w:r>
      <w:r>
        <w:rPr/>
        <w:t>a</w:t>
      </w:r>
      <w:r>
        <w:rPr>
          <w:spacing w:val="-9"/>
        </w:rPr>
        <w:t> </w:t>
      </w:r>
      <w:r>
        <w:rPr/>
        <w:t>quienes</w:t>
      </w:r>
      <w:r>
        <w:rPr>
          <w:spacing w:val="-8"/>
        </w:rPr>
        <w:t> </w:t>
      </w:r>
      <w:r>
        <w:rPr/>
        <w:t>aplicar</w:t>
      </w:r>
      <w:r>
        <w:rPr>
          <w:spacing w:val="45"/>
        </w:rPr>
        <w:t> </w:t>
      </w:r>
      <w:r>
        <w:rPr/>
        <w:t>el</w:t>
      </w:r>
      <w:r>
        <w:rPr>
          <w:spacing w:val="-9"/>
        </w:rPr>
        <w:t> </w:t>
      </w:r>
      <w:r>
        <w:rPr/>
        <w:t>instrumento, se tomaron en consideración los siguientes criterios de</w:t>
      </w:r>
      <w:r>
        <w:rPr>
          <w:spacing w:val="-17"/>
        </w:rPr>
        <w:t> </w:t>
      </w:r>
      <w:r>
        <w:rPr/>
        <w:t>inclusión:</w:t>
      </w:r>
    </w:p>
    <w:p>
      <w:pPr>
        <w:pStyle w:val="BodyText"/>
        <w:spacing w:before="7"/>
        <w:rPr>
          <w:sz w:val="17"/>
        </w:rPr>
      </w:pPr>
    </w:p>
    <w:p>
      <w:pPr>
        <w:pStyle w:val="BodyText"/>
        <w:spacing w:line="360" w:lineRule="auto"/>
        <w:ind w:left="102" w:right="114"/>
        <w:jc w:val="both"/>
      </w:pPr>
      <w:r>
        <w:rPr/>
        <w:t>Se aplicó al abogado y abogadas del Consejo Estatal de la Mujer y Bienestar Social (CEMyBS) del Gobierno del Estado de México que litigan en los Distritos Judiciales del espacio de estudio, ya que al ser defensores de los derechos humanos de las mujeres, deben</w:t>
      </w:r>
      <w:r>
        <w:rPr>
          <w:spacing w:val="-16"/>
        </w:rPr>
        <w:t> </w:t>
      </w:r>
      <w:r>
        <w:rPr/>
        <w:t>estar</w:t>
      </w:r>
      <w:r>
        <w:rPr>
          <w:spacing w:val="-17"/>
        </w:rPr>
        <w:t> </w:t>
      </w:r>
      <w:r>
        <w:rPr/>
        <w:t>capacitados</w:t>
      </w:r>
      <w:r>
        <w:rPr>
          <w:spacing w:val="-21"/>
        </w:rPr>
        <w:t> </w:t>
      </w:r>
      <w:r>
        <w:rPr/>
        <w:t>en</w:t>
      </w:r>
      <w:r>
        <w:rPr>
          <w:spacing w:val="-16"/>
        </w:rPr>
        <w:t> </w:t>
      </w:r>
      <w:r>
        <w:rPr/>
        <w:t>cuanto</w:t>
      </w:r>
      <w:r>
        <w:rPr>
          <w:spacing w:val="-18"/>
        </w:rPr>
        <w:t> </w:t>
      </w:r>
      <w:r>
        <w:rPr/>
        <w:t>a</w:t>
      </w:r>
      <w:r>
        <w:rPr>
          <w:spacing w:val="-15"/>
        </w:rPr>
        <w:t> </w:t>
      </w:r>
      <w:r>
        <w:rPr/>
        <w:t>la</w:t>
      </w:r>
      <w:r>
        <w:rPr>
          <w:spacing w:val="-19"/>
        </w:rPr>
        <w:t> </w:t>
      </w:r>
      <w:r>
        <w:rPr/>
        <w:t>perspectiva</w:t>
      </w:r>
      <w:r>
        <w:rPr>
          <w:spacing w:val="-16"/>
        </w:rPr>
        <w:t> </w:t>
      </w:r>
      <w:r>
        <w:rPr/>
        <w:t>de</w:t>
      </w:r>
      <w:r>
        <w:rPr>
          <w:spacing w:val="-19"/>
        </w:rPr>
        <w:t> </w:t>
      </w:r>
      <w:r>
        <w:rPr/>
        <w:t>género</w:t>
      </w:r>
      <w:r>
        <w:rPr>
          <w:spacing w:val="-16"/>
        </w:rPr>
        <w:t> </w:t>
      </w:r>
      <w:r>
        <w:rPr/>
        <w:t>y</w:t>
      </w:r>
      <w:r>
        <w:rPr>
          <w:spacing w:val="-18"/>
        </w:rPr>
        <w:t> </w:t>
      </w:r>
      <w:r>
        <w:rPr/>
        <w:t>las</w:t>
      </w:r>
      <w:r>
        <w:rPr>
          <w:spacing w:val="-16"/>
        </w:rPr>
        <w:t> </w:t>
      </w:r>
      <w:r>
        <w:rPr/>
        <w:t>legislaciones</w:t>
      </w:r>
      <w:r>
        <w:rPr>
          <w:spacing w:val="-16"/>
        </w:rPr>
        <w:t> </w:t>
      </w:r>
      <w:r>
        <w:rPr/>
        <w:t>nacionales e internacionales que protegen los derechos de las mujeres, y para los objetivos del proyecto, los resultados de la aplicación del instrumento a los representantes del CEMyBS resultaron</w:t>
      </w:r>
      <w:r>
        <w:rPr>
          <w:spacing w:val="-10"/>
        </w:rPr>
        <w:t> </w:t>
      </w:r>
      <w:r>
        <w:rPr/>
        <w:t>enriquecedores.</w:t>
      </w:r>
      <w:r>
        <w:rPr>
          <w:spacing w:val="-8"/>
        </w:rPr>
        <w:t> </w:t>
      </w:r>
      <w:r>
        <w:rPr/>
        <w:t>En</w:t>
      </w:r>
      <w:r>
        <w:rPr>
          <w:spacing w:val="-9"/>
        </w:rPr>
        <w:t> </w:t>
      </w:r>
      <w:r>
        <w:rPr/>
        <w:t>el</w:t>
      </w:r>
      <w:r>
        <w:rPr>
          <w:spacing w:val="-9"/>
        </w:rPr>
        <w:t> </w:t>
      </w:r>
      <w:r>
        <w:rPr/>
        <w:t>Distrito</w:t>
      </w:r>
      <w:r>
        <w:rPr>
          <w:spacing w:val="-9"/>
        </w:rPr>
        <w:t> </w:t>
      </w:r>
      <w:r>
        <w:rPr/>
        <w:t>Judicial</w:t>
      </w:r>
      <w:r>
        <w:rPr>
          <w:spacing w:val="-9"/>
        </w:rPr>
        <w:t> </w:t>
      </w:r>
      <w:r>
        <w:rPr/>
        <w:t>de</w:t>
      </w:r>
      <w:r>
        <w:rPr>
          <w:spacing w:val="-9"/>
        </w:rPr>
        <w:t> </w:t>
      </w:r>
      <w:r>
        <w:rPr/>
        <w:t>El</w:t>
      </w:r>
      <w:r>
        <w:rPr>
          <w:spacing w:val="-9"/>
        </w:rPr>
        <w:t> </w:t>
      </w:r>
      <w:r>
        <w:rPr/>
        <w:t>Oro,</w:t>
      </w:r>
      <w:r>
        <w:rPr>
          <w:spacing w:val="-8"/>
        </w:rPr>
        <w:t> </w:t>
      </w:r>
      <w:r>
        <w:rPr/>
        <w:t>hay</w:t>
      </w:r>
      <w:r>
        <w:rPr>
          <w:spacing w:val="-10"/>
        </w:rPr>
        <w:t> </w:t>
      </w:r>
      <w:r>
        <w:rPr/>
        <w:t>un</w:t>
      </w:r>
      <w:r>
        <w:rPr>
          <w:spacing w:val="-9"/>
        </w:rPr>
        <w:t> </w:t>
      </w:r>
      <w:r>
        <w:rPr/>
        <w:t>abogado</w:t>
      </w:r>
      <w:r>
        <w:rPr>
          <w:spacing w:val="-9"/>
        </w:rPr>
        <w:t> </w:t>
      </w:r>
      <w:r>
        <w:rPr/>
        <w:t>y</w:t>
      </w:r>
      <w:r>
        <w:rPr>
          <w:spacing w:val="-10"/>
        </w:rPr>
        <w:t> </w:t>
      </w:r>
      <w:r>
        <w:rPr/>
        <w:t>una</w:t>
      </w:r>
      <w:r>
        <w:rPr>
          <w:spacing w:val="-9"/>
        </w:rPr>
        <w:t> </w:t>
      </w:r>
      <w:r>
        <w:rPr/>
        <w:t>abogada que</w:t>
      </w:r>
      <w:r>
        <w:rPr>
          <w:spacing w:val="-8"/>
        </w:rPr>
        <w:t> </w:t>
      </w:r>
      <w:r>
        <w:rPr/>
        <w:t>se</w:t>
      </w:r>
      <w:r>
        <w:rPr>
          <w:spacing w:val="-5"/>
        </w:rPr>
        <w:t> </w:t>
      </w:r>
      <w:r>
        <w:rPr/>
        <w:t>encargan</w:t>
      </w:r>
      <w:r>
        <w:rPr>
          <w:spacing w:val="-8"/>
        </w:rPr>
        <w:t> </w:t>
      </w:r>
      <w:r>
        <w:rPr/>
        <w:t>de</w:t>
      </w:r>
      <w:r>
        <w:rPr>
          <w:spacing w:val="-8"/>
        </w:rPr>
        <w:t> </w:t>
      </w:r>
      <w:r>
        <w:rPr/>
        <w:t>representar</w:t>
      </w:r>
      <w:r>
        <w:rPr>
          <w:spacing w:val="-6"/>
        </w:rPr>
        <w:t> </w:t>
      </w:r>
      <w:r>
        <w:rPr/>
        <w:t>a</w:t>
      </w:r>
      <w:r>
        <w:rPr>
          <w:spacing w:val="-5"/>
        </w:rPr>
        <w:t> </w:t>
      </w:r>
      <w:r>
        <w:rPr/>
        <w:t>las</w:t>
      </w:r>
      <w:r>
        <w:rPr>
          <w:spacing w:val="-8"/>
        </w:rPr>
        <w:t> </w:t>
      </w:r>
      <w:r>
        <w:rPr/>
        <w:t>mujeres</w:t>
      </w:r>
      <w:r>
        <w:rPr>
          <w:spacing w:val="-5"/>
        </w:rPr>
        <w:t> </w:t>
      </w:r>
      <w:r>
        <w:rPr/>
        <w:t>y</w:t>
      </w:r>
      <w:r>
        <w:rPr>
          <w:spacing w:val="-7"/>
        </w:rPr>
        <w:t> </w:t>
      </w:r>
      <w:r>
        <w:rPr/>
        <w:t>en</w:t>
      </w:r>
      <w:r>
        <w:rPr>
          <w:spacing w:val="-5"/>
        </w:rPr>
        <w:t> </w:t>
      </w:r>
      <w:r>
        <w:rPr/>
        <w:t>el</w:t>
      </w:r>
      <w:r>
        <w:rPr>
          <w:spacing w:val="-6"/>
        </w:rPr>
        <w:t> </w:t>
      </w:r>
      <w:r>
        <w:rPr/>
        <w:t>distrito</w:t>
      </w:r>
      <w:r>
        <w:rPr>
          <w:spacing w:val="-8"/>
        </w:rPr>
        <w:t> </w:t>
      </w:r>
      <w:r>
        <w:rPr/>
        <w:t>judicial</w:t>
      </w:r>
      <w:r>
        <w:rPr>
          <w:spacing w:val="-6"/>
        </w:rPr>
        <w:t> </w:t>
      </w:r>
      <w:r>
        <w:rPr/>
        <w:t>de</w:t>
      </w:r>
      <w:r>
        <w:rPr>
          <w:spacing w:val="-8"/>
        </w:rPr>
        <w:t> </w:t>
      </w:r>
      <w:r>
        <w:rPr/>
        <w:t>Ixtlahuaca</w:t>
      </w:r>
      <w:r>
        <w:rPr>
          <w:spacing w:val="-5"/>
        </w:rPr>
        <w:t> </w:t>
      </w:r>
      <w:r>
        <w:rPr/>
        <w:t>sólo</w:t>
      </w:r>
      <w:r>
        <w:rPr>
          <w:spacing w:val="-5"/>
        </w:rPr>
        <w:t> </w:t>
      </w:r>
      <w:r>
        <w:rPr/>
        <w:t>una abogada.</w:t>
      </w:r>
      <w:r>
        <w:rPr>
          <w:spacing w:val="-3"/>
        </w:rPr>
        <w:t> </w:t>
      </w:r>
      <w:r>
        <w:rPr/>
        <w:t>Se</w:t>
      </w:r>
      <w:r>
        <w:rPr>
          <w:spacing w:val="-6"/>
        </w:rPr>
        <w:t> </w:t>
      </w:r>
      <w:r>
        <w:rPr/>
        <w:t>aplicó</w:t>
      </w:r>
      <w:r>
        <w:rPr>
          <w:spacing w:val="-6"/>
        </w:rPr>
        <w:t> </w:t>
      </w:r>
      <w:r>
        <w:rPr/>
        <w:t>también</w:t>
      </w:r>
      <w:r>
        <w:rPr>
          <w:spacing w:val="-4"/>
        </w:rPr>
        <w:t> </w:t>
      </w:r>
      <w:r>
        <w:rPr/>
        <w:t>el</w:t>
      </w:r>
      <w:r>
        <w:rPr>
          <w:spacing w:val="-5"/>
        </w:rPr>
        <w:t> </w:t>
      </w:r>
      <w:r>
        <w:rPr/>
        <w:t>instrumento</w:t>
      </w:r>
      <w:r>
        <w:rPr>
          <w:spacing w:val="-4"/>
        </w:rPr>
        <w:t> </w:t>
      </w:r>
      <w:r>
        <w:rPr/>
        <w:t>a</w:t>
      </w:r>
      <w:r>
        <w:rPr>
          <w:spacing w:val="-6"/>
        </w:rPr>
        <w:t> </w:t>
      </w:r>
      <w:r>
        <w:rPr/>
        <w:t>los</w:t>
      </w:r>
      <w:r>
        <w:rPr>
          <w:spacing w:val="-6"/>
        </w:rPr>
        <w:t> </w:t>
      </w:r>
      <w:r>
        <w:rPr/>
        <w:t>defensores</w:t>
      </w:r>
      <w:r>
        <w:rPr>
          <w:spacing w:val="-6"/>
        </w:rPr>
        <w:t> </w:t>
      </w:r>
      <w:r>
        <w:rPr/>
        <w:t>y</w:t>
      </w:r>
      <w:r>
        <w:rPr>
          <w:spacing w:val="-6"/>
        </w:rPr>
        <w:t> </w:t>
      </w:r>
      <w:r>
        <w:rPr/>
        <w:t>a</w:t>
      </w:r>
      <w:r>
        <w:rPr>
          <w:spacing w:val="-6"/>
        </w:rPr>
        <w:t> </w:t>
      </w:r>
      <w:r>
        <w:rPr/>
        <w:t>la</w:t>
      </w:r>
      <w:r>
        <w:rPr>
          <w:spacing w:val="-4"/>
        </w:rPr>
        <w:t> </w:t>
      </w:r>
      <w:r>
        <w:rPr/>
        <w:t>defensora</w:t>
      </w:r>
      <w:r>
        <w:rPr>
          <w:spacing w:val="-4"/>
        </w:rPr>
        <w:t> </w:t>
      </w:r>
      <w:r>
        <w:rPr/>
        <w:t>de</w:t>
      </w:r>
      <w:r>
        <w:rPr>
          <w:spacing w:val="-7"/>
        </w:rPr>
        <w:t> </w:t>
      </w:r>
      <w:r>
        <w:rPr/>
        <w:t>oficio</w:t>
      </w:r>
      <w:r>
        <w:rPr>
          <w:spacing w:val="-6"/>
        </w:rPr>
        <w:t> </w:t>
      </w:r>
      <w:r>
        <w:rPr/>
        <w:t>cuyo campo de trabajo es en los Distritos Judiciales de El Oro e Ixtlahuaca, en virtud que al</w:t>
      </w:r>
      <w:r>
        <w:rPr>
          <w:spacing w:val="45"/>
        </w:rPr>
        <w:t> </w:t>
      </w:r>
      <w:r>
        <w:rPr/>
        <w:t>ser</w:t>
      </w:r>
    </w:p>
    <w:p>
      <w:pPr>
        <w:spacing w:after="0" w:line="360" w:lineRule="auto"/>
        <w:jc w:val="both"/>
        <w:sectPr>
          <w:pgSz w:w="12240" w:h="15840"/>
          <w:pgMar w:header="0" w:footer="1002" w:top="1360" w:bottom="1200" w:left="1600" w:right="1580"/>
        </w:sectPr>
      </w:pPr>
    </w:p>
    <w:p>
      <w:pPr>
        <w:pStyle w:val="BodyText"/>
        <w:spacing w:line="360" w:lineRule="auto" w:before="54"/>
        <w:ind w:left="102" w:right="116"/>
        <w:jc w:val="both"/>
      </w:pPr>
      <w:r>
        <w:rPr/>
        <w:t>defensores públicos, es muy común que defiendan a mujeres acusadas de cometer conductas delictivas, en virtud de la gratuidad de sus servicios. Los defensores se dividen entre las ramas penal y civil principalmente, no obstante, es impredicible tomar en cuenta en qué rama del derecho litigan los colegas al momento de la entrevista, ya que en cualquier momento pueden pasar de defender asuntos penales a defender asuntos civiles y</w:t>
      </w:r>
      <w:r>
        <w:rPr>
          <w:spacing w:val="-7"/>
        </w:rPr>
        <w:t> </w:t>
      </w:r>
      <w:r>
        <w:rPr/>
        <w:t>viceversa,</w:t>
      </w:r>
      <w:r>
        <w:rPr>
          <w:spacing w:val="-6"/>
        </w:rPr>
        <w:t> </w:t>
      </w:r>
      <w:r>
        <w:rPr/>
        <w:t>por</w:t>
      </w:r>
      <w:r>
        <w:rPr>
          <w:spacing w:val="-7"/>
        </w:rPr>
        <w:t> </w:t>
      </w:r>
      <w:r>
        <w:rPr/>
        <w:t>lo</w:t>
      </w:r>
      <w:r>
        <w:rPr>
          <w:spacing w:val="-8"/>
        </w:rPr>
        <w:t> </w:t>
      </w:r>
      <w:r>
        <w:rPr/>
        <w:t>cual</w:t>
      </w:r>
      <w:r>
        <w:rPr>
          <w:spacing w:val="-8"/>
        </w:rPr>
        <w:t> </w:t>
      </w:r>
      <w:r>
        <w:rPr/>
        <w:t>se</w:t>
      </w:r>
      <w:r>
        <w:rPr>
          <w:spacing w:val="-5"/>
        </w:rPr>
        <w:t> </w:t>
      </w:r>
      <w:r>
        <w:rPr/>
        <w:t>aplicó</w:t>
      </w:r>
      <w:r>
        <w:rPr>
          <w:spacing w:val="-8"/>
        </w:rPr>
        <w:t> </w:t>
      </w:r>
      <w:r>
        <w:rPr/>
        <w:t>el</w:t>
      </w:r>
      <w:r>
        <w:rPr>
          <w:spacing w:val="-6"/>
        </w:rPr>
        <w:t> </w:t>
      </w:r>
      <w:r>
        <w:rPr/>
        <w:t>cuestionario</w:t>
      </w:r>
      <w:r>
        <w:rPr>
          <w:spacing w:val="-8"/>
        </w:rPr>
        <w:t> </w:t>
      </w:r>
      <w:r>
        <w:rPr/>
        <w:t>a</w:t>
      </w:r>
      <w:r>
        <w:rPr>
          <w:spacing w:val="-10"/>
        </w:rPr>
        <w:t> </w:t>
      </w:r>
      <w:r>
        <w:rPr/>
        <w:t>todos</w:t>
      </w:r>
      <w:r>
        <w:rPr>
          <w:spacing w:val="-8"/>
        </w:rPr>
        <w:t> </w:t>
      </w:r>
      <w:r>
        <w:rPr/>
        <w:t>los</w:t>
      </w:r>
      <w:r>
        <w:rPr>
          <w:spacing w:val="-8"/>
        </w:rPr>
        <w:t> </w:t>
      </w:r>
      <w:r>
        <w:rPr/>
        <w:t>defensores</w:t>
      </w:r>
      <w:r>
        <w:rPr>
          <w:spacing w:val="-8"/>
        </w:rPr>
        <w:t> </w:t>
      </w:r>
      <w:r>
        <w:rPr/>
        <w:t>y</w:t>
      </w:r>
      <w:r>
        <w:rPr>
          <w:spacing w:val="-7"/>
        </w:rPr>
        <w:t> </w:t>
      </w:r>
      <w:r>
        <w:rPr/>
        <w:t>a</w:t>
      </w:r>
      <w:r>
        <w:rPr>
          <w:spacing w:val="-10"/>
        </w:rPr>
        <w:t> </w:t>
      </w:r>
      <w:r>
        <w:rPr/>
        <w:t>la</w:t>
      </w:r>
      <w:r>
        <w:rPr>
          <w:spacing w:val="-5"/>
        </w:rPr>
        <w:t> </w:t>
      </w:r>
      <w:r>
        <w:rPr/>
        <w:t>defensora.</w:t>
      </w:r>
      <w:r>
        <w:rPr>
          <w:spacing w:val="-7"/>
        </w:rPr>
        <w:t> </w:t>
      </w:r>
      <w:r>
        <w:rPr/>
        <w:t>En el Distrito Judicial del Oro; tres defensores, en los juzgados de Atlacomulco un defensor, y en el Distrito Judicial de Ixtlahuaca cinco, de lo cuales sólo una es mujer, por lo cual a</w:t>
      </w:r>
      <w:r>
        <w:rPr>
          <w:spacing w:val="-41"/>
        </w:rPr>
        <w:t> </w:t>
      </w:r>
      <w:r>
        <w:rPr/>
        <w:t>este subgrupo de la población estudiada, se le aplicarón nueve</w:t>
      </w:r>
      <w:r>
        <w:rPr>
          <w:spacing w:val="-15"/>
        </w:rPr>
        <w:t> </w:t>
      </w:r>
      <w:r>
        <w:rPr/>
        <w:t>cuestionarios.</w:t>
      </w:r>
    </w:p>
    <w:p>
      <w:pPr>
        <w:pStyle w:val="BodyText"/>
        <w:spacing w:before="9"/>
        <w:rPr>
          <w:sz w:val="17"/>
        </w:rPr>
      </w:pPr>
    </w:p>
    <w:p>
      <w:pPr>
        <w:pStyle w:val="BodyText"/>
        <w:spacing w:line="360" w:lineRule="auto"/>
        <w:ind w:left="102" w:right="115"/>
        <w:jc w:val="both"/>
      </w:pPr>
      <w:r>
        <w:rPr/>
        <w:t>Los cuestionarios restantes se aplicaron a los abogados y abogadas que litigan de</w:t>
      </w:r>
      <w:r>
        <w:rPr>
          <w:spacing w:val="-39"/>
        </w:rPr>
        <w:t> </w:t>
      </w:r>
      <w:r>
        <w:rPr/>
        <w:t>manera particular, que son más activos dentro de los juzgados penales de primera instancia de El Oro y de Ixtlahuaca. La cercanía geográfica entre estos Distritos Judiciales, los abogados y abogadas que tienen actividad elevada abarcan los dos Distritos Judiciales, para determinar</w:t>
      </w:r>
      <w:r>
        <w:rPr>
          <w:spacing w:val="-2"/>
        </w:rPr>
        <w:t> </w:t>
      </w:r>
      <w:r>
        <w:rPr/>
        <w:t>la</w:t>
      </w:r>
      <w:r>
        <w:rPr>
          <w:spacing w:val="-3"/>
        </w:rPr>
        <w:t> </w:t>
      </w:r>
      <w:r>
        <w:rPr/>
        <w:t>actividad</w:t>
      </w:r>
      <w:r>
        <w:rPr>
          <w:spacing w:val="-3"/>
        </w:rPr>
        <w:t> </w:t>
      </w:r>
      <w:r>
        <w:rPr/>
        <w:t>de</w:t>
      </w:r>
      <w:r>
        <w:rPr>
          <w:spacing w:val="-3"/>
        </w:rPr>
        <w:t> </w:t>
      </w:r>
      <w:r>
        <w:rPr/>
        <w:t>los</w:t>
      </w:r>
      <w:r>
        <w:rPr>
          <w:spacing w:val="-3"/>
        </w:rPr>
        <w:t> </w:t>
      </w:r>
      <w:r>
        <w:rPr/>
        <w:t>y</w:t>
      </w:r>
      <w:r>
        <w:rPr>
          <w:spacing w:val="-3"/>
        </w:rPr>
        <w:t> </w:t>
      </w:r>
      <w:r>
        <w:rPr/>
        <w:t>las</w:t>
      </w:r>
      <w:r>
        <w:rPr>
          <w:spacing w:val="-3"/>
        </w:rPr>
        <w:t> </w:t>
      </w:r>
      <w:r>
        <w:rPr/>
        <w:t>abogadas</w:t>
      </w:r>
      <w:r>
        <w:rPr>
          <w:spacing w:val="-5"/>
        </w:rPr>
        <w:t> </w:t>
      </w:r>
      <w:r>
        <w:rPr/>
        <w:t>se</w:t>
      </w:r>
      <w:r>
        <w:rPr>
          <w:spacing w:val="-5"/>
        </w:rPr>
        <w:t> </w:t>
      </w:r>
      <w:r>
        <w:rPr/>
        <w:t>tomó</w:t>
      </w:r>
      <w:r>
        <w:rPr>
          <w:spacing w:val="-3"/>
        </w:rPr>
        <w:t> </w:t>
      </w:r>
      <w:r>
        <w:rPr/>
        <w:t>en</w:t>
      </w:r>
      <w:r>
        <w:rPr>
          <w:spacing w:val="-3"/>
        </w:rPr>
        <w:t> </w:t>
      </w:r>
      <w:r>
        <w:rPr/>
        <w:t>consideración</w:t>
      </w:r>
      <w:r>
        <w:rPr>
          <w:spacing w:val="-3"/>
        </w:rPr>
        <w:t> </w:t>
      </w:r>
      <w:r>
        <w:rPr/>
        <w:t>la</w:t>
      </w:r>
      <w:r>
        <w:rPr>
          <w:spacing w:val="-5"/>
        </w:rPr>
        <w:t> </w:t>
      </w:r>
      <w:r>
        <w:rPr/>
        <w:t>presencia</w:t>
      </w:r>
      <w:r>
        <w:rPr>
          <w:spacing w:val="-3"/>
        </w:rPr>
        <w:t> </w:t>
      </w:r>
      <w:r>
        <w:rPr/>
        <w:t>en</w:t>
      </w:r>
      <w:r>
        <w:rPr>
          <w:spacing w:val="-3"/>
        </w:rPr>
        <w:t> </w:t>
      </w:r>
      <w:r>
        <w:rPr/>
        <w:t>los juzgados penales referidos y el “prestigio” de los abogados y las abogadas. De los 34 cuestionarios</w:t>
      </w:r>
      <w:r>
        <w:rPr>
          <w:spacing w:val="-11"/>
        </w:rPr>
        <w:t> </w:t>
      </w:r>
      <w:r>
        <w:rPr/>
        <w:t>restante,</w:t>
      </w:r>
      <w:r>
        <w:rPr>
          <w:spacing w:val="-10"/>
        </w:rPr>
        <w:t> </w:t>
      </w:r>
      <w:r>
        <w:rPr/>
        <w:t>se</w:t>
      </w:r>
      <w:r>
        <w:rPr>
          <w:spacing w:val="-9"/>
        </w:rPr>
        <w:t> </w:t>
      </w:r>
      <w:r>
        <w:rPr/>
        <w:t>aplicaron</w:t>
      </w:r>
      <w:r>
        <w:rPr>
          <w:spacing w:val="-10"/>
        </w:rPr>
        <w:t> </w:t>
      </w:r>
      <w:r>
        <w:rPr/>
        <w:t>22</w:t>
      </w:r>
      <w:r>
        <w:rPr>
          <w:spacing w:val="-9"/>
        </w:rPr>
        <w:t> </w:t>
      </w:r>
      <w:r>
        <w:rPr/>
        <w:t>a</w:t>
      </w:r>
      <w:r>
        <w:rPr>
          <w:spacing w:val="-11"/>
        </w:rPr>
        <w:t> </w:t>
      </w:r>
      <w:r>
        <w:rPr/>
        <w:t>varones</w:t>
      </w:r>
      <w:r>
        <w:rPr>
          <w:spacing w:val="-14"/>
        </w:rPr>
        <w:t> </w:t>
      </w:r>
      <w:r>
        <w:rPr/>
        <w:t>y</w:t>
      </w:r>
      <w:r>
        <w:rPr>
          <w:spacing w:val="-11"/>
        </w:rPr>
        <w:t> </w:t>
      </w:r>
      <w:r>
        <w:rPr/>
        <w:t>12</w:t>
      </w:r>
      <w:r>
        <w:rPr>
          <w:spacing w:val="-8"/>
        </w:rPr>
        <w:t> </w:t>
      </w:r>
      <w:r>
        <w:rPr/>
        <w:t>a</w:t>
      </w:r>
      <w:r>
        <w:rPr>
          <w:spacing w:val="-11"/>
        </w:rPr>
        <w:t> </w:t>
      </w:r>
      <w:r>
        <w:rPr/>
        <w:t>mujeres</w:t>
      </w:r>
      <w:r>
        <w:rPr>
          <w:spacing w:val="-8"/>
        </w:rPr>
        <w:t> </w:t>
      </w:r>
      <w:r>
        <w:rPr/>
        <w:t>profesionales</w:t>
      </w:r>
      <w:r>
        <w:rPr>
          <w:spacing w:val="-9"/>
        </w:rPr>
        <w:t> </w:t>
      </w:r>
      <w:r>
        <w:rPr/>
        <w:t>del</w:t>
      </w:r>
      <w:r>
        <w:rPr>
          <w:spacing w:val="-10"/>
        </w:rPr>
        <w:t> </w:t>
      </w:r>
      <w:r>
        <w:rPr/>
        <w:t>derecho, dada su actividad dentro de los juzgados penales de primera instancia de El Oro e Ixtlahuaca.</w:t>
      </w:r>
    </w:p>
    <w:p>
      <w:pPr>
        <w:pStyle w:val="BodyText"/>
        <w:spacing w:before="7"/>
        <w:rPr>
          <w:sz w:val="17"/>
        </w:rPr>
      </w:pPr>
    </w:p>
    <w:p>
      <w:pPr>
        <w:pStyle w:val="ListParagraph"/>
        <w:numPr>
          <w:ilvl w:val="2"/>
          <w:numId w:val="3"/>
        </w:numPr>
        <w:tabs>
          <w:tab w:pos="654" w:val="left" w:leader="none"/>
        </w:tabs>
        <w:spacing w:line="240" w:lineRule="auto" w:before="0" w:after="0"/>
        <w:ind w:left="653" w:right="0" w:hanging="551"/>
        <w:jc w:val="both"/>
        <w:rPr>
          <w:i/>
          <w:sz w:val="22"/>
        </w:rPr>
      </w:pPr>
      <w:r>
        <w:rPr>
          <w:i/>
          <w:sz w:val="22"/>
        </w:rPr>
        <w:t>Instrumento</w:t>
      </w:r>
    </w:p>
    <w:p>
      <w:pPr>
        <w:pStyle w:val="BodyText"/>
        <w:spacing w:before="5"/>
        <w:rPr>
          <w:i/>
          <w:sz w:val="28"/>
        </w:rPr>
      </w:pPr>
    </w:p>
    <w:p>
      <w:pPr>
        <w:pStyle w:val="BodyText"/>
        <w:spacing w:line="360" w:lineRule="auto" w:before="1"/>
        <w:ind w:left="102" w:right="114"/>
        <w:jc w:val="both"/>
      </w:pPr>
      <w:r>
        <w:rPr/>
        <w:t>Para efectos del diagnóstico, se utilizó un cuestionario de preguntas cerradas y respuesta dicotómica sí y no, con la opción de una pregunta abierta para obtener información más amplia. El cuestionario consta de 15 preguntas, a las cuales las personas respondieron sobre su acercamiento a la perspectiva de género, la incorporación de la perspectiva de género en sus litigios y, su conocimiento y aplicación de la legislación nacional e internacional que protegen los derechos de las mujeres.</w:t>
      </w:r>
    </w:p>
    <w:p>
      <w:pPr>
        <w:pStyle w:val="BodyText"/>
        <w:spacing w:before="9"/>
        <w:rPr>
          <w:sz w:val="17"/>
        </w:rPr>
      </w:pPr>
    </w:p>
    <w:p>
      <w:pPr>
        <w:pStyle w:val="BodyText"/>
        <w:spacing w:line="360" w:lineRule="auto"/>
        <w:ind w:left="102" w:right="117"/>
        <w:jc w:val="both"/>
      </w:pPr>
      <w:r>
        <w:rPr/>
        <w:t>El cuestionario presenta una estructura compuesta por los tres objetivos referidos con anterioridad y cada objetivo consta de cinco preguntas. Resultando un total de 15 preguntas, más una adicional, referente al interés de los abogados y las abogadas para capacitarse en materia de perspectiva de género.</w:t>
      </w:r>
    </w:p>
    <w:p>
      <w:pPr>
        <w:pStyle w:val="BodyText"/>
        <w:spacing w:before="7"/>
        <w:rPr>
          <w:sz w:val="17"/>
        </w:rPr>
      </w:pPr>
    </w:p>
    <w:p>
      <w:pPr>
        <w:pStyle w:val="BodyText"/>
        <w:spacing w:line="360" w:lineRule="auto"/>
        <w:ind w:left="102" w:right="116"/>
        <w:jc w:val="both"/>
      </w:pPr>
      <w:r>
        <w:rPr/>
        <w:t>Se estimó un tiempo aproximado de 25 minutos para la aplicación de cada cuestionario, tiempo que en la aplicación del instrumento resultó adecuado. Los materiales utilizados en</w:t>
      </w:r>
    </w:p>
    <w:p>
      <w:pPr>
        <w:spacing w:after="0" w:line="360" w:lineRule="auto"/>
        <w:jc w:val="both"/>
        <w:sectPr>
          <w:pgSz w:w="12240" w:h="15840"/>
          <w:pgMar w:header="0" w:footer="1002" w:top="1360" w:bottom="1200" w:left="1600" w:right="1580"/>
        </w:sectPr>
      </w:pPr>
    </w:p>
    <w:p>
      <w:pPr>
        <w:pStyle w:val="BodyText"/>
        <w:spacing w:line="360" w:lineRule="auto" w:before="54"/>
        <w:ind w:left="102" w:right="115"/>
        <w:jc w:val="both"/>
      </w:pPr>
      <w:r>
        <w:rPr/>
        <w:t>este</w:t>
      </w:r>
      <w:r>
        <w:rPr>
          <w:spacing w:val="-11"/>
        </w:rPr>
        <w:t> </w:t>
      </w:r>
      <w:r>
        <w:rPr/>
        <w:t>ejercicio</w:t>
      </w:r>
      <w:r>
        <w:rPr>
          <w:spacing w:val="-13"/>
        </w:rPr>
        <w:t> </w:t>
      </w:r>
      <w:r>
        <w:rPr/>
        <w:t>fueron</w:t>
      </w:r>
      <w:r>
        <w:rPr>
          <w:spacing w:val="38"/>
        </w:rPr>
        <w:t> </w:t>
      </w:r>
      <w:r>
        <w:rPr/>
        <w:t>el</w:t>
      </w:r>
      <w:r>
        <w:rPr>
          <w:spacing w:val="-12"/>
        </w:rPr>
        <w:t> </w:t>
      </w:r>
      <w:r>
        <w:rPr/>
        <w:t>instrumento</w:t>
      </w:r>
      <w:r>
        <w:rPr>
          <w:spacing w:val="-14"/>
        </w:rPr>
        <w:t> </w:t>
      </w:r>
      <w:r>
        <w:rPr/>
        <w:t>y</w:t>
      </w:r>
      <w:r>
        <w:rPr>
          <w:spacing w:val="-13"/>
        </w:rPr>
        <w:t> </w:t>
      </w:r>
      <w:r>
        <w:rPr/>
        <w:t>lápiz.</w:t>
      </w:r>
      <w:r>
        <w:rPr>
          <w:spacing w:val="-10"/>
        </w:rPr>
        <w:t> </w:t>
      </w:r>
      <w:r>
        <w:rPr/>
        <w:t>Se</w:t>
      </w:r>
      <w:r>
        <w:rPr>
          <w:spacing w:val="-11"/>
        </w:rPr>
        <w:t> </w:t>
      </w:r>
      <w:r>
        <w:rPr/>
        <w:t>aplicó</w:t>
      </w:r>
      <w:r>
        <w:rPr>
          <w:spacing w:val="-11"/>
        </w:rPr>
        <w:t> </w:t>
      </w:r>
      <w:r>
        <w:rPr/>
        <w:t>el</w:t>
      </w:r>
      <w:r>
        <w:rPr>
          <w:spacing w:val="-12"/>
        </w:rPr>
        <w:t> </w:t>
      </w:r>
      <w:r>
        <w:rPr/>
        <w:t>cuestionario</w:t>
      </w:r>
      <w:r>
        <w:rPr>
          <w:spacing w:val="-12"/>
        </w:rPr>
        <w:t> </w:t>
      </w:r>
      <w:r>
        <w:rPr/>
        <w:t>de</w:t>
      </w:r>
      <w:r>
        <w:rPr>
          <w:spacing w:val="-16"/>
        </w:rPr>
        <w:t> </w:t>
      </w:r>
      <w:r>
        <w:rPr/>
        <w:t>forma</w:t>
      </w:r>
      <w:r>
        <w:rPr>
          <w:spacing w:val="-11"/>
        </w:rPr>
        <w:t> </w:t>
      </w:r>
      <w:r>
        <w:rPr/>
        <w:t>administrada, es decir, personalmente realicé las preguntas y recogí las respuestas, esto dadas las características del instrumento. Asimismo, a partir de los informantes clave que daban los encuestados, tuve la oportunidad de aplicar con algunos y algunas, la técnica de la entrevista no estructurada, para obtener más información al respecto, esto con la</w:t>
      </w:r>
      <w:r>
        <w:rPr>
          <w:spacing w:val="-40"/>
        </w:rPr>
        <w:t> </w:t>
      </w:r>
      <w:r>
        <w:rPr/>
        <w:t>intención de profundizar en las razones de sus</w:t>
      </w:r>
      <w:r>
        <w:rPr>
          <w:spacing w:val="51"/>
        </w:rPr>
        <w:t> </w:t>
      </w:r>
      <w:r>
        <w:rPr/>
        <w:t>respuestas.</w:t>
      </w:r>
    </w:p>
    <w:p>
      <w:pPr>
        <w:pStyle w:val="BodyText"/>
        <w:spacing w:before="7"/>
        <w:rPr>
          <w:sz w:val="17"/>
        </w:rPr>
      </w:pPr>
    </w:p>
    <w:p>
      <w:pPr>
        <w:pStyle w:val="BodyText"/>
        <w:spacing w:line="360" w:lineRule="auto"/>
        <w:ind w:left="102" w:right="115"/>
        <w:jc w:val="both"/>
      </w:pPr>
      <w:r>
        <w:rPr/>
        <w:t>Una vez aplicados los cuestionarios, se “vaciaron” las respuestas en una base de datos, a manera</w:t>
      </w:r>
      <w:r>
        <w:rPr>
          <w:spacing w:val="-5"/>
        </w:rPr>
        <w:t> </w:t>
      </w:r>
      <w:r>
        <w:rPr/>
        <w:t>de</w:t>
      </w:r>
      <w:r>
        <w:rPr>
          <w:spacing w:val="-8"/>
        </w:rPr>
        <w:t> </w:t>
      </w:r>
      <w:r>
        <w:rPr/>
        <w:t>tabla</w:t>
      </w:r>
      <w:r>
        <w:rPr>
          <w:spacing w:val="-5"/>
        </w:rPr>
        <w:t> </w:t>
      </w:r>
      <w:r>
        <w:rPr/>
        <w:t>en</w:t>
      </w:r>
      <w:r>
        <w:rPr>
          <w:spacing w:val="-13"/>
        </w:rPr>
        <w:t> </w:t>
      </w:r>
      <w:r>
        <w:rPr/>
        <w:t>Word,</w:t>
      </w:r>
      <w:r>
        <w:rPr>
          <w:spacing w:val="-4"/>
        </w:rPr>
        <w:t> </w:t>
      </w:r>
      <w:r>
        <w:rPr/>
        <w:t>en</w:t>
      </w:r>
      <w:r>
        <w:rPr>
          <w:spacing w:val="-6"/>
        </w:rPr>
        <w:t> </w:t>
      </w:r>
      <w:r>
        <w:rPr/>
        <w:t>la</w:t>
      </w:r>
      <w:r>
        <w:rPr>
          <w:spacing w:val="-8"/>
        </w:rPr>
        <w:t> </w:t>
      </w:r>
      <w:r>
        <w:rPr/>
        <w:t>que</w:t>
      </w:r>
      <w:r>
        <w:rPr>
          <w:spacing w:val="-6"/>
        </w:rPr>
        <w:t> </w:t>
      </w:r>
      <w:r>
        <w:rPr/>
        <w:t>por</w:t>
      </w:r>
      <w:r>
        <w:rPr>
          <w:spacing w:val="-4"/>
        </w:rPr>
        <w:t> </w:t>
      </w:r>
      <w:r>
        <w:rPr/>
        <w:t>cada</w:t>
      </w:r>
      <w:r>
        <w:rPr>
          <w:spacing w:val="-5"/>
        </w:rPr>
        <w:t> </w:t>
      </w:r>
      <w:r>
        <w:rPr/>
        <w:t>pregunta,</w:t>
      </w:r>
      <w:r>
        <w:rPr>
          <w:spacing w:val="-7"/>
        </w:rPr>
        <w:t> </w:t>
      </w:r>
      <w:r>
        <w:rPr/>
        <w:t>se</w:t>
      </w:r>
      <w:r>
        <w:rPr>
          <w:spacing w:val="-5"/>
        </w:rPr>
        <w:t> </w:t>
      </w:r>
      <w:r>
        <w:rPr/>
        <w:t>determinó</w:t>
      </w:r>
      <w:r>
        <w:rPr>
          <w:spacing w:val="-6"/>
        </w:rPr>
        <w:t> </w:t>
      </w:r>
      <w:r>
        <w:rPr/>
        <w:t>el</w:t>
      </w:r>
      <w:r>
        <w:rPr>
          <w:spacing w:val="-9"/>
        </w:rPr>
        <w:t> </w:t>
      </w:r>
      <w:r>
        <w:rPr/>
        <w:t>total</w:t>
      </w:r>
      <w:r>
        <w:rPr>
          <w:spacing w:val="-6"/>
        </w:rPr>
        <w:t> </w:t>
      </w:r>
      <w:r>
        <w:rPr/>
        <w:t>de</w:t>
      </w:r>
      <w:r>
        <w:rPr>
          <w:spacing w:val="-6"/>
        </w:rPr>
        <w:t> </w:t>
      </w:r>
      <w:r>
        <w:rPr/>
        <w:t>respuestas afirmativas</w:t>
      </w:r>
      <w:r>
        <w:rPr>
          <w:spacing w:val="-16"/>
        </w:rPr>
        <w:t> </w:t>
      </w:r>
      <w:r>
        <w:rPr/>
        <w:t>y</w:t>
      </w:r>
      <w:r>
        <w:rPr>
          <w:spacing w:val="-18"/>
        </w:rPr>
        <w:t> </w:t>
      </w:r>
      <w:r>
        <w:rPr/>
        <w:t>el</w:t>
      </w:r>
      <w:r>
        <w:rPr>
          <w:spacing w:val="-17"/>
        </w:rPr>
        <w:t> </w:t>
      </w:r>
      <w:r>
        <w:rPr/>
        <w:t>total</w:t>
      </w:r>
      <w:r>
        <w:rPr>
          <w:spacing w:val="-17"/>
        </w:rPr>
        <w:t> </w:t>
      </w:r>
      <w:r>
        <w:rPr/>
        <w:t>de</w:t>
      </w:r>
      <w:r>
        <w:rPr>
          <w:spacing w:val="-19"/>
        </w:rPr>
        <w:t> </w:t>
      </w:r>
      <w:r>
        <w:rPr/>
        <w:t>respuestas</w:t>
      </w:r>
      <w:r>
        <w:rPr>
          <w:spacing w:val="-18"/>
        </w:rPr>
        <w:t> </w:t>
      </w:r>
      <w:r>
        <w:rPr/>
        <w:t>negativas.</w:t>
      </w:r>
      <w:r>
        <w:rPr>
          <w:spacing w:val="-17"/>
        </w:rPr>
        <w:t> </w:t>
      </w:r>
      <w:r>
        <w:rPr/>
        <w:t>A</w:t>
      </w:r>
      <w:r>
        <w:rPr>
          <w:spacing w:val="-17"/>
        </w:rPr>
        <w:t> </w:t>
      </w:r>
      <w:r>
        <w:rPr/>
        <w:t>partir</w:t>
      </w:r>
      <w:r>
        <w:rPr>
          <w:spacing w:val="-17"/>
        </w:rPr>
        <w:t> </w:t>
      </w:r>
      <w:r>
        <w:rPr/>
        <w:t>de</w:t>
      </w:r>
      <w:r>
        <w:rPr>
          <w:spacing w:val="-16"/>
        </w:rPr>
        <w:t> </w:t>
      </w:r>
      <w:r>
        <w:rPr/>
        <w:t>esto,</w:t>
      </w:r>
      <w:r>
        <w:rPr>
          <w:spacing w:val="-15"/>
        </w:rPr>
        <w:t> </w:t>
      </w:r>
      <w:r>
        <w:rPr/>
        <w:t>y</w:t>
      </w:r>
      <w:r>
        <w:rPr>
          <w:spacing w:val="-18"/>
        </w:rPr>
        <w:t> </w:t>
      </w:r>
      <w:r>
        <w:rPr/>
        <w:t>del</w:t>
      </w:r>
      <w:r>
        <w:rPr>
          <w:spacing w:val="-19"/>
        </w:rPr>
        <w:t> </w:t>
      </w:r>
      <w:r>
        <w:rPr/>
        <w:t>análisis</w:t>
      </w:r>
      <w:r>
        <w:rPr>
          <w:spacing w:val="-18"/>
        </w:rPr>
        <w:t> </w:t>
      </w:r>
      <w:r>
        <w:rPr/>
        <w:t>de</w:t>
      </w:r>
      <w:r>
        <w:rPr>
          <w:spacing w:val="-16"/>
        </w:rPr>
        <w:t> </w:t>
      </w:r>
      <w:r>
        <w:rPr/>
        <w:t>las</w:t>
      </w:r>
      <w:r>
        <w:rPr>
          <w:spacing w:val="-16"/>
        </w:rPr>
        <w:t> </w:t>
      </w:r>
      <w:r>
        <w:rPr/>
        <w:t>preguntas abiertas, se determinaron las categorías sustanciales en las que centraban las respuestas a las preguntas abiertas, ya fueran afirmativas o negativas, y de las cuales se determinó</w:t>
      </w:r>
      <w:r>
        <w:rPr>
          <w:spacing w:val="-33"/>
        </w:rPr>
        <w:t> </w:t>
      </w:r>
      <w:r>
        <w:rPr/>
        <w:t>el número de respuestas en el mismo sentido, identificando a cada profesional, dentro de la clasificación referida con anterioridad. Es importante mencionar que de los abogados que contestaron el cuestionario, no todos han defendido a mujeres, dos de ellos han litigado asuntos</w:t>
      </w:r>
      <w:r>
        <w:rPr>
          <w:spacing w:val="-15"/>
        </w:rPr>
        <w:t> </w:t>
      </w:r>
      <w:r>
        <w:rPr/>
        <w:t>penales,</w:t>
      </w:r>
      <w:r>
        <w:rPr>
          <w:spacing w:val="-15"/>
        </w:rPr>
        <w:t> </w:t>
      </w:r>
      <w:r>
        <w:rPr/>
        <w:t>pero</w:t>
      </w:r>
      <w:r>
        <w:rPr>
          <w:spacing w:val="-16"/>
        </w:rPr>
        <w:t> </w:t>
      </w:r>
      <w:r>
        <w:rPr/>
        <w:t>no</w:t>
      </w:r>
      <w:r>
        <w:rPr>
          <w:spacing w:val="-19"/>
        </w:rPr>
        <w:t> </w:t>
      </w:r>
      <w:r>
        <w:rPr/>
        <w:t>han</w:t>
      </w:r>
      <w:r>
        <w:rPr>
          <w:spacing w:val="-16"/>
        </w:rPr>
        <w:t> </w:t>
      </w:r>
      <w:r>
        <w:rPr/>
        <w:t>defendido</w:t>
      </w:r>
      <w:r>
        <w:rPr>
          <w:spacing w:val="-16"/>
        </w:rPr>
        <w:t> </w:t>
      </w:r>
      <w:r>
        <w:rPr/>
        <w:t>a</w:t>
      </w:r>
      <w:r>
        <w:rPr>
          <w:spacing w:val="-18"/>
        </w:rPr>
        <w:t> </w:t>
      </w:r>
      <w:r>
        <w:rPr/>
        <w:t>mujeres,</w:t>
      </w:r>
      <w:r>
        <w:rPr>
          <w:spacing w:val="-15"/>
        </w:rPr>
        <w:t> </w:t>
      </w:r>
      <w:r>
        <w:rPr/>
        <w:t>no</w:t>
      </w:r>
      <w:r>
        <w:rPr>
          <w:spacing w:val="-19"/>
        </w:rPr>
        <w:t> </w:t>
      </w:r>
      <w:r>
        <w:rPr/>
        <w:t>obstante,</w:t>
      </w:r>
      <w:r>
        <w:rPr>
          <w:spacing w:val="-17"/>
        </w:rPr>
        <w:t> </w:t>
      </w:r>
      <w:r>
        <w:rPr/>
        <w:t>se</w:t>
      </w:r>
      <w:r>
        <w:rPr>
          <w:spacing w:val="-19"/>
        </w:rPr>
        <w:t> </w:t>
      </w:r>
      <w:r>
        <w:rPr/>
        <w:t>les</w:t>
      </w:r>
      <w:r>
        <w:rPr>
          <w:spacing w:val="-16"/>
        </w:rPr>
        <w:t> </w:t>
      </w:r>
      <w:r>
        <w:rPr/>
        <w:t>aplicó</w:t>
      </w:r>
      <w:r>
        <w:rPr>
          <w:spacing w:val="-16"/>
        </w:rPr>
        <w:t> </w:t>
      </w:r>
      <w:r>
        <w:rPr/>
        <w:t>el</w:t>
      </w:r>
      <w:r>
        <w:rPr>
          <w:spacing w:val="-17"/>
        </w:rPr>
        <w:t> </w:t>
      </w:r>
      <w:r>
        <w:rPr/>
        <w:t>cuestionario ya que, en algún momento se enfrentarán a la situación de defender a una mujer que sea acusada de cometer un delito, y es importante conocer lo que opina al</w:t>
      </w:r>
      <w:r>
        <w:rPr>
          <w:spacing w:val="-19"/>
        </w:rPr>
        <w:t> </w:t>
      </w:r>
      <w:r>
        <w:rPr/>
        <w:t>respecto.</w:t>
      </w:r>
    </w:p>
    <w:p>
      <w:pPr>
        <w:pStyle w:val="BodyText"/>
        <w:spacing w:before="7"/>
        <w:rPr>
          <w:sz w:val="17"/>
        </w:rPr>
      </w:pPr>
    </w:p>
    <w:p>
      <w:pPr>
        <w:pStyle w:val="ListParagraph"/>
        <w:numPr>
          <w:ilvl w:val="2"/>
          <w:numId w:val="3"/>
        </w:numPr>
        <w:tabs>
          <w:tab w:pos="654" w:val="left" w:leader="none"/>
        </w:tabs>
        <w:spacing w:line="240" w:lineRule="auto" w:before="0" w:after="0"/>
        <w:ind w:left="653" w:right="0" w:hanging="551"/>
        <w:jc w:val="both"/>
        <w:rPr>
          <w:i/>
          <w:sz w:val="22"/>
        </w:rPr>
      </w:pPr>
      <w:r>
        <w:rPr>
          <w:i/>
          <w:sz w:val="22"/>
        </w:rPr>
        <w:t>Resumen del</w:t>
      </w:r>
      <w:r>
        <w:rPr>
          <w:i/>
          <w:spacing w:val="-5"/>
          <w:sz w:val="22"/>
        </w:rPr>
        <w:t> </w:t>
      </w:r>
      <w:r>
        <w:rPr>
          <w:i/>
          <w:sz w:val="22"/>
        </w:rPr>
        <w:t>diagnóstico</w:t>
      </w:r>
    </w:p>
    <w:p>
      <w:pPr>
        <w:pStyle w:val="BodyText"/>
        <w:spacing w:line="360" w:lineRule="auto" w:before="126"/>
        <w:ind w:left="102" w:right="116"/>
        <w:jc w:val="both"/>
      </w:pPr>
      <w:r>
        <w:rPr/>
        <w:t>Los principales resultados obtenidos en el diágnostico se describen de la siguiente forma: La</w:t>
      </w:r>
      <w:r>
        <w:rPr>
          <w:spacing w:val="-4"/>
        </w:rPr>
        <w:t> </w:t>
      </w:r>
      <w:r>
        <w:rPr/>
        <w:t>primera</w:t>
      </w:r>
      <w:r>
        <w:rPr>
          <w:spacing w:val="-6"/>
        </w:rPr>
        <w:t> </w:t>
      </w:r>
      <w:r>
        <w:rPr/>
        <w:t>pregunta</w:t>
      </w:r>
      <w:r>
        <w:rPr>
          <w:spacing w:val="-8"/>
        </w:rPr>
        <w:t> </w:t>
      </w:r>
      <w:r>
        <w:rPr/>
        <w:t>que</w:t>
      </w:r>
      <w:r>
        <w:rPr>
          <w:spacing w:val="-7"/>
        </w:rPr>
        <w:t> </w:t>
      </w:r>
      <w:r>
        <w:rPr/>
        <w:t>se</w:t>
      </w:r>
      <w:r>
        <w:rPr>
          <w:spacing w:val="-6"/>
        </w:rPr>
        <w:t> </w:t>
      </w:r>
      <w:r>
        <w:rPr/>
        <w:t>abordó</w:t>
      </w:r>
      <w:r>
        <w:rPr>
          <w:spacing w:val="-6"/>
        </w:rPr>
        <w:t> </w:t>
      </w:r>
      <w:r>
        <w:rPr/>
        <w:t>en</w:t>
      </w:r>
      <w:r>
        <w:rPr>
          <w:spacing w:val="-7"/>
        </w:rPr>
        <w:t> </w:t>
      </w:r>
      <w:r>
        <w:rPr/>
        <w:t>el</w:t>
      </w:r>
      <w:r>
        <w:rPr>
          <w:spacing w:val="-5"/>
        </w:rPr>
        <w:t> </w:t>
      </w:r>
      <w:r>
        <w:rPr/>
        <w:t>cuestionario</w:t>
      </w:r>
      <w:r>
        <w:rPr>
          <w:spacing w:val="-4"/>
        </w:rPr>
        <w:t> </w:t>
      </w:r>
      <w:r>
        <w:rPr/>
        <w:t>está</w:t>
      </w:r>
      <w:r>
        <w:rPr>
          <w:spacing w:val="-4"/>
        </w:rPr>
        <w:t> </w:t>
      </w:r>
      <w:r>
        <w:rPr/>
        <w:t>enfocada</w:t>
      </w:r>
      <w:r>
        <w:rPr>
          <w:spacing w:val="-7"/>
        </w:rPr>
        <w:t> </w:t>
      </w:r>
      <w:r>
        <w:rPr/>
        <w:t>a</w:t>
      </w:r>
      <w:r>
        <w:rPr>
          <w:spacing w:val="-6"/>
        </w:rPr>
        <w:t> </w:t>
      </w:r>
      <w:r>
        <w:rPr/>
        <w:t>la</w:t>
      </w:r>
      <w:r>
        <w:rPr>
          <w:spacing w:val="-4"/>
        </w:rPr>
        <w:t> </w:t>
      </w:r>
      <w:r>
        <w:rPr/>
        <w:t>sensibilización</w:t>
      </w:r>
      <w:r>
        <w:rPr>
          <w:spacing w:val="-4"/>
        </w:rPr>
        <w:t> </w:t>
      </w:r>
      <w:r>
        <w:rPr/>
        <w:t>en cuanto al género y la discriminación de las mujeres derivada de las construcción social del sexo, se intentó indagar sobre la opinión de los abogados y las abogadas respecto a la situación</w:t>
      </w:r>
      <w:r>
        <w:rPr>
          <w:spacing w:val="-6"/>
        </w:rPr>
        <w:t> </w:t>
      </w:r>
      <w:r>
        <w:rPr/>
        <w:t>de</w:t>
      </w:r>
      <w:r>
        <w:rPr>
          <w:spacing w:val="-6"/>
        </w:rPr>
        <w:t> </w:t>
      </w:r>
      <w:r>
        <w:rPr/>
        <w:t>desigualdad</w:t>
      </w:r>
      <w:r>
        <w:rPr>
          <w:spacing w:val="-5"/>
        </w:rPr>
        <w:t> </w:t>
      </w:r>
      <w:r>
        <w:rPr/>
        <w:t>en</w:t>
      </w:r>
      <w:r>
        <w:rPr>
          <w:spacing w:val="-6"/>
        </w:rPr>
        <w:t> </w:t>
      </w:r>
      <w:r>
        <w:rPr/>
        <w:t>la</w:t>
      </w:r>
      <w:r>
        <w:rPr>
          <w:spacing w:val="-5"/>
        </w:rPr>
        <w:t> </w:t>
      </w:r>
      <w:r>
        <w:rPr/>
        <w:t>que</w:t>
      </w:r>
      <w:r>
        <w:rPr>
          <w:spacing w:val="-8"/>
        </w:rPr>
        <w:t> </w:t>
      </w:r>
      <w:r>
        <w:rPr/>
        <w:t>se</w:t>
      </w:r>
      <w:r>
        <w:rPr>
          <w:spacing w:val="-5"/>
        </w:rPr>
        <w:t> </w:t>
      </w:r>
      <w:r>
        <w:rPr/>
        <w:t>encuentran</w:t>
      </w:r>
      <w:r>
        <w:rPr>
          <w:spacing w:val="-8"/>
        </w:rPr>
        <w:t> </w:t>
      </w:r>
      <w:r>
        <w:rPr/>
        <w:t>socialmente</w:t>
      </w:r>
      <w:r>
        <w:rPr>
          <w:spacing w:val="-5"/>
        </w:rPr>
        <w:t> </w:t>
      </w:r>
      <w:r>
        <w:rPr/>
        <w:t>las</w:t>
      </w:r>
      <w:r>
        <w:rPr>
          <w:spacing w:val="-8"/>
        </w:rPr>
        <w:t> </w:t>
      </w:r>
      <w:r>
        <w:rPr/>
        <w:t>mujeres</w:t>
      </w:r>
      <w:r>
        <w:rPr>
          <w:spacing w:val="-7"/>
        </w:rPr>
        <w:t> </w:t>
      </w:r>
      <w:r>
        <w:rPr/>
        <w:t>con</w:t>
      </w:r>
      <w:r>
        <w:rPr>
          <w:spacing w:val="-6"/>
        </w:rPr>
        <w:t> </w:t>
      </w:r>
      <w:r>
        <w:rPr/>
        <w:t>respecto</w:t>
      </w:r>
      <w:r>
        <w:rPr>
          <w:spacing w:val="-8"/>
        </w:rPr>
        <w:t> </w:t>
      </w:r>
      <w:r>
        <w:rPr/>
        <w:t>de los hombres, a lo cual 61 por ciento refirió que las mujeres no se encuentran socialmente en</w:t>
      </w:r>
      <w:r>
        <w:rPr>
          <w:spacing w:val="-3"/>
        </w:rPr>
        <w:t> </w:t>
      </w:r>
      <w:r>
        <w:rPr/>
        <w:t>un</w:t>
      </w:r>
      <w:r>
        <w:rPr>
          <w:spacing w:val="-6"/>
        </w:rPr>
        <w:t> </w:t>
      </w:r>
      <w:r>
        <w:rPr/>
        <w:t>plano</w:t>
      </w:r>
      <w:r>
        <w:rPr>
          <w:spacing w:val="-5"/>
        </w:rPr>
        <w:t> </w:t>
      </w:r>
      <w:r>
        <w:rPr/>
        <w:t>de</w:t>
      </w:r>
      <w:r>
        <w:rPr>
          <w:spacing w:val="-6"/>
        </w:rPr>
        <w:t> </w:t>
      </w:r>
      <w:r>
        <w:rPr/>
        <w:t>desigualdad</w:t>
      </w:r>
      <w:r>
        <w:rPr>
          <w:spacing w:val="-3"/>
        </w:rPr>
        <w:t> </w:t>
      </w:r>
      <w:r>
        <w:rPr/>
        <w:t>con</w:t>
      </w:r>
      <w:r>
        <w:rPr>
          <w:spacing w:val="-8"/>
        </w:rPr>
        <w:t> </w:t>
      </w:r>
      <w:r>
        <w:rPr/>
        <w:t>respecto</w:t>
      </w:r>
      <w:r>
        <w:rPr>
          <w:spacing w:val="-5"/>
        </w:rPr>
        <w:t> </w:t>
      </w:r>
      <w:r>
        <w:rPr/>
        <w:t>de</w:t>
      </w:r>
      <w:r>
        <w:rPr>
          <w:spacing w:val="-6"/>
        </w:rPr>
        <w:t> </w:t>
      </w:r>
      <w:r>
        <w:rPr/>
        <w:t>los</w:t>
      </w:r>
      <w:r>
        <w:rPr>
          <w:spacing w:val="-5"/>
        </w:rPr>
        <w:t> </w:t>
      </w:r>
      <w:r>
        <w:rPr/>
        <w:t>hombres,</w:t>
      </w:r>
      <w:r>
        <w:rPr>
          <w:spacing w:val="-4"/>
        </w:rPr>
        <w:t> </w:t>
      </w:r>
      <w:r>
        <w:rPr/>
        <w:t>porcentaje</w:t>
      </w:r>
      <w:r>
        <w:rPr>
          <w:spacing w:val="-5"/>
        </w:rPr>
        <w:t> </w:t>
      </w:r>
      <w:r>
        <w:rPr/>
        <w:t>del</w:t>
      </w:r>
      <w:r>
        <w:rPr>
          <w:spacing w:val="-6"/>
        </w:rPr>
        <w:t> </w:t>
      </w:r>
      <w:r>
        <w:rPr/>
        <w:t>cual</w:t>
      </w:r>
      <w:r>
        <w:rPr>
          <w:spacing w:val="-4"/>
        </w:rPr>
        <w:t> </w:t>
      </w:r>
      <w:r>
        <w:rPr/>
        <w:t>75</w:t>
      </w:r>
      <w:r>
        <w:rPr>
          <w:spacing w:val="-6"/>
        </w:rPr>
        <w:t> </w:t>
      </w:r>
      <w:r>
        <w:rPr/>
        <w:t>por</w:t>
      </w:r>
      <w:r>
        <w:rPr>
          <w:spacing w:val="-4"/>
        </w:rPr>
        <w:t> </w:t>
      </w:r>
      <w:r>
        <w:rPr/>
        <w:t>ciento refirió, que no existe desigualdad social entre hombres y mujeres, porque la ley establece que hombres y mujeres son</w:t>
      </w:r>
      <w:r>
        <w:rPr>
          <w:spacing w:val="-11"/>
        </w:rPr>
        <w:t> </w:t>
      </w:r>
      <w:r>
        <w:rPr/>
        <w:t>iguales.</w:t>
      </w:r>
    </w:p>
    <w:p>
      <w:pPr>
        <w:pStyle w:val="BodyText"/>
        <w:spacing w:line="360" w:lineRule="auto" w:before="3"/>
        <w:ind w:left="102" w:right="116"/>
        <w:jc w:val="both"/>
      </w:pPr>
      <w:r>
        <w:rPr/>
        <w:t>El 39 por ciento refirió que las mujeres sí se encuentran socialmente, en un plano de desigualdad,</w:t>
      </w:r>
      <w:r>
        <w:rPr>
          <w:spacing w:val="-7"/>
        </w:rPr>
        <w:t> </w:t>
      </w:r>
      <w:r>
        <w:rPr/>
        <w:t>con</w:t>
      </w:r>
      <w:r>
        <w:rPr>
          <w:spacing w:val="-10"/>
        </w:rPr>
        <w:t> </w:t>
      </w:r>
      <w:r>
        <w:rPr/>
        <w:t>respecto</w:t>
      </w:r>
      <w:r>
        <w:rPr>
          <w:spacing w:val="-8"/>
        </w:rPr>
        <w:t> </w:t>
      </w:r>
      <w:r>
        <w:rPr/>
        <w:t>de</w:t>
      </w:r>
      <w:r>
        <w:rPr>
          <w:spacing w:val="-8"/>
        </w:rPr>
        <w:t> </w:t>
      </w:r>
      <w:r>
        <w:rPr/>
        <w:t>los</w:t>
      </w:r>
      <w:r>
        <w:rPr>
          <w:spacing w:val="-8"/>
        </w:rPr>
        <w:t> </w:t>
      </w:r>
      <w:r>
        <w:rPr/>
        <w:t>hombres,</w:t>
      </w:r>
      <w:r>
        <w:rPr>
          <w:spacing w:val="-9"/>
        </w:rPr>
        <w:t> </w:t>
      </w:r>
      <w:r>
        <w:rPr/>
        <w:t>y</w:t>
      </w:r>
      <w:r>
        <w:rPr>
          <w:spacing w:val="-10"/>
        </w:rPr>
        <w:t> </w:t>
      </w:r>
      <w:r>
        <w:rPr/>
        <w:t>de</w:t>
      </w:r>
      <w:r>
        <w:rPr>
          <w:spacing w:val="-8"/>
        </w:rPr>
        <w:t> </w:t>
      </w:r>
      <w:r>
        <w:rPr/>
        <w:t>dicho</w:t>
      </w:r>
      <w:r>
        <w:rPr>
          <w:spacing w:val="-8"/>
        </w:rPr>
        <w:t> </w:t>
      </w:r>
      <w:r>
        <w:rPr/>
        <w:t>porcentaje</w:t>
      </w:r>
      <w:r>
        <w:rPr>
          <w:spacing w:val="-10"/>
        </w:rPr>
        <w:t> </w:t>
      </w:r>
      <w:r>
        <w:rPr/>
        <w:t>el</w:t>
      </w:r>
      <w:r>
        <w:rPr>
          <w:spacing w:val="-9"/>
        </w:rPr>
        <w:t> </w:t>
      </w:r>
      <w:r>
        <w:rPr/>
        <w:t>50</w:t>
      </w:r>
      <w:r>
        <w:rPr>
          <w:spacing w:val="-8"/>
        </w:rPr>
        <w:t> </w:t>
      </w:r>
      <w:r>
        <w:rPr/>
        <w:t>por</w:t>
      </w:r>
      <w:r>
        <w:rPr>
          <w:spacing w:val="-9"/>
        </w:rPr>
        <w:t> </w:t>
      </w:r>
      <w:r>
        <w:rPr/>
        <w:t>ciento</w:t>
      </w:r>
      <w:r>
        <w:rPr>
          <w:spacing w:val="-8"/>
        </w:rPr>
        <w:t> </w:t>
      </w:r>
      <w:r>
        <w:rPr/>
        <w:t>consideró que</w:t>
      </w:r>
      <w:r>
        <w:rPr>
          <w:spacing w:val="-9"/>
        </w:rPr>
        <w:t> </w:t>
      </w:r>
      <w:r>
        <w:rPr/>
        <w:t>esta</w:t>
      </w:r>
      <w:r>
        <w:rPr>
          <w:spacing w:val="-8"/>
        </w:rPr>
        <w:t> </w:t>
      </w:r>
      <w:r>
        <w:rPr/>
        <w:t>desigualdad</w:t>
      </w:r>
      <w:r>
        <w:rPr>
          <w:spacing w:val="-9"/>
        </w:rPr>
        <w:t> </w:t>
      </w:r>
      <w:r>
        <w:rPr/>
        <w:t>se</w:t>
      </w:r>
      <w:r>
        <w:rPr>
          <w:spacing w:val="-9"/>
        </w:rPr>
        <w:t> </w:t>
      </w:r>
      <w:r>
        <w:rPr/>
        <w:t>debía</w:t>
      </w:r>
      <w:r>
        <w:rPr>
          <w:spacing w:val="-6"/>
        </w:rPr>
        <w:t> </w:t>
      </w:r>
      <w:r>
        <w:rPr/>
        <w:t>a</w:t>
      </w:r>
      <w:r>
        <w:rPr>
          <w:spacing w:val="-6"/>
        </w:rPr>
        <w:t> </w:t>
      </w:r>
      <w:r>
        <w:rPr/>
        <w:t>la</w:t>
      </w:r>
      <w:r>
        <w:rPr>
          <w:spacing w:val="-6"/>
        </w:rPr>
        <w:t> </w:t>
      </w:r>
      <w:r>
        <w:rPr/>
        <w:t>imparcialidad</w:t>
      </w:r>
      <w:r>
        <w:rPr>
          <w:spacing w:val="-9"/>
        </w:rPr>
        <w:t> </w:t>
      </w:r>
      <w:r>
        <w:rPr/>
        <w:t>de</w:t>
      </w:r>
      <w:r>
        <w:rPr>
          <w:spacing w:val="-7"/>
        </w:rPr>
        <w:t> </w:t>
      </w:r>
      <w:r>
        <w:rPr/>
        <w:t>las</w:t>
      </w:r>
      <w:r>
        <w:rPr>
          <w:spacing w:val="-6"/>
        </w:rPr>
        <w:t> </w:t>
      </w:r>
      <w:r>
        <w:rPr/>
        <w:t>normas</w:t>
      </w:r>
      <w:r>
        <w:rPr>
          <w:spacing w:val="-8"/>
        </w:rPr>
        <w:t> </w:t>
      </w:r>
      <w:r>
        <w:rPr/>
        <w:t>jurídicas.</w:t>
      </w:r>
      <w:r>
        <w:rPr>
          <w:spacing w:val="-8"/>
        </w:rPr>
        <w:t> </w:t>
      </w:r>
      <w:r>
        <w:rPr/>
        <w:t>Para</w:t>
      </w:r>
      <w:r>
        <w:rPr>
          <w:spacing w:val="-6"/>
        </w:rPr>
        <w:t> </w:t>
      </w:r>
      <w:r>
        <w:rPr/>
        <w:t>esto</w:t>
      </w:r>
      <w:r>
        <w:rPr>
          <w:spacing w:val="-6"/>
        </w:rPr>
        <w:t> </w:t>
      </w:r>
      <w:r>
        <w:rPr/>
        <w:t>las</w:t>
      </w:r>
      <w:r>
        <w:rPr>
          <w:spacing w:val="-9"/>
        </w:rPr>
        <w:t> </w:t>
      </w:r>
      <w:r>
        <w:rPr/>
        <w:t>dos abogadas y el abgado del Consejo Estatal de la Mujer, consideran que las mujeres sí se encuentran socialmente, en un plano de desigualdad con respecto de los hombres. Por lo que hace a los  Defensores  Públicos 66.66 por ciento  consideró que  las  mujeres no  </w:t>
      </w:r>
      <w:r>
        <w:rPr>
          <w:spacing w:val="9"/>
        </w:rPr>
        <w:t> </w:t>
      </w:r>
      <w:r>
        <w:rPr/>
        <w:t>se</w:t>
      </w:r>
    </w:p>
    <w:p>
      <w:pPr>
        <w:spacing w:after="0" w:line="360" w:lineRule="auto"/>
        <w:jc w:val="both"/>
        <w:sectPr>
          <w:pgSz w:w="12240" w:h="15840"/>
          <w:pgMar w:header="0" w:footer="1002" w:top="1360" w:bottom="1200" w:left="1600" w:right="1580"/>
        </w:sectPr>
      </w:pPr>
    </w:p>
    <w:p>
      <w:pPr>
        <w:pStyle w:val="BodyText"/>
        <w:spacing w:line="360" w:lineRule="auto" w:before="54"/>
        <w:ind w:left="102" w:right="116"/>
        <w:jc w:val="both"/>
      </w:pPr>
      <w:r>
        <w:rPr/>
        <w:t>encuentren en desigualdad social, con respecto de los hombres, cabe resaltar que la defensora de oficio, se encuentra en este sector, y el 3.33 por ciento de los defensores de oficio, considerarón que sí existe una desigualdad social para las mujeres con respecto de los hombres. El 73 por ciento de los abogados privados, considera que las mujeres no se encuentran en desigualdad social con respecto de los hombres, siendo 27 por ciento de este sector que opina que las mujeres sí se encuentran en una situación de desigualdad social</w:t>
      </w:r>
      <w:r>
        <w:rPr>
          <w:spacing w:val="-7"/>
        </w:rPr>
        <w:t> </w:t>
      </w:r>
      <w:r>
        <w:rPr/>
        <w:t>con</w:t>
      </w:r>
      <w:r>
        <w:rPr>
          <w:spacing w:val="-9"/>
        </w:rPr>
        <w:t> </w:t>
      </w:r>
      <w:r>
        <w:rPr/>
        <w:t>respecto</w:t>
      </w:r>
      <w:r>
        <w:rPr>
          <w:spacing w:val="-6"/>
        </w:rPr>
        <w:t> </w:t>
      </w:r>
      <w:r>
        <w:rPr/>
        <w:t>de</w:t>
      </w:r>
      <w:r>
        <w:rPr>
          <w:spacing w:val="-9"/>
        </w:rPr>
        <w:t> </w:t>
      </w:r>
      <w:r>
        <w:rPr/>
        <w:t>los</w:t>
      </w:r>
      <w:r>
        <w:rPr>
          <w:spacing w:val="-6"/>
        </w:rPr>
        <w:t> </w:t>
      </w:r>
      <w:r>
        <w:rPr/>
        <w:t>hombres,</w:t>
      </w:r>
      <w:r>
        <w:rPr>
          <w:spacing w:val="-5"/>
        </w:rPr>
        <w:t> </w:t>
      </w:r>
      <w:r>
        <w:rPr/>
        <w:t>por</w:t>
      </w:r>
      <w:r>
        <w:rPr>
          <w:spacing w:val="-8"/>
        </w:rPr>
        <w:t> </w:t>
      </w:r>
      <w:r>
        <w:rPr/>
        <w:t>lo</w:t>
      </w:r>
      <w:r>
        <w:rPr>
          <w:spacing w:val="-9"/>
        </w:rPr>
        <w:t> </w:t>
      </w:r>
      <w:r>
        <w:rPr/>
        <w:t>que</w:t>
      </w:r>
      <w:r>
        <w:rPr>
          <w:spacing w:val="-9"/>
        </w:rPr>
        <w:t> </w:t>
      </w:r>
      <w:r>
        <w:rPr/>
        <w:t>hace</w:t>
      </w:r>
      <w:r>
        <w:rPr>
          <w:spacing w:val="-6"/>
        </w:rPr>
        <w:t> </w:t>
      </w:r>
      <w:r>
        <w:rPr/>
        <w:t>a</w:t>
      </w:r>
      <w:r>
        <w:rPr>
          <w:spacing w:val="-9"/>
        </w:rPr>
        <w:t> </w:t>
      </w:r>
      <w:r>
        <w:rPr/>
        <w:t>las</w:t>
      </w:r>
      <w:r>
        <w:rPr>
          <w:spacing w:val="-6"/>
        </w:rPr>
        <w:t> </w:t>
      </w:r>
      <w:r>
        <w:rPr/>
        <w:t>abogadas</w:t>
      </w:r>
      <w:r>
        <w:rPr>
          <w:spacing w:val="-9"/>
        </w:rPr>
        <w:t> </w:t>
      </w:r>
      <w:r>
        <w:rPr/>
        <w:t>privadas</w:t>
      </w:r>
      <w:r>
        <w:rPr>
          <w:spacing w:val="48"/>
        </w:rPr>
        <w:t> </w:t>
      </w:r>
      <w:r>
        <w:rPr/>
        <w:t>50</w:t>
      </w:r>
      <w:r>
        <w:rPr>
          <w:spacing w:val="-7"/>
        </w:rPr>
        <w:t> </w:t>
      </w:r>
      <w:r>
        <w:rPr/>
        <w:t>por</w:t>
      </w:r>
      <w:r>
        <w:rPr>
          <w:spacing w:val="-8"/>
        </w:rPr>
        <w:t> </w:t>
      </w:r>
      <w:r>
        <w:rPr/>
        <w:t>ciento considera que las mujeres sí se encuentran en desigualdad social con respecto de los hombres, mientras que otro 50 por ciento considera que no hay tal</w:t>
      </w:r>
      <w:r>
        <w:rPr>
          <w:spacing w:val="-22"/>
        </w:rPr>
        <w:t> </w:t>
      </w:r>
      <w:r>
        <w:rPr/>
        <w:t>desigualdad.</w:t>
      </w:r>
    </w:p>
    <w:p>
      <w:pPr>
        <w:pStyle w:val="BodyText"/>
        <w:spacing w:line="360" w:lineRule="auto" w:before="3"/>
        <w:ind w:left="102" w:right="116"/>
        <w:jc w:val="both"/>
      </w:pPr>
      <w:r>
        <w:rPr/>
        <w:t>Los datos arrojados por las respuestas a esta pregunta, son significativos en el sentido de que un porcentaje alto de abogados y abogadas considera que no hay desigualdad social entre hombres y mujeres, lo que impide que se visualicen las condiciones de discrimiación que sufren las mujeres con respecto de los hombres, así mismo llama la atención el hecho de que del total de las abogadas que fueron encuestadas, 47 por ciento, casi la mitad considera que las mujeres no se encuentran en un estado de desigualdad social con respecto de los hombres.</w:t>
      </w:r>
    </w:p>
    <w:p>
      <w:pPr>
        <w:pStyle w:val="BodyText"/>
      </w:pPr>
    </w:p>
    <w:p>
      <w:pPr>
        <w:spacing w:line="360" w:lineRule="auto" w:before="126"/>
        <w:ind w:left="102" w:right="127" w:firstLine="0"/>
        <w:jc w:val="both"/>
        <w:rPr>
          <w:b/>
          <w:sz w:val="20"/>
        </w:rPr>
      </w:pPr>
      <w:r>
        <w:rPr>
          <w:b/>
          <w:sz w:val="20"/>
        </w:rPr>
        <w:t>Gráfico 1. Percepción de la igualdad social de las mujeres con respecto de los hombres por parte de abogados y abogadas</w:t>
      </w:r>
    </w:p>
    <w:p>
      <w:pPr>
        <w:pStyle w:val="BodyText"/>
        <w:spacing w:before="6"/>
        <w:rPr>
          <w:b/>
          <w:sz w:val="29"/>
        </w:rPr>
      </w:pPr>
      <w:r>
        <w:rPr/>
        <w:pict>
          <v:group style="position:absolute;margin-left:124.904999pt;margin-top:18.969934pt;width:360.75pt;height:170.55pt;mso-position-horizontal-relative:page;mso-position-vertical-relative:paragraph;z-index:1360;mso-wrap-distance-left:0;mso-wrap-distance-right:0" coordorigin="2498,379" coordsize="7215,3411">
            <v:shape style="position:absolute;left:2959;top:764;width:6746;height:2729" type="#_x0000_t75" stroked="false">
              <v:imagedata r:id="rId13" o:title=""/>
            </v:shape>
            <v:shape style="position:absolute;left:6749;top:1373;width:686;height:689" type="#_x0000_t75" stroked="false">
              <v:imagedata r:id="rId14" o:title=""/>
            </v:shape>
            <v:shape style="position:absolute;left:5292;top:1745;width:689;height:686" type="#_x0000_t75" stroked="false">
              <v:imagedata r:id="rId15" o:title=""/>
            </v:shape>
            <v:rect style="position:absolute;left:2506;top:387;width:7200;height:3396" filled="false" stroked="true" strokeweight=".72pt" strokecolor="#bebebe"/>
            <v:shape style="position:absolute;left:5397;top:1843;width:398;height:430" type="#_x0000_t202" filled="false" stroked="false">
              <v:textbox inset="0,0,0,0">
                <w:txbxContent>
                  <w:p>
                    <w:pPr>
                      <w:spacing w:line="204" w:lineRule="exact" w:before="0"/>
                      <w:ind w:left="0" w:right="-3" w:firstLine="64"/>
                      <w:jc w:val="left"/>
                      <w:rPr>
                        <w:b/>
                        <w:sz w:val="20"/>
                      </w:rPr>
                    </w:pPr>
                    <w:r>
                      <w:rPr>
                        <w:b/>
                        <w:color w:val="FFFFFF"/>
                        <w:sz w:val="20"/>
                      </w:rPr>
                      <w:t>No</w:t>
                    </w:r>
                  </w:p>
                  <w:p>
                    <w:pPr>
                      <w:spacing w:line="225" w:lineRule="exact" w:before="0"/>
                      <w:ind w:left="0" w:right="-3" w:firstLine="0"/>
                      <w:jc w:val="left"/>
                      <w:rPr>
                        <w:b/>
                        <w:sz w:val="20"/>
                      </w:rPr>
                    </w:pPr>
                    <w:r>
                      <w:rPr>
                        <w:b/>
                        <w:color w:val="FFFFFF"/>
                        <w:w w:val="95"/>
                        <w:sz w:val="20"/>
                      </w:rPr>
                      <w:t>61%</w:t>
                    </w:r>
                  </w:p>
                </w:txbxContent>
              </v:textbox>
              <w10:wrap type="none"/>
            </v:shape>
            <v:shape style="position:absolute;left:6853;top:1471;width:398;height:430" type="#_x0000_t202" filled="false" stroked="false">
              <v:textbox inset="0,0,0,0">
                <w:txbxContent>
                  <w:p>
                    <w:pPr>
                      <w:spacing w:line="204" w:lineRule="exact" w:before="0"/>
                      <w:ind w:left="0" w:right="5" w:firstLine="0"/>
                      <w:jc w:val="center"/>
                      <w:rPr>
                        <w:b/>
                        <w:sz w:val="20"/>
                      </w:rPr>
                    </w:pPr>
                    <w:r>
                      <w:rPr>
                        <w:b/>
                        <w:color w:val="FFFFFF"/>
                        <w:sz w:val="20"/>
                      </w:rPr>
                      <w:t>Sí</w:t>
                    </w:r>
                  </w:p>
                  <w:p>
                    <w:pPr>
                      <w:spacing w:line="225" w:lineRule="exact" w:before="0"/>
                      <w:ind w:left="-1" w:right="0" w:firstLine="0"/>
                      <w:jc w:val="center"/>
                      <w:rPr>
                        <w:b/>
                        <w:sz w:val="20"/>
                      </w:rPr>
                    </w:pPr>
                    <w:r>
                      <w:rPr>
                        <w:b/>
                        <w:color w:val="FFFFFF"/>
                        <w:spacing w:val="-1"/>
                        <w:w w:val="95"/>
                        <w:sz w:val="20"/>
                      </w:rPr>
                      <w:t>39%</w:t>
                    </w:r>
                  </w:p>
                </w:txbxContent>
              </v:textbox>
              <w10:wrap type="none"/>
            </v:shape>
            <w10:wrap type="topAndBottom"/>
          </v:group>
        </w:pict>
      </w:r>
    </w:p>
    <w:p>
      <w:pPr>
        <w:spacing w:before="114"/>
        <w:ind w:left="2000" w:right="96" w:firstLine="0"/>
        <w:jc w:val="left"/>
        <w:rPr>
          <w:sz w:val="20"/>
        </w:rPr>
      </w:pPr>
      <w:r>
        <w:rPr>
          <w:sz w:val="20"/>
        </w:rPr>
        <w:t>Fuente: elaboración propia con base en Montoya (2015).</w:t>
      </w:r>
    </w:p>
    <w:p>
      <w:pPr>
        <w:pStyle w:val="BodyText"/>
        <w:rPr>
          <w:sz w:val="20"/>
        </w:rPr>
      </w:pPr>
    </w:p>
    <w:p>
      <w:pPr>
        <w:pStyle w:val="BodyText"/>
        <w:spacing w:before="10"/>
      </w:pPr>
    </w:p>
    <w:p>
      <w:pPr>
        <w:pStyle w:val="BodyText"/>
        <w:spacing w:line="360" w:lineRule="auto"/>
        <w:ind w:left="102" w:right="114"/>
        <w:jc w:val="both"/>
      </w:pPr>
      <w:r>
        <w:rPr/>
        <w:t>La segunda pregunta, también referente a determinar si los y las profeionales del derecho están sensibilizados en materia de género. Se cuestionó, si las leyes que se emiten para proteger los derechos de las mujeres, constituyen un agravio al principio de igual entre</w:t>
      </w:r>
    </w:p>
    <w:p>
      <w:pPr>
        <w:spacing w:after="0" w:line="360" w:lineRule="auto"/>
        <w:jc w:val="both"/>
        <w:sectPr>
          <w:footerReference w:type="default" r:id="rId12"/>
          <w:pgSz w:w="12240" w:h="15840"/>
          <w:pgMar w:footer="1002" w:header="0" w:top="1360" w:bottom="1200" w:left="1600" w:right="1580"/>
        </w:sectPr>
      </w:pPr>
    </w:p>
    <w:p>
      <w:pPr>
        <w:pStyle w:val="BodyText"/>
        <w:spacing w:line="360" w:lineRule="auto" w:before="54"/>
        <w:ind w:left="102" w:right="116"/>
        <w:jc w:val="both"/>
      </w:pPr>
      <w:r>
        <w:rPr/>
        <w:t>hombres y mujeres, a lo que 37 por ciento señaló que sí constituyen una violación al principio de igualdad, porcentaje del cual 59 por ciento señaló que existe igualdad legal y por lo tanto ya no son necesarias. Por otro lado, 63 por ciento señaló que las leyes especiales</w:t>
      </w:r>
      <w:r>
        <w:rPr>
          <w:spacing w:val="-6"/>
        </w:rPr>
        <w:t> </w:t>
      </w:r>
      <w:r>
        <w:rPr/>
        <w:t>que</w:t>
      </w:r>
      <w:r>
        <w:rPr>
          <w:spacing w:val="-6"/>
        </w:rPr>
        <w:t> </w:t>
      </w:r>
      <w:r>
        <w:rPr/>
        <w:t>protegen</w:t>
      </w:r>
      <w:r>
        <w:rPr>
          <w:spacing w:val="-11"/>
        </w:rPr>
        <w:t> </w:t>
      </w:r>
      <w:r>
        <w:rPr/>
        <w:t>derechos</w:t>
      </w:r>
      <w:r>
        <w:rPr>
          <w:spacing w:val="-9"/>
        </w:rPr>
        <w:t> </w:t>
      </w:r>
      <w:r>
        <w:rPr/>
        <w:t>de</w:t>
      </w:r>
      <w:r>
        <w:rPr>
          <w:spacing w:val="-7"/>
        </w:rPr>
        <w:t> </w:t>
      </w:r>
      <w:r>
        <w:rPr/>
        <w:t>las</w:t>
      </w:r>
      <w:r>
        <w:rPr>
          <w:spacing w:val="-9"/>
        </w:rPr>
        <w:t> </w:t>
      </w:r>
      <w:r>
        <w:rPr/>
        <w:t>mujeres,</w:t>
      </w:r>
      <w:r>
        <w:rPr>
          <w:spacing w:val="-7"/>
        </w:rPr>
        <w:t> </w:t>
      </w:r>
      <w:r>
        <w:rPr/>
        <w:t>no</w:t>
      </w:r>
      <w:r>
        <w:rPr>
          <w:spacing w:val="-7"/>
        </w:rPr>
        <w:t> </w:t>
      </w:r>
      <w:r>
        <w:rPr/>
        <w:t>constituyen</w:t>
      </w:r>
      <w:r>
        <w:rPr>
          <w:spacing w:val="-7"/>
        </w:rPr>
        <w:t> </w:t>
      </w:r>
      <w:r>
        <w:rPr/>
        <w:t>un</w:t>
      </w:r>
      <w:r>
        <w:rPr>
          <w:spacing w:val="-9"/>
        </w:rPr>
        <w:t> </w:t>
      </w:r>
      <w:r>
        <w:rPr/>
        <w:t>agravio</w:t>
      </w:r>
      <w:r>
        <w:rPr>
          <w:spacing w:val="-6"/>
        </w:rPr>
        <w:t> </w:t>
      </w:r>
      <w:r>
        <w:rPr/>
        <w:t>al</w:t>
      </w:r>
      <w:r>
        <w:rPr>
          <w:spacing w:val="-7"/>
        </w:rPr>
        <w:t> </w:t>
      </w:r>
      <w:r>
        <w:rPr/>
        <w:t>principio</w:t>
      </w:r>
      <w:r>
        <w:rPr>
          <w:spacing w:val="-6"/>
        </w:rPr>
        <w:t> </w:t>
      </w:r>
      <w:r>
        <w:rPr/>
        <w:t>de igualdad, mencionando en 90 por ciento que, precisamente, esas leyes son creadas para lograr la igualdad. El 32 por ciento de los abogados y 47 por ciento de las abogadas señalaron que las leyes especiales constituyen una violación al principio de igualdad entre hombres</w:t>
      </w:r>
      <w:r>
        <w:rPr>
          <w:spacing w:val="-8"/>
        </w:rPr>
        <w:t> </w:t>
      </w:r>
      <w:r>
        <w:rPr/>
        <w:t>y</w:t>
      </w:r>
      <w:r>
        <w:rPr>
          <w:spacing w:val="-11"/>
        </w:rPr>
        <w:t> </w:t>
      </w:r>
      <w:r>
        <w:rPr/>
        <w:t>mujeres.</w:t>
      </w:r>
      <w:r>
        <w:rPr>
          <w:spacing w:val="-5"/>
        </w:rPr>
        <w:t> </w:t>
      </w:r>
      <w:r>
        <w:rPr/>
        <w:t>El</w:t>
      </w:r>
      <w:r>
        <w:rPr>
          <w:spacing w:val="-9"/>
        </w:rPr>
        <w:t> </w:t>
      </w:r>
      <w:r>
        <w:rPr/>
        <w:t>resultado</w:t>
      </w:r>
      <w:r>
        <w:rPr>
          <w:spacing w:val="-6"/>
        </w:rPr>
        <w:t> </w:t>
      </w:r>
      <w:r>
        <w:rPr/>
        <w:t>de</w:t>
      </w:r>
      <w:r>
        <w:rPr>
          <w:spacing w:val="-7"/>
        </w:rPr>
        <w:t> </w:t>
      </w:r>
      <w:r>
        <w:rPr/>
        <w:t>estas</w:t>
      </w:r>
      <w:r>
        <w:rPr>
          <w:spacing w:val="-9"/>
        </w:rPr>
        <w:t> </w:t>
      </w:r>
      <w:r>
        <w:rPr/>
        <w:t>respuestas</w:t>
      </w:r>
      <w:r>
        <w:rPr>
          <w:spacing w:val="-9"/>
        </w:rPr>
        <w:t> </w:t>
      </w:r>
      <w:r>
        <w:rPr/>
        <w:t>puede</w:t>
      </w:r>
      <w:r>
        <w:rPr>
          <w:spacing w:val="-9"/>
        </w:rPr>
        <w:t> </w:t>
      </w:r>
      <w:r>
        <w:rPr/>
        <w:t>resultar</w:t>
      </w:r>
      <w:r>
        <w:rPr>
          <w:spacing w:val="-5"/>
        </w:rPr>
        <w:t> </w:t>
      </w:r>
      <w:r>
        <w:rPr/>
        <w:t>alentador,</w:t>
      </w:r>
      <w:r>
        <w:rPr>
          <w:spacing w:val="-7"/>
        </w:rPr>
        <w:t> </w:t>
      </w:r>
      <w:r>
        <w:rPr/>
        <w:t>no</w:t>
      </w:r>
      <w:r>
        <w:rPr>
          <w:spacing w:val="-9"/>
        </w:rPr>
        <w:t> </w:t>
      </w:r>
      <w:r>
        <w:rPr/>
        <w:t>obstante resulta contradictorio a los reultados de las respuestas de la pregunta</w:t>
      </w:r>
      <w:r>
        <w:rPr>
          <w:spacing w:val="-27"/>
        </w:rPr>
        <w:t> </w:t>
      </w:r>
      <w:r>
        <w:rPr/>
        <w:t>siguiente.</w:t>
      </w:r>
    </w:p>
    <w:p>
      <w:pPr>
        <w:pStyle w:val="BodyText"/>
      </w:pPr>
    </w:p>
    <w:p>
      <w:pPr>
        <w:spacing w:line="357" w:lineRule="auto" w:before="129" w:after="3"/>
        <w:ind w:left="102" w:right="126" w:firstLine="0"/>
        <w:jc w:val="both"/>
        <w:rPr>
          <w:b/>
          <w:sz w:val="20"/>
        </w:rPr>
      </w:pPr>
      <w:r>
        <w:rPr>
          <w:b/>
          <w:sz w:val="20"/>
        </w:rPr>
        <w:t>Gáfica</w:t>
      </w:r>
      <w:r>
        <w:rPr>
          <w:b/>
          <w:spacing w:val="-15"/>
          <w:sz w:val="20"/>
        </w:rPr>
        <w:t> </w:t>
      </w:r>
      <w:r>
        <w:rPr>
          <w:b/>
          <w:sz w:val="20"/>
        </w:rPr>
        <w:t>2.</w:t>
      </w:r>
      <w:r>
        <w:rPr>
          <w:b/>
          <w:spacing w:val="-15"/>
          <w:sz w:val="20"/>
        </w:rPr>
        <w:t> </w:t>
      </w:r>
      <w:r>
        <w:rPr>
          <w:b/>
          <w:sz w:val="20"/>
        </w:rPr>
        <w:t>Opinión</w:t>
      </w:r>
      <w:r>
        <w:rPr>
          <w:b/>
          <w:spacing w:val="-14"/>
          <w:sz w:val="20"/>
        </w:rPr>
        <w:t> </w:t>
      </w:r>
      <w:r>
        <w:rPr>
          <w:b/>
          <w:sz w:val="20"/>
        </w:rPr>
        <w:t>de</w:t>
      </w:r>
      <w:r>
        <w:rPr>
          <w:b/>
          <w:spacing w:val="-15"/>
          <w:sz w:val="20"/>
        </w:rPr>
        <w:t> </w:t>
      </w:r>
      <w:r>
        <w:rPr>
          <w:b/>
          <w:sz w:val="20"/>
        </w:rPr>
        <w:t>los</w:t>
      </w:r>
      <w:r>
        <w:rPr>
          <w:b/>
          <w:spacing w:val="-15"/>
          <w:sz w:val="20"/>
        </w:rPr>
        <w:t> </w:t>
      </w:r>
      <w:r>
        <w:rPr>
          <w:b/>
          <w:sz w:val="20"/>
        </w:rPr>
        <w:t>abogados/as</w:t>
      </w:r>
      <w:r>
        <w:rPr>
          <w:b/>
          <w:spacing w:val="-13"/>
          <w:sz w:val="20"/>
        </w:rPr>
        <w:t> </w:t>
      </w:r>
      <w:r>
        <w:rPr>
          <w:b/>
          <w:sz w:val="20"/>
        </w:rPr>
        <w:t>encuestados</w:t>
      </w:r>
      <w:r>
        <w:rPr>
          <w:b/>
          <w:spacing w:val="-13"/>
          <w:sz w:val="20"/>
        </w:rPr>
        <w:t> </w:t>
      </w:r>
      <w:r>
        <w:rPr>
          <w:b/>
          <w:sz w:val="20"/>
        </w:rPr>
        <w:t>sobre</w:t>
      </w:r>
      <w:r>
        <w:rPr>
          <w:b/>
          <w:spacing w:val="-13"/>
          <w:sz w:val="20"/>
        </w:rPr>
        <w:t> </w:t>
      </w:r>
      <w:r>
        <w:rPr>
          <w:b/>
          <w:sz w:val="20"/>
        </w:rPr>
        <w:t>si</w:t>
      </w:r>
      <w:r>
        <w:rPr>
          <w:b/>
          <w:spacing w:val="-15"/>
          <w:sz w:val="20"/>
        </w:rPr>
        <w:t> </w:t>
      </w:r>
      <w:r>
        <w:rPr>
          <w:b/>
          <w:sz w:val="20"/>
        </w:rPr>
        <w:t>las</w:t>
      </w:r>
      <w:r>
        <w:rPr>
          <w:b/>
          <w:spacing w:val="-15"/>
          <w:sz w:val="20"/>
        </w:rPr>
        <w:t> </w:t>
      </w:r>
      <w:r>
        <w:rPr>
          <w:b/>
          <w:sz w:val="20"/>
        </w:rPr>
        <w:t>leyes</w:t>
      </w:r>
      <w:r>
        <w:rPr>
          <w:b/>
          <w:spacing w:val="-15"/>
          <w:sz w:val="20"/>
        </w:rPr>
        <w:t> </w:t>
      </w:r>
      <w:r>
        <w:rPr>
          <w:b/>
          <w:sz w:val="20"/>
        </w:rPr>
        <w:t>especiales</w:t>
      </w:r>
      <w:r>
        <w:rPr>
          <w:b/>
          <w:spacing w:val="-16"/>
          <w:sz w:val="20"/>
        </w:rPr>
        <w:t> </w:t>
      </w:r>
      <w:r>
        <w:rPr>
          <w:b/>
          <w:sz w:val="20"/>
        </w:rPr>
        <w:t>que</w:t>
      </w:r>
      <w:r>
        <w:rPr>
          <w:b/>
          <w:spacing w:val="-13"/>
          <w:sz w:val="20"/>
        </w:rPr>
        <w:t> </w:t>
      </w:r>
      <w:r>
        <w:rPr>
          <w:b/>
          <w:sz w:val="20"/>
        </w:rPr>
        <w:t>se</w:t>
      </w:r>
      <w:r>
        <w:rPr>
          <w:b/>
          <w:spacing w:val="-13"/>
          <w:sz w:val="20"/>
        </w:rPr>
        <w:t> </w:t>
      </w:r>
      <w:r>
        <w:rPr>
          <w:b/>
          <w:sz w:val="20"/>
        </w:rPr>
        <w:t>emiten para proteger los derechos de las mujeres, constituyen un agravio al principio de</w:t>
      </w:r>
      <w:r>
        <w:rPr>
          <w:b/>
          <w:spacing w:val="-33"/>
          <w:sz w:val="20"/>
        </w:rPr>
        <w:t> </w:t>
      </w:r>
      <w:r>
        <w:rPr>
          <w:b/>
          <w:sz w:val="20"/>
        </w:rPr>
        <w:t>igualdad.</w:t>
      </w:r>
    </w:p>
    <w:p>
      <w:pPr>
        <w:pStyle w:val="BodyText"/>
        <w:ind w:left="1063"/>
        <w:rPr>
          <w:sz w:val="20"/>
        </w:rPr>
      </w:pPr>
      <w:r>
        <w:rPr>
          <w:sz w:val="20"/>
        </w:rPr>
        <w:pict>
          <v:group style="width:344.8pt;height:153.550pt;mso-position-horizontal-relative:char;mso-position-vertical-relative:line" coordorigin="0,0" coordsize="6896,3071">
            <v:shape style="position:absolute;left:226;top:226;width:6444;height:2616" type="#_x0000_t75" stroked="false">
              <v:imagedata r:id="rId17" o:title=""/>
            </v:shape>
            <v:shape style="position:absolute;left:3802;top:766;width:689;height:689" type="#_x0000_t75" stroked="false">
              <v:imagedata r:id="rId18" o:title=""/>
            </v:shape>
            <v:shape style="position:absolute;left:2468;top:1188;width:686;height:689" type="#_x0000_t75" stroked="false">
              <v:imagedata r:id="rId18" o:title=""/>
            </v:shape>
            <v:shape style="position:absolute;left:8;top:8;width:6881;height:3056" type="#_x0000_t202" filled="false" stroked="true" strokeweight=".72pt" strokecolor="#bebebe">
              <v:textbox inset="0,0,0,0">
                <w:txbxContent>
                  <w:p>
                    <w:pPr>
                      <w:spacing w:line="240" w:lineRule="auto" w:before="0"/>
                      <w:rPr>
                        <w:b/>
                        <w:sz w:val="20"/>
                      </w:rPr>
                    </w:pPr>
                  </w:p>
                  <w:p>
                    <w:pPr>
                      <w:spacing w:line="240" w:lineRule="auto" w:before="0"/>
                      <w:rPr>
                        <w:b/>
                        <w:sz w:val="20"/>
                      </w:rPr>
                    </w:pPr>
                  </w:p>
                  <w:p>
                    <w:pPr>
                      <w:spacing w:line="240" w:lineRule="auto" w:before="0"/>
                      <w:rPr>
                        <w:b/>
                        <w:sz w:val="20"/>
                      </w:rPr>
                    </w:pPr>
                  </w:p>
                  <w:p>
                    <w:pPr>
                      <w:spacing w:before="133"/>
                      <w:ind w:left="3892" w:right="2573" w:hanging="6"/>
                      <w:jc w:val="center"/>
                      <w:rPr>
                        <w:b/>
                        <w:sz w:val="20"/>
                      </w:rPr>
                    </w:pPr>
                    <w:r>
                      <w:rPr>
                        <w:b/>
                        <w:sz w:val="20"/>
                      </w:rPr>
                      <w:t>Sí 37%</w:t>
                    </w:r>
                  </w:p>
                  <w:p>
                    <w:pPr>
                      <w:spacing w:line="192" w:lineRule="exact" w:before="0"/>
                      <w:ind w:left="2541" w:right="3897" w:firstLine="0"/>
                      <w:jc w:val="center"/>
                      <w:rPr>
                        <w:b/>
                        <w:sz w:val="20"/>
                      </w:rPr>
                    </w:pPr>
                    <w:r>
                      <w:rPr>
                        <w:b/>
                        <w:sz w:val="20"/>
                      </w:rPr>
                      <w:t>No</w:t>
                    </w:r>
                  </w:p>
                  <w:p>
                    <w:pPr>
                      <w:spacing w:before="1"/>
                      <w:ind w:left="2543" w:right="3897" w:firstLine="0"/>
                      <w:jc w:val="center"/>
                      <w:rPr>
                        <w:b/>
                        <w:sz w:val="20"/>
                      </w:rPr>
                    </w:pPr>
                    <w:r>
                      <w:rPr>
                        <w:b/>
                        <w:sz w:val="20"/>
                      </w:rPr>
                      <w:t>63%</w:t>
                    </w:r>
                  </w:p>
                </w:txbxContent>
              </v:textbox>
              <w10:wrap type="none"/>
            </v:shape>
          </v:group>
        </w:pict>
      </w:r>
      <w:r>
        <w:rPr>
          <w:sz w:val="20"/>
        </w:rPr>
      </w:r>
    </w:p>
    <w:p>
      <w:pPr>
        <w:spacing w:before="145"/>
        <w:ind w:left="1990" w:right="96" w:firstLine="0"/>
        <w:jc w:val="left"/>
        <w:rPr>
          <w:sz w:val="20"/>
        </w:rPr>
      </w:pPr>
      <w:r>
        <w:rPr>
          <w:sz w:val="20"/>
        </w:rPr>
        <w:t>Fuente: Elaboración propia con base en Montoya (2015).</w:t>
      </w:r>
    </w:p>
    <w:p>
      <w:pPr>
        <w:pStyle w:val="BodyText"/>
        <w:rPr>
          <w:sz w:val="20"/>
        </w:rPr>
      </w:pPr>
    </w:p>
    <w:p>
      <w:pPr>
        <w:pStyle w:val="BodyText"/>
        <w:spacing w:before="1"/>
        <w:rPr>
          <w:sz w:val="23"/>
        </w:rPr>
      </w:pPr>
    </w:p>
    <w:p>
      <w:pPr>
        <w:pStyle w:val="BodyText"/>
        <w:spacing w:line="360" w:lineRule="auto"/>
        <w:ind w:left="102" w:right="114"/>
        <w:jc w:val="both"/>
      </w:pPr>
      <w:r>
        <w:rPr/>
        <w:t>En</w:t>
      </w:r>
      <w:r>
        <w:rPr>
          <w:spacing w:val="-16"/>
        </w:rPr>
        <w:t> </w:t>
      </w:r>
      <w:r>
        <w:rPr/>
        <w:t>la</w:t>
      </w:r>
      <w:r>
        <w:rPr>
          <w:spacing w:val="-16"/>
        </w:rPr>
        <w:t> </w:t>
      </w:r>
      <w:r>
        <w:rPr/>
        <w:t>tercer</w:t>
      </w:r>
      <w:r>
        <w:rPr>
          <w:spacing w:val="-18"/>
        </w:rPr>
        <w:t> </w:t>
      </w:r>
      <w:r>
        <w:rPr/>
        <w:t>pregunta</w:t>
      </w:r>
      <w:r>
        <w:rPr>
          <w:spacing w:val="-18"/>
        </w:rPr>
        <w:t> </w:t>
      </w:r>
      <w:r>
        <w:rPr/>
        <w:t>se</w:t>
      </w:r>
      <w:r>
        <w:rPr>
          <w:spacing w:val="-18"/>
        </w:rPr>
        <w:t> </w:t>
      </w:r>
      <w:r>
        <w:rPr/>
        <w:t>plantea</w:t>
      </w:r>
      <w:r>
        <w:rPr>
          <w:spacing w:val="-16"/>
        </w:rPr>
        <w:t> </w:t>
      </w:r>
      <w:r>
        <w:rPr/>
        <w:t>lo</w:t>
      </w:r>
      <w:r>
        <w:rPr>
          <w:spacing w:val="-16"/>
        </w:rPr>
        <w:t> </w:t>
      </w:r>
      <w:r>
        <w:rPr/>
        <w:t>siguiente</w:t>
      </w:r>
      <w:r>
        <w:rPr>
          <w:spacing w:val="-16"/>
        </w:rPr>
        <w:t> </w:t>
      </w:r>
      <w:r>
        <w:rPr/>
        <w:t>¿En</w:t>
      </w:r>
      <w:r>
        <w:rPr>
          <w:spacing w:val="-21"/>
        </w:rPr>
        <w:t> </w:t>
      </w:r>
      <w:r>
        <w:rPr/>
        <w:t>un</w:t>
      </w:r>
      <w:r>
        <w:rPr>
          <w:spacing w:val="-16"/>
        </w:rPr>
        <w:t> </w:t>
      </w:r>
      <w:r>
        <w:rPr/>
        <w:t>procedimiento</w:t>
      </w:r>
      <w:r>
        <w:rPr>
          <w:spacing w:val="-18"/>
        </w:rPr>
        <w:t> </w:t>
      </w:r>
      <w:r>
        <w:rPr/>
        <w:t>jurisdiccional</w:t>
      </w:r>
      <w:r>
        <w:rPr>
          <w:spacing w:val="-17"/>
        </w:rPr>
        <w:t> </w:t>
      </w:r>
      <w:r>
        <w:rPr/>
        <w:t>las</w:t>
      </w:r>
      <w:r>
        <w:rPr>
          <w:spacing w:val="-16"/>
        </w:rPr>
        <w:t> </w:t>
      </w:r>
      <w:r>
        <w:rPr/>
        <w:t>mujeres y los hombres deben ser tratados de la misma forma, sin importar las condiciones propias de</w:t>
      </w:r>
      <w:r>
        <w:rPr>
          <w:spacing w:val="-6"/>
        </w:rPr>
        <w:t> </w:t>
      </w:r>
      <w:r>
        <w:rPr/>
        <w:t>su</w:t>
      </w:r>
      <w:r>
        <w:rPr>
          <w:spacing w:val="-8"/>
        </w:rPr>
        <w:t> </w:t>
      </w:r>
      <w:r>
        <w:rPr/>
        <w:t>género?,</w:t>
      </w:r>
      <w:r>
        <w:rPr>
          <w:spacing w:val="-4"/>
        </w:rPr>
        <w:t> </w:t>
      </w:r>
      <w:r>
        <w:rPr/>
        <w:t>a</w:t>
      </w:r>
      <w:r>
        <w:rPr>
          <w:spacing w:val="-8"/>
        </w:rPr>
        <w:t> </w:t>
      </w:r>
      <w:r>
        <w:rPr/>
        <w:t>dicha</w:t>
      </w:r>
      <w:r>
        <w:rPr>
          <w:spacing w:val="-6"/>
        </w:rPr>
        <w:t> </w:t>
      </w:r>
      <w:r>
        <w:rPr/>
        <w:t>pregunta</w:t>
      </w:r>
      <w:r>
        <w:rPr>
          <w:spacing w:val="50"/>
        </w:rPr>
        <w:t> </w:t>
      </w:r>
      <w:r>
        <w:rPr/>
        <w:t>87</w:t>
      </w:r>
      <w:r>
        <w:rPr>
          <w:spacing w:val="-8"/>
        </w:rPr>
        <w:t> </w:t>
      </w:r>
      <w:r>
        <w:rPr/>
        <w:t>por</w:t>
      </w:r>
      <w:r>
        <w:rPr>
          <w:spacing w:val="-7"/>
        </w:rPr>
        <w:t> </w:t>
      </w:r>
      <w:r>
        <w:rPr/>
        <w:t>ciento</w:t>
      </w:r>
      <w:r>
        <w:rPr>
          <w:spacing w:val="-8"/>
        </w:rPr>
        <w:t> </w:t>
      </w:r>
      <w:r>
        <w:rPr/>
        <w:t>contestó</w:t>
      </w:r>
      <w:r>
        <w:rPr>
          <w:spacing w:val="-10"/>
        </w:rPr>
        <w:t> </w:t>
      </w:r>
      <w:r>
        <w:rPr/>
        <w:t>que</w:t>
      </w:r>
      <w:r>
        <w:rPr>
          <w:spacing w:val="-8"/>
        </w:rPr>
        <w:t> </w:t>
      </w:r>
      <w:r>
        <w:rPr/>
        <w:t>sí,</w:t>
      </w:r>
      <w:r>
        <w:rPr>
          <w:spacing w:val="-4"/>
        </w:rPr>
        <w:t> </w:t>
      </w:r>
      <w:r>
        <w:rPr/>
        <w:t>de</w:t>
      </w:r>
      <w:r>
        <w:rPr>
          <w:spacing w:val="-5"/>
        </w:rPr>
        <w:t> </w:t>
      </w:r>
      <w:r>
        <w:rPr/>
        <w:t>ellos,</w:t>
      </w:r>
      <w:r>
        <w:rPr>
          <w:spacing w:val="-7"/>
        </w:rPr>
        <w:t> </w:t>
      </w:r>
      <w:r>
        <w:rPr/>
        <w:t>65</w:t>
      </w:r>
      <w:r>
        <w:rPr>
          <w:spacing w:val="-5"/>
        </w:rPr>
        <w:t> </w:t>
      </w:r>
      <w:r>
        <w:rPr/>
        <w:t>por</w:t>
      </w:r>
      <w:r>
        <w:rPr>
          <w:spacing w:val="-7"/>
        </w:rPr>
        <w:t> </w:t>
      </w:r>
      <w:r>
        <w:rPr/>
        <w:t>ciento</w:t>
      </w:r>
      <w:r>
        <w:rPr>
          <w:spacing w:val="-8"/>
        </w:rPr>
        <w:t> </w:t>
      </w:r>
      <w:r>
        <w:rPr/>
        <w:t>basó su</w:t>
      </w:r>
      <w:r>
        <w:rPr>
          <w:spacing w:val="-12"/>
        </w:rPr>
        <w:t> </w:t>
      </w:r>
      <w:r>
        <w:rPr/>
        <w:t>respuesta</w:t>
      </w:r>
      <w:r>
        <w:rPr>
          <w:spacing w:val="-12"/>
        </w:rPr>
        <w:t> </w:t>
      </w:r>
      <w:r>
        <w:rPr/>
        <w:t>en</w:t>
      </w:r>
      <w:r>
        <w:rPr>
          <w:spacing w:val="-13"/>
        </w:rPr>
        <w:t> </w:t>
      </w:r>
      <w:r>
        <w:rPr/>
        <w:t>el</w:t>
      </w:r>
      <w:r>
        <w:rPr>
          <w:spacing w:val="-14"/>
        </w:rPr>
        <w:t> </w:t>
      </w:r>
      <w:r>
        <w:rPr/>
        <w:t>principio</w:t>
      </w:r>
      <w:r>
        <w:rPr>
          <w:spacing w:val="-12"/>
        </w:rPr>
        <w:t> </w:t>
      </w:r>
      <w:r>
        <w:rPr/>
        <w:t>de</w:t>
      </w:r>
      <w:r>
        <w:rPr>
          <w:spacing w:val="-13"/>
        </w:rPr>
        <w:t> </w:t>
      </w:r>
      <w:r>
        <w:rPr/>
        <w:t>igualdad</w:t>
      </w:r>
      <w:r>
        <w:rPr>
          <w:spacing w:val="-12"/>
        </w:rPr>
        <w:t> </w:t>
      </w:r>
      <w:r>
        <w:rPr/>
        <w:t>entre</w:t>
      </w:r>
      <w:r>
        <w:rPr>
          <w:spacing w:val="-12"/>
        </w:rPr>
        <w:t> </w:t>
      </w:r>
      <w:r>
        <w:rPr/>
        <w:t>hombres</w:t>
      </w:r>
      <w:r>
        <w:rPr>
          <w:spacing w:val="-12"/>
        </w:rPr>
        <w:t> </w:t>
      </w:r>
      <w:r>
        <w:rPr/>
        <w:t>y</w:t>
      </w:r>
      <w:r>
        <w:rPr>
          <w:spacing w:val="-15"/>
        </w:rPr>
        <w:t> </w:t>
      </w:r>
      <w:r>
        <w:rPr/>
        <w:t>mujeres,</w:t>
      </w:r>
      <w:r>
        <w:rPr>
          <w:spacing w:val="-11"/>
        </w:rPr>
        <w:t> </w:t>
      </w:r>
      <w:r>
        <w:rPr/>
        <w:t>y</w:t>
      </w:r>
      <w:r>
        <w:rPr>
          <w:spacing w:val="-15"/>
        </w:rPr>
        <w:t> </w:t>
      </w:r>
      <w:r>
        <w:rPr/>
        <w:t>sólo</w:t>
      </w:r>
      <w:r>
        <w:rPr>
          <w:spacing w:val="-12"/>
        </w:rPr>
        <w:t> </w:t>
      </w:r>
      <w:r>
        <w:rPr/>
        <w:t>13</w:t>
      </w:r>
      <w:r>
        <w:rPr>
          <w:spacing w:val="-13"/>
        </w:rPr>
        <w:t> </w:t>
      </w:r>
      <w:r>
        <w:rPr/>
        <w:t>por</w:t>
      </w:r>
      <w:r>
        <w:rPr>
          <w:spacing w:val="-12"/>
        </w:rPr>
        <w:t> </w:t>
      </w:r>
      <w:r>
        <w:rPr/>
        <w:t>ciento</w:t>
      </w:r>
      <w:r>
        <w:rPr>
          <w:spacing w:val="-15"/>
        </w:rPr>
        <w:t> </w:t>
      </w:r>
      <w:r>
        <w:rPr/>
        <w:t>refirió que no deben tratarse igual, ya que deben de atenderse a las condiciones de desigualdad que imperan en la realidad. Solamente 13 por ciento de las abogadas y de los abogados, respectivamente, señaló que no se debe tratar igual a hombres y a mujeres dadas las características propias de su género. Cabe mencionar que sólo un Defensor de Oficio señaló que no se debe tratar igual dadas las condiciones del género, y que del Consejo Estatal de la Mujer el 100 por ciento dijo que se deben tratar igual sin tomar en consideración las condiciones propias de su género. Esto resulta contradictorio las respuesas  referidas  en la  pregunta  anterior,  por  lo que  se  puede  identificar   que </w:t>
      </w:r>
      <w:r>
        <w:rPr>
          <w:spacing w:val="33"/>
        </w:rPr>
        <w:t> </w:t>
      </w:r>
      <w:r>
        <w:rPr/>
        <w:t>los</w:t>
      </w:r>
    </w:p>
    <w:p>
      <w:pPr>
        <w:spacing w:after="0" w:line="360" w:lineRule="auto"/>
        <w:jc w:val="both"/>
        <w:sectPr>
          <w:footerReference w:type="default" r:id="rId16"/>
          <w:pgSz w:w="12240" w:h="15840"/>
          <w:pgMar w:footer="1002" w:header="0" w:top="1360" w:bottom="1200" w:left="1600" w:right="1580"/>
          <w:pgNumType w:start="31"/>
        </w:sectPr>
      </w:pPr>
    </w:p>
    <w:p>
      <w:pPr>
        <w:pStyle w:val="BodyText"/>
        <w:spacing w:line="360" w:lineRule="auto" w:before="54"/>
        <w:ind w:left="102" w:right="121"/>
        <w:jc w:val="both"/>
      </w:pPr>
      <w:r>
        <w:rPr/>
        <w:t>abogados y las abogadas encuestadas, no entienden lo que es el principio de igualdad y por tanto creen que atender a las condiciones propias del género, constituye un agravio al principio de igualdad.</w:t>
      </w:r>
    </w:p>
    <w:p>
      <w:pPr>
        <w:pStyle w:val="BodyText"/>
      </w:pPr>
    </w:p>
    <w:p>
      <w:pPr>
        <w:spacing w:line="360" w:lineRule="auto" w:before="126"/>
        <w:ind w:left="102" w:right="117" w:firstLine="0"/>
        <w:jc w:val="both"/>
        <w:rPr>
          <w:b/>
          <w:sz w:val="20"/>
        </w:rPr>
      </w:pPr>
      <w:r>
        <w:rPr>
          <w:b/>
          <w:sz w:val="20"/>
        </w:rPr>
        <w:t>Gráfica 3. Opinión de los abogados/as encuestados sobre si en el procedimiento jurisdiccional,</w:t>
      </w:r>
      <w:r>
        <w:rPr>
          <w:b/>
          <w:spacing w:val="-3"/>
          <w:sz w:val="20"/>
        </w:rPr>
        <w:t> </w:t>
      </w:r>
      <w:r>
        <w:rPr>
          <w:b/>
          <w:sz w:val="20"/>
        </w:rPr>
        <w:t>las</w:t>
      </w:r>
      <w:r>
        <w:rPr>
          <w:b/>
          <w:spacing w:val="-5"/>
          <w:sz w:val="20"/>
        </w:rPr>
        <w:t> </w:t>
      </w:r>
      <w:r>
        <w:rPr>
          <w:b/>
          <w:sz w:val="20"/>
        </w:rPr>
        <w:t>mujeres</w:t>
      </w:r>
      <w:r>
        <w:rPr>
          <w:b/>
          <w:spacing w:val="-2"/>
          <w:sz w:val="20"/>
        </w:rPr>
        <w:t> </w:t>
      </w:r>
      <w:r>
        <w:rPr>
          <w:b/>
          <w:sz w:val="20"/>
        </w:rPr>
        <w:t>y</w:t>
      </w:r>
      <w:r>
        <w:rPr>
          <w:b/>
          <w:spacing w:val="-8"/>
          <w:sz w:val="20"/>
        </w:rPr>
        <w:t> </w:t>
      </w:r>
      <w:r>
        <w:rPr>
          <w:b/>
          <w:sz w:val="20"/>
        </w:rPr>
        <w:t>los</w:t>
      </w:r>
      <w:r>
        <w:rPr>
          <w:b/>
          <w:spacing w:val="-5"/>
          <w:sz w:val="20"/>
        </w:rPr>
        <w:t> </w:t>
      </w:r>
      <w:r>
        <w:rPr>
          <w:b/>
          <w:sz w:val="20"/>
        </w:rPr>
        <w:t>hombres</w:t>
      </w:r>
      <w:r>
        <w:rPr>
          <w:b/>
          <w:spacing w:val="-5"/>
          <w:sz w:val="20"/>
        </w:rPr>
        <w:t> </w:t>
      </w:r>
      <w:r>
        <w:rPr>
          <w:b/>
          <w:sz w:val="20"/>
        </w:rPr>
        <w:t>deben</w:t>
      </w:r>
      <w:r>
        <w:rPr>
          <w:b/>
          <w:spacing w:val="-4"/>
          <w:sz w:val="20"/>
        </w:rPr>
        <w:t> </w:t>
      </w:r>
      <w:r>
        <w:rPr>
          <w:b/>
          <w:sz w:val="20"/>
        </w:rPr>
        <w:t>ser</w:t>
      </w:r>
      <w:r>
        <w:rPr>
          <w:b/>
          <w:spacing w:val="-5"/>
          <w:sz w:val="20"/>
        </w:rPr>
        <w:t> </w:t>
      </w:r>
      <w:r>
        <w:rPr>
          <w:b/>
          <w:sz w:val="20"/>
        </w:rPr>
        <w:t>tratados</w:t>
      </w:r>
      <w:r>
        <w:rPr>
          <w:b/>
          <w:spacing w:val="-5"/>
          <w:sz w:val="20"/>
        </w:rPr>
        <w:t> </w:t>
      </w:r>
      <w:r>
        <w:rPr>
          <w:b/>
          <w:sz w:val="20"/>
        </w:rPr>
        <w:t>de</w:t>
      </w:r>
      <w:r>
        <w:rPr>
          <w:b/>
          <w:spacing w:val="-5"/>
          <w:sz w:val="20"/>
        </w:rPr>
        <w:t> </w:t>
      </w:r>
      <w:r>
        <w:rPr>
          <w:b/>
          <w:sz w:val="20"/>
        </w:rPr>
        <w:t>la</w:t>
      </w:r>
      <w:r>
        <w:rPr>
          <w:b/>
          <w:spacing w:val="-5"/>
          <w:sz w:val="20"/>
        </w:rPr>
        <w:t> </w:t>
      </w:r>
      <w:r>
        <w:rPr>
          <w:b/>
          <w:sz w:val="20"/>
        </w:rPr>
        <w:t>misma</w:t>
      </w:r>
      <w:r>
        <w:rPr>
          <w:b/>
          <w:spacing w:val="-4"/>
          <w:sz w:val="20"/>
        </w:rPr>
        <w:t> </w:t>
      </w:r>
      <w:r>
        <w:rPr>
          <w:b/>
          <w:sz w:val="20"/>
        </w:rPr>
        <w:t>forma,</w:t>
      </w:r>
      <w:r>
        <w:rPr>
          <w:b/>
          <w:spacing w:val="-4"/>
          <w:sz w:val="20"/>
        </w:rPr>
        <w:t> </w:t>
      </w:r>
      <w:r>
        <w:rPr>
          <w:b/>
          <w:sz w:val="20"/>
        </w:rPr>
        <w:t>sin</w:t>
      </w:r>
      <w:r>
        <w:rPr>
          <w:b/>
          <w:spacing w:val="-2"/>
          <w:sz w:val="20"/>
        </w:rPr>
        <w:t> </w:t>
      </w:r>
      <w:r>
        <w:rPr>
          <w:b/>
          <w:sz w:val="20"/>
        </w:rPr>
        <w:t>tomar</w:t>
      </w:r>
      <w:r>
        <w:rPr>
          <w:b/>
          <w:spacing w:val="-2"/>
          <w:sz w:val="20"/>
        </w:rPr>
        <w:t> </w:t>
      </w:r>
      <w:r>
        <w:rPr>
          <w:b/>
          <w:sz w:val="20"/>
        </w:rPr>
        <w:t>en consideración las condiciones propias de su</w:t>
      </w:r>
      <w:r>
        <w:rPr>
          <w:b/>
          <w:spacing w:val="-14"/>
          <w:sz w:val="20"/>
        </w:rPr>
        <w:t> </w:t>
      </w:r>
      <w:r>
        <w:rPr>
          <w:b/>
          <w:sz w:val="20"/>
        </w:rPr>
        <w:t>género.</w:t>
      </w:r>
    </w:p>
    <w:p>
      <w:pPr>
        <w:pStyle w:val="BodyText"/>
        <w:ind w:left="1286"/>
        <w:rPr>
          <w:sz w:val="20"/>
        </w:rPr>
      </w:pPr>
      <w:r>
        <w:rPr>
          <w:sz w:val="20"/>
        </w:rPr>
        <w:pict>
          <v:group style="width:321.3pt;height:149.7pt;mso-position-horizontal-relative:char;mso-position-vertical-relative:line" coordorigin="0,0" coordsize="6426,2994">
            <v:shape style="position:absolute;left:226;top:226;width:5974;height:2542" type="#_x0000_t75" stroked="false">
              <v:imagedata r:id="rId19" o:title=""/>
            </v:shape>
            <v:shape style="position:absolute;left:3197;top:1452;width:689;height:686" type="#_x0000_t75" stroked="false">
              <v:imagedata r:id="rId20" o:title=""/>
            </v:shape>
            <v:shape style="position:absolute;left:2650;top:478;width:686;height:689" type="#_x0000_t75" stroked="false">
              <v:imagedata r:id="rId21" o:title=""/>
            </v:shape>
            <v:shape style="position:absolute;left:8;top:8;width:6411;height:2979" type="#_x0000_t202" filled="false" stroked="true" strokeweight=".72pt" strokecolor="#bebebe">
              <v:textbox inset="0,0,0,0">
                <w:txbxContent>
                  <w:p>
                    <w:pPr>
                      <w:spacing w:line="240" w:lineRule="auto" w:before="0"/>
                      <w:rPr>
                        <w:b/>
                        <w:sz w:val="20"/>
                      </w:rPr>
                    </w:pPr>
                  </w:p>
                  <w:p>
                    <w:pPr>
                      <w:spacing w:line="240" w:lineRule="auto" w:before="5"/>
                      <w:rPr>
                        <w:b/>
                        <w:sz w:val="26"/>
                      </w:rPr>
                    </w:pPr>
                  </w:p>
                  <w:p>
                    <w:pPr>
                      <w:spacing w:before="1"/>
                      <w:ind w:left="2738" w:right="3257" w:hanging="3"/>
                      <w:jc w:val="center"/>
                      <w:rPr>
                        <w:b/>
                        <w:sz w:val="20"/>
                      </w:rPr>
                    </w:pPr>
                    <w:r>
                      <w:rPr>
                        <w:b/>
                        <w:color w:val="FFFFFF"/>
                        <w:sz w:val="20"/>
                      </w:rPr>
                      <w:t>No 13%</w:t>
                    </w:r>
                  </w:p>
                  <w:p>
                    <w:pPr>
                      <w:spacing w:line="240" w:lineRule="auto" w:before="0"/>
                      <w:rPr>
                        <w:b/>
                        <w:sz w:val="20"/>
                      </w:rPr>
                    </w:pPr>
                  </w:p>
                  <w:p>
                    <w:pPr>
                      <w:spacing w:line="240" w:lineRule="auto" w:before="7"/>
                      <w:rPr>
                        <w:b/>
                        <w:sz w:val="24"/>
                      </w:rPr>
                    </w:pPr>
                  </w:p>
                  <w:p>
                    <w:pPr>
                      <w:spacing w:before="0"/>
                      <w:ind w:left="3268" w:right="2696" w:firstLine="0"/>
                      <w:jc w:val="center"/>
                      <w:rPr>
                        <w:b/>
                        <w:sz w:val="20"/>
                      </w:rPr>
                    </w:pPr>
                    <w:r>
                      <w:rPr>
                        <w:b/>
                        <w:color w:val="FFFFFF"/>
                        <w:sz w:val="20"/>
                      </w:rPr>
                      <w:t>Sí</w:t>
                    </w:r>
                  </w:p>
                  <w:p>
                    <w:pPr>
                      <w:spacing w:before="0"/>
                      <w:ind w:left="3273" w:right="2696" w:firstLine="0"/>
                      <w:jc w:val="center"/>
                      <w:rPr>
                        <w:b/>
                        <w:sz w:val="20"/>
                      </w:rPr>
                    </w:pPr>
                    <w:r>
                      <w:rPr>
                        <w:b/>
                        <w:color w:val="FFFFFF"/>
                        <w:sz w:val="20"/>
                      </w:rPr>
                      <w:t>87%</w:t>
                    </w:r>
                  </w:p>
                </w:txbxContent>
              </v:textbox>
              <w10:wrap type="none"/>
            </v:shape>
          </v:group>
        </w:pict>
      </w:r>
      <w:r>
        <w:rPr>
          <w:sz w:val="20"/>
        </w:rPr>
      </w:r>
    </w:p>
    <w:p>
      <w:pPr>
        <w:spacing w:before="133"/>
        <w:ind w:left="1973" w:right="96" w:firstLine="0"/>
        <w:jc w:val="left"/>
        <w:rPr>
          <w:sz w:val="20"/>
        </w:rPr>
      </w:pPr>
      <w:r>
        <w:rPr>
          <w:sz w:val="20"/>
        </w:rPr>
        <w:t>Fuente: elaboración propia con base en  Montoya (2015).</w:t>
      </w:r>
    </w:p>
    <w:p>
      <w:pPr>
        <w:pStyle w:val="BodyText"/>
        <w:rPr>
          <w:sz w:val="20"/>
        </w:rPr>
      </w:pPr>
    </w:p>
    <w:p>
      <w:pPr>
        <w:pStyle w:val="BodyText"/>
        <w:rPr>
          <w:sz w:val="23"/>
        </w:rPr>
      </w:pPr>
    </w:p>
    <w:p>
      <w:pPr>
        <w:pStyle w:val="BodyText"/>
        <w:spacing w:line="360" w:lineRule="auto" w:before="1"/>
        <w:ind w:left="102" w:right="116"/>
        <w:jc w:val="both"/>
      </w:pPr>
      <w:r>
        <w:rPr/>
        <w:t>Al preguntar si dentro de una resolución judicial se toma en consideración las condiciones de desigualdad de las mujeres con respecto de los hombres, constituye un agravio al principio de iguadad entre las partes, 72 por ciento señaló que sí constituye un agravio al principio de igualdad, fundado su respuesta en el principio de igualdad. El 71 por ciento de los</w:t>
      </w:r>
      <w:r>
        <w:rPr>
          <w:spacing w:val="-11"/>
        </w:rPr>
        <w:t> </w:t>
      </w:r>
      <w:r>
        <w:rPr/>
        <w:t>abogados</w:t>
      </w:r>
      <w:r>
        <w:rPr>
          <w:spacing w:val="-14"/>
        </w:rPr>
        <w:t> </w:t>
      </w:r>
      <w:r>
        <w:rPr/>
        <w:t>y</w:t>
      </w:r>
      <w:r>
        <w:rPr>
          <w:spacing w:val="-13"/>
        </w:rPr>
        <w:t> </w:t>
      </w:r>
      <w:r>
        <w:rPr/>
        <w:t>73</w:t>
      </w:r>
      <w:r>
        <w:rPr>
          <w:spacing w:val="-14"/>
        </w:rPr>
        <w:t> </w:t>
      </w:r>
      <w:r>
        <w:rPr/>
        <w:t>por</w:t>
      </w:r>
      <w:r>
        <w:rPr>
          <w:spacing w:val="-12"/>
        </w:rPr>
        <w:t> </w:t>
      </w:r>
      <w:r>
        <w:rPr/>
        <w:t>ciento</w:t>
      </w:r>
      <w:r>
        <w:rPr>
          <w:spacing w:val="-13"/>
        </w:rPr>
        <w:t> </w:t>
      </w:r>
      <w:r>
        <w:rPr/>
        <w:t>de</w:t>
      </w:r>
      <w:r>
        <w:rPr>
          <w:spacing w:val="-14"/>
        </w:rPr>
        <w:t> </w:t>
      </w:r>
      <w:r>
        <w:rPr/>
        <w:t>las</w:t>
      </w:r>
      <w:r>
        <w:rPr>
          <w:spacing w:val="-11"/>
        </w:rPr>
        <w:t> </w:t>
      </w:r>
      <w:r>
        <w:rPr/>
        <w:t>abogadas</w:t>
      </w:r>
      <w:r>
        <w:rPr>
          <w:spacing w:val="-13"/>
        </w:rPr>
        <w:t> </w:t>
      </w:r>
      <w:r>
        <w:rPr/>
        <w:t>contestaron</w:t>
      </w:r>
      <w:r>
        <w:rPr>
          <w:spacing w:val="-14"/>
        </w:rPr>
        <w:t> </w:t>
      </w:r>
      <w:r>
        <w:rPr/>
        <w:t>afirmativamente</w:t>
      </w:r>
      <w:r>
        <w:rPr>
          <w:spacing w:val="-16"/>
        </w:rPr>
        <w:t> </w:t>
      </w:r>
      <w:r>
        <w:rPr/>
        <w:t>a</w:t>
      </w:r>
      <w:r>
        <w:rPr>
          <w:spacing w:val="-11"/>
        </w:rPr>
        <w:t> </w:t>
      </w:r>
      <w:r>
        <w:rPr/>
        <w:t>esta</w:t>
      </w:r>
      <w:r>
        <w:rPr>
          <w:spacing w:val="-14"/>
        </w:rPr>
        <w:t> </w:t>
      </w:r>
      <w:r>
        <w:rPr/>
        <w:t>pregunta. Sólo</w:t>
      </w:r>
      <w:r>
        <w:rPr>
          <w:spacing w:val="-4"/>
        </w:rPr>
        <w:t> </w:t>
      </w:r>
      <w:r>
        <w:rPr/>
        <w:t>44</w:t>
      </w:r>
      <w:r>
        <w:rPr>
          <w:spacing w:val="-4"/>
        </w:rPr>
        <w:t> </w:t>
      </w:r>
      <w:r>
        <w:rPr/>
        <w:t>por</w:t>
      </w:r>
      <w:r>
        <w:rPr>
          <w:spacing w:val="-5"/>
        </w:rPr>
        <w:t> </w:t>
      </w:r>
      <w:r>
        <w:rPr/>
        <w:t>ciento</w:t>
      </w:r>
      <w:r>
        <w:rPr>
          <w:spacing w:val="-6"/>
        </w:rPr>
        <w:t> </w:t>
      </w:r>
      <w:r>
        <w:rPr/>
        <w:t>de</w:t>
      </w:r>
      <w:r>
        <w:rPr>
          <w:spacing w:val="-7"/>
        </w:rPr>
        <w:t> </w:t>
      </w:r>
      <w:r>
        <w:rPr/>
        <w:t>defensores</w:t>
      </w:r>
      <w:r>
        <w:rPr>
          <w:spacing w:val="-6"/>
        </w:rPr>
        <w:t> </w:t>
      </w:r>
      <w:r>
        <w:rPr/>
        <w:t>de</w:t>
      </w:r>
      <w:r>
        <w:rPr>
          <w:spacing w:val="-4"/>
        </w:rPr>
        <w:t> </w:t>
      </w:r>
      <w:r>
        <w:rPr/>
        <w:t>oficio</w:t>
      </w:r>
      <w:r>
        <w:rPr>
          <w:spacing w:val="-4"/>
        </w:rPr>
        <w:t> </w:t>
      </w:r>
      <w:r>
        <w:rPr/>
        <w:t>señalaron</w:t>
      </w:r>
      <w:r>
        <w:rPr>
          <w:spacing w:val="-7"/>
        </w:rPr>
        <w:t> </w:t>
      </w:r>
      <w:r>
        <w:rPr/>
        <w:t>que</w:t>
      </w:r>
      <w:r>
        <w:rPr>
          <w:spacing w:val="-4"/>
        </w:rPr>
        <w:t> </w:t>
      </w:r>
      <w:r>
        <w:rPr/>
        <w:t>no,</w:t>
      </w:r>
      <w:r>
        <w:rPr>
          <w:spacing w:val="-4"/>
        </w:rPr>
        <w:t> </w:t>
      </w:r>
      <w:r>
        <w:rPr/>
        <w:t>aunque</w:t>
      </w:r>
      <w:r>
        <w:rPr>
          <w:spacing w:val="-4"/>
        </w:rPr>
        <w:t> </w:t>
      </w:r>
      <w:r>
        <w:rPr/>
        <w:t>la</w:t>
      </w:r>
      <w:r>
        <w:rPr>
          <w:spacing w:val="-6"/>
        </w:rPr>
        <w:t> </w:t>
      </w:r>
      <w:r>
        <w:rPr/>
        <w:t>defensora</w:t>
      </w:r>
      <w:r>
        <w:rPr>
          <w:spacing w:val="-4"/>
        </w:rPr>
        <w:t> </w:t>
      </w:r>
      <w:r>
        <w:rPr/>
        <w:t>de</w:t>
      </w:r>
      <w:r>
        <w:rPr>
          <w:spacing w:val="-7"/>
        </w:rPr>
        <w:t> </w:t>
      </w:r>
      <w:r>
        <w:rPr/>
        <w:t>oficio dijo que sí. Las respuestas de los y las profesionales del derecho encuestados, dejan de maniefiesto una de las razones por las cuales no existen resoluciones judiciales basadas en la perspectiva de género, ya que en lugar de considerarse como una estrategia en la búsqueda del Estado de Derecho, se considera desigualdad, para los</w:t>
      </w:r>
      <w:r>
        <w:rPr>
          <w:spacing w:val="-17"/>
        </w:rPr>
        <w:t> </w:t>
      </w:r>
      <w:r>
        <w:rPr/>
        <w:t>hombres.</w:t>
      </w:r>
    </w:p>
    <w:p>
      <w:pPr>
        <w:pStyle w:val="BodyText"/>
      </w:pPr>
    </w:p>
    <w:p>
      <w:pPr>
        <w:pStyle w:val="BodyText"/>
      </w:pPr>
    </w:p>
    <w:p>
      <w:pPr>
        <w:pStyle w:val="BodyText"/>
        <w:rPr>
          <w:sz w:val="19"/>
        </w:rPr>
      </w:pPr>
    </w:p>
    <w:p>
      <w:pPr>
        <w:spacing w:line="360" w:lineRule="auto" w:before="1"/>
        <w:ind w:left="102" w:right="118" w:firstLine="0"/>
        <w:jc w:val="both"/>
        <w:rPr>
          <w:b/>
          <w:sz w:val="20"/>
        </w:rPr>
      </w:pPr>
      <w:r>
        <w:rPr>
          <w:b/>
          <w:sz w:val="20"/>
        </w:rPr>
        <w:t>Gráfica</w:t>
      </w:r>
      <w:r>
        <w:rPr>
          <w:b/>
          <w:spacing w:val="-9"/>
          <w:sz w:val="20"/>
        </w:rPr>
        <w:t> </w:t>
      </w:r>
      <w:r>
        <w:rPr>
          <w:b/>
          <w:sz w:val="20"/>
        </w:rPr>
        <w:t>4.</w:t>
      </w:r>
      <w:r>
        <w:rPr>
          <w:b/>
          <w:spacing w:val="-9"/>
          <w:sz w:val="20"/>
        </w:rPr>
        <w:t> </w:t>
      </w:r>
      <w:r>
        <w:rPr>
          <w:b/>
          <w:sz w:val="20"/>
        </w:rPr>
        <w:t>Percepción</w:t>
      </w:r>
      <w:r>
        <w:rPr>
          <w:b/>
          <w:spacing w:val="-8"/>
          <w:sz w:val="20"/>
        </w:rPr>
        <w:t> </w:t>
      </w:r>
      <w:r>
        <w:rPr>
          <w:b/>
          <w:sz w:val="20"/>
        </w:rPr>
        <w:t>respecto</w:t>
      </w:r>
      <w:r>
        <w:rPr>
          <w:b/>
          <w:spacing w:val="-8"/>
          <w:sz w:val="20"/>
        </w:rPr>
        <w:t> </w:t>
      </w:r>
      <w:r>
        <w:rPr>
          <w:b/>
          <w:sz w:val="20"/>
        </w:rPr>
        <w:t>de</w:t>
      </w:r>
      <w:r>
        <w:rPr>
          <w:b/>
          <w:spacing w:val="-9"/>
          <w:sz w:val="20"/>
        </w:rPr>
        <w:t> </w:t>
      </w:r>
      <w:r>
        <w:rPr>
          <w:b/>
          <w:sz w:val="20"/>
        </w:rPr>
        <w:t>las</w:t>
      </w:r>
      <w:r>
        <w:rPr>
          <w:b/>
          <w:spacing w:val="-9"/>
          <w:sz w:val="20"/>
        </w:rPr>
        <w:t> </w:t>
      </w:r>
      <w:r>
        <w:rPr>
          <w:b/>
          <w:sz w:val="20"/>
        </w:rPr>
        <w:t>resoluciones</w:t>
      </w:r>
      <w:r>
        <w:rPr>
          <w:b/>
          <w:spacing w:val="-9"/>
          <w:sz w:val="20"/>
        </w:rPr>
        <w:t> </w:t>
      </w:r>
      <w:r>
        <w:rPr>
          <w:b/>
          <w:sz w:val="20"/>
        </w:rPr>
        <w:t>judiciales</w:t>
      </w:r>
      <w:r>
        <w:rPr>
          <w:b/>
          <w:spacing w:val="-9"/>
          <w:sz w:val="20"/>
        </w:rPr>
        <w:t> </w:t>
      </w:r>
      <w:r>
        <w:rPr>
          <w:b/>
          <w:sz w:val="20"/>
        </w:rPr>
        <w:t>que</w:t>
      </w:r>
      <w:r>
        <w:rPr>
          <w:b/>
          <w:spacing w:val="-10"/>
          <w:sz w:val="20"/>
        </w:rPr>
        <w:t> </w:t>
      </w:r>
      <w:r>
        <w:rPr>
          <w:b/>
          <w:sz w:val="20"/>
        </w:rPr>
        <w:t>toman</w:t>
      </w:r>
      <w:r>
        <w:rPr>
          <w:b/>
          <w:spacing w:val="-9"/>
          <w:sz w:val="20"/>
        </w:rPr>
        <w:t> </w:t>
      </w:r>
      <w:r>
        <w:rPr>
          <w:b/>
          <w:sz w:val="20"/>
        </w:rPr>
        <w:t>en</w:t>
      </w:r>
      <w:r>
        <w:rPr>
          <w:b/>
          <w:spacing w:val="-6"/>
          <w:sz w:val="20"/>
        </w:rPr>
        <w:t> </w:t>
      </w:r>
      <w:r>
        <w:rPr>
          <w:b/>
          <w:sz w:val="20"/>
        </w:rPr>
        <w:t>consideración</w:t>
      </w:r>
      <w:r>
        <w:rPr>
          <w:b/>
          <w:spacing w:val="-8"/>
          <w:sz w:val="20"/>
        </w:rPr>
        <w:t> </w:t>
      </w:r>
      <w:r>
        <w:rPr>
          <w:b/>
          <w:sz w:val="20"/>
        </w:rPr>
        <w:t>las condiciones propias de desigualdad de las mujeres con respecto de los hombres,</w:t>
      </w:r>
      <w:r>
        <w:rPr>
          <w:b/>
          <w:spacing w:val="-33"/>
          <w:sz w:val="20"/>
        </w:rPr>
        <w:t> </w:t>
      </w:r>
      <w:r>
        <w:rPr>
          <w:b/>
          <w:sz w:val="20"/>
        </w:rPr>
        <w:t>constituye un agravio al principio de igualdad entre las</w:t>
      </w:r>
      <w:r>
        <w:rPr>
          <w:b/>
          <w:spacing w:val="-16"/>
          <w:sz w:val="20"/>
        </w:rPr>
        <w:t> </w:t>
      </w:r>
      <w:r>
        <w:rPr>
          <w:b/>
          <w:sz w:val="20"/>
        </w:rPr>
        <w:t>partes</w:t>
      </w:r>
    </w:p>
    <w:p>
      <w:pPr>
        <w:spacing w:after="0" w:line="360" w:lineRule="auto"/>
        <w:jc w:val="both"/>
        <w:rPr>
          <w:sz w:val="20"/>
        </w:rPr>
        <w:sectPr>
          <w:pgSz w:w="12240" w:h="15840"/>
          <w:pgMar w:header="0" w:footer="1002" w:top="1360" w:bottom="1200" w:left="1600" w:right="1580"/>
        </w:sectPr>
      </w:pPr>
    </w:p>
    <w:p>
      <w:pPr>
        <w:pStyle w:val="BodyText"/>
        <w:ind w:left="1397"/>
        <w:rPr>
          <w:sz w:val="20"/>
        </w:rPr>
      </w:pPr>
      <w:r>
        <w:rPr>
          <w:sz w:val="20"/>
        </w:rPr>
        <w:pict>
          <v:group style="width:297.9pt;height:154.25pt;mso-position-horizontal-relative:char;mso-position-vertical-relative:line" coordorigin="0,0" coordsize="5958,3085">
            <v:shape style="position:absolute;left:154;top:221;width:5796;height:2542" type="#_x0000_t75" stroked="false">
              <v:imagedata r:id="rId22" o:title=""/>
            </v:shape>
            <v:shape style="position:absolute;left:3315;top:1284;width:689;height:689" type="#_x0000_t75" stroked="false">
              <v:imagedata r:id="rId21" o:title=""/>
            </v:shape>
            <v:shape style="position:absolute;left:2220;top:615;width:686;height:689" type="#_x0000_t75" stroked="false">
              <v:imagedata r:id="rId21" o:title=""/>
            </v:shape>
            <v:shape style="position:absolute;left:8;top:8;width:5943;height:3070" type="#_x0000_t202" filled="false" stroked="true" strokeweight=".72pt" strokecolor="#bebebe">
              <v:textbox inset="0,0,0,0">
                <w:txbxContent>
                  <w:p>
                    <w:pPr>
                      <w:spacing w:line="240" w:lineRule="auto" w:before="0"/>
                      <w:rPr>
                        <w:b/>
                        <w:sz w:val="20"/>
                      </w:rPr>
                    </w:pPr>
                  </w:p>
                  <w:p>
                    <w:pPr>
                      <w:spacing w:line="240" w:lineRule="auto" w:before="0"/>
                      <w:rPr>
                        <w:b/>
                        <w:sz w:val="20"/>
                      </w:rPr>
                    </w:pPr>
                  </w:p>
                  <w:p>
                    <w:pPr>
                      <w:spacing w:line="240" w:lineRule="auto" w:before="3"/>
                      <w:rPr>
                        <w:b/>
                        <w:sz w:val="18"/>
                      </w:rPr>
                    </w:pPr>
                  </w:p>
                  <w:p>
                    <w:pPr>
                      <w:spacing w:before="0"/>
                      <w:ind w:left="2309" w:right="3219" w:hanging="3"/>
                      <w:jc w:val="center"/>
                      <w:rPr>
                        <w:b/>
                        <w:sz w:val="20"/>
                      </w:rPr>
                    </w:pPr>
                    <w:r>
                      <w:rPr>
                        <w:b/>
                        <w:color w:val="FFFFFF"/>
                        <w:sz w:val="20"/>
                      </w:rPr>
                      <w:t>No 28%</w:t>
                    </w:r>
                  </w:p>
                  <w:p>
                    <w:pPr>
                      <w:spacing w:line="240" w:lineRule="auto" w:before="2"/>
                      <w:rPr>
                        <w:b/>
                        <w:sz w:val="18"/>
                      </w:rPr>
                    </w:pPr>
                  </w:p>
                  <w:p>
                    <w:pPr>
                      <w:spacing w:before="1"/>
                      <w:ind w:left="3405" w:right="2122" w:hanging="5"/>
                      <w:jc w:val="center"/>
                      <w:rPr>
                        <w:b/>
                        <w:sz w:val="20"/>
                      </w:rPr>
                    </w:pPr>
                    <w:r>
                      <w:rPr>
                        <w:b/>
                        <w:color w:val="FFFFFF"/>
                        <w:sz w:val="20"/>
                      </w:rPr>
                      <w:t>Sí 72%</w:t>
                    </w:r>
                  </w:p>
                </w:txbxContent>
              </v:textbox>
              <w10:wrap type="none"/>
            </v:shape>
          </v:group>
        </w:pict>
      </w:r>
      <w:r>
        <w:rPr>
          <w:sz w:val="20"/>
        </w:rPr>
      </w:r>
    </w:p>
    <w:p>
      <w:pPr>
        <w:pStyle w:val="BodyText"/>
        <w:spacing w:before="11"/>
        <w:rPr>
          <w:b/>
          <w:sz w:val="17"/>
        </w:rPr>
      </w:pPr>
    </w:p>
    <w:p>
      <w:pPr>
        <w:spacing w:before="72"/>
        <w:ind w:left="1945" w:right="1964" w:firstLine="0"/>
        <w:jc w:val="center"/>
        <w:rPr>
          <w:sz w:val="20"/>
        </w:rPr>
      </w:pPr>
      <w:r>
        <w:rPr>
          <w:sz w:val="22"/>
        </w:rPr>
        <w:t>Fuente: </w:t>
      </w:r>
      <w:r>
        <w:rPr>
          <w:sz w:val="20"/>
        </w:rPr>
        <w:t>elaboración propia con base en Montoya (2015).</w:t>
      </w:r>
    </w:p>
    <w:p>
      <w:pPr>
        <w:pStyle w:val="BodyText"/>
      </w:pPr>
    </w:p>
    <w:p>
      <w:pPr>
        <w:pStyle w:val="BodyText"/>
        <w:spacing w:before="1"/>
      </w:pPr>
    </w:p>
    <w:p>
      <w:pPr>
        <w:pStyle w:val="BodyText"/>
        <w:spacing w:line="360" w:lineRule="auto" w:before="1"/>
        <w:ind w:left="102" w:right="115"/>
        <w:jc w:val="both"/>
      </w:pPr>
      <w:r>
        <w:rPr/>
        <w:t>La</w:t>
      </w:r>
      <w:r>
        <w:rPr>
          <w:spacing w:val="-4"/>
        </w:rPr>
        <w:t> </w:t>
      </w:r>
      <w:r>
        <w:rPr/>
        <w:t>última</w:t>
      </w:r>
      <w:r>
        <w:rPr>
          <w:spacing w:val="-6"/>
        </w:rPr>
        <w:t> </w:t>
      </w:r>
      <w:r>
        <w:rPr/>
        <w:t>pregunta</w:t>
      </w:r>
      <w:r>
        <w:rPr>
          <w:spacing w:val="-6"/>
        </w:rPr>
        <w:t> </w:t>
      </w:r>
      <w:r>
        <w:rPr/>
        <w:t>tendiente</w:t>
      </w:r>
      <w:r>
        <w:rPr>
          <w:spacing w:val="-4"/>
        </w:rPr>
        <w:t> </w:t>
      </w:r>
      <w:r>
        <w:rPr/>
        <w:t>a</w:t>
      </w:r>
      <w:r>
        <w:rPr>
          <w:spacing w:val="-6"/>
        </w:rPr>
        <w:t> </w:t>
      </w:r>
      <w:r>
        <w:rPr/>
        <w:t>indagar</w:t>
      </w:r>
      <w:r>
        <w:rPr>
          <w:spacing w:val="-6"/>
        </w:rPr>
        <w:t> </w:t>
      </w:r>
      <w:r>
        <w:rPr/>
        <w:t>sobre</w:t>
      </w:r>
      <w:r>
        <w:rPr>
          <w:spacing w:val="-6"/>
        </w:rPr>
        <w:t> </w:t>
      </w:r>
      <w:r>
        <w:rPr/>
        <w:t>si</w:t>
      </w:r>
      <w:r>
        <w:rPr>
          <w:spacing w:val="-5"/>
        </w:rPr>
        <w:t> </w:t>
      </w:r>
      <w:r>
        <w:rPr/>
        <w:t>los</w:t>
      </w:r>
      <w:r>
        <w:rPr>
          <w:spacing w:val="-4"/>
        </w:rPr>
        <w:t> </w:t>
      </w:r>
      <w:r>
        <w:rPr/>
        <w:t>y</w:t>
      </w:r>
      <w:r>
        <w:rPr>
          <w:spacing w:val="-6"/>
        </w:rPr>
        <w:t> </w:t>
      </w:r>
      <w:r>
        <w:rPr/>
        <w:t>las</w:t>
      </w:r>
      <w:r>
        <w:rPr>
          <w:spacing w:val="-4"/>
        </w:rPr>
        <w:t> </w:t>
      </w:r>
      <w:r>
        <w:rPr/>
        <w:t>profesionales</w:t>
      </w:r>
      <w:r>
        <w:rPr>
          <w:spacing w:val="-4"/>
        </w:rPr>
        <w:t> </w:t>
      </w:r>
      <w:r>
        <w:rPr/>
        <w:t>del</w:t>
      </w:r>
      <w:r>
        <w:rPr>
          <w:spacing w:val="-7"/>
        </w:rPr>
        <w:t> </w:t>
      </w:r>
      <w:r>
        <w:rPr/>
        <w:t>derecho</w:t>
      </w:r>
      <w:r>
        <w:rPr>
          <w:spacing w:val="-6"/>
        </w:rPr>
        <w:t> </w:t>
      </w:r>
      <w:r>
        <w:rPr/>
        <w:t>cuentan con perspectiva de género, es la referente a si los hombres por naturaleza son más propensos</w:t>
      </w:r>
      <w:r>
        <w:rPr>
          <w:spacing w:val="-10"/>
        </w:rPr>
        <w:t> </w:t>
      </w:r>
      <w:r>
        <w:rPr/>
        <w:t>a</w:t>
      </w:r>
      <w:r>
        <w:rPr>
          <w:spacing w:val="-8"/>
        </w:rPr>
        <w:t> </w:t>
      </w:r>
      <w:r>
        <w:rPr/>
        <w:t>delinquir</w:t>
      </w:r>
      <w:r>
        <w:rPr>
          <w:spacing w:val="-9"/>
        </w:rPr>
        <w:t> </w:t>
      </w:r>
      <w:r>
        <w:rPr/>
        <w:t>que</w:t>
      </w:r>
      <w:r>
        <w:rPr>
          <w:spacing w:val="-8"/>
        </w:rPr>
        <w:t> </w:t>
      </w:r>
      <w:r>
        <w:rPr/>
        <w:t>las</w:t>
      </w:r>
      <w:r>
        <w:rPr>
          <w:spacing w:val="-10"/>
        </w:rPr>
        <w:t> </w:t>
      </w:r>
      <w:r>
        <w:rPr/>
        <w:t>mujeres,</w:t>
      </w:r>
      <w:r>
        <w:rPr>
          <w:spacing w:val="-7"/>
        </w:rPr>
        <w:t> </w:t>
      </w:r>
      <w:r>
        <w:rPr/>
        <w:t>a</w:t>
      </w:r>
      <w:r>
        <w:rPr>
          <w:spacing w:val="-10"/>
        </w:rPr>
        <w:t> </w:t>
      </w:r>
      <w:r>
        <w:rPr/>
        <w:t>esto</w:t>
      </w:r>
      <w:r>
        <w:rPr>
          <w:spacing w:val="47"/>
        </w:rPr>
        <w:t> </w:t>
      </w:r>
      <w:r>
        <w:rPr/>
        <w:t>57</w:t>
      </w:r>
      <w:r>
        <w:rPr>
          <w:spacing w:val="-10"/>
        </w:rPr>
        <w:t> </w:t>
      </w:r>
      <w:r>
        <w:rPr/>
        <w:t>por</w:t>
      </w:r>
      <w:r>
        <w:rPr>
          <w:spacing w:val="-7"/>
        </w:rPr>
        <w:t> </w:t>
      </w:r>
      <w:r>
        <w:rPr/>
        <w:t>ciento</w:t>
      </w:r>
      <w:r>
        <w:rPr>
          <w:spacing w:val="-8"/>
        </w:rPr>
        <w:t> </w:t>
      </w:r>
      <w:r>
        <w:rPr/>
        <w:t>señaló</w:t>
      </w:r>
      <w:r>
        <w:rPr>
          <w:spacing w:val="-13"/>
        </w:rPr>
        <w:t> </w:t>
      </w:r>
      <w:r>
        <w:rPr/>
        <w:t>que</w:t>
      </w:r>
      <w:r>
        <w:rPr>
          <w:spacing w:val="-8"/>
        </w:rPr>
        <w:t> </w:t>
      </w:r>
      <w:r>
        <w:rPr/>
        <w:t>sí</w:t>
      </w:r>
      <w:r>
        <w:rPr>
          <w:spacing w:val="-13"/>
        </w:rPr>
        <w:t> </w:t>
      </w:r>
      <w:r>
        <w:rPr/>
        <w:t>y</w:t>
      </w:r>
      <w:r>
        <w:rPr>
          <w:spacing w:val="-10"/>
        </w:rPr>
        <w:t> </w:t>
      </w:r>
      <w:r>
        <w:rPr/>
        <w:t>atribuyeron</w:t>
      </w:r>
      <w:r>
        <w:rPr>
          <w:spacing w:val="-8"/>
        </w:rPr>
        <w:t> </w:t>
      </w:r>
      <w:r>
        <w:rPr/>
        <w:t>una razón biológica a esta mayor tendencia a la agresividad. Por lo que hace al 43 por ciento que señaló que los hombres no son más propensos a delinquir que las mujeres, 30 por ciento señaló que hay demasiadas mujeres delincuentes, y 45 por ciento refirió que tiene que ver con la educación y la cultura de cada persona. El 68 por ciento de los abogados y el 33 por ciento de las abogadas que contestaron el cuestionario, refierieron que los hombres por naturaleza son más propensos a</w:t>
      </w:r>
      <w:r>
        <w:rPr>
          <w:spacing w:val="-13"/>
        </w:rPr>
        <w:t> </w:t>
      </w:r>
      <w:r>
        <w:rPr/>
        <w:t>delinquir.</w:t>
      </w:r>
    </w:p>
    <w:p>
      <w:pPr>
        <w:pStyle w:val="BodyText"/>
        <w:spacing w:line="360" w:lineRule="auto" w:before="3"/>
        <w:ind w:left="102" w:right="116"/>
        <w:jc w:val="both"/>
      </w:pPr>
      <w:r>
        <w:rPr/>
        <w:t>Si bien es cierto, los porcentajes no son alarmantes, no es menos cierto que se puede observar un prejuicio basado en el determinismo biológico, acerca de la agresividad de los hombres.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32"/>
        </w:rPr>
      </w:pPr>
    </w:p>
    <w:p>
      <w:pPr>
        <w:spacing w:before="0"/>
        <w:ind w:left="102" w:right="0" w:firstLine="0"/>
        <w:jc w:val="both"/>
        <w:rPr>
          <w:b/>
          <w:sz w:val="20"/>
        </w:rPr>
      </w:pPr>
      <w:r>
        <w:rPr>
          <w:b/>
          <w:sz w:val="20"/>
        </w:rPr>
        <w:t>Gráfica 5. Los hombres son más propensos que las mujeres a cometer conductas delictivas</w:t>
      </w:r>
    </w:p>
    <w:p>
      <w:pPr>
        <w:spacing w:after="0"/>
        <w:jc w:val="both"/>
        <w:rPr>
          <w:sz w:val="20"/>
        </w:rPr>
        <w:sectPr>
          <w:pgSz w:w="12240" w:h="15840"/>
          <w:pgMar w:header="0" w:footer="1002" w:top="1460" w:bottom="1200" w:left="1600" w:right="1580"/>
        </w:sectPr>
      </w:pPr>
    </w:p>
    <w:p>
      <w:pPr>
        <w:pStyle w:val="BodyText"/>
        <w:ind w:left="114"/>
        <w:rPr>
          <w:sz w:val="20"/>
        </w:rPr>
      </w:pPr>
      <w:r>
        <w:rPr>
          <w:sz w:val="20"/>
        </w:rPr>
        <w:pict>
          <v:group style="width:442.75pt;height:158.1pt;mso-position-horizontal-relative:char;mso-position-vertical-relative:line" coordorigin="0,0" coordsize="8855,3162">
            <v:shape style="position:absolute;left:226;top:228;width:8402;height:2707" type="#_x0000_t75" stroked="false">
              <v:imagedata r:id="rId23" o:title=""/>
            </v:shape>
            <v:shape style="position:absolute;left:4870;top:1128;width:689;height:686" type="#_x0000_t75" stroked="false">
              <v:imagedata r:id="rId24" o:title=""/>
            </v:shape>
            <v:shape style="position:absolute;left:3396;top:898;width:686;height:689" type="#_x0000_t75" stroked="false">
              <v:imagedata r:id="rId25" o:title=""/>
            </v:shape>
            <v:rect style="position:absolute;left:8;top:8;width:8839;height:3146" filled="false" stroked="true" strokeweight=".72pt" strokecolor="#bebebe"/>
            <v:shape style="position:absolute;left:3500;top:995;width:398;height:430" type="#_x0000_t202" filled="false" stroked="false">
              <v:textbox inset="0,0,0,0">
                <w:txbxContent>
                  <w:p>
                    <w:pPr>
                      <w:spacing w:line="204" w:lineRule="exact" w:before="0"/>
                      <w:ind w:left="0" w:right="-3" w:firstLine="64"/>
                      <w:jc w:val="left"/>
                      <w:rPr>
                        <w:b/>
                        <w:sz w:val="20"/>
                      </w:rPr>
                    </w:pPr>
                    <w:r>
                      <w:rPr>
                        <w:b/>
                        <w:color w:val="FFFFFF"/>
                        <w:sz w:val="20"/>
                      </w:rPr>
                      <w:t>No</w:t>
                    </w:r>
                  </w:p>
                  <w:p>
                    <w:pPr>
                      <w:spacing w:line="225" w:lineRule="exact" w:before="0"/>
                      <w:ind w:left="0" w:right="-3" w:firstLine="0"/>
                      <w:jc w:val="left"/>
                      <w:rPr>
                        <w:b/>
                        <w:sz w:val="20"/>
                      </w:rPr>
                    </w:pPr>
                    <w:r>
                      <w:rPr>
                        <w:b/>
                        <w:color w:val="FFFFFF"/>
                        <w:w w:val="95"/>
                        <w:sz w:val="20"/>
                      </w:rPr>
                      <w:t>43%</w:t>
                    </w:r>
                  </w:p>
                </w:txbxContent>
              </v:textbox>
              <w10:wrap type="none"/>
            </v:shape>
            <v:shape style="position:absolute;left:4975;top:1225;width:398;height:430" type="#_x0000_t202" filled="false" stroked="false">
              <v:textbox inset="0,0,0,0">
                <w:txbxContent>
                  <w:p>
                    <w:pPr>
                      <w:spacing w:line="204" w:lineRule="exact" w:before="0"/>
                      <w:ind w:left="0" w:right="5" w:firstLine="0"/>
                      <w:jc w:val="center"/>
                      <w:rPr>
                        <w:b/>
                        <w:sz w:val="20"/>
                      </w:rPr>
                    </w:pPr>
                    <w:r>
                      <w:rPr>
                        <w:b/>
                        <w:color w:val="FFFFFF"/>
                        <w:sz w:val="20"/>
                      </w:rPr>
                      <w:t>Sí</w:t>
                    </w:r>
                  </w:p>
                  <w:p>
                    <w:pPr>
                      <w:spacing w:line="225" w:lineRule="exact" w:before="0"/>
                      <w:ind w:left="0" w:right="0" w:firstLine="0"/>
                      <w:jc w:val="center"/>
                      <w:rPr>
                        <w:b/>
                        <w:sz w:val="20"/>
                      </w:rPr>
                    </w:pPr>
                    <w:r>
                      <w:rPr>
                        <w:b/>
                        <w:color w:val="FFFFFF"/>
                        <w:w w:val="95"/>
                        <w:sz w:val="20"/>
                      </w:rPr>
                      <w:t>57%</w:t>
                    </w:r>
                  </w:p>
                </w:txbxContent>
              </v:textbox>
              <w10:wrap type="none"/>
            </v:shape>
          </v:group>
        </w:pict>
      </w:r>
      <w:r>
        <w:rPr>
          <w:sz w:val="20"/>
        </w:rPr>
      </w:r>
    </w:p>
    <w:p>
      <w:pPr>
        <w:spacing w:before="138"/>
        <w:ind w:left="2020" w:right="202" w:firstLine="0"/>
        <w:jc w:val="left"/>
        <w:rPr>
          <w:sz w:val="20"/>
        </w:rPr>
      </w:pPr>
      <w:r>
        <w:rPr>
          <w:sz w:val="20"/>
        </w:rPr>
        <w:t>Fuente: elaboración propia con base en Montoya (2015).</w:t>
      </w:r>
    </w:p>
    <w:p>
      <w:pPr>
        <w:pStyle w:val="BodyText"/>
        <w:spacing w:before="2"/>
        <w:rPr>
          <w:sz w:val="27"/>
        </w:rPr>
      </w:pPr>
    </w:p>
    <w:p>
      <w:pPr>
        <w:pStyle w:val="BodyText"/>
        <w:spacing w:line="360" w:lineRule="auto"/>
        <w:ind w:left="122" w:right="115"/>
        <w:jc w:val="both"/>
      </w:pPr>
      <w:r>
        <w:rPr/>
        <w:t>A partir de esta pregunta inician las referentes a determinar la presencia de la perspectiva de género en la defensa de las mujeres que son acusadas de cometer una conducta delictiva, en ésta pregunta, se cuestionó a los abogados y las abogadas, si tenían conocimientos</w:t>
      </w:r>
      <w:r>
        <w:rPr>
          <w:spacing w:val="-5"/>
        </w:rPr>
        <w:t> </w:t>
      </w:r>
      <w:r>
        <w:rPr/>
        <w:t>sobre</w:t>
      </w:r>
      <w:r>
        <w:rPr>
          <w:spacing w:val="-5"/>
        </w:rPr>
        <w:t> </w:t>
      </w:r>
      <w:r>
        <w:rPr/>
        <w:t>la</w:t>
      </w:r>
      <w:r>
        <w:rPr>
          <w:spacing w:val="-5"/>
        </w:rPr>
        <w:t> </w:t>
      </w:r>
      <w:r>
        <w:rPr/>
        <w:t>teoría</w:t>
      </w:r>
      <w:r>
        <w:rPr>
          <w:spacing w:val="-3"/>
        </w:rPr>
        <w:t> </w:t>
      </w:r>
      <w:r>
        <w:rPr/>
        <w:t>del</w:t>
      </w:r>
      <w:r>
        <w:rPr>
          <w:spacing w:val="-4"/>
        </w:rPr>
        <w:t> </w:t>
      </w:r>
      <w:r>
        <w:rPr/>
        <w:t>garantismo</w:t>
      </w:r>
      <w:r>
        <w:rPr>
          <w:spacing w:val="-3"/>
        </w:rPr>
        <w:t> </w:t>
      </w:r>
      <w:r>
        <w:rPr/>
        <w:t>penal,</w:t>
      </w:r>
      <w:r>
        <w:rPr>
          <w:spacing w:val="-2"/>
        </w:rPr>
        <w:t> </w:t>
      </w:r>
      <w:r>
        <w:rPr/>
        <w:t>y</w:t>
      </w:r>
      <w:r>
        <w:rPr>
          <w:spacing w:val="-5"/>
        </w:rPr>
        <w:t> </w:t>
      </w:r>
      <w:r>
        <w:rPr/>
        <w:t>para</w:t>
      </w:r>
      <w:r>
        <w:rPr>
          <w:spacing w:val="-5"/>
        </w:rPr>
        <w:t> </w:t>
      </w:r>
      <w:r>
        <w:rPr/>
        <w:t>el</w:t>
      </w:r>
      <w:r>
        <w:rPr>
          <w:spacing w:val="-4"/>
        </w:rPr>
        <w:t> </w:t>
      </w:r>
      <w:r>
        <w:rPr/>
        <w:t>caso</w:t>
      </w:r>
      <w:r>
        <w:rPr>
          <w:spacing w:val="-3"/>
        </w:rPr>
        <w:t> </w:t>
      </w:r>
      <w:r>
        <w:rPr/>
        <w:t>de</w:t>
      </w:r>
      <w:r>
        <w:rPr>
          <w:spacing w:val="-8"/>
        </w:rPr>
        <w:t> </w:t>
      </w:r>
      <w:r>
        <w:rPr/>
        <w:t>que</w:t>
      </w:r>
      <w:r>
        <w:rPr>
          <w:spacing w:val="-8"/>
        </w:rPr>
        <w:t> </w:t>
      </w:r>
      <w:r>
        <w:rPr/>
        <w:t>la</w:t>
      </w:r>
      <w:r>
        <w:rPr>
          <w:spacing w:val="-3"/>
        </w:rPr>
        <w:t> </w:t>
      </w:r>
      <w:r>
        <w:rPr/>
        <w:t>respuesta</w:t>
      </w:r>
      <w:r>
        <w:rPr>
          <w:spacing w:val="-5"/>
        </w:rPr>
        <w:t> </w:t>
      </w:r>
      <w:r>
        <w:rPr/>
        <w:t>sea afirmativa</w:t>
      </w:r>
      <w:r>
        <w:rPr>
          <w:spacing w:val="-10"/>
        </w:rPr>
        <w:t> </w:t>
      </w:r>
      <w:r>
        <w:rPr/>
        <w:t>refieran</w:t>
      </w:r>
      <w:r>
        <w:rPr>
          <w:spacing w:val="-12"/>
        </w:rPr>
        <w:t> </w:t>
      </w:r>
      <w:r>
        <w:rPr/>
        <w:t>en</w:t>
      </w:r>
      <w:r>
        <w:rPr>
          <w:spacing w:val="-15"/>
        </w:rPr>
        <w:t> </w:t>
      </w:r>
      <w:r>
        <w:rPr/>
        <w:t>que</w:t>
      </w:r>
      <w:r>
        <w:rPr>
          <w:spacing w:val="-10"/>
        </w:rPr>
        <w:t> </w:t>
      </w:r>
      <w:r>
        <w:rPr/>
        <w:t>consiste.</w:t>
      </w:r>
      <w:r>
        <w:rPr>
          <w:spacing w:val="-11"/>
        </w:rPr>
        <w:t> </w:t>
      </w:r>
      <w:r>
        <w:rPr/>
        <w:t>El</w:t>
      </w:r>
      <w:r>
        <w:rPr>
          <w:spacing w:val="-11"/>
        </w:rPr>
        <w:t> </w:t>
      </w:r>
      <w:r>
        <w:rPr/>
        <w:t>54</w:t>
      </w:r>
      <w:r>
        <w:rPr>
          <w:spacing w:val="-12"/>
        </w:rPr>
        <w:t> </w:t>
      </w:r>
      <w:r>
        <w:rPr/>
        <w:t>por</w:t>
      </w:r>
      <w:r>
        <w:rPr>
          <w:spacing w:val="-11"/>
        </w:rPr>
        <w:t> </w:t>
      </w:r>
      <w:r>
        <w:rPr/>
        <w:t>ciento</w:t>
      </w:r>
      <w:r>
        <w:rPr>
          <w:spacing w:val="-12"/>
        </w:rPr>
        <w:t> </w:t>
      </w:r>
      <w:r>
        <w:rPr/>
        <w:t>refirió</w:t>
      </w:r>
      <w:r>
        <w:rPr>
          <w:spacing w:val="-10"/>
        </w:rPr>
        <w:t> </w:t>
      </w:r>
      <w:r>
        <w:rPr/>
        <w:t>no</w:t>
      </w:r>
      <w:r>
        <w:rPr>
          <w:spacing w:val="-12"/>
        </w:rPr>
        <w:t> </w:t>
      </w:r>
      <w:r>
        <w:rPr/>
        <w:t>conocer</w:t>
      </w:r>
      <w:r>
        <w:rPr>
          <w:spacing w:val="-11"/>
        </w:rPr>
        <w:t> </w:t>
      </w:r>
      <w:r>
        <w:rPr/>
        <w:t>dicha</w:t>
      </w:r>
      <w:r>
        <w:rPr>
          <w:spacing w:val="-10"/>
        </w:rPr>
        <w:t> </w:t>
      </w:r>
      <w:r>
        <w:rPr/>
        <w:t>teoría,</w:t>
      </w:r>
      <w:r>
        <w:rPr>
          <w:spacing w:val="-11"/>
        </w:rPr>
        <w:t> </w:t>
      </w:r>
      <w:r>
        <w:rPr/>
        <w:t>mientras que 46 por ciento refirió conocerla, no obstante, al momento de analizar las respuestas respecto a qué se refiere, 52 por ciento de los que habían señalado conocerla, en realidad desconocía la teoría del garantismo</w:t>
      </w:r>
      <w:r>
        <w:rPr>
          <w:spacing w:val="-9"/>
        </w:rPr>
        <w:t> </w:t>
      </w:r>
      <w:r>
        <w:rPr/>
        <w:t>penal.</w:t>
      </w:r>
    </w:p>
    <w:p>
      <w:pPr>
        <w:pStyle w:val="BodyText"/>
        <w:spacing w:before="7"/>
        <w:rPr>
          <w:sz w:val="17"/>
        </w:rPr>
      </w:pPr>
    </w:p>
    <w:p>
      <w:pPr>
        <w:pStyle w:val="BodyText"/>
        <w:spacing w:line="360" w:lineRule="auto"/>
        <w:ind w:left="122" w:right="117"/>
        <w:jc w:val="both"/>
      </w:pPr>
      <w:r>
        <w:rPr/>
        <w:t>Quienes más refierieron conocer la teoría en comento fueron los Defensores de Oficio. Ahora bien, si tomamos en consideración a los que dijeron conocer la Teoría, pero en realidad no la conocían, tenemos que 78 por ciento de los y las profesionales que contestaron el cuestionario, desconoce la Teoría del Garantismo Penal, lo cual demuestra que no hay bases sólidas respecto a la protección de los derechos humanos.</w:t>
      </w:r>
    </w:p>
    <w:p>
      <w:pPr>
        <w:pStyle w:val="BodyText"/>
      </w:pPr>
    </w:p>
    <w:p>
      <w:pPr>
        <w:pStyle w:val="BodyText"/>
      </w:pPr>
    </w:p>
    <w:p>
      <w:pPr>
        <w:pStyle w:val="BodyText"/>
        <w:spacing w:before="10"/>
        <w:rPr>
          <w:sz w:val="23"/>
        </w:rPr>
      </w:pPr>
    </w:p>
    <w:p>
      <w:pPr>
        <w:spacing w:line="360" w:lineRule="auto" w:before="0"/>
        <w:ind w:left="122" w:right="126" w:firstLine="0"/>
        <w:jc w:val="both"/>
        <w:rPr>
          <w:b/>
          <w:sz w:val="20"/>
        </w:rPr>
      </w:pPr>
      <w:r>
        <w:rPr>
          <w:b/>
          <w:sz w:val="20"/>
        </w:rPr>
        <w:t>Gráfica 6. Conocimiento de los abogados/as encuestados sobre la Teoría del Garantismo Penal.</w:t>
      </w:r>
    </w:p>
    <w:p>
      <w:pPr>
        <w:spacing w:after="0" w:line="360" w:lineRule="auto"/>
        <w:jc w:val="both"/>
        <w:rPr>
          <w:sz w:val="20"/>
        </w:rPr>
        <w:sectPr>
          <w:pgSz w:w="12240" w:h="15840"/>
          <w:pgMar w:header="0" w:footer="1002" w:top="1400" w:bottom="1200" w:left="1580" w:right="1580"/>
        </w:sectPr>
      </w:pPr>
    </w:p>
    <w:p>
      <w:pPr>
        <w:pStyle w:val="BodyText"/>
        <w:ind w:left="1078"/>
        <w:rPr>
          <w:sz w:val="20"/>
        </w:rPr>
      </w:pPr>
      <w:r>
        <w:rPr>
          <w:sz w:val="20"/>
        </w:rPr>
        <w:pict>
          <v:group style="width:342.4pt;height:151.5pt;mso-position-horizontal-relative:char;mso-position-vertical-relative:line" coordorigin="0,0" coordsize="6848,3030">
            <v:shape style="position:absolute;left:771;top:1474;width:2110;height:1087" type="#_x0000_t75" stroked="false">
              <v:imagedata r:id="rId26" o:title=""/>
            </v:shape>
            <v:rect style="position:absolute;left:1186;top:1884;width:1279;height:662" filled="true" fillcolor="#ec7c30" stroked="false">
              <v:fill type="solid"/>
            </v:rect>
            <v:shape style="position:absolute;left:3968;top:228;width:2110;height:2333" type="#_x0000_t75" stroked="false">
              <v:imagedata r:id="rId27" o:title=""/>
            </v:shape>
            <v:rect style="position:absolute;left:4383;top:560;width:1279;height:1987" filled="true" fillcolor="#ffc000" stroked="false">
              <v:fill type="solid"/>
            </v:rect>
            <v:line style="position:absolute" from="226,2547" to="6620,2547" stroked="true" strokeweight=".48pt" strokecolor="#888888"/>
            <v:rect style="position:absolute;left:8;top:8;width:6833;height:3014" filled="false" stroked="true" strokeweight=".72pt" strokecolor="#bebebe"/>
            <v:shape style="position:absolute;left:4920;top:26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1724;top:1591;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21</w:t>
                    </w:r>
                  </w:p>
                </w:txbxContent>
              </v:textbox>
              <w10:wrap type="none"/>
            </v:shape>
            <v:shape style="position:absolute;left:1754;top:2687;width:147;height:200" type="#_x0000_t202" filled="false" stroked="false">
              <v:textbox inset="0,0,0,0">
                <w:txbxContent>
                  <w:p>
                    <w:pPr>
                      <w:spacing w:line="199" w:lineRule="exact" w:before="0"/>
                      <w:ind w:left="0" w:right="-18" w:firstLine="0"/>
                      <w:jc w:val="left"/>
                      <w:rPr>
                        <w:sz w:val="20"/>
                      </w:rPr>
                    </w:pPr>
                    <w:r>
                      <w:rPr>
                        <w:sz w:val="20"/>
                      </w:rPr>
                      <w:t>si</w:t>
                    </w:r>
                  </w:p>
                </w:txbxContent>
              </v:textbox>
              <w10:wrap type="none"/>
            </v:shape>
            <v:shape style="position:absolute;left:4912;top:2687;width:221;height:200" type="#_x0000_t202" filled="false" stroked="false">
              <v:textbox inset="0,0,0,0">
                <w:txbxContent>
                  <w:p>
                    <w:pPr>
                      <w:spacing w:line="199" w:lineRule="exact" w:before="0"/>
                      <w:ind w:left="0" w:right="-20" w:firstLine="0"/>
                      <w:jc w:val="left"/>
                      <w:rPr>
                        <w:sz w:val="20"/>
                      </w:rPr>
                    </w:pPr>
                    <w:r>
                      <w:rPr>
                        <w:spacing w:val="-1"/>
                        <w:sz w:val="20"/>
                      </w:rPr>
                      <w:t>no</w:t>
                    </w:r>
                  </w:p>
                </w:txbxContent>
              </v:textbox>
              <w10:wrap type="none"/>
            </v:shape>
          </v:group>
        </w:pict>
      </w:r>
      <w:r>
        <w:rPr>
          <w:sz w:val="20"/>
        </w:rPr>
      </w:r>
    </w:p>
    <w:p>
      <w:pPr>
        <w:pStyle w:val="BodyText"/>
        <w:spacing w:before="8"/>
        <w:rPr>
          <w:b/>
          <w:sz w:val="21"/>
        </w:rPr>
      </w:pPr>
    </w:p>
    <w:p>
      <w:pPr>
        <w:spacing w:before="74"/>
        <w:ind w:left="2000" w:right="96" w:firstLine="0"/>
        <w:jc w:val="left"/>
        <w:rPr>
          <w:sz w:val="20"/>
        </w:rPr>
      </w:pPr>
      <w:r>
        <w:rPr>
          <w:sz w:val="20"/>
        </w:rPr>
        <w:t>Fuente: elaboración propia con base en Montoya (2015).</w:t>
      </w:r>
    </w:p>
    <w:p>
      <w:pPr>
        <w:pStyle w:val="BodyText"/>
        <w:spacing w:before="2"/>
        <w:rPr>
          <w:sz w:val="27"/>
        </w:rPr>
      </w:pPr>
    </w:p>
    <w:p>
      <w:pPr>
        <w:pStyle w:val="BodyText"/>
        <w:spacing w:line="360" w:lineRule="auto"/>
        <w:ind w:left="102" w:right="115"/>
        <w:jc w:val="both"/>
      </w:pPr>
      <w:r>
        <w:rPr/>
        <w:t>La siguiente pregunta relacionada con la presencia de la incorporación de la Perspectiva de</w:t>
      </w:r>
      <w:r>
        <w:rPr>
          <w:spacing w:val="-15"/>
        </w:rPr>
        <w:t> </w:t>
      </w:r>
      <w:r>
        <w:rPr/>
        <w:t>género,</w:t>
      </w:r>
      <w:r>
        <w:rPr>
          <w:spacing w:val="-14"/>
        </w:rPr>
        <w:t> </w:t>
      </w:r>
      <w:r>
        <w:rPr/>
        <w:t>en</w:t>
      </w:r>
      <w:r>
        <w:rPr>
          <w:spacing w:val="-15"/>
        </w:rPr>
        <w:t> </w:t>
      </w:r>
      <w:r>
        <w:rPr/>
        <w:t>la</w:t>
      </w:r>
      <w:r>
        <w:rPr>
          <w:spacing w:val="-15"/>
        </w:rPr>
        <w:t> </w:t>
      </w:r>
      <w:r>
        <w:rPr/>
        <w:t>defensa</w:t>
      </w:r>
      <w:r>
        <w:rPr>
          <w:spacing w:val="-17"/>
        </w:rPr>
        <w:t> </w:t>
      </w:r>
      <w:r>
        <w:rPr/>
        <w:t>de</w:t>
      </w:r>
      <w:r>
        <w:rPr>
          <w:spacing w:val="-15"/>
        </w:rPr>
        <w:t> </w:t>
      </w:r>
      <w:r>
        <w:rPr/>
        <w:t>las</w:t>
      </w:r>
      <w:r>
        <w:rPr>
          <w:spacing w:val="-15"/>
        </w:rPr>
        <w:t> </w:t>
      </w:r>
      <w:r>
        <w:rPr/>
        <w:t>mujeres</w:t>
      </w:r>
      <w:r>
        <w:rPr>
          <w:spacing w:val="-17"/>
        </w:rPr>
        <w:t> </w:t>
      </w:r>
      <w:r>
        <w:rPr/>
        <w:t>que</w:t>
      </w:r>
      <w:r>
        <w:rPr>
          <w:spacing w:val="-15"/>
        </w:rPr>
        <w:t> </w:t>
      </w:r>
      <w:r>
        <w:rPr/>
        <w:t>son</w:t>
      </w:r>
      <w:r>
        <w:rPr>
          <w:spacing w:val="-18"/>
        </w:rPr>
        <w:t> </w:t>
      </w:r>
      <w:r>
        <w:rPr/>
        <w:t>acusadas</w:t>
      </w:r>
      <w:r>
        <w:rPr>
          <w:spacing w:val="-15"/>
        </w:rPr>
        <w:t> </w:t>
      </w:r>
      <w:r>
        <w:rPr/>
        <w:t>de</w:t>
      </w:r>
      <w:r>
        <w:rPr>
          <w:spacing w:val="-15"/>
        </w:rPr>
        <w:t> </w:t>
      </w:r>
      <w:r>
        <w:rPr/>
        <w:t>cometer</w:t>
      </w:r>
      <w:r>
        <w:rPr>
          <w:spacing w:val="-14"/>
        </w:rPr>
        <w:t> </w:t>
      </w:r>
      <w:r>
        <w:rPr/>
        <w:t>conductas</w:t>
      </w:r>
      <w:r>
        <w:rPr>
          <w:spacing w:val="-15"/>
        </w:rPr>
        <w:t> </w:t>
      </w:r>
      <w:r>
        <w:rPr/>
        <w:t>delictivas, se planteó de la siguiente forma ¿Considera que en el proceso penal es fundamental la protección</w:t>
      </w:r>
      <w:r>
        <w:rPr>
          <w:spacing w:val="-11"/>
        </w:rPr>
        <w:t> </w:t>
      </w:r>
      <w:r>
        <w:rPr/>
        <w:t>de</w:t>
      </w:r>
      <w:r>
        <w:rPr>
          <w:spacing w:val="-14"/>
        </w:rPr>
        <w:t> </w:t>
      </w:r>
      <w:r>
        <w:rPr/>
        <w:t>los</w:t>
      </w:r>
      <w:r>
        <w:rPr>
          <w:spacing w:val="-11"/>
        </w:rPr>
        <w:t> </w:t>
      </w:r>
      <w:r>
        <w:rPr/>
        <w:t>derechos</w:t>
      </w:r>
      <w:r>
        <w:rPr>
          <w:spacing w:val="-11"/>
        </w:rPr>
        <w:t> </w:t>
      </w:r>
      <w:r>
        <w:rPr/>
        <w:t>humanos</w:t>
      </w:r>
      <w:r>
        <w:rPr>
          <w:spacing w:val="-14"/>
        </w:rPr>
        <w:t> </w:t>
      </w:r>
      <w:r>
        <w:rPr/>
        <w:t>de</w:t>
      </w:r>
      <w:r>
        <w:rPr>
          <w:spacing w:val="-11"/>
        </w:rPr>
        <w:t> </w:t>
      </w:r>
      <w:r>
        <w:rPr/>
        <w:t>los</w:t>
      </w:r>
      <w:r>
        <w:rPr>
          <w:spacing w:val="-11"/>
        </w:rPr>
        <w:t> </w:t>
      </w:r>
      <w:r>
        <w:rPr/>
        <w:t>indiciados</w:t>
      </w:r>
      <w:r>
        <w:rPr>
          <w:spacing w:val="-11"/>
        </w:rPr>
        <w:t> </w:t>
      </w:r>
      <w:r>
        <w:rPr/>
        <w:t>e</w:t>
      </w:r>
      <w:r>
        <w:rPr>
          <w:spacing w:val="-11"/>
        </w:rPr>
        <w:t> </w:t>
      </w:r>
      <w:r>
        <w:rPr/>
        <w:t>indiciadas?,</w:t>
      </w:r>
      <w:r>
        <w:rPr>
          <w:spacing w:val="-10"/>
        </w:rPr>
        <w:t> </w:t>
      </w:r>
      <w:r>
        <w:rPr/>
        <w:t>a</w:t>
      </w:r>
      <w:r>
        <w:rPr>
          <w:spacing w:val="-9"/>
        </w:rPr>
        <w:t> </w:t>
      </w:r>
      <w:r>
        <w:rPr/>
        <w:t>esta</w:t>
      </w:r>
      <w:r>
        <w:rPr>
          <w:spacing w:val="-11"/>
        </w:rPr>
        <w:t> </w:t>
      </w:r>
      <w:r>
        <w:rPr/>
        <w:t>pregunta</w:t>
      </w:r>
      <w:r>
        <w:rPr>
          <w:spacing w:val="-14"/>
        </w:rPr>
        <w:t> </w:t>
      </w:r>
      <w:r>
        <w:rPr/>
        <w:t>93</w:t>
      </w:r>
      <w:r>
        <w:rPr>
          <w:spacing w:val="-11"/>
        </w:rPr>
        <w:t> </w:t>
      </w:r>
      <w:r>
        <w:rPr/>
        <w:t>por ciento de los abogados y las abogadas respondieron que sí es fundamental la protección de los derechos humanos en el proceso penal, de este porcentaje 37 por ciento refirió que es</w:t>
      </w:r>
      <w:r>
        <w:rPr>
          <w:spacing w:val="-6"/>
        </w:rPr>
        <w:t> </w:t>
      </w:r>
      <w:r>
        <w:rPr/>
        <w:t>importante</w:t>
      </w:r>
      <w:r>
        <w:rPr>
          <w:spacing w:val="-9"/>
        </w:rPr>
        <w:t> </w:t>
      </w:r>
      <w:r>
        <w:rPr/>
        <w:t>dando</w:t>
      </w:r>
      <w:r>
        <w:rPr>
          <w:spacing w:val="-9"/>
        </w:rPr>
        <w:t> </w:t>
      </w:r>
      <w:r>
        <w:rPr/>
        <w:t>razones</w:t>
      </w:r>
      <w:r>
        <w:rPr>
          <w:spacing w:val="-6"/>
        </w:rPr>
        <w:t> </w:t>
      </w:r>
      <w:r>
        <w:rPr/>
        <w:t>de</w:t>
      </w:r>
      <w:r>
        <w:rPr>
          <w:spacing w:val="-9"/>
        </w:rPr>
        <w:t> </w:t>
      </w:r>
      <w:r>
        <w:rPr/>
        <w:t>carácter</w:t>
      </w:r>
      <w:r>
        <w:rPr>
          <w:spacing w:val="-5"/>
        </w:rPr>
        <w:t> </w:t>
      </w:r>
      <w:r>
        <w:rPr/>
        <w:t>procedimiental.</w:t>
      </w:r>
      <w:r>
        <w:rPr>
          <w:spacing w:val="-7"/>
        </w:rPr>
        <w:t> </w:t>
      </w:r>
      <w:r>
        <w:rPr/>
        <w:t>Siete</w:t>
      </w:r>
      <w:r>
        <w:rPr>
          <w:spacing w:val="-8"/>
        </w:rPr>
        <w:t> </w:t>
      </w:r>
      <w:r>
        <w:rPr/>
        <w:t>por</w:t>
      </w:r>
      <w:r>
        <w:rPr>
          <w:spacing w:val="-8"/>
        </w:rPr>
        <w:t> </w:t>
      </w:r>
      <w:r>
        <w:rPr/>
        <w:t>ciento</w:t>
      </w:r>
      <w:r>
        <w:rPr>
          <w:spacing w:val="-11"/>
        </w:rPr>
        <w:t> </w:t>
      </w:r>
      <w:r>
        <w:rPr/>
        <w:t>que</w:t>
      </w:r>
      <w:r>
        <w:rPr>
          <w:spacing w:val="-9"/>
        </w:rPr>
        <w:t> </w:t>
      </w:r>
      <w:r>
        <w:rPr/>
        <w:t>contestó</w:t>
      </w:r>
      <w:r>
        <w:rPr>
          <w:spacing w:val="-11"/>
        </w:rPr>
        <w:t> </w:t>
      </w:r>
      <w:r>
        <w:rPr/>
        <w:t>que no es fundamental la protección de los derechos humanos, señaló que se ha desvirtuado la</w:t>
      </w:r>
      <w:r>
        <w:rPr>
          <w:spacing w:val="-11"/>
        </w:rPr>
        <w:t> </w:t>
      </w:r>
      <w:r>
        <w:rPr/>
        <w:t>escencia</w:t>
      </w:r>
      <w:r>
        <w:rPr>
          <w:spacing w:val="-11"/>
        </w:rPr>
        <w:t> </w:t>
      </w:r>
      <w:r>
        <w:rPr/>
        <w:t>de</w:t>
      </w:r>
      <w:r>
        <w:rPr>
          <w:spacing w:val="-13"/>
        </w:rPr>
        <w:t> </w:t>
      </w:r>
      <w:r>
        <w:rPr/>
        <w:t>los</w:t>
      </w:r>
      <w:r>
        <w:rPr>
          <w:spacing w:val="-11"/>
        </w:rPr>
        <w:t> </w:t>
      </w:r>
      <w:r>
        <w:rPr/>
        <w:t>derechos</w:t>
      </w:r>
      <w:r>
        <w:rPr>
          <w:spacing w:val="-11"/>
        </w:rPr>
        <w:t> </w:t>
      </w:r>
      <w:r>
        <w:rPr/>
        <w:t>humanos,</w:t>
      </w:r>
      <w:r>
        <w:rPr>
          <w:spacing w:val="-11"/>
        </w:rPr>
        <w:t> </w:t>
      </w:r>
      <w:r>
        <w:rPr/>
        <w:t>y</w:t>
      </w:r>
      <w:r>
        <w:rPr>
          <w:spacing w:val="-12"/>
        </w:rPr>
        <w:t> </w:t>
      </w:r>
      <w:r>
        <w:rPr/>
        <w:t>se</w:t>
      </w:r>
      <w:r>
        <w:rPr>
          <w:spacing w:val="-11"/>
        </w:rPr>
        <w:t> </w:t>
      </w:r>
      <w:r>
        <w:rPr/>
        <w:t>han</w:t>
      </w:r>
      <w:r>
        <w:rPr>
          <w:spacing w:val="-13"/>
        </w:rPr>
        <w:t> </w:t>
      </w:r>
      <w:r>
        <w:rPr/>
        <w:t>utilizado</w:t>
      </w:r>
      <w:r>
        <w:rPr>
          <w:spacing w:val="-11"/>
        </w:rPr>
        <w:t> </w:t>
      </w:r>
      <w:r>
        <w:rPr/>
        <w:t>para</w:t>
      </w:r>
      <w:r>
        <w:rPr>
          <w:spacing w:val="-11"/>
        </w:rPr>
        <w:t> </w:t>
      </w:r>
      <w:r>
        <w:rPr/>
        <w:t>justificar</w:t>
      </w:r>
      <w:r>
        <w:rPr>
          <w:spacing w:val="-12"/>
        </w:rPr>
        <w:t> </w:t>
      </w:r>
      <w:r>
        <w:rPr/>
        <w:t>conductas</w:t>
      </w:r>
      <w:r>
        <w:rPr>
          <w:spacing w:val="-12"/>
        </w:rPr>
        <w:t> </w:t>
      </w:r>
      <w:r>
        <w:rPr/>
        <w:t>contrarias a derecho, cabe mencionar que la Defensora de Oficio fue una de las personas que consideró que no es fundamental la protección de Derechos Humanos dentro del proceso penal.</w:t>
      </w:r>
    </w:p>
    <w:p>
      <w:pPr>
        <w:pStyle w:val="BodyText"/>
        <w:spacing w:before="10"/>
        <w:rPr>
          <w:sz w:val="17"/>
        </w:rPr>
      </w:pPr>
    </w:p>
    <w:p>
      <w:pPr>
        <w:pStyle w:val="BodyText"/>
        <w:spacing w:line="360" w:lineRule="auto"/>
        <w:ind w:left="102" w:right="117"/>
        <w:jc w:val="both"/>
      </w:pPr>
      <w:r>
        <w:rPr/>
        <w:t>Comparando la frecuencia de esta pregunta, con los porcentajes de la preguta anterior, resulta</w:t>
      </w:r>
      <w:r>
        <w:rPr>
          <w:spacing w:val="-8"/>
        </w:rPr>
        <w:t> </w:t>
      </w:r>
      <w:r>
        <w:rPr/>
        <w:t>interesante</w:t>
      </w:r>
      <w:r>
        <w:rPr>
          <w:spacing w:val="-12"/>
        </w:rPr>
        <w:t> </w:t>
      </w:r>
      <w:r>
        <w:rPr/>
        <w:t>que</w:t>
      </w:r>
      <w:r>
        <w:rPr>
          <w:spacing w:val="-8"/>
        </w:rPr>
        <w:t> </w:t>
      </w:r>
      <w:r>
        <w:rPr/>
        <w:t>si</w:t>
      </w:r>
      <w:r>
        <w:rPr>
          <w:spacing w:val="-11"/>
        </w:rPr>
        <w:t> </w:t>
      </w:r>
      <w:r>
        <w:rPr/>
        <w:t>bien</w:t>
      </w:r>
      <w:r>
        <w:rPr>
          <w:spacing w:val="-8"/>
        </w:rPr>
        <w:t> </w:t>
      </w:r>
      <w:r>
        <w:rPr/>
        <w:t>existe</w:t>
      </w:r>
      <w:r>
        <w:rPr>
          <w:spacing w:val="-8"/>
        </w:rPr>
        <w:t> </w:t>
      </w:r>
      <w:r>
        <w:rPr/>
        <w:t>un</w:t>
      </w:r>
      <w:r>
        <w:rPr>
          <w:spacing w:val="-8"/>
        </w:rPr>
        <w:t> </w:t>
      </w:r>
      <w:r>
        <w:rPr/>
        <w:t>interés</w:t>
      </w:r>
      <w:r>
        <w:rPr>
          <w:spacing w:val="-8"/>
        </w:rPr>
        <w:t> </w:t>
      </w:r>
      <w:r>
        <w:rPr/>
        <w:t>por</w:t>
      </w:r>
      <w:r>
        <w:rPr>
          <w:spacing w:val="-7"/>
        </w:rPr>
        <w:t> </w:t>
      </w:r>
      <w:r>
        <w:rPr/>
        <w:t>la</w:t>
      </w:r>
      <w:r>
        <w:rPr>
          <w:spacing w:val="-8"/>
        </w:rPr>
        <w:t> </w:t>
      </w:r>
      <w:r>
        <w:rPr/>
        <w:t>protección</w:t>
      </w:r>
      <w:r>
        <w:rPr>
          <w:spacing w:val="-8"/>
        </w:rPr>
        <w:t> </w:t>
      </w:r>
      <w:r>
        <w:rPr/>
        <w:t>de</w:t>
      </w:r>
      <w:r>
        <w:rPr>
          <w:spacing w:val="-8"/>
        </w:rPr>
        <w:t> </w:t>
      </w:r>
      <w:r>
        <w:rPr/>
        <w:t>los</w:t>
      </w:r>
      <w:r>
        <w:rPr>
          <w:spacing w:val="-8"/>
        </w:rPr>
        <w:t> </w:t>
      </w:r>
      <w:r>
        <w:rPr/>
        <w:t>derechos</w:t>
      </w:r>
      <w:r>
        <w:rPr>
          <w:spacing w:val="-8"/>
        </w:rPr>
        <w:t> </w:t>
      </w:r>
      <w:r>
        <w:rPr/>
        <w:t>humanos, también</w:t>
      </w:r>
      <w:r>
        <w:rPr>
          <w:spacing w:val="-14"/>
        </w:rPr>
        <w:t> </w:t>
      </w:r>
      <w:r>
        <w:rPr/>
        <w:t>existe</w:t>
      </w:r>
      <w:r>
        <w:rPr>
          <w:spacing w:val="-11"/>
        </w:rPr>
        <w:t> </w:t>
      </w:r>
      <w:r>
        <w:rPr/>
        <w:t>la</w:t>
      </w:r>
      <w:r>
        <w:rPr>
          <w:spacing w:val="-11"/>
        </w:rPr>
        <w:t> </w:t>
      </w:r>
      <w:r>
        <w:rPr/>
        <w:t>carencia</w:t>
      </w:r>
      <w:r>
        <w:rPr>
          <w:spacing w:val="-11"/>
        </w:rPr>
        <w:t> </w:t>
      </w:r>
      <w:r>
        <w:rPr/>
        <w:t>de</w:t>
      </w:r>
      <w:r>
        <w:rPr>
          <w:spacing w:val="-11"/>
        </w:rPr>
        <w:t> </w:t>
      </w:r>
      <w:r>
        <w:rPr/>
        <w:t>bases</w:t>
      </w:r>
      <w:r>
        <w:rPr>
          <w:spacing w:val="-13"/>
        </w:rPr>
        <w:t> </w:t>
      </w:r>
      <w:r>
        <w:rPr/>
        <w:t>sólidas</w:t>
      </w:r>
      <w:r>
        <w:rPr>
          <w:spacing w:val="-11"/>
        </w:rPr>
        <w:t> </w:t>
      </w:r>
      <w:r>
        <w:rPr/>
        <w:t>con</w:t>
      </w:r>
      <w:r>
        <w:rPr>
          <w:spacing w:val="-11"/>
        </w:rPr>
        <w:t> </w:t>
      </w:r>
      <w:r>
        <w:rPr/>
        <w:t>las</w:t>
      </w:r>
      <w:r>
        <w:rPr>
          <w:spacing w:val="-11"/>
        </w:rPr>
        <w:t> </w:t>
      </w:r>
      <w:r>
        <w:rPr/>
        <w:t>cuales</w:t>
      </w:r>
      <w:r>
        <w:rPr>
          <w:spacing w:val="-13"/>
        </w:rPr>
        <w:t> </w:t>
      </w:r>
      <w:r>
        <w:rPr/>
        <w:t>sustentar</w:t>
      </w:r>
      <w:r>
        <w:rPr>
          <w:spacing w:val="-13"/>
        </w:rPr>
        <w:t> </w:t>
      </w:r>
      <w:r>
        <w:rPr/>
        <w:t>la</w:t>
      </w:r>
      <w:r>
        <w:rPr>
          <w:spacing w:val="-11"/>
        </w:rPr>
        <w:t> </w:t>
      </w:r>
      <w:r>
        <w:rPr/>
        <w:t>protección</w:t>
      </w:r>
      <w:r>
        <w:rPr>
          <w:spacing w:val="-11"/>
        </w:rPr>
        <w:t> </w:t>
      </w:r>
      <w:r>
        <w:rPr/>
        <w:t>de</w:t>
      </w:r>
      <w:r>
        <w:rPr>
          <w:spacing w:val="-11"/>
        </w:rPr>
        <w:t> </w:t>
      </w:r>
      <w:r>
        <w:rPr/>
        <w:t>dichos derechos</w:t>
      </w:r>
      <w:r>
        <w:rPr>
          <w:spacing w:val="-8"/>
        </w:rPr>
        <w:t> </w:t>
      </w:r>
      <w:r>
        <w:rPr/>
        <w:t>humanos,</w:t>
      </w:r>
      <w:r>
        <w:rPr>
          <w:spacing w:val="-6"/>
        </w:rPr>
        <w:t> </w:t>
      </w:r>
      <w:r>
        <w:rPr/>
        <w:t>aunado</w:t>
      </w:r>
      <w:r>
        <w:rPr>
          <w:spacing w:val="-5"/>
        </w:rPr>
        <w:t> </w:t>
      </w:r>
      <w:r>
        <w:rPr/>
        <w:t>a</w:t>
      </w:r>
      <w:r>
        <w:rPr>
          <w:spacing w:val="-8"/>
        </w:rPr>
        <w:t> </w:t>
      </w:r>
      <w:r>
        <w:rPr/>
        <w:t>que</w:t>
      </w:r>
      <w:r>
        <w:rPr>
          <w:spacing w:val="-7"/>
        </w:rPr>
        <w:t> </w:t>
      </w:r>
      <w:r>
        <w:rPr/>
        <w:t>de</w:t>
      </w:r>
      <w:r>
        <w:rPr>
          <w:spacing w:val="-8"/>
        </w:rPr>
        <w:t> </w:t>
      </w:r>
      <w:r>
        <w:rPr/>
        <w:t>los</w:t>
      </w:r>
      <w:r>
        <w:rPr>
          <w:spacing w:val="-8"/>
        </w:rPr>
        <w:t> </w:t>
      </w:r>
      <w:r>
        <w:rPr/>
        <w:t>que</w:t>
      </w:r>
      <w:r>
        <w:rPr>
          <w:spacing w:val="-8"/>
        </w:rPr>
        <w:t> </w:t>
      </w:r>
      <w:r>
        <w:rPr/>
        <w:t>constestaron</w:t>
      </w:r>
      <w:r>
        <w:rPr>
          <w:spacing w:val="-10"/>
        </w:rPr>
        <w:t> </w:t>
      </w:r>
      <w:r>
        <w:rPr/>
        <w:t>que</w:t>
      </w:r>
      <w:r>
        <w:rPr>
          <w:spacing w:val="-6"/>
        </w:rPr>
        <w:t> </w:t>
      </w:r>
      <w:r>
        <w:rPr/>
        <w:t>sí,</w:t>
      </w:r>
      <w:r>
        <w:rPr>
          <w:spacing w:val="-4"/>
        </w:rPr>
        <w:t> </w:t>
      </w:r>
      <w:r>
        <w:rPr/>
        <w:t>una</w:t>
      </w:r>
      <w:r>
        <w:rPr>
          <w:spacing w:val="-8"/>
        </w:rPr>
        <w:t> </w:t>
      </w:r>
      <w:r>
        <w:rPr/>
        <w:t>parte</w:t>
      </w:r>
      <w:r>
        <w:rPr>
          <w:spacing w:val="-8"/>
        </w:rPr>
        <w:t> </w:t>
      </w:r>
      <w:r>
        <w:rPr/>
        <w:t>representativa señaló</w:t>
      </w:r>
      <w:r>
        <w:rPr>
          <w:spacing w:val="-3"/>
        </w:rPr>
        <w:t> </w:t>
      </w:r>
      <w:r>
        <w:rPr/>
        <w:t>razones</w:t>
      </w:r>
      <w:r>
        <w:rPr>
          <w:spacing w:val="-3"/>
        </w:rPr>
        <w:t> </w:t>
      </w:r>
      <w:r>
        <w:rPr/>
        <w:t>de</w:t>
      </w:r>
      <w:r>
        <w:rPr>
          <w:spacing w:val="-6"/>
        </w:rPr>
        <w:t> </w:t>
      </w:r>
      <w:r>
        <w:rPr/>
        <w:t>carácter</w:t>
      </w:r>
      <w:r>
        <w:rPr>
          <w:spacing w:val="-2"/>
        </w:rPr>
        <w:t> </w:t>
      </w:r>
      <w:r>
        <w:rPr/>
        <w:t>procedimiental</w:t>
      </w:r>
      <w:r>
        <w:rPr>
          <w:spacing w:val="-6"/>
        </w:rPr>
        <w:t> </w:t>
      </w:r>
      <w:r>
        <w:rPr/>
        <w:t>y</w:t>
      </w:r>
      <w:r>
        <w:rPr>
          <w:spacing w:val="-5"/>
        </w:rPr>
        <w:t> </w:t>
      </w:r>
      <w:r>
        <w:rPr/>
        <w:t>no</w:t>
      </w:r>
      <w:r>
        <w:rPr>
          <w:spacing w:val="-3"/>
        </w:rPr>
        <w:t> </w:t>
      </w:r>
      <w:r>
        <w:rPr/>
        <w:t>la</w:t>
      </w:r>
      <w:r>
        <w:rPr>
          <w:spacing w:val="-8"/>
        </w:rPr>
        <w:t> </w:t>
      </w:r>
      <w:r>
        <w:rPr/>
        <w:t>protección</w:t>
      </w:r>
      <w:r>
        <w:rPr>
          <w:spacing w:val="-6"/>
        </w:rPr>
        <w:t> </w:t>
      </w:r>
      <w:r>
        <w:rPr/>
        <w:t>a</w:t>
      </w:r>
      <w:r>
        <w:rPr>
          <w:spacing w:val="-5"/>
        </w:rPr>
        <w:t> </w:t>
      </w:r>
      <w:r>
        <w:rPr/>
        <w:t>la</w:t>
      </w:r>
      <w:r>
        <w:rPr>
          <w:spacing w:val="-3"/>
        </w:rPr>
        <w:t> </w:t>
      </w:r>
      <w:r>
        <w:rPr/>
        <w:t>dignidad</w:t>
      </w:r>
      <w:r>
        <w:rPr>
          <w:spacing w:val="-5"/>
        </w:rPr>
        <w:t> </w:t>
      </w:r>
      <w:r>
        <w:rPr/>
        <w:t>humana,</w:t>
      </w:r>
      <w:r>
        <w:rPr>
          <w:spacing w:val="-7"/>
        </w:rPr>
        <w:t> </w:t>
      </w:r>
      <w:r>
        <w:rPr/>
        <w:t>que</w:t>
      </w:r>
      <w:r>
        <w:rPr>
          <w:spacing w:val="-6"/>
        </w:rPr>
        <w:t> </w:t>
      </w:r>
      <w:r>
        <w:rPr/>
        <w:t>es la escencia de los derechos</w:t>
      </w:r>
      <w:r>
        <w:rPr>
          <w:spacing w:val="-6"/>
        </w:rPr>
        <w:t> </w:t>
      </w:r>
      <w:r>
        <w:rPr/>
        <w:t>humanos.</w:t>
      </w:r>
    </w:p>
    <w:p>
      <w:pPr>
        <w:spacing w:after="0" w:line="360" w:lineRule="auto"/>
        <w:jc w:val="both"/>
        <w:sectPr>
          <w:pgSz w:w="12240" w:h="15840"/>
          <w:pgMar w:header="0" w:footer="1002" w:top="1400" w:bottom="1200" w:left="1600" w:right="1580"/>
        </w:sectPr>
      </w:pPr>
    </w:p>
    <w:p>
      <w:pPr>
        <w:spacing w:line="362" w:lineRule="auto" w:before="51"/>
        <w:ind w:left="122" w:right="119" w:firstLine="0"/>
        <w:jc w:val="both"/>
        <w:rPr>
          <w:b/>
          <w:sz w:val="20"/>
        </w:rPr>
      </w:pPr>
      <w:r>
        <w:rPr>
          <w:b/>
          <w:sz w:val="20"/>
        </w:rPr>
        <w:t>Gráfica 7. Protección de los Derechos Humanos en el procedimiento penal, según los abogado/as encuestados</w:t>
      </w:r>
    </w:p>
    <w:p>
      <w:pPr>
        <w:pStyle w:val="BodyText"/>
        <w:spacing w:before="8"/>
        <w:rPr>
          <w:b/>
          <w:sz w:val="25"/>
        </w:rPr>
      </w:pPr>
      <w:r>
        <w:rPr/>
        <w:pict>
          <v:group style="position:absolute;margin-left:84.830002pt;margin-top:16.753176pt;width:439.6pt;height:159.5pt;mso-position-horizontal-relative:page;mso-position-vertical-relative:paragraph;z-index:1744;mso-wrap-distance-left:0;mso-wrap-distance-right:0" coordorigin="1697,335" coordsize="8792,3190">
            <v:shape style="position:absolute;left:1920;top:561;width:8342;height:2741" type="#_x0000_t75" stroked="false">
              <v:imagedata r:id="rId28" o:title=""/>
            </v:shape>
            <v:shape style="position:absolute;left:1702;top:340;width:8782;height:3180" type="#_x0000_t202" filled="false" stroked="true" strokeweight=".48pt" strokecolor="#888888">
              <v:textbox inset="0,0,0,0">
                <w:txbxContent>
                  <w:p>
                    <w:pPr>
                      <w:spacing w:line="240" w:lineRule="auto" w:before="0"/>
                      <w:rPr>
                        <w:b/>
                        <w:sz w:val="20"/>
                      </w:rPr>
                    </w:pPr>
                  </w:p>
                  <w:p>
                    <w:pPr>
                      <w:spacing w:before="174"/>
                      <w:ind w:left="4076" w:right="4405" w:hanging="3"/>
                      <w:jc w:val="center"/>
                      <w:rPr>
                        <w:b/>
                        <w:sz w:val="20"/>
                      </w:rPr>
                    </w:pPr>
                    <w:r>
                      <w:rPr>
                        <w:b/>
                        <w:sz w:val="20"/>
                      </w:rPr>
                      <w:t>No 7%</w:t>
                    </w:r>
                  </w:p>
                  <w:p>
                    <w:pPr>
                      <w:spacing w:line="240" w:lineRule="auto" w:before="0"/>
                      <w:rPr>
                        <w:b/>
                        <w:sz w:val="20"/>
                      </w:rPr>
                    </w:pPr>
                  </w:p>
                  <w:p>
                    <w:pPr>
                      <w:spacing w:line="240" w:lineRule="auto" w:before="0"/>
                      <w:rPr>
                        <w:b/>
                        <w:sz w:val="20"/>
                      </w:rPr>
                    </w:pPr>
                  </w:p>
                  <w:p>
                    <w:pPr>
                      <w:spacing w:line="240" w:lineRule="auto" w:before="0"/>
                      <w:rPr>
                        <w:b/>
                        <w:sz w:val="20"/>
                      </w:rPr>
                    </w:pPr>
                  </w:p>
                  <w:p>
                    <w:pPr>
                      <w:spacing w:before="168"/>
                      <w:ind w:left="4357" w:right="4015" w:hanging="5"/>
                      <w:jc w:val="center"/>
                      <w:rPr>
                        <w:b/>
                        <w:sz w:val="20"/>
                      </w:rPr>
                    </w:pPr>
                    <w:r>
                      <w:rPr>
                        <w:b/>
                        <w:sz w:val="20"/>
                      </w:rPr>
                      <w:t>Sí 93%</w:t>
                    </w:r>
                  </w:p>
                </w:txbxContent>
              </v:textbox>
              <w10:wrap type="none"/>
            </v:shape>
            <w10:wrap type="topAndBottom"/>
          </v:group>
        </w:pict>
      </w:r>
    </w:p>
    <w:p>
      <w:pPr>
        <w:spacing w:before="0"/>
        <w:ind w:left="2020" w:right="202" w:firstLine="0"/>
        <w:jc w:val="left"/>
        <w:rPr>
          <w:sz w:val="20"/>
        </w:rPr>
      </w:pPr>
      <w:r>
        <w:rPr>
          <w:sz w:val="20"/>
        </w:rPr>
        <w:t>Fuente: elaboración propia con base en Montoya (2015).</w:t>
      </w:r>
    </w:p>
    <w:p>
      <w:pPr>
        <w:pStyle w:val="BodyText"/>
        <w:rPr>
          <w:sz w:val="20"/>
        </w:rPr>
      </w:pPr>
    </w:p>
    <w:p>
      <w:pPr>
        <w:pStyle w:val="BodyText"/>
        <w:rPr>
          <w:sz w:val="20"/>
        </w:rPr>
      </w:pPr>
    </w:p>
    <w:p>
      <w:pPr>
        <w:pStyle w:val="BodyText"/>
        <w:spacing w:before="2"/>
        <w:rPr>
          <w:sz w:val="20"/>
        </w:rPr>
      </w:pPr>
    </w:p>
    <w:p>
      <w:pPr>
        <w:pStyle w:val="BodyText"/>
        <w:spacing w:line="360" w:lineRule="auto"/>
        <w:ind w:left="122" w:right="114"/>
        <w:jc w:val="both"/>
      </w:pPr>
      <w:r>
        <w:rPr/>
        <w:t>Una de las preguntas, cuyas respuestas llamaron mucho mi atención, es la siguiente: ¿se cuentan con los elementos necesarios para realizar una teoría del caso basada en la perspectiva de género?, 87 por ciento de los y las profesionales del derecho que contestaron el cuestionario, refirió no tener elementos para realizar una teoría del caso basada en la perspectiva de género. Del 13 por ciento que dijo sí contar con los</w:t>
      </w:r>
      <w:r>
        <w:rPr>
          <w:spacing w:val="-41"/>
        </w:rPr>
        <w:t> </w:t>
      </w:r>
      <w:r>
        <w:rPr/>
        <w:t>elementos necesarios 67 por ciento, señaló que aplicaría legislación que protege los derechos de las mujeres, incluyendo tratados internacionales, así como las condiciones propias de las mujeres al momento de cometer el</w:t>
      </w:r>
      <w:r>
        <w:rPr>
          <w:spacing w:val="-14"/>
        </w:rPr>
        <w:t> </w:t>
      </w:r>
      <w:r>
        <w:rPr/>
        <w:t>delito.</w:t>
      </w:r>
    </w:p>
    <w:p>
      <w:pPr>
        <w:pStyle w:val="BodyText"/>
        <w:spacing w:before="7"/>
        <w:rPr>
          <w:sz w:val="17"/>
        </w:rPr>
      </w:pPr>
    </w:p>
    <w:p>
      <w:pPr>
        <w:pStyle w:val="BodyText"/>
        <w:spacing w:line="360" w:lineRule="auto"/>
        <w:ind w:left="122" w:right="115"/>
        <w:jc w:val="both"/>
      </w:pPr>
      <w:r>
        <w:rPr/>
        <w:t>El 100 por ciento de las mujeres cuestionadas y 81 por ciento de los hombre encuestados no cuenta con perspectiva de género, por lo que hace al personal jurídico del Consejo Estatal de la Mujer, que contestaron el cuestionario, cero por ciento cuenta con elementos para desarrollar una teoría del caso basada en la perspectiva de género; 56 por ciento de los defensores de oficio cuentan con elementos necesarios para elaborar una teoría del caso basada en la perspectiva de género. El 92 por ciento de los abogados y abogadas particulares que se cuestionaron, no cuentan con elementos suficientes para realizar una teoría</w:t>
      </w:r>
      <w:r>
        <w:rPr>
          <w:spacing w:val="-9"/>
        </w:rPr>
        <w:t> </w:t>
      </w:r>
      <w:r>
        <w:rPr/>
        <w:t>del</w:t>
      </w:r>
      <w:r>
        <w:rPr>
          <w:spacing w:val="-10"/>
        </w:rPr>
        <w:t> </w:t>
      </w:r>
      <w:r>
        <w:rPr/>
        <w:t>caso</w:t>
      </w:r>
      <w:r>
        <w:rPr>
          <w:spacing w:val="-9"/>
        </w:rPr>
        <w:t> </w:t>
      </w:r>
      <w:r>
        <w:rPr/>
        <w:t>basada</w:t>
      </w:r>
      <w:r>
        <w:rPr>
          <w:spacing w:val="-9"/>
        </w:rPr>
        <w:t> </w:t>
      </w:r>
      <w:r>
        <w:rPr/>
        <w:t>en</w:t>
      </w:r>
      <w:r>
        <w:rPr>
          <w:spacing w:val="-9"/>
        </w:rPr>
        <w:t> </w:t>
      </w:r>
      <w:r>
        <w:rPr/>
        <w:t>la</w:t>
      </w:r>
      <w:r>
        <w:rPr>
          <w:spacing w:val="-9"/>
        </w:rPr>
        <w:t> </w:t>
      </w:r>
      <w:r>
        <w:rPr/>
        <w:t>perspectiva</w:t>
      </w:r>
      <w:r>
        <w:rPr>
          <w:spacing w:val="-9"/>
        </w:rPr>
        <w:t> </w:t>
      </w:r>
      <w:r>
        <w:rPr/>
        <w:t>de</w:t>
      </w:r>
      <w:r>
        <w:rPr>
          <w:spacing w:val="-11"/>
        </w:rPr>
        <w:t> </w:t>
      </w:r>
      <w:r>
        <w:rPr/>
        <w:t>género.</w:t>
      </w:r>
      <w:r>
        <w:rPr>
          <w:spacing w:val="-8"/>
        </w:rPr>
        <w:t> </w:t>
      </w:r>
      <w:r>
        <w:rPr/>
        <w:t>Estos</w:t>
      </w:r>
      <w:r>
        <w:rPr>
          <w:spacing w:val="-11"/>
        </w:rPr>
        <w:t> </w:t>
      </w:r>
      <w:r>
        <w:rPr/>
        <w:t>resultados</w:t>
      </w:r>
      <w:r>
        <w:rPr>
          <w:spacing w:val="-11"/>
        </w:rPr>
        <w:t> </w:t>
      </w:r>
      <w:r>
        <w:rPr/>
        <w:t>llaman</w:t>
      </w:r>
      <w:r>
        <w:rPr>
          <w:spacing w:val="-9"/>
        </w:rPr>
        <w:t> </w:t>
      </w:r>
      <w:r>
        <w:rPr/>
        <w:t>la</w:t>
      </w:r>
      <w:r>
        <w:rPr>
          <w:spacing w:val="-7"/>
        </w:rPr>
        <w:t> </w:t>
      </w:r>
      <w:r>
        <w:rPr/>
        <w:t>atención,</w:t>
      </w:r>
      <w:r>
        <w:rPr>
          <w:spacing w:val="-8"/>
        </w:rPr>
        <w:t> </w:t>
      </w:r>
      <w:r>
        <w:rPr/>
        <w:t>ya que como se señaló en el apartado conceptual de este trabajo, la teoría del caso es la estrategia metodológica para probar que los hechos ocurrieron de cierta forma, en ese sentido al no existir elementos suficientes para elaborar una teoría del caso basada en la perspectiva de género, se deja en entredicho la defensa que reciben las mujeres que </w:t>
      </w:r>
      <w:r>
        <w:rPr>
          <w:spacing w:val="26"/>
        </w:rPr>
        <w:t> </w:t>
      </w:r>
      <w:r>
        <w:rPr/>
        <w:t>son</w:t>
      </w:r>
    </w:p>
    <w:p>
      <w:pPr>
        <w:spacing w:after="0" w:line="360" w:lineRule="auto"/>
        <w:jc w:val="both"/>
        <w:sectPr>
          <w:pgSz w:w="12240" w:h="15840"/>
          <w:pgMar w:header="0" w:footer="1002" w:top="1360" w:bottom="1200" w:left="1580" w:right="1580"/>
        </w:sectPr>
      </w:pPr>
    </w:p>
    <w:p>
      <w:pPr>
        <w:pStyle w:val="BodyText"/>
        <w:spacing w:line="362" w:lineRule="auto" w:before="54"/>
        <w:ind w:left="122" w:right="159"/>
        <w:jc w:val="both"/>
      </w:pPr>
      <w:r>
        <w:rPr/>
        <w:t>acusadas de cometer conductas delictivas, a quienes se le ha brindado una defensa incompleta.</w:t>
      </w:r>
    </w:p>
    <w:p>
      <w:pPr>
        <w:spacing w:line="362" w:lineRule="auto" w:before="197"/>
        <w:ind w:left="122" w:right="162" w:firstLine="0"/>
        <w:jc w:val="both"/>
        <w:rPr>
          <w:b/>
          <w:sz w:val="20"/>
        </w:rPr>
      </w:pPr>
      <w:r>
        <w:rPr>
          <w:b/>
          <w:sz w:val="20"/>
        </w:rPr>
        <w:t>Gráfica 8. Abogados/as que cuentasn con elementos para elaborar una teoría del caso con perspectiva de género</w:t>
      </w:r>
    </w:p>
    <w:p>
      <w:pPr>
        <w:pStyle w:val="BodyText"/>
        <w:spacing w:before="7"/>
        <w:rPr>
          <w:b/>
          <w:sz w:val="13"/>
        </w:rPr>
      </w:pPr>
      <w:r>
        <w:rPr/>
        <w:pict>
          <v:group style="position:absolute;margin-left:84.705002pt;margin-top:9.788177pt;width:445.25pt;height:158.950pt;mso-position-horizontal-relative:page;mso-position-vertical-relative:paragraph;z-index:1792;mso-wrap-distance-left:0;mso-wrap-distance-right:0" coordorigin="1694,196" coordsize="8905,3179">
            <v:shape style="position:absolute;left:1920;top:422;width:8450;height:2726" type="#_x0000_t75" stroked="false">
              <v:imagedata r:id="rId29" o:title=""/>
            </v:shape>
            <v:shape style="position:absolute;left:6127;top:712;width:686;height:689" type="#_x0000_t75" stroked="false">
              <v:imagedata r:id="rId25" o:title=""/>
            </v:shape>
            <v:shape style="position:absolute;left:5537;top:1758;width:689;height:686" type="#_x0000_t75" stroked="false">
              <v:imagedata r:id="rId30" o:title=""/>
            </v:shape>
            <v:shape style="position:absolute;left:1702;top:203;width:8890;height:3164" type="#_x0000_t202" filled="false" stroked="true" strokeweight=".72pt" strokecolor="#bebebe">
              <v:textbox inset="0,0,0,0">
                <w:txbxContent>
                  <w:p>
                    <w:pPr>
                      <w:spacing w:line="240" w:lineRule="auto" w:before="0"/>
                      <w:rPr>
                        <w:b/>
                        <w:sz w:val="20"/>
                      </w:rPr>
                    </w:pPr>
                  </w:p>
                  <w:p>
                    <w:pPr>
                      <w:spacing w:line="240" w:lineRule="auto" w:before="10"/>
                      <w:rPr>
                        <w:b/>
                        <w:sz w:val="29"/>
                      </w:rPr>
                    </w:pPr>
                  </w:p>
                  <w:p>
                    <w:pPr>
                      <w:spacing w:before="0"/>
                      <w:ind w:left="4522" w:right="3953" w:hanging="5"/>
                      <w:jc w:val="center"/>
                      <w:rPr>
                        <w:b/>
                        <w:sz w:val="20"/>
                      </w:rPr>
                    </w:pPr>
                    <w:r>
                      <w:rPr>
                        <w:b/>
                        <w:color w:val="FFFFFF"/>
                        <w:sz w:val="20"/>
                      </w:rPr>
                      <w:t>Sí 13%</w:t>
                    </w:r>
                  </w:p>
                  <w:p>
                    <w:pPr>
                      <w:spacing w:line="240" w:lineRule="auto" w:before="0"/>
                      <w:rPr>
                        <w:b/>
                        <w:sz w:val="20"/>
                      </w:rPr>
                    </w:pPr>
                  </w:p>
                  <w:p>
                    <w:pPr>
                      <w:spacing w:line="240" w:lineRule="auto" w:before="0"/>
                      <w:rPr>
                        <w:b/>
                        <w:sz w:val="20"/>
                      </w:rPr>
                    </w:pPr>
                  </w:p>
                  <w:p>
                    <w:pPr>
                      <w:spacing w:before="124"/>
                      <w:ind w:left="3933" w:right="4542" w:hanging="3"/>
                      <w:jc w:val="center"/>
                      <w:rPr>
                        <w:b/>
                        <w:sz w:val="20"/>
                      </w:rPr>
                    </w:pPr>
                    <w:r>
                      <w:rPr>
                        <w:b/>
                        <w:color w:val="FFFFFF"/>
                        <w:sz w:val="20"/>
                      </w:rPr>
                      <w:t>No 87%</w:t>
                    </w:r>
                  </w:p>
                </w:txbxContent>
              </v:textbox>
              <w10:wrap type="none"/>
            </v:shape>
            <w10:wrap type="topAndBottom"/>
          </v:group>
        </w:pict>
      </w:r>
    </w:p>
    <w:p>
      <w:pPr>
        <w:pStyle w:val="BodyText"/>
        <w:spacing w:before="8"/>
        <w:rPr>
          <w:b/>
          <w:sz w:val="26"/>
        </w:rPr>
      </w:pPr>
    </w:p>
    <w:p>
      <w:pPr>
        <w:spacing w:before="0"/>
        <w:ind w:left="2020" w:right="0" w:firstLine="0"/>
        <w:jc w:val="left"/>
        <w:rPr>
          <w:sz w:val="20"/>
        </w:rPr>
      </w:pPr>
      <w:r>
        <w:rPr>
          <w:sz w:val="20"/>
        </w:rPr>
        <w:t>Fuente: elaboración propia con base en Montoya (2015).</w:t>
      </w:r>
    </w:p>
    <w:p>
      <w:pPr>
        <w:pStyle w:val="BodyText"/>
        <w:rPr>
          <w:sz w:val="20"/>
        </w:rPr>
      </w:pPr>
    </w:p>
    <w:p>
      <w:pPr>
        <w:pStyle w:val="BodyText"/>
        <w:rPr>
          <w:sz w:val="20"/>
        </w:rPr>
      </w:pPr>
    </w:p>
    <w:p>
      <w:pPr>
        <w:pStyle w:val="BodyText"/>
        <w:rPr>
          <w:sz w:val="20"/>
        </w:rPr>
      </w:pPr>
    </w:p>
    <w:p>
      <w:pPr>
        <w:pStyle w:val="BodyText"/>
        <w:spacing w:before="6"/>
        <w:rPr>
          <w:sz w:val="17"/>
        </w:rPr>
      </w:pPr>
    </w:p>
    <w:p>
      <w:pPr>
        <w:pStyle w:val="BodyText"/>
        <w:spacing w:line="360" w:lineRule="auto"/>
        <w:ind w:left="122" w:right="154"/>
        <w:jc w:val="both"/>
      </w:pPr>
      <w:r>
        <w:rPr/>
        <w:t>La siguiente pregunta se realizó, con la finalidad de indagar la opinión de los abogados y abogadas, respecto al caso de que si una sobreviviente de violencia familiar, de manera particular de violencia física, priva de la vida a su agresor, se puede considerar que fue en legítima defensa. Ante esto, 54 por ciento contestó que sí constituiría un supuesto de legítima defensa, porcentaje del cual 32 por ciento señaló que se está evitando una violación mayor, pues la violencia familiar es de tracto sucesivo, aunque otro 32 por ciento señaló</w:t>
      </w:r>
      <w:r>
        <w:rPr>
          <w:spacing w:val="-5"/>
        </w:rPr>
        <w:t> </w:t>
      </w:r>
      <w:r>
        <w:rPr/>
        <w:t>que</w:t>
      </w:r>
      <w:r>
        <w:rPr>
          <w:spacing w:val="-5"/>
        </w:rPr>
        <w:t> </w:t>
      </w:r>
      <w:r>
        <w:rPr/>
        <w:t>aplica</w:t>
      </w:r>
      <w:r>
        <w:rPr>
          <w:spacing w:val="-3"/>
        </w:rPr>
        <w:t> </w:t>
      </w:r>
      <w:r>
        <w:rPr/>
        <w:t>para</w:t>
      </w:r>
      <w:r>
        <w:rPr>
          <w:spacing w:val="-5"/>
        </w:rPr>
        <w:t> </w:t>
      </w:r>
      <w:r>
        <w:rPr/>
        <w:t>hombres</w:t>
      </w:r>
      <w:r>
        <w:rPr>
          <w:spacing w:val="-5"/>
        </w:rPr>
        <w:t> </w:t>
      </w:r>
      <w:r>
        <w:rPr/>
        <w:t>y</w:t>
      </w:r>
      <w:r>
        <w:rPr>
          <w:spacing w:val="-7"/>
        </w:rPr>
        <w:t> </w:t>
      </w:r>
      <w:r>
        <w:rPr/>
        <w:t>mujeres.</w:t>
      </w:r>
      <w:r>
        <w:rPr>
          <w:spacing w:val="-2"/>
        </w:rPr>
        <w:t> </w:t>
      </w:r>
      <w:r>
        <w:rPr/>
        <w:t>Del</w:t>
      </w:r>
      <w:r>
        <w:rPr>
          <w:spacing w:val="-6"/>
        </w:rPr>
        <w:t> </w:t>
      </w:r>
      <w:r>
        <w:rPr/>
        <w:t>13</w:t>
      </w:r>
      <w:r>
        <w:rPr>
          <w:spacing w:val="-3"/>
        </w:rPr>
        <w:t> </w:t>
      </w:r>
      <w:r>
        <w:rPr/>
        <w:t>por</w:t>
      </w:r>
      <w:r>
        <w:rPr>
          <w:spacing w:val="-4"/>
        </w:rPr>
        <w:t> </w:t>
      </w:r>
      <w:r>
        <w:rPr/>
        <w:t>ciento</w:t>
      </w:r>
      <w:r>
        <w:rPr>
          <w:spacing w:val="-5"/>
        </w:rPr>
        <w:t> </w:t>
      </w:r>
      <w:r>
        <w:rPr/>
        <w:t>que</w:t>
      </w:r>
      <w:r>
        <w:rPr>
          <w:spacing w:val="-6"/>
        </w:rPr>
        <w:t> </w:t>
      </w:r>
      <w:r>
        <w:rPr/>
        <w:t>dijo</w:t>
      </w:r>
      <w:r>
        <w:rPr>
          <w:spacing w:val="-5"/>
        </w:rPr>
        <w:t> </w:t>
      </w:r>
      <w:r>
        <w:rPr/>
        <w:t>que</w:t>
      </w:r>
      <w:r>
        <w:rPr>
          <w:spacing w:val="-8"/>
        </w:rPr>
        <w:t> </w:t>
      </w:r>
      <w:r>
        <w:rPr/>
        <w:t>no,</w:t>
      </w:r>
      <w:r>
        <w:rPr>
          <w:spacing w:val="-2"/>
        </w:rPr>
        <w:t> </w:t>
      </w:r>
      <w:r>
        <w:rPr/>
        <w:t>43</w:t>
      </w:r>
      <w:r>
        <w:rPr>
          <w:spacing w:val="-6"/>
        </w:rPr>
        <w:t> </w:t>
      </w:r>
      <w:r>
        <w:rPr/>
        <w:t>por</w:t>
      </w:r>
      <w:r>
        <w:rPr>
          <w:spacing w:val="-4"/>
        </w:rPr>
        <w:t> </w:t>
      </w:r>
      <w:r>
        <w:rPr/>
        <w:t>ciento señaló</w:t>
      </w:r>
      <w:r>
        <w:rPr>
          <w:spacing w:val="-17"/>
        </w:rPr>
        <w:t> </w:t>
      </w:r>
      <w:r>
        <w:rPr/>
        <w:t>que</w:t>
      </w:r>
      <w:r>
        <w:rPr>
          <w:spacing w:val="-18"/>
        </w:rPr>
        <w:t> </w:t>
      </w:r>
      <w:r>
        <w:rPr/>
        <w:t>no</w:t>
      </w:r>
      <w:r>
        <w:rPr>
          <w:spacing w:val="-18"/>
        </w:rPr>
        <w:t> </w:t>
      </w:r>
      <w:r>
        <w:rPr/>
        <w:t>puede</w:t>
      </w:r>
      <w:r>
        <w:rPr>
          <w:spacing w:val="-17"/>
        </w:rPr>
        <w:t> </w:t>
      </w:r>
      <w:r>
        <w:rPr/>
        <w:t>considerarse</w:t>
      </w:r>
      <w:r>
        <w:rPr>
          <w:spacing w:val="-17"/>
        </w:rPr>
        <w:t> </w:t>
      </w:r>
      <w:r>
        <w:rPr/>
        <w:t>como</w:t>
      </w:r>
      <w:r>
        <w:rPr>
          <w:spacing w:val="-15"/>
        </w:rPr>
        <w:t> </w:t>
      </w:r>
      <w:r>
        <w:rPr/>
        <w:t>legítima</w:t>
      </w:r>
      <w:r>
        <w:rPr>
          <w:spacing w:val="-17"/>
        </w:rPr>
        <w:t> </w:t>
      </w:r>
      <w:r>
        <w:rPr/>
        <w:t>defensa</w:t>
      </w:r>
      <w:r>
        <w:rPr>
          <w:spacing w:val="-18"/>
        </w:rPr>
        <w:t> </w:t>
      </w:r>
      <w:r>
        <w:rPr/>
        <w:t>porque</w:t>
      </w:r>
      <w:r>
        <w:rPr>
          <w:spacing w:val="-18"/>
        </w:rPr>
        <w:t> </w:t>
      </w:r>
      <w:r>
        <w:rPr/>
        <w:t>se</w:t>
      </w:r>
      <w:r>
        <w:rPr>
          <w:spacing w:val="-20"/>
        </w:rPr>
        <w:t> </w:t>
      </w:r>
      <w:r>
        <w:rPr/>
        <w:t>trata</w:t>
      </w:r>
      <w:r>
        <w:rPr>
          <w:spacing w:val="-15"/>
        </w:rPr>
        <w:t> </w:t>
      </w:r>
      <w:r>
        <w:rPr/>
        <w:t>de</w:t>
      </w:r>
      <w:r>
        <w:rPr>
          <w:spacing w:val="-15"/>
        </w:rPr>
        <w:t> </w:t>
      </w:r>
      <w:r>
        <w:rPr/>
        <w:t>un</w:t>
      </w:r>
      <w:r>
        <w:rPr>
          <w:spacing w:val="-18"/>
        </w:rPr>
        <w:t> </w:t>
      </w:r>
      <w:r>
        <w:rPr/>
        <w:t>bien</w:t>
      </w:r>
      <w:r>
        <w:rPr>
          <w:spacing w:val="-18"/>
        </w:rPr>
        <w:t> </w:t>
      </w:r>
      <w:r>
        <w:rPr/>
        <w:t>jurídico distinto. De los cuales el 53 por ciento de las mujeres cuestionadas señaló que no, 50 por ciento de los hombres señaló también que no,l 67 por ciento del personal jurídico del Consejo Estatal de la Mujer señaló que no, 33 por ciento del personasl de la Defensoría Pública</w:t>
      </w:r>
      <w:r>
        <w:rPr>
          <w:spacing w:val="-16"/>
        </w:rPr>
        <w:t> </w:t>
      </w:r>
      <w:r>
        <w:rPr/>
        <w:t>cuestionado</w:t>
      </w:r>
      <w:r>
        <w:rPr>
          <w:spacing w:val="-19"/>
        </w:rPr>
        <w:t> </w:t>
      </w:r>
      <w:r>
        <w:rPr/>
        <w:t>señaló</w:t>
      </w:r>
      <w:r>
        <w:rPr>
          <w:spacing w:val="-18"/>
        </w:rPr>
        <w:t> </w:t>
      </w:r>
      <w:r>
        <w:rPr/>
        <w:t>que</w:t>
      </w:r>
      <w:r>
        <w:rPr>
          <w:spacing w:val="-16"/>
        </w:rPr>
        <w:t> </w:t>
      </w:r>
      <w:r>
        <w:rPr/>
        <w:t>no,</w:t>
      </w:r>
      <w:r>
        <w:rPr>
          <w:spacing w:val="-17"/>
        </w:rPr>
        <w:t> </w:t>
      </w:r>
      <w:r>
        <w:rPr/>
        <w:t>y</w:t>
      </w:r>
      <w:r>
        <w:rPr>
          <w:spacing w:val="-18"/>
        </w:rPr>
        <w:t> </w:t>
      </w:r>
      <w:r>
        <w:rPr/>
        <w:t>47</w:t>
      </w:r>
      <w:r>
        <w:rPr>
          <w:spacing w:val="-19"/>
        </w:rPr>
        <w:t> </w:t>
      </w:r>
      <w:r>
        <w:rPr/>
        <w:t>por</w:t>
      </w:r>
      <w:r>
        <w:rPr>
          <w:spacing w:val="-17"/>
        </w:rPr>
        <w:t> </w:t>
      </w:r>
      <w:r>
        <w:rPr/>
        <w:t>ciento</w:t>
      </w:r>
      <w:r>
        <w:rPr>
          <w:spacing w:val="-16"/>
        </w:rPr>
        <w:t> </w:t>
      </w:r>
      <w:r>
        <w:rPr/>
        <w:t>de</w:t>
      </w:r>
      <w:r>
        <w:rPr>
          <w:spacing w:val="-19"/>
        </w:rPr>
        <w:t> </w:t>
      </w:r>
      <w:r>
        <w:rPr/>
        <w:t>los</w:t>
      </w:r>
      <w:r>
        <w:rPr>
          <w:spacing w:val="-16"/>
        </w:rPr>
        <w:t> </w:t>
      </w:r>
      <w:r>
        <w:rPr/>
        <w:t>abogados</w:t>
      </w:r>
      <w:r>
        <w:rPr>
          <w:spacing w:val="-18"/>
        </w:rPr>
        <w:t> </w:t>
      </w:r>
      <w:r>
        <w:rPr/>
        <w:t>y</w:t>
      </w:r>
      <w:r>
        <w:rPr>
          <w:spacing w:val="-18"/>
        </w:rPr>
        <w:t> </w:t>
      </w:r>
      <w:r>
        <w:rPr/>
        <w:t>abogadas</w:t>
      </w:r>
      <w:r>
        <w:rPr>
          <w:spacing w:val="-16"/>
        </w:rPr>
        <w:t> </w:t>
      </w:r>
      <w:r>
        <w:rPr/>
        <w:t>particulares que</w:t>
      </w:r>
      <w:r>
        <w:rPr>
          <w:spacing w:val="-10"/>
        </w:rPr>
        <w:t> </w:t>
      </w:r>
      <w:r>
        <w:rPr/>
        <w:t>se</w:t>
      </w:r>
      <w:r>
        <w:rPr>
          <w:spacing w:val="-13"/>
        </w:rPr>
        <w:t> </w:t>
      </w:r>
      <w:r>
        <w:rPr/>
        <w:t>entrevistaron</w:t>
      </w:r>
      <w:r>
        <w:rPr>
          <w:spacing w:val="-10"/>
        </w:rPr>
        <w:t> </w:t>
      </w:r>
      <w:r>
        <w:rPr/>
        <w:t>también</w:t>
      </w:r>
      <w:r>
        <w:rPr>
          <w:spacing w:val="-10"/>
        </w:rPr>
        <w:t> </w:t>
      </w:r>
      <w:r>
        <w:rPr/>
        <w:t>consideró</w:t>
      </w:r>
      <w:r>
        <w:rPr>
          <w:spacing w:val="-12"/>
        </w:rPr>
        <w:t> </w:t>
      </w:r>
      <w:r>
        <w:rPr/>
        <w:t>que</w:t>
      </w:r>
      <w:r>
        <w:rPr>
          <w:spacing w:val="-10"/>
        </w:rPr>
        <w:t> </w:t>
      </w:r>
      <w:r>
        <w:rPr/>
        <w:t>no.</w:t>
      </w:r>
      <w:r>
        <w:rPr>
          <w:spacing w:val="-11"/>
        </w:rPr>
        <w:t> </w:t>
      </w:r>
      <w:r>
        <w:rPr/>
        <w:t>Las</w:t>
      </w:r>
      <w:r>
        <w:rPr>
          <w:spacing w:val="-10"/>
        </w:rPr>
        <w:t> </w:t>
      </w:r>
      <w:r>
        <w:rPr/>
        <w:t>respuestas</w:t>
      </w:r>
      <w:r>
        <w:rPr>
          <w:spacing w:val="-10"/>
        </w:rPr>
        <w:t> </w:t>
      </w:r>
      <w:r>
        <w:rPr/>
        <w:t>a</w:t>
      </w:r>
      <w:r>
        <w:rPr>
          <w:spacing w:val="-10"/>
        </w:rPr>
        <w:t> </w:t>
      </w:r>
      <w:r>
        <w:rPr/>
        <w:t>esta</w:t>
      </w:r>
      <w:r>
        <w:rPr>
          <w:spacing w:val="-10"/>
        </w:rPr>
        <w:t> </w:t>
      </w:r>
      <w:r>
        <w:rPr/>
        <w:t>pregunta</w:t>
      </w:r>
      <w:r>
        <w:rPr>
          <w:spacing w:val="-12"/>
        </w:rPr>
        <w:t> </w:t>
      </w:r>
      <w:r>
        <w:rPr/>
        <w:t>fueron</w:t>
      </w:r>
      <w:r>
        <w:rPr>
          <w:spacing w:val="-13"/>
        </w:rPr>
        <w:t> </w:t>
      </w:r>
      <w:r>
        <w:rPr/>
        <w:t>muy cerradas,</w:t>
      </w:r>
      <w:r>
        <w:rPr>
          <w:spacing w:val="-14"/>
        </w:rPr>
        <w:t> </w:t>
      </w:r>
      <w:r>
        <w:rPr/>
        <w:t>no</w:t>
      </w:r>
      <w:r>
        <w:rPr>
          <w:spacing w:val="-18"/>
        </w:rPr>
        <w:t> </w:t>
      </w:r>
      <w:r>
        <w:rPr/>
        <w:t>obstante</w:t>
      </w:r>
      <w:r>
        <w:rPr>
          <w:spacing w:val="-18"/>
        </w:rPr>
        <w:t> </w:t>
      </w:r>
      <w:r>
        <w:rPr/>
        <w:t>en</w:t>
      </w:r>
      <w:r>
        <w:rPr>
          <w:spacing w:val="-18"/>
        </w:rPr>
        <w:t> </w:t>
      </w:r>
      <w:r>
        <w:rPr/>
        <w:t>los</w:t>
      </w:r>
      <w:r>
        <w:rPr>
          <w:spacing w:val="-15"/>
        </w:rPr>
        <w:t> </w:t>
      </w:r>
      <w:r>
        <w:rPr/>
        <w:t>abogados</w:t>
      </w:r>
      <w:r>
        <w:rPr>
          <w:spacing w:val="-15"/>
        </w:rPr>
        <w:t> </w:t>
      </w:r>
      <w:r>
        <w:rPr/>
        <w:t>y</w:t>
      </w:r>
      <w:r>
        <w:rPr>
          <w:spacing w:val="-17"/>
        </w:rPr>
        <w:t> </w:t>
      </w:r>
      <w:r>
        <w:rPr/>
        <w:t>abogadas</w:t>
      </w:r>
      <w:r>
        <w:rPr>
          <w:spacing w:val="-17"/>
        </w:rPr>
        <w:t> </w:t>
      </w:r>
      <w:r>
        <w:rPr/>
        <w:t>que</w:t>
      </w:r>
      <w:r>
        <w:rPr>
          <w:spacing w:val="-15"/>
        </w:rPr>
        <w:t> </w:t>
      </w:r>
      <w:r>
        <w:rPr/>
        <w:t>dijeron</w:t>
      </w:r>
      <w:r>
        <w:rPr>
          <w:spacing w:val="-20"/>
        </w:rPr>
        <w:t> </w:t>
      </w:r>
      <w:r>
        <w:rPr/>
        <w:t>que</w:t>
      </w:r>
      <w:r>
        <w:rPr>
          <w:spacing w:val="-15"/>
        </w:rPr>
        <w:t> </w:t>
      </w:r>
      <w:r>
        <w:rPr/>
        <w:t>sí</w:t>
      </w:r>
      <w:r>
        <w:rPr>
          <w:spacing w:val="-18"/>
        </w:rPr>
        <w:t> </w:t>
      </w:r>
      <w:r>
        <w:rPr/>
        <w:t>un</w:t>
      </w:r>
      <w:r>
        <w:rPr>
          <w:spacing w:val="-15"/>
        </w:rPr>
        <w:t> </w:t>
      </w:r>
      <w:r>
        <w:rPr/>
        <w:t>porcentaje</w:t>
      </w:r>
      <w:r>
        <w:rPr>
          <w:spacing w:val="-15"/>
        </w:rPr>
        <w:t> </w:t>
      </w:r>
      <w:r>
        <w:rPr/>
        <w:t>elevado consideró</w:t>
      </w:r>
      <w:r>
        <w:rPr>
          <w:spacing w:val="-8"/>
        </w:rPr>
        <w:t> </w:t>
      </w:r>
      <w:r>
        <w:rPr/>
        <w:t>que</w:t>
      </w:r>
      <w:r>
        <w:rPr>
          <w:spacing w:val="-6"/>
        </w:rPr>
        <w:t> </w:t>
      </w:r>
      <w:r>
        <w:rPr/>
        <w:t>es</w:t>
      </w:r>
      <w:r>
        <w:rPr>
          <w:spacing w:val="-5"/>
        </w:rPr>
        <w:t> </w:t>
      </w:r>
      <w:r>
        <w:rPr/>
        <w:t>igual</w:t>
      </w:r>
      <w:r>
        <w:rPr>
          <w:spacing w:val="-6"/>
        </w:rPr>
        <w:t> </w:t>
      </w:r>
      <w:r>
        <w:rPr/>
        <w:t>para</w:t>
      </w:r>
      <w:r>
        <w:rPr>
          <w:spacing w:val="-5"/>
        </w:rPr>
        <w:t> </w:t>
      </w:r>
      <w:r>
        <w:rPr/>
        <w:t>los</w:t>
      </w:r>
      <w:r>
        <w:rPr>
          <w:spacing w:val="-5"/>
        </w:rPr>
        <w:t> </w:t>
      </w:r>
      <w:r>
        <w:rPr/>
        <w:t>hombres</w:t>
      </w:r>
      <w:r>
        <w:rPr>
          <w:spacing w:val="-5"/>
        </w:rPr>
        <w:t> </w:t>
      </w:r>
      <w:r>
        <w:rPr/>
        <w:t>y</w:t>
      </w:r>
      <w:r>
        <w:rPr>
          <w:spacing w:val="-7"/>
        </w:rPr>
        <w:t> </w:t>
      </w:r>
      <w:r>
        <w:rPr/>
        <w:t>las</w:t>
      </w:r>
      <w:r>
        <w:rPr>
          <w:spacing w:val="-5"/>
        </w:rPr>
        <w:t> </w:t>
      </w:r>
      <w:r>
        <w:rPr/>
        <w:t>mujeres,</w:t>
      </w:r>
      <w:r>
        <w:rPr>
          <w:spacing w:val="-4"/>
        </w:rPr>
        <w:t> </w:t>
      </w:r>
      <w:r>
        <w:rPr/>
        <w:t>esto</w:t>
      </w:r>
      <w:r>
        <w:rPr>
          <w:spacing w:val="-5"/>
        </w:rPr>
        <w:t> </w:t>
      </w:r>
      <w:r>
        <w:rPr/>
        <w:t>dado</w:t>
      </w:r>
      <w:r>
        <w:rPr>
          <w:spacing w:val="-6"/>
        </w:rPr>
        <w:t> </w:t>
      </w:r>
      <w:r>
        <w:rPr/>
        <w:t>a</w:t>
      </w:r>
      <w:r>
        <w:rPr>
          <w:spacing w:val="-10"/>
        </w:rPr>
        <w:t> </w:t>
      </w:r>
      <w:r>
        <w:rPr/>
        <w:t>que</w:t>
      </w:r>
      <w:r>
        <w:rPr>
          <w:spacing w:val="-6"/>
        </w:rPr>
        <w:t> </w:t>
      </w:r>
      <w:r>
        <w:rPr/>
        <w:t>se</w:t>
      </w:r>
      <w:r>
        <w:rPr>
          <w:spacing w:val="-8"/>
        </w:rPr>
        <w:t> </w:t>
      </w:r>
      <w:r>
        <w:rPr/>
        <w:t>desconocen</w:t>
      </w:r>
      <w:r>
        <w:rPr>
          <w:spacing w:val="-5"/>
        </w:rPr>
        <w:t> </w:t>
      </w:r>
      <w:r>
        <w:rPr/>
        <w:t>los alcances de la violencia familiar, y el porque resulta impresindible</w:t>
      </w:r>
      <w:r>
        <w:rPr>
          <w:spacing w:val="-22"/>
        </w:rPr>
        <w:t> </w:t>
      </w:r>
      <w:r>
        <w:rPr/>
        <w:t>regularla.</w:t>
      </w:r>
    </w:p>
    <w:p>
      <w:pPr>
        <w:spacing w:after="0" w:line="360" w:lineRule="auto"/>
        <w:jc w:val="both"/>
        <w:sectPr>
          <w:pgSz w:w="12240" w:h="15840"/>
          <w:pgMar w:header="0" w:footer="1002" w:top="1360" w:bottom="1200" w:left="1580" w:right="1540"/>
        </w:sectPr>
      </w:pPr>
    </w:p>
    <w:p>
      <w:pPr>
        <w:spacing w:line="362" w:lineRule="auto" w:before="51"/>
        <w:ind w:left="122" w:right="289" w:firstLine="0"/>
        <w:jc w:val="both"/>
        <w:rPr>
          <w:b/>
          <w:sz w:val="20"/>
        </w:rPr>
      </w:pPr>
      <w:r>
        <w:rPr>
          <w:b/>
          <w:sz w:val="20"/>
        </w:rPr>
        <w:t>Gráfica 9. Cuando una mujer, que es sobreviviente de violencia familiar, particularmente de violencia física, priva de la vida a su agresor, puede considerarse legítima defensa.</w:t>
      </w:r>
    </w:p>
    <w:p>
      <w:pPr>
        <w:pStyle w:val="BodyText"/>
        <w:spacing w:before="7"/>
        <w:rPr>
          <w:b/>
          <w:sz w:val="13"/>
        </w:rPr>
      </w:pPr>
      <w:r>
        <w:rPr/>
        <w:pict>
          <v:group style="position:absolute;margin-left:84.705002pt;margin-top:9.788177pt;width:451pt;height:150.65pt;mso-position-horizontal-relative:page;mso-position-vertical-relative:paragraph;z-index:1864;mso-wrap-distance-left:0;mso-wrap-distance-right:0" coordorigin="1694,196" coordsize="9020,3013">
            <v:shape style="position:absolute;left:1920;top:422;width:8568;height:2558" type="#_x0000_t75" stroked="false">
              <v:imagedata r:id="rId31" o:title=""/>
            </v:shape>
            <v:shape style="position:absolute;left:6619;top:1211;width:686;height:689" type="#_x0000_t75" stroked="false">
              <v:imagedata r:id="rId32" o:title=""/>
            </v:shape>
            <v:shape style="position:absolute;left:5196;top:1082;width:689;height:689" type="#_x0000_t75" stroked="false">
              <v:imagedata r:id="rId32" o:title=""/>
            </v:shape>
            <v:rect style="position:absolute;left:1702;top:203;width:9005;height:2998" filled="false" stroked="true" strokeweight=".72pt" strokecolor="#bebebe"/>
            <v:shape style="position:absolute;left:5301;top:1179;width:398;height:431" type="#_x0000_t202" filled="false" stroked="false">
              <v:textbox inset="0,0,0,0">
                <w:txbxContent>
                  <w:p>
                    <w:pPr>
                      <w:spacing w:line="204" w:lineRule="exact" w:before="0"/>
                      <w:ind w:left="0" w:right="-3" w:firstLine="64"/>
                      <w:jc w:val="left"/>
                      <w:rPr>
                        <w:b/>
                        <w:sz w:val="20"/>
                      </w:rPr>
                    </w:pPr>
                    <w:r>
                      <w:rPr>
                        <w:b/>
                        <w:color w:val="FFFFFF"/>
                        <w:sz w:val="20"/>
                      </w:rPr>
                      <w:t>No</w:t>
                    </w:r>
                  </w:p>
                  <w:p>
                    <w:pPr>
                      <w:spacing w:line="225" w:lineRule="exact" w:before="1"/>
                      <w:ind w:left="0" w:right="-3" w:firstLine="0"/>
                      <w:jc w:val="left"/>
                      <w:rPr>
                        <w:b/>
                        <w:sz w:val="20"/>
                      </w:rPr>
                    </w:pPr>
                    <w:r>
                      <w:rPr>
                        <w:b/>
                        <w:color w:val="FFFFFF"/>
                        <w:w w:val="95"/>
                        <w:sz w:val="20"/>
                      </w:rPr>
                      <w:t>46%</w:t>
                    </w:r>
                  </w:p>
                </w:txbxContent>
              </v:textbox>
              <w10:wrap type="none"/>
            </v:shape>
            <v:shape style="position:absolute;left:6723;top:1309;width:398;height:430" type="#_x0000_t202" filled="false" stroked="false">
              <v:textbox inset="0,0,0,0">
                <w:txbxContent>
                  <w:p>
                    <w:pPr>
                      <w:spacing w:line="204" w:lineRule="exact" w:before="0"/>
                      <w:ind w:left="0" w:right="5" w:firstLine="0"/>
                      <w:jc w:val="center"/>
                      <w:rPr>
                        <w:b/>
                        <w:sz w:val="20"/>
                      </w:rPr>
                    </w:pPr>
                    <w:r>
                      <w:rPr>
                        <w:b/>
                        <w:color w:val="FFFFFF"/>
                        <w:sz w:val="20"/>
                      </w:rPr>
                      <w:t>Sí</w:t>
                    </w:r>
                  </w:p>
                  <w:p>
                    <w:pPr>
                      <w:spacing w:line="225" w:lineRule="exact" w:before="0"/>
                      <w:ind w:left="-1" w:right="0" w:firstLine="0"/>
                      <w:jc w:val="center"/>
                      <w:rPr>
                        <w:b/>
                        <w:sz w:val="20"/>
                      </w:rPr>
                    </w:pPr>
                    <w:r>
                      <w:rPr>
                        <w:b/>
                        <w:color w:val="FFFFFF"/>
                        <w:spacing w:val="-1"/>
                        <w:w w:val="95"/>
                        <w:sz w:val="20"/>
                      </w:rPr>
                      <w:t>54%</w:t>
                    </w:r>
                  </w:p>
                </w:txbxContent>
              </v:textbox>
              <w10:wrap type="none"/>
            </v:shape>
            <w10:wrap type="topAndBottom"/>
          </v:group>
        </w:pict>
      </w:r>
    </w:p>
    <w:p>
      <w:pPr>
        <w:pStyle w:val="BodyText"/>
        <w:spacing w:before="2"/>
        <w:rPr>
          <w:b/>
          <w:sz w:val="28"/>
        </w:rPr>
      </w:pPr>
    </w:p>
    <w:p>
      <w:pPr>
        <w:spacing w:before="0"/>
        <w:ind w:left="2020" w:right="0" w:firstLine="0"/>
        <w:jc w:val="left"/>
        <w:rPr>
          <w:sz w:val="20"/>
        </w:rPr>
      </w:pPr>
      <w:r>
        <w:rPr>
          <w:sz w:val="20"/>
        </w:rPr>
        <w:t>Fuente: elaboración propia con base en Montoya (2015).</w:t>
      </w:r>
    </w:p>
    <w:p>
      <w:pPr>
        <w:pStyle w:val="BodyText"/>
        <w:rPr>
          <w:sz w:val="20"/>
        </w:rPr>
      </w:pPr>
    </w:p>
    <w:p>
      <w:pPr>
        <w:pStyle w:val="BodyText"/>
        <w:rPr>
          <w:sz w:val="20"/>
        </w:rPr>
      </w:pPr>
    </w:p>
    <w:p>
      <w:pPr>
        <w:pStyle w:val="BodyText"/>
        <w:rPr>
          <w:sz w:val="20"/>
        </w:rPr>
      </w:pPr>
    </w:p>
    <w:p>
      <w:pPr>
        <w:pStyle w:val="BodyText"/>
        <w:spacing w:before="5"/>
        <w:rPr>
          <w:sz w:val="17"/>
        </w:rPr>
      </w:pPr>
    </w:p>
    <w:p>
      <w:pPr>
        <w:pStyle w:val="BodyText"/>
        <w:spacing w:line="360" w:lineRule="auto" w:before="1"/>
        <w:ind w:left="122" w:right="275"/>
        <w:jc w:val="both"/>
      </w:pPr>
      <w:r>
        <w:rPr/>
        <w:t>La</w:t>
      </w:r>
      <w:r>
        <w:rPr>
          <w:spacing w:val="-6"/>
        </w:rPr>
        <w:t> </w:t>
      </w:r>
      <w:r>
        <w:rPr/>
        <w:t>última</w:t>
      </w:r>
      <w:r>
        <w:rPr>
          <w:spacing w:val="-6"/>
        </w:rPr>
        <w:t> </w:t>
      </w:r>
      <w:r>
        <w:rPr/>
        <w:t>pregunta,</w:t>
      </w:r>
      <w:r>
        <w:rPr>
          <w:spacing w:val="-8"/>
        </w:rPr>
        <w:t> </w:t>
      </w:r>
      <w:r>
        <w:rPr/>
        <w:t>respecto</w:t>
      </w:r>
      <w:r>
        <w:rPr>
          <w:spacing w:val="-6"/>
        </w:rPr>
        <w:t> </w:t>
      </w:r>
      <w:r>
        <w:rPr/>
        <w:t>de</w:t>
      </w:r>
      <w:r>
        <w:rPr>
          <w:spacing w:val="-7"/>
        </w:rPr>
        <w:t> </w:t>
      </w:r>
      <w:r>
        <w:rPr/>
        <w:t>la</w:t>
      </w:r>
      <w:r>
        <w:rPr>
          <w:spacing w:val="-6"/>
        </w:rPr>
        <w:t> </w:t>
      </w:r>
      <w:r>
        <w:rPr/>
        <w:t>incorporación</w:t>
      </w:r>
      <w:r>
        <w:rPr>
          <w:spacing w:val="-9"/>
        </w:rPr>
        <w:t> </w:t>
      </w:r>
      <w:r>
        <w:rPr/>
        <w:t>de</w:t>
      </w:r>
      <w:r>
        <w:rPr>
          <w:spacing w:val="-7"/>
        </w:rPr>
        <w:t> </w:t>
      </w:r>
      <w:r>
        <w:rPr/>
        <w:t>la</w:t>
      </w:r>
      <w:r>
        <w:rPr>
          <w:spacing w:val="-6"/>
        </w:rPr>
        <w:t> </w:t>
      </w:r>
      <w:r>
        <w:rPr/>
        <w:t>Perspectiva</w:t>
      </w:r>
      <w:r>
        <w:rPr>
          <w:spacing w:val="-6"/>
        </w:rPr>
        <w:t> </w:t>
      </w:r>
      <w:r>
        <w:rPr/>
        <w:t>de</w:t>
      </w:r>
      <w:r>
        <w:rPr>
          <w:spacing w:val="-7"/>
        </w:rPr>
        <w:t> </w:t>
      </w:r>
      <w:r>
        <w:rPr/>
        <w:t>género</w:t>
      </w:r>
      <w:r>
        <w:rPr>
          <w:spacing w:val="-6"/>
        </w:rPr>
        <w:t> </w:t>
      </w:r>
      <w:r>
        <w:rPr/>
        <w:t>en</w:t>
      </w:r>
      <w:r>
        <w:rPr>
          <w:spacing w:val="-7"/>
        </w:rPr>
        <w:t> </w:t>
      </w:r>
      <w:r>
        <w:rPr/>
        <w:t>la</w:t>
      </w:r>
      <w:r>
        <w:rPr>
          <w:spacing w:val="-6"/>
        </w:rPr>
        <w:t> </w:t>
      </w:r>
      <w:r>
        <w:rPr/>
        <w:t>defensa de las mujeres que son acuadas de cometer conductas delictivas, la cual se refiere al conocimiento</w:t>
      </w:r>
      <w:r>
        <w:rPr>
          <w:spacing w:val="-11"/>
        </w:rPr>
        <w:t> </w:t>
      </w:r>
      <w:r>
        <w:rPr/>
        <w:t>que</w:t>
      </w:r>
      <w:r>
        <w:rPr>
          <w:spacing w:val="-9"/>
        </w:rPr>
        <w:t> </w:t>
      </w:r>
      <w:r>
        <w:rPr/>
        <w:t>tienen</w:t>
      </w:r>
      <w:r>
        <w:rPr>
          <w:spacing w:val="-11"/>
        </w:rPr>
        <w:t> </w:t>
      </w:r>
      <w:r>
        <w:rPr/>
        <w:t>los</w:t>
      </w:r>
      <w:r>
        <w:rPr>
          <w:spacing w:val="-6"/>
        </w:rPr>
        <w:t> </w:t>
      </w:r>
      <w:r>
        <w:rPr/>
        <w:t>abogados</w:t>
      </w:r>
      <w:r>
        <w:rPr>
          <w:spacing w:val="-9"/>
        </w:rPr>
        <w:t> </w:t>
      </w:r>
      <w:r>
        <w:rPr/>
        <w:t>y</w:t>
      </w:r>
      <w:r>
        <w:rPr>
          <w:spacing w:val="-8"/>
        </w:rPr>
        <w:t> </w:t>
      </w:r>
      <w:r>
        <w:rPr/>
        <w:t>las</w:t>
      </w:r>
      <w:r>
        <w:rPr>
          <w:spacing w:val="-6"/>
        </w:rPr>
        <w:t> </w:t>
      </w:r>
      <w:r>
        <w:rPr/>
        <w:t>abogadas,</w:t>
      </w:r>
      <w:r>
        <w:rPr>
          <w:spacing w:val="-7"/>
        </w:rPr>
        <w:t> </w:t>
      </w:r>
      <w:r>
        <w:rPr/>
        <w:t>respecto</w:t>
      </w:r>
      <w:r>
        <w:rPr>
          <w:spacing w:val="-9"/>
        </w:rPr>
        <w:t> </w:t>
      </w:r>
      <w:r>
        <w:rPr/>
        <w:t>de</w:t>
      </w:r>
      <w:r>
        <w:rPr>
          <w:spacing w:val="-9"/>
        </w:rPr>
        <w:t> </w:t>
      </w:r>
      <w:r>
        <w:rPr/>
        <w:t>las</w:t>
      </w:r>
      <w:r>
        <w:rPr>
          <w:spacing w:val="-6"/>
        </w:rPr>
        <w:t> </w:t>
      </w:r>
      <w:r>
        <w:rPr/>
        <w:t>sentencias</w:t>
      </w:r>
      <w:r>
        <w:rPr>
          <w:spacing w:val="-5"/>
        </w:rPr>
        <w:t> </w:t>
      </w:r>
      <w:r>
        <w:rPr/>
        <w:t>emitidas por la Corte Interamericana de Derechos Humanos en contra del Estado Mexicano, de la cual se obtuvo que 91 por ciento de los y las profesionales del derecho diagnosticados no conocen las sentencias de la Corte Interamericana contra México, sólo 9 por ciento </w:t>
      </w:r>
      <w:r>
        <w:rPr>
          <w:spacing w:val="-3"/>
        </w:rPr>
        <w:t>los</w:t>
      </w:r>
      <w:r>
        <w:rPr>
          <w:spacing w:val="55"/>
        </w:rPr>
        <w:t> </w:t>
      </w:r>
      <w:r>
        <w:rPr/>
        <w:t>conoce</w:t>
      </w:r>
      <w:r>
        <w:rPr>
          <w:spacing w:val="-14"/>
        </w:rPr>
        <w:t> </w:t>
      </w:r>
      <w:r>
        <w:rPr/>
        <w:t>y</w:t>
      </w:r>
      <w:r>
        <w:rPr>
          <w:spacing w:val="-16"/>
        </w:rPr>
        <w:t> </w:t>
      </w:r>
      <w:r>
        <w:rPr/>
        <w:t>refirió</w:t>
      </w:r>
      <w:r>
        <w:rPr>
          <w:spacing w:val="-16"/>
        </w:rPr>
        <w:t> </w:t>
      </w:r>
      <w:r>
        <w:rPr/>
        <w:t>conocer</w:t>
      </w:r>
      <w:r>
        <w:rPr>
          <w:spacing w:val="-17"/>
        </w:rPr>
        <w:t> </w:t>
      </w:r>
      <w:r>
        <w:rPr/>
        <w:t>el</w:t>
      </w:r>
      <w:r>
        <w:rPr>
          <w:spacing w:val="-15"/>
        </w:rPr>
        <w:t> </w:t>
      </w:r>
      <w:r>
        <w:rPr/>
        <w:t>de</w:t>
      </w:r>
      <w:r>
        <w:rPr>
          <w:spacing w:val="-14"/>
        </w:rPr>
        <w:t> </w:t>
      </w:r>
      <w:r>
        <w:rPr/>
        <w:t>Campo</w:t>
      </w:r>
      <w:r>
        <w:rPr>
          <w:spacing w:val="-13"/>
        </w:rPr>
        <w:t> </w:t>
      </w:r>
      <w:r>
        <w:rPr/>
        <w:t>Algodonero.</w:t>
      </w:r>
      <w:r>
        <w:rPr>
          <w:spacing w:val="-12"/>
        </w:rPr>
        <w:t> </w:t>
      </w:r>
      <w:r>
        <w:rPr/>
        <w:t>Sólo</w:t>
      </w:r>
      <w:r>
        <w:rPr>
          <w:spacing w:val="-13"/>
        </w:rPr>
        <w:t> </w:t>
      </w:r>
      <w:r>
        <w:rPr/>
        <w:t>13</w:t>
      </w:r>
      <w:r>
        <w:rPr>
          <w:spacing w:val="-14"/>
        </w:rPr>
        <w:t> </w:t>
      </w:r>
      <w:r>
        <w:rPr/>
        <w:t>por</w:t>
      </w:r>
      <w:r>
        <w:rPr>
          <w:spacing w:val="-13"/>
        </w:rPr>
        <w:t> </w:t>
      </w:r>
      <w:r>
        <w:rPr/>
        <w:t>ciento</w:t>
      </w:r>
      <w:r>
        <w:rPr>
          <w:spacing w:val="-13"/>
        </w:rPr>
        <w:t> </w:t>
      </w:r>
      <w:r>
        <w:rPr/>
        <w:t>de</w:t>
      </w:r>
      <w:r>
        <w:rPr>
          <w:spacing w:val="-14"/>
        </w:rPr>
        <w:t> </w:t>
      </w:r>
      <w:r>
        <w:rPr/>
        <w:t>las</w:t>
      </w:r>
      <w:r>
        <w:rPr>
          <w:spacing w:val="-13"/>
        </w:rPr>
        <w:t> </w:t>
      </w:r>
      <w:r>
        <w:rPr/>
        <w:t>abogadas</w:t>
      </w:r>
      <w:r>
        <w:rPr>
          <w:spacing w:val="-16"/>
        </w:rPr>
        <w:t> </w:t>
      </w:r>
      <w:r>
        <w:rPr/>
        <w:t>refirió conocer las sentencias de la CIDH, sin embargo, sólo conocen la sentencia de Campo Algodonero, es mismo porcentaje es el de abogados que conocen las sentencias de la CIDH,</w:t>
      </w:r>
      <w:r>
        <w:rPr>
          <w:spacing w:val="-11"/>
        </w:rPr>
        <w:t> </w:t>
      </w:r>
      <w:r>
        <w:rPr/>
        <w:t>cero</w:t>
      </w:r>
      <w:r>
        <w:rPr>
          <w:spacing w:val="-12"/>
        </w:rPr>
        <w:t> </w:t>
      </w:r>
      <w:r>
        <w:rPr/>
        <w:t>por</w:t>
      </w:r>
      <w:r>
        <w:rPr>
          <w:spacing w:val="-12"/>
        </w:rPr>
        <w:t> </w:t>
      </w:r>
      <w:r>
        <w:rPr/>
        <w:t>ciento</w:t>
      </w:r>
      <w:r>
        <w:rPr>
          <w:spacing w:val="-12"/>
        </w:rPr>
        <w:t> </w:t>
      </w:r>
      <w:r>
        <w:rPr/>
        <w:t>de</w:t>
      </w:r>
      <w:r>
        <w:rPr>
          <w:spacing w:val="-15"/>
        </w:rPr>
        <w:t> </w:t>
      </w:r>
      <w:r>
        <w:rPr/>
        <w:t>los</w:t>
      </w:r>
      <w:r>
        <w:rPr>
          <w:spacing w:val="-12"/>
        </w:rPr>
        <w:t> </w:t>
      </w:r>
      <w:r>
        <w:rPr/>
        <w:t>abogados</w:t>
      </w:r>
      <w:r>
        <w:rPr>
          <w:spacing w:val="-12"/>
        </w:rPr>
        <w:t> </w:t>
      </w:r>
      <w:r>
        <w:rPr/>
        <w:t>de</w:t>
      </w:r>
      <w:r>
        <w:rPr>
          <w:spacing w:val="-13"/>
        </w:rPr>
        <w:t> </w:t>
      </w:r>
      <w:r>
        <w:rPr/>
        <w:t>las</w:t>
      </w:r>
      <w:r>
        <w:rPr>
          <w:spacing w:val="-15"/>
        </w:rPr>
        <w:t> </w:t>
      </w:r>
      <w:r>
        <w:rPr/>
        <w:t>mujeres</w:t>
      </w:r>
      <w:r>
        <w:rPr>
          <w:spacing w:val="-12"/>
        </w:rPr>
        <w:t> </w:t>
      </w:r>
      <w:r>
        <w:rPr/>
        <w:t>desconoce</w:t>
      </w:r>
      <w:r>
        <w:rPr>
          <w:spacing w:val="-13"/>
        </w:rPr>
        <w:t> </w:t>
      </w:r>
      <w:r>
        <w:rPr/>
        <w:t>las</w:t>
      </w:r>
      <w:r>
        <w:rPr>
          <w:spacing w:val="-12"/>
        </w:rPr>
        <w:t> </w:t>
      </w:r>
      <w:r>
        <w:rPr/>
        <w:t>sentencias</w:t>
      </w:r>
      <w:r>
        <w:rPr>
          <w:spacing w:val="-12"/>
        </w:rPr>
        <w:t> </w:t>
      </w:r>
      <w:r>
        <w:rPr/>
        <w:t>de</w:t>
      </w:r>
      <w:r>
        <w:rPr>
          <w:spacing w:val="-13"/>
        </w:rPr>
        <w:t> </w:t>
      </w:r>
      <w:r>
        <w:rPr/>
        <w:t>la</w:t>
      </w:r>
      <w:r>
        <w:rPr>
          <w:spacing w:val="-12"/>
        </w:rPr>
        <w:t> </w:t>
      </w:r>
      <w:r>
        <w:rPr/>
        <w:t>CIDH contra el Estado Mexicano, y sólo 11 por ciento de los defensores de oficio conocen las sentencias,</w:t>
      </w:r>
      <w:r>
        <w:rPr>
          <w:spacing w:val="-10"/>
        </w:rPr>
        <w:t> </w:t>
      </w:r>
      <w:r>
        <w:rPr/>
        <w:t>señalando</w:t>
      </w:r>
      <w:r>
        <w:rPr>
          <w:spacing w:val="-11"/>
        </w:rPr>
        <w:t> </w:t>
      </w:r>
      <w:r>
        <w:rPr/>
        <w:t>también</w:t>
      </w:r>
      <w:r>
        <w:rPr>
          <w:spacing w:val="-9"/>
        </w:rPr>
        <w:t> </w:t>
      </w:r>
      <w:r>
        <w:rPr/>
        <w:t>la</w:t>
      </w:r>
      <w:r>
        <w:rPr>
          <w:spacing w:val="-9"/>
        </w:rPr>
        <w:t> </w:t>
      </w:r>
      <w:r>
        <w:rPr/>
        <w:t>de</w:t>
      </w:r>
      <w:r>
        <w:rPr>
          <w:spacing w:val="-9"/>
        </w:rPr>
        <w:t> </w:t>
      </w:r>
      <w:r>
        <w:rPr/>
        <w:t>Campo</w:t>
      </w:r>
      <w:r>
        <w:rPr>
          <w:spacing w:val="-9"/>
        </w:rPr>
        <w:t> </w:t>
      </w:r>
      <w:r>
        <w:rPr/>
        <w:t>Algodonero.</w:t>
      </w:r>
      <w:r>
        <w:rPr>
          <w:spacing w:val="-10"/>
        </w:rPr>
        <w:t> </w:t>
      </w:r>
      <w:r>
        <w:rPr/>
        <w:t>Esto</w:t>
      </w:r>
      <w:r>
        <w:rPr>
          <w:spacing w:val="-11"/>
        </w:rPr>
        <w:t> </w:t>
      </w:r>
      <w:r>
        <w:rPr/>
        <w:t>resulta</w:t>
      </w:r>
      <w:r>
        <w:rPr>
          <w:spacing w:val="-11"/>
        </w:rPr>
        <w:t> </w:t>
      </w:r>
      <w:r>
        <w:rPr/>
        <w:t>interesante,</w:t>
      </w:r>
      <w:r>
        <w:rPr>
          <w:spacing w:val="-10"/>
        </w:rPr>
        <w:t> </w:t>
      </w:r>
      <w:r>
        <w:rPr/>
        <w:t>toda</w:t>
      </w:r>
      <w:r>
        <w:rPr>
          <w:spacing w:val="-11"/>
        </w:rPr>
        <w:t> </w:t>
      </w:r>
      <w:r>
        <w:rPr/>
        <w:t>vez que, la sentencias de la CIDH permiten vislumbrar ciertas líneas por las cuales conducir la defensa de los derechos humanos de las mujeres, sn embargo se demuestra el</w:t>
      </w:r>
      <w:r>
        <w:rPr>
          <w:spacing w:val="-27"/>
        </w:rPr>
        <w:t> </w:t>
      </w:r>
      <w:r>
        <w:rPr/>
        <w:t>desinteres de los abogados y abogadas por los temas que tienen que ver con los derechos de las mujeres,</w:t>
      </w:r>
      <w:r>
        <w:rPr>
          <w:spacing w:val="-5"/>
        </w:rPr>
        <w:t> </w:t>
      </w:r>
      <w:r>
        <w:rPr/>
        <w:t>no</w:t>
      </w:r>
      <w:r>
        <w:rPr>
          <w:spacing w:val="-7"/>
        </w:rPr>
        <w:t> </w:t>
      </w:r>
      <w:r>
        <w:rPr/>
        <w:t>obstante</w:t>
      </w:r>
      <w:r>
        <w:rPr>
          <w:spacing w:val="-6"/>
        </w:rPr>
        <w:t> </w:t>
      </w:r>
      <w:r>
        <w:rPr/>
        <w:t>a</w:t>
      </w:r>
      <w:r>
        <w:rPr>
          <w:spacing w:val="-9"/>
        </w:rPr>
        <w:t> </w:t>
      </w:r>
      <w:r>
        <w:rPr/>
        <w:t>que</w:t>
      </w:r>
      <w:r>
        <w:rPr>
          <w:spacing w:val="-4"/>
        </w:rPr>
        <w:t> </w:t>
      </w:r>
      <w:r>
        <w:rPr/>
        <w:t>la</w:t>
      </w:r>
      <w:r>
        <w:rPr>
          <w:spacing w:val="-4"/>
        </w:rPr>
        <w:t> </w:t>
      </w:r>
      <w:r>
        <w:rPr/>
        <w:t>sentencia</w:t>
      </w:r>
      <w:r>
        <w:rPr>
          <w:spacing w:val="-6"/>
        </w:rPr>
        <w:t> </w:t>
      </w:r>
      <w:r>
        <w:rPr/>
        <w:t>de</w:t>
      </w:r>
      <w:r>
        <w:rPr>
          <w:spacing w:val="-7"/>
        </w:rPr>
        <w:t> </w:t>
      </w:r>
      <w:r>
        <w:rPr/>
        <w:t>la</w:t>
      </w:r>
      <w:r>
        <w:rPr>
          <w:spacing w:val="-4"/>
        </w:rPr>
        <w:t> </w:t>
      </w:r>
      <w:r>
        <w:rPr/>
        <w:t>Corte</w:t>
      </w:r>
      <w:r>
        <w:rPr>
          <w:spacing w:val="-6"/>
        </w:rPr>
        <w:t> </w:t>
      </w:r>
      <w:r>
        <w:rPr/>
        <w:t>Interamericana</w:t>
      </w:r>
      <w:r>
        <w:rPr>
          <w:spacing w:val="-7"/>
        </w:rPr>
        <w:t> </w:t>
      </w:r>
      <w:r>
        <w:rPr/>
        <w:t>de</w:t>
      </w:r>
      <w:r>
        <w:rPr>
          <w:spacing w:val="-7"/>
        </w:rPr>
        <w:t> </w:t>
      </w:r>
      <w:r>
        <w:rPr/>
        <w:t>Derechos</w:t>
      </w:r>
      <w:r>
        <w:rPr>
          <w:spacing w:val="-4"/>
        </w:rPr>
        <w:t> </w:t>
      </w:r>
      <w:r>
        <w:rPr/>
        <w:t>Humanos son vinculantes para el Estado</w:t>
      </w:r>
      <w:r>
        <w:rPr>
          <w:spacing w:val="-13"/>
        </w:rPr>
        <w:t> </w:t>
      </w:r>
      <w:r>
        <w:rPr/>
        <w:t>Mexicano.</w:t>
      </w:r>
    </w:p>
    <w:p>
      <w:pPr>
        <w:spacing w:after="0" w:line="360" w:lineRule="auto"/>
        <w:jc w:val="both"/>
        <w:sectPr>
          <w:pgSz w:w="12240" w:h="15840"/>
          <w:pgMar w:header="0" w:footer="1002" w:top="1360" w:bottom="1200" w:left="1580" w:right="1420"/>
        </w:sectPr>
      </w:pPr>
    </w:p>
    <w:p>
      <w:pPr>
        <w:spacing w:line="362" w:lineRule="auto" w:before="51"/>
        <w:ind w:left="122" w:right="128" w:firstLine="0"/>
        <w:jc w:val="both"/>
        <w:rPr>
          <w:b/>
          <w:sz w:val="20"/>
        </w:rPr>
      </w:pPr>
      <w:r>
        <w:rPr>
          <w:b/>
          <w:sz w:val="20"/>
        </w:rPr>
        <w:t>Gráfica 10. Conocimiento de la sentencia emitidas por la Corte Interamericana de Derechos Humanos por parte de abogados y abogadas encuestados.</w:t>
      </w:r>
    </w:p>
    <w:p>
      <w:pPr>
        <w:pStyle w:val="BodyText"/>
        <w:spacing w:before="3"/>
        <w:rPr>
          <w:b/>
          <w:sz w:val="25"/>
        </w:rPr>
      </w:pPr>
      <w:r>
        <w:rPr/>
        <w:pict>
          <v:group style="position:absolute;margin-left:84.705002pt;margin-top:16.508177pt;width:441.4pt;height:160.5pt;mso-position-horizontal-relative:page;mso-position-vertical-relative:paragraph;z-index:1912;mso-wrap-distance-left:0;mso-wrap-distance-right:0" coordorigin="1694,330" coordsize="8828,3210">
            <v:shape style="position:absolute;left:1920;top:556;width:8376;height:2758" type="#_x0000_t75" stroked="false">
              <v:imagedata r:id="rId33" o:title=""/>
            </v:shape>
            <v:shape style="position:absolute;left:6058;top:822;width:576;height:689" type="#_x0000_t75" stroked="false">
              <v:imagedata r:id="rId34" o:title=""/>
            </v:shape>
            <v:shape style="position:absolute;left:5594;top:1950;width:689;height:686" type="#_x0000_t75" stroked="false">
              <v:imagedata r:id="rId35" o:title=""/>
            </v:shape>
            <v:shape style="position:absolute;left:1702;top:338;width:8813;height:3195" type="#_x0000_t202" filled="false" stroked="true" strokeweight=".72pt" strokecolor="#bebebe">
              <v:textbox inset="0,0,0,0">
                <w:txbxContent>
                  <w:p>
                    <w:pPr>
                      <w:spacing w:line="240" w:lineRule="auto" w:before="0"/>
                      <w:rPr>
                        <w:b/>
                        <w:sz w:val="20"/>
                      </w:rPr>
                    </w:pPr>
                  </w:p>
                  <w:p>
                    <w:pPr>
                      <w:spacing w:line="240" w:lineRule="auto" w:before="7"/>
                      <w:rPr>
                        <w:b/>
                        <w:sz w:val="27"/>
                      </w:rPr>
                    </w:pPr>
                  </w:p>
                  <w:p>
                    <w:pPr>
                      <w:spacing w:before="0"/>
                      <w:ind w:left="4451" w:right="4057" w:hanging="5"/>
                      <w:jc w:val="center"/>
                      <w:rPr>
                        <w:b/>
                        <w:sz w:val="20"/>
                      </w:rPr>
                    </w:pPr>
                    <w:r>
                      <w:rPr>
                        <w:b/>
                        <w:color w:val="FFFFFF"/>
                        <w:sz w:val="20"/>
                      </w:rPr>
                      <w:t>Sí 9%</w:t>
                    </w:r>
                  </w:p>
                  <w:p>
                    <w:pPr>
                      <w:spacing w:line="240" w:lineRule="auto" w:before="0"/>
                      <w:rPr>
                        <w:b/>
                        <w:sz w:val="20"/>
                      </w:rPr>
                    </w:pPr>
                  </w:p>
                  <w:p>
                    <w:pPr>
                      <w:spacing w:line="240" w:lineRule="auto" w:before="0"/>
                      <w:rPr>
                        <w:b/>
                        <w:sz w:val="20"/>
                      </w:rPr>
                    </w:pPr>
                  </w:p>
                  <w:p>
                    <w:pPr>
                      <w:spacing w:line="240" w:lineRule="auto" w:before="0"/>
                      <w:rPr>
                        <w:b/>
                        <w:sz w:val="18"/>
                      </w:rPr>
                    </w:pPr>
                  </w:p>
                  <w:p>
                    <w:pPr>
                      <w:spacing w:before="0"/>
                      <w:ind w:left="3989" w:right="4409" w:hanging="3"/>
                      <w:jc w:val="center"/>
                      <w:rPr>
                        <w:b/>
                        <w:sz w:val="20"/>
                      </w:rPr>
                    </w:pPr>
                    <w:r>
                      <w:rPr>
                        <w:b/>
                        <w:color w:val="FFFFFF"/>
                        <w:sz w:val="20"/>
                      </w:rPr>
                      <w:t>No 91%</w:t>
                    </w:r>
                  </w:p>
                </w:txbxContent>
              </v:textbox>
              <w10:wrap type="none"/>
            </v:shape>
            <w10:wrap type="topAndBottom"/>
          </v:group>
        </w:pict>
      </w:r>
    </w:p>
    <w:p>
      <w:pPr>
        <w:pStyle w:val="BodyText"/>
        <w:rPr>
          <w:b/>
          <w:sz w:val="20"/>
        </w:rPr>
      </w:pPr>
    </w:p>
    <w:p>
      <w:pPr>
        <w:spacing w:before="159"/>
        <w:ind w:left="2020" w:right="202" w:firstLine="0"/>
        <w:jc w:val="left"/>
        <w:rPr>
          <w:sz w:val="20"/>
        </w:rPr>
      </w:pPr>
      <w:r>
        <w:rPr>
          <w:sz w:val="20"/>
        </w:rPr>
        <w:t>Fuente: elaboración propia con base en Montoya (2015).</w:t>
      </w:r>
    </w:p>
    <w:p>
      <w:pPr>
        <w:pStyle w:val="BodyText"/>
        <w:rPr>
          <w:sz w:val="20"/>
        </w:rPr>
      </w:pPr>
    </w:p>
    <w:p>
      <w:pPr>
        <w:pStyle w:val="BodyText"/>
        <w:rPr>
          <w:sz w:val="20"/>
        </w:rPr>
      </w:pPr>
    </w:p>
    <w:p>
      <w:pPr>
        <w:pStyle w:val="BodyText"/>
        <w:rPr>
          <w:sz w:val="20"/>
        </w:rPr>
      </w:pPr>
    </w:p>
    <w:p>
      <w:pPr>
        <w:pStyle w:val="BodyText"/>
        <w:spacing w:before="6"/>
        <w:rPr>
          <w:sz w:val="17"/>
        </w:rPr>
      </w:pPr>
    </w:p>
    <w:p>
      <w:pPr>
        <w:pStyle w:val="BodyText"/>
        <w:spacing w:line="360" w:lineRule="auto"/>
        <w:ind w:left="122" w:right="114"/>
        <w:jc w:val="both"/>
      </w:pPr>
      <w:r>
        <w:rPr/>
        <w:t>A partir de esta pregunta, se comienza con la indagación del conocimiento y aplicación del cuerpo legislativo nacional creado para proteger los derechos de las mujeres, por parte de los abogados y las abogadas. 57 por ciento de los abogados y abogadas encuestadas señalarón que si conocen el cuerpo legislativo encargado de proteger los derechos de las mujeres, del cual 54 por ciento al momento de que se le preguntó cuáles legislaciones conoce, contestó que la Constitución, Códigos, Tratados Internacionales o no supo qué contestar, 12 por ciento dijo conocer la Ley General de Acceso de las Mujeres a una Vida Libre de Violencia, 12 por ciento dijo conocer la Ley para Erradicar la Violencia y 12 por ciento refirió conocer la Ley de Trata.</w:t>
      </w:r>
    </w:p>
    <w:p>
      <w:pPr>
        <w:pStyle w:val="BodyText"/>
        <w:spacing w:before="9"/>
        <w:rPr>
          <w:sz w:val="17"/>
        </w:rPr>
      </w:pPr>
    </w:p>
    <w:p>
      <w:pPr>
        <w:pStyle w:val="BodyText"/>
        <w:spacing w:line="360" w:lineRule="auto"/>
        <w:ind w:left="122" w:right="118"/>
        <w:jc w:val="both"/>
      </w:pPr>
      <w:r>
        <w:rPr/>
        <w:t>45 por ciento de los hombres dijo conocer la legislación que protege Derechos Humanos de las mujeres, 80 por ciento de las mujeres refirió conocer la legislación que protege derechos humanos de las mujeres. El abogado y las abogadas del Consejo Estatal de la Mujer</w:t>
      </w:r>
      <w:r>
        <w:rPr>
          <w:spacing w:val="-8"/>
        </w:rPr>
        <w:t> </w:t>
      </w:r>
      <w:r>
        <w:rPr/>
        <w:t>refirieron</w:t>
      </w:r>
      <w:r>
        <w:rPr>
          <w:spacing w:val="-11"/>
        </w:rPr>
        <w:t> </w:t>
      </w:r>
      <w:r>
        <w:rPr/>
        <w:t>sí</w:t>
      </w:r>
      <w:r>
        <w:rPr>
          <w:spacing w:val="-12"/>
        </w:rPr>
        <w:t> </w:t>
      </w:r>
      <w:r>
        <w:rPr/>
        <w:t>conocer</w:t>
      </w:r>
      <w:r>
        <w:rPr>
          <w:spacing w:val="-8"/>
        </w:rPr>
        <w:t> </w:t>
      </w:r>
      <w:r>
        <w:rPr/>
        <w:t>la</w:t>
      </w:r>
      <w:r>
        <w:rPr>
          <w:spacing w:val="-11"/>
        </w:rPr>
        <w:t> </w:t>
      </w:r>
      <w:r>
        <w:rPr/>
        <w:t>legislación</w:t>
      </w:r>
      <w:r>
        <w:rPr>
          <w:spacing w:val="-11"/>
        </w:rPr>
        <w:t> </w:t>
      </w:r>
      <w:r>
        <w:rPr/>
        <w:t>que</w:t>
      </w:r>
      <w:r>
        <w:rPr>
          <w:spacing w:val="-11"/>
        </w:rPr>
        <w:t> </w:t>
      </w:r>
      <w:r>
        <w:rPr/>
        <w:t>protege</w:t>
      </w:r>
      <w:r>
        <w:rPr>
          <w:spacing w:val="-11"/>
        </w:rPr>
        <w:t> </w:t>
      </w:r>
      <w:r>
        <w:rPr/>
        <w:t>derechos</w:t>
      </w:r>
      <w:r>
        <w:rPr>
          <w:spacing w:val="-8"/>
        </w:rPr>
        <w:t> </w:t>
      </w:r>
      <w:r>
        <w:rPr/>
        <w:t>humanos</w:t>
      </w:r>
      <w:r>
        <w:rPr>
          <w:spacing w:val="-14"/>
        </w:rPr>
        <w:t> </w:t>
      </w:r>
      <w:r>
        <w:rPr/>
        <w:t>de</w:t>
      </w:r>
      <w:r>
        <w:rPr>
          <w:spacing w:val="-9"/>
        </w:rPr>
        <w:t> </w:t>
      </w:r>
      <w:r>
        <w:rPr/>
        <w:t>las</w:t>
      </w:r>
      <w:r>
        <w:rPr>
          <w:spacing w:val="-11"/>
        </w:rPr>
        <w:t> </w:t>
      </w:r>
      <w:r>
        <w:rPr/>
        <w:t>mujeres.</w:t>
      </w:r>
      <w:r>
        <w:rPr>
          <w:spacing w:val="-10"/>
        </w:rPr>
        <w:t> </w:t>
      </w:r>
      <w:r>
        <w:rPr/>
        <w:t>De los</w:t>
      </w:r>
      <w:r>
        <w:rPr>
          <w:spacing w:val="-11"/>
        </w:rPr>
        <w:t> </w:t>
      </w:r>
      <w:r>
        <w:rPr/>
        <w:t>defensores</w:t>
      </w:r>
      <w:r>
        <w:rPr>
          <w:spacing w:val="-11"/>
        </w:rPr>
        <w:t> </w:t>
      </w:r>
      <w:r>
        <w:rPr/>
        <w:t>44</w:t>
      </w:r>
      <w:r>
        <w:rPr>
          <w:spacing w:val="-14"/>
        </w:rPr>
        <w:t> </w:t>
      </w:r>
      <w:r>
        <w:rPr/>
        <w:t>por</w:t>
      </w:r>
      <w:r>
        <w:rPr>
          <w:spacing w:val="-10"/>
        </w:rPr>
        <w:t> </w:t>
      </w:r>
      <w:r>
        <w:rPr/>
        <w:t>ciento</w:t>
      </w:r>
      <w:r>
        <w:rPr>
          <w:spacing w:val="-13"/>
        </w:rPr>
        <w:t> </w:t>
      </w:r>
      <w:r>
        <w:rPr/>
        <w:t>refirió</w:t>
      </w:r>
      <w:r>
        <w:rPr>
          <w:spacing w:val="-13"/>
        </w:rPr>
        <w:t> </w:t>
      </w:r>
      <w:r>
        <w:rPr/>
        <w:t>conocer</w:t>
      </w:r>
      <w:r>
        <w:rPr>
          <w:spacing w:val="-12"/>
        </w:rPr>
        <w:t> </w:t>
      </w:r>
      <w:r>
        <w:rPr/>
        <w:t>la</w:t>
      </w:r>
      <w:r>
        <w:rPr>
          <w:spacing w:val="-11"/>
        </w:rPr>
        <w:t> </w:t>
      </w:r>
      <w:r>
        <w:rPr/>
        <w:t>legislación</w:t>
      </w:r>
      <w:r>
        <w:rPr>
          <w:spacing w:val="-11"/>
        </w:rPr>
        <w:t> </w:t>
      </w:r>
      <w:r>
        <w:rPr/>
        <w:t>nacional</w:t>
      </w:r>
      <w:r>
        <w:rPr>
          <w:spacing w:val="-12"/>
        </w:rPr>
        <w:t> </w:t>
      </w:r>
      <w:r>
        <w:rPr/>
        <w:t>que</w:t>
      </w:r>
      <w:r>
        <w:rPr>
          <w:spacing w:val="-14"/>
        </w:rPr>
        <w:t> </w:t>
      </w:r>
      <w:r>
        <w:rPr/>
        <w:t>protege</w:t>
      </w:r>
      <w:r>
        <w:rPr>
          <w:spacing w:val="-14"/>
        </w:rPr>
        <w:t> </w:t>
      </w:r>
      <w:r>
        <w:rPr/>
        <w:t>los</w:t>
      </w:r>
      <w:r>
        <w:rPr>
          <w:spacing w:val="-11"/>
        </w:rPr>
        <w:t> </w:t>
      </w:r>
      <w:r>
        <w:rPr/>
        <w:t>derechos humanos de las mujeres. De los abogados y abogadas privadas 43 por ciento dijo</w:t>
      </w:r>
      <w:r>
        <w:rPr>
          <w:spacing w:val="-25"/>
        </w:rPr>
        <w:t> </w:t>
      </w:r>
      <w:r>
        <w:rPr/>
        <w:t>conocer la legislación nacional que protege derecho de las mujeres. La cifras pueden parecer favorables, sin embargo si consideramos al 54 por ciento que refirió otras legislaciones y no legislaciones especiales tenemos que sólo 26 por ciento de los abogados y  </w:t>
      </w:r>
      <w:r>
        <w:rPr>
          <w:spacing w:val="18"/>
        </w:rPr>
        <w:t> </w:t>
      </w:r>
      <w:r>
        <w:rPr/>
        <w:t>abogadas</w:t>
      </w:r>
    </w:p>
    <w:p>
      <w:pPr>
        <w:spacing w:after="0" w:line="360" w:lineRule="auto"/>
        <w:jc w:val="both"/>
        <w:sectPr>
          <w:pgSz w:w="12240" w:h="15840"/>
          <w:pgMar w:header="0" w:footer="1002" w:top="1360" w:bottom="1200" w:left="1580" w:right="1580"/>
        </w:sectPr>
      </w:pPr>
    </w:p>
    <w:p>
      <w:pPr>
        <w:pStyle w:val="BodyText"/>
        <w:spacing w:line="360" w:lineRule="auto" w:before="54"/>
        <w:ind w:left="122" w:right="114"/>
        <w:jc w:val="both"/>
      </w:pPr>
      <w:r>
        <w:rPr/>
        <w:t>cuestionados</w:t>
      </w:r>
      <w:r>
        <w:rPr>
          <w:spacing w:val="-8"/>
        </w:rPr>
        <w:t> </w:t>
      </w:r>
      <w:r>
        <w:rPr/>
        <w:t>conocen</w:t>
      </w:r>
      <w:r>
        <w:rPr>
          <w:spacing w:val="-10"/>
        </w:rPr>
        <w:t> </w:t>
      </w:r>
      <w:r>
        <w:rPr/>
        <w:t>legislación</w:t>
      </w:r>
      <w:r>
        <w:rPr>
          <w:spacing w:val="-8"/>
        </w:rPr>
        <w:t> </w:t>
      </w:r>
      <w:r>
        <w:rPr/>
        <w:t>nacional</w:t>
      </w:r>
      <w:r>
        <w:rPr>
          <w:spacing w:val="-9"/>
        </w:rPr>
        <w:t> </w:t>
      </w:r>
      <w:r>
        <w:rPr/>
        <w:t>que</w:t>
      </w:r>
      <w:r>
        <w:rPr>
          <w:spacing w:val="-10"/>
        </w:rPr>
        <w:t> </w:t>
      </w:r>
      <w:r>
        <w:rPr/>
        <w:t>protege</w:t>
      </w:r>
      <w:r>
        <w:rPr>
          <w:spacing w:val="-8"/>
        </w:rPr>
        <w:t> </w:t>
      </w:r>
      <w:r>
        <w:rPr/>
        <w:t>los</w:t>
      </w:r>
      <w:r>
        <w:rPr>
          <w:spacing w:val="-8"/>
        </w:rPr>
        <w:t> </w:t>
      </w:r>
      <w:r>
        <w:rPr/>
        <w:t>derechos</w:t>
      </w:r>
      <w:r>
        <w:rPr>
          <w:spacing w:val="-7"/>
        </w:rPr>
        <w:t> </w:t>
      </w:r>
      <w:r>
        <w:rPr/>
        <w:t>de</w:t>
      </w:r>
      <w:r>
        <w:rPr>
          <w:spacing w:val="-8"/>
        </w:rPr>
        <w:t> </w:t>
      </w:r>
      <w:r>
        <w:rPr/>
        <w:t>las</w:t>
      </w:r>
      <w:r>
        <w:rPr>
          <w:spacing w:val="-7"/>
        </w:rPr>
        <w:t> </w:t>
      </w:r>
      <w:r>
        <w:rPr/>
        <w:t>mujeres,</w:t>
      </w:r>
      <w:r>
        <w:rPr>
          <w:spacing w:val="-7"/>
        </w:rPr>
        <w:t> </w:t>
      </w:r>
      <w:r>
        <w:rPr/>
        <w:t>lo</w:t>
      </w:r>
      <w:r>
        <w:rPr>
          <w:spacing w:val="-10"/>
        </w:rPr>
        <w:t> </w:t>
      </w:r>
      <w:r>
        <w:rPr/>
        <w:t>que resulta alarmante en el sentido de que las legislaciones de carácter local que protegen los derechos de las mujeres son desconocidas por los abogado y por ende, no son</w:t>
      </w:r>
      <w:r>
        <w:rPr>
          <w:spacing w:val="-19"/>
        </w:rPr>
        <w:t> </w:t>
      </w:r>
      <w:r>
        <w:rPr/>
        <w:t>aplicadas.</w:t>
      </w:r>
    </w:p>
    <w:p>
      <w:pPr>
        <w:pStyle w:val="BodyText"/>
      </w:pPr>
    </w:p>
    <w:p>
      <w:pPr>
        <w:pStyle w:val="BodyText"/>
      </w:pPr>
    </w:p>
    <w:p>
      <w:pPr>
        <w:pStyle w:val="BodyText"/>
        <w:spacing w:before="8"/>
        <w:rPr>
          <w:sz w:val="20"/>
        </w:rPr>
      </w:pPr>
    </w:p>
    <w:p>
      <w:pPr>
        <w:spacing w:line="362" w:lineRule="auto" w:before="0"/>
        <w:ind w:left="122" w:right="202" w:firstLine="0"/>
        <w:jc w:val="left"/>
        <w:rPr>
          <w:b/>
          <w:sz w:val="20"/>
        </w:rPr>
      </w:pPr>
      <w:r>
        <w:rPr>
          <w:b/>
          <w:sz w:val="20"/>
        </w:rPr>
        <w:t>Gráfica 11. Conocimiento acerca de las leyes que protegen los derechos humanos de las mujeres, por parte de los abogados y abogadas encuestados.</w:t>
      </w:r>
    </w:p>
    <w:p>
      <w:pPr>
        <w:pStyle w:val="BodyText"/>
        <w:spacing w:before="7"/>
        <w:rPr>
          <w:b/>
          <w:sz w:val="13"/>
        </w:rPr>
      </w:pPr>
      <w:r>
        <w:rPr/>
        <w:pict>
          <v:group style="position:absolute;margin-left:84.705002pt;margin-top:9.788225pt;width:435.65pt;height:148.950pt;mso-position-horizontal-relative:page;mso-position-vertical-relative:paragraph;z-index:1984;mso-wrap-distance-left:0;mso-wrap-distance-right:0" coordorigin="1694,196" coordsize="8713,2979">
            <v:shape style="position:absolute;left:1920;top:422;width:8261;height:2525" type="#_x0000_t75" stroked="false">
              <v:imagedata r:id="rId37" o:title=""/>
            </v:shape>
            <v:shape style="position:absolute;left:6444;top:1242;width:686;height:686" type="#_x0000_t75" stroked="false">
              <v:imagedata r:id="rId35" o:title=""/>
            </v:shape>
            <v:shape style="position:absolute;left:5069;top:1026;width:689;height:689" type="#_x0000_t75" stroked="false">
              <v:imagedata r:id="rId38" o:title=""/>
            </v:shape>
            <v:rect style="position:absolute;left:1702;top:203;width:8698;height:2964" filled="false" stroked="true" strokeweight=".72pt" strokecolor="#bebebe"/>
            <v:shape style="position:absolute;left:5172;top:1124;width:398;height:430" type="#_x0000_t202" filled="false" stroked="false">
              <v:textbox inset="0,0,0,0">
                <w:txbxContent>
                  <w:p>
                    <w:pPr>
                      <w:spacing w:line="204" w:lineRule="exact" w:before="0"/>
                      <w:ind w:left="0" w:right="-3" w:firstLine="64"/>
                      <w:jc w:val="left"/>
                      <w:rPr>
                        <w:b/>
                        <w:sz w:val="20"/>
                      </w:rPr>
                    </w:pPr>
                    <w:r>
                      <w:rPr>
                        <w:b/>
                        <w:color w:val="FFFFFF"/>
                        <w:sz w:val="20"/>
                      </w:rPr>
                      <w:t>No</w:t>
                    </w:r>
                  </w:p>
                  <w:p>
                    <w:pPr>
                      <w:spacing w:line="225" w:lineRule="exact" w:before="0"/>
                      <w:ind w:left="0" w:right="-3" w:firstLine="0"/>
                      <w:jc w:val="left"/>
                      <w:rPr>
                        <w:b/>
                        <w:sz w:val="20"/>
                      </w:rPr>
                    </w:pPr>
                    <w:r>
                      <w:rPr>
                        <w:b/>
                        <w:color w:val="FFFFFF"/>
                        <w:w w:val="95"/>
                        <w:sz w:val="20"/>
                      </w:rPr>
                      <w:t>43%</w:t>
                    </w:r>
                  </w:p>
                </w:txbxContent>
              </v:textbox>
              <w10:wrap type="none"/>
            </v:shape>
            <v:shape style="position:absolute;left:6548;top:1339;width:398;height:430" type="#_x0000_t202" filled="false" stroked="false">
              <v:textbox inset="0,0,0,0">
                <w:txbxContent>
                  <w:p>
                    <w:pPr>
                      <w:spacing w:line="204" w:lineRule="exact" w:before="0"/>
                      <w:ind w:left="0" w:right="5" w:firstLine="0"/>
                      <w:jc w:val="center"/>
                      <w:rPr>
                        <w:b/>
                        <w:sz w:val="20"/>
                      </w:rPr>
                    </w:pPr>
                    <w:r>
                      <w:rPr>
                        <w:b/>
                        <w:color w:val="FFFFFF"/>
                        <w:sz w:val="20"/>
                      </w:rPr>
                      <w:t>Sí</w:t>
                    </w:r>
                  </w:p>
                  <w:p>
                    <w:pPr>
                      <w:spacing w:line="225" w:lineRule="exact" w:before="0"/>
                      <w:ind w:left="-1" w:right="0" w:firstLine="0"/>
                      <w:jc w:val="center"/>
                      <w:rPr>
                        <w:b/>
                        <w:sz w:val="20"/>
                      </w:rPr>
                    </w:pPr>
                    <w:r>
                      <w:rPr>
                        <w:b/>
                        <w:color w:val="FFFFFF"/>
                        <w:spacing w:val="-1"/>
                        <w:w w:val="95"/>
                        <w:sz w:val="20"/>
                      </w:rPr>
                      <w:t>57%</w:t>
                    </w:r>
                  </w:p>
                </w:txbxContent>
              </v:textbox>
              <w10:wrap type="none"/>
            </v:shape>
            <w10:wrap type="topAndBottom"/>
          </v:group>
        </w:pict>
      </w:r>
    </w:p>
    <w:p>
      <w:pPr>
        <w:pStyle w:val="BodyText"/>
        <w:spacing w:before="4"/>
        <w:rPr>
          <w:b/>
          <w:sz w:val="28"/>
        </w:rPr>
      </w:pPr>
    </w:p>
    <w:p>
      <w:pPr>
        <w:spacing w:before="1"/>
        <w:ind w:left="2020" w:right="202" w:firstLine="0"/>
        <w:jc w:val="left"/>
        <w:rPr>
          <w:sz w:val="20"/>
        </w:rPr>
      </w:pPr>
      <w:r>
        <w:rPr>
          <w:sz w:val="20"/>
        </w:rPr>
        <w:t>Fuente: elaboración propia con base en Montoya (2015).</w:t>
      </w:r>
    </w:p>
    <w:p>
      <w:pPr>
        <w:pStyle w:val="BodyText"/>
        <w:rPr>
          <w:sz w:val="20"/>
        </w:rPr>
      </w:pPr>
    </w:p>
    <w:p>
      <w:pPr>
        <w:pStyle w:val="BodyText"/>
        <w:rPr>
          <w:sz w:val="20"/>
        </w:rPr>
      </w:pPr>
    </w:p>
    <w:p>
      <w:pPr>
        <w:pStyle w:val="BodyText"/>
        <w:rPr>
          <w:sz w:val="20"/>
        </w:rPr>
      </w:pPr>
    </w:p>
    <w:p>
      <w:pPr>
        <w:pStyle w:val="BodyText"/>
        <w:spacing w:before="8"/>
        <w:rPr>
          <w:sz w:val="17"/>
        </w:rPr>
      </w:pPr>
    </w:p>
    <w:p>
      <w:pPr>
        <w:pStyle w:val="BodyText"/>
        <w:spacing w:line="360" w:lineRule="auto"/>
        <w:ind w:left="122" w:right="115"/>
        <w:jc w:val="both"/>
      </w:pPr>
      <w:r>
        <w:rPr/>
        <w:t>Por lo que hace a la pregunta número 12 del cuestionario, 70 por ciento señaló que no conoce los instrumentos internacionales que protegen los derechos de las mujeres, del 30 por ciento que señaló conocer los instrumentos internacionales que protegen derechos humanos de las mujeres, 71 por ciento al momento en que se le preguntó cuáles instrumentos conocen mencionó otros que nos son específicamente para las mujeres. 33 por ciento de la mujeres y 41 por ciento de los hombre dijeron conocer instrumentos internacionales que protegen los derechos de las mujeres. Solo una abogada del Consejo Estatal</w:t>
      </w:r>
      <w:r>
        <w:rPr>
          <w:spacing w:val="-14"/>
        </w:rPr>
        <w:t> </w:t>
      </w:r>
      <w:r>
        <w:rPr/>
        <w:t>de</w:t>
      </w:r>
      <w:r>
        <w:rPr>
          <w:spacing w:val="-14"/>
        </w:rPr>
        <w:t> </w:t>
      </w:r>
      <w:r>
        <w:rPr/>
        <w:t>la</w:t>
      </w:r>
      <w:r>
        <w:rPr>
          <w:spacing w:val="-13"/>
        </w:rPr>
        <w:t> </w:t>
      </w:r>
      <w:r>
        <w:rPr/>
        <w:t>Mujer,</w:t>
      </w:r>
      <w:r>
        <w:rPr>
          <w:spacing w:val="-12"/>
        </w:rPr>
        <w:t> </w:t>
      </w:r>
      <w:r>
        <w:rPr/>
        <w:t>señaló</w:t>
      </w:r>
      <w:r>
        <w:rPr>
          <w:spacing w:val="-13"/>
        </w:rPr>
        <w:t> </w:t>
      </w:r>
      <w:r>
        <w:rPr/>
        <w:t>conocer</w:t>
      </w:r>
      <w:r>
        <w:rPr>
          <w:spacing w:val="-13"/>
        </w:rPr>
        <w:t> </w:t>
      </w:r>
      <w:r>
        <w:rPr/>
        <w:t>instrumentos</w:t>
      </w:r>
      <w:r>
        <w:rPr>
          <w:spacing w:val="-13"/>
        </w:rPr>
        <w:t> </w:t>
      </w:r>
      <w:r>
        <w:rPr/>
        <w:t>internacionales</w:t>
      </w:r>
      <w:r>
        <w:rPr>
          <w:spacing w:val="-16"/>
        </w:rPr>
        <w:t> </w:t>
      </w:r>
      <w:r>
        <w:rPr/>
        <w:t>que</w:t>
      </w:r>
      <w:r>
        <w:rPr>
          <w:spacing w:val="-14"/>
        </w:rPr>
        <w:t> </w:t>
      </w:r>
      <w:r>
        <w:rPr/>
        <w:t>protegen</w:t>
      </w:r>
      <w:r>
        <w:rPr>
          <w:spacing w:val="-14"/>
        </w:rPr>
        <w:t> </w:t>
      </w:r>
      <w:r>
        <w:rPr/>
        <w:t>los</w:t>
      </w:r>
      <w:r>
        <w:rPr>
          <w:spacing w:val="-13"/>
        </w:rPr>
        <w:t> </w:t>
      </w:r>
      <w:r>
        <w:rPr/>
        <w:t>derechos humanos de las mujeres y 22 por ciento de los defensores de oficio dijo conocer instrumentos internacionales. Cabe mencionar que el hecho de que 70 por ciento de los y las</w:t>
      </w:r>
      <w:r>
        <w:rPr>
          <w:spacing w:val="-6"/>
        </w:rPr>
        <w:t> </w:t>
      </w:r>
      <w:r>
        <w:rPr/>
        <w:t>profesionales</w:t>
      </w:r>
      <w:r>
        <w:rPr>
          <w:spacing w:val="-6"/>
        </w:rPr>
        <w:t> </w:t>
      </w:r>
      <w:r>
        <w:rPr/>
        <w:t>del</w:t>
      </w:r>
      <w:r>
        <w:rPr>
          <w:spacing w:val="-7"/>
        </w:rPr>
        <w:t> </w:t>
      </w:r>
      <w:r>
        <w:rPr/>
        <w:t>derecho</w:t>
      </w:r>
      <w:r>
        <w:rPr>
          <w:spacing w:val="-6"/>
        </w:rPr>
        <w:t> </w:t>
      </w:r>
      <w:r>
        <w:rPr/>
        <w:t>desconozca</w:t>
      </w:r>
      <w:r>
        <w:rPr>
          <w:spacing w:val="-6"/>
        </w:rPr>
        <w:t> </w:t>
      </w:r>
      <w:r>
        <w:rPr/>
        <w:t>de</w:t>
      </w:r>
      <w:r>
        <w:rPr>
          <w:spacing w:val="-9"/>
        </w:rPr>
        <w:t> </w:t>
      </w:r>
      <w:r>
        <w:rPr/>
        <w:t>instrumentos</w:t>
      </w:r>
      <w:r>
        <w:rPr>
          <w:spacing w:val="-9"/>
        </w:rPr>
        <w:t> </w:t>
      </w:r>
      <w:r>
        <w:rPr/>
        <w:t>internacionales</w:t>
      </w:r>
      <w:r>
        <w:rPr>
          <w:spacing w:val="-11"/>
        </w:rPr>
        <w:t> </w:t>
      </w:r>
      <w:r>
        <w:rPr/>
        <w:t>que</w:t>
      </w:r>
      <w:r>
        <w:rPr>
          <w:spacing w:val="-9"/>
        </w:rPr>
        <w:t> </w:t>
      </w:r>
      <w:r>
        <w:rPr/>
        <w:t>protejan</w:t>
      </w:r>
      <w:r>
        <w:rPr>
          <w:spacing w:val="-9"/>
        </w:rPr>
        <w:t> </w:t>
      </w:r>
      <w:r>
        <w:rPr/>
        <w:t>los derechos humanos de las mujeres resulta alarmante, y más aún si consideramos que 35 de los que dicen conocerlos, en realidad no los conocen, ya que tendríamos que el 91 por ciento de los y las profesionales del derecho que contestaron el cuestionario, desconocen instrumentos internacionales que protegen los derechos humanos de las</w:t>
      </w:r>
      <w:r>
        <w:rPr>
          <w:spacing w:val="-20"/>
        </w:rPr>
        <w:t> </w:t>
      </w:r>
      <w:r>
        <w:rPr/>
        <w:t>mujeres.</w:t>
      </w:r>
    </w:p>
    <w:p>
      <w:pPr>
        <w:spacing w:after="0" w:line="360" w:lineRule="auto"/>
        <w:jc w:val="both"/>
        <w:sectPr>
          <w:footerReference w:type="default" r:id="rId36"/>
          <w:pgSz w:w="12240" w:h="15840"/>
          <w:pgMar w:footer="1002" w:header="0" w:top="1360" w:bottom="1200" w:left="1580" w:right="1580"/>
        </w:sectPr>
      </w:pPr>
    </w:p>
    <w:p>
      <w:pPr>
        <w:pStyle w:val="BodyText"/>
        <w:rPr>
          <w:sz w:val="20"/>
        </w:rPr>
      </w:pPr>
    </w:p>
    <w:p>
      <w:pPr>
        <w:pStyle w:val="BodyText"/>
        <w:spacing w:before="7"/>
        <w:rPr>
          <w:sz w:val="19"/>
        </w:rPr>
      </w:pPr>
    </w:p>
    <w:p>
      <w:pPr>
        <w:spacing w:line="362" w:lineRule="auto" w:before="0"/>
        <w:ind w:left="122" w:right="122" w:firstLine="0"/>
        <w:jc w:val="both"/>
        <w:rPr>
          <w:b/>
          <w:sz w:val="20"/>
        </w:rPr>
      </w:pPr>
      <w:r>
        <w:rPr>
          <w:b/>
          <w:sz w:val="20"/>
        </w:rPr>
        <w:t>Gráfica 12. Conocimiento de los abogados y abogadas, encuestados sobre los instrumentos internacionales que protegen derechos humanos de las mujeres.</w:t>
      </w:r>
    </w:p>
    <w:p>
      <w:pPr>
        <w:pStyle w:val="BodyText"/>
        <w:spacing w:before="7"/>
        <w:rPr>
          <w:b/>
          <w:sz w:val="13"/>
        </w:rPr>
      </w:pPr>
      <w:r>
        <w:rPr/>
        <w:pict>
          <v:group style="position:absolute;margin-left:84.705002pt;margin-top:9.788186pt;width:430pt;height:154.6pt;mso-position-horizontal-relative:page;mso-position-vertical-relative:paragraph;z-index:2056;mso-wrap-distance-left:0;mso-wrap-distance-right:0" coordorigin="1694,196" coordsize="8600,3092">
            <v:shape style="position:absolute;left:1920;top:422;width:8148;height:2638" type="#_x0000_t75" stroked="false">
              <v:imagedata r:id="rId40" o:title=""/>
            </v:shape>
            <v:shape style="position:absolute;left:6418;top:1293;width:689;height:686" type="#_x0000_t75" stroked="false">
              <v:imagedata r:id="rId41" o:title=""/>
            </v:shape>
            <v:shape style="position:absolute;left:4980;top:1029;width:689;height:686" type="#_x0000_t75" stroked="false">
              <v:imagedata r:id="rId41" o:title=""/>
            </v:shape>
            <v:rect style="position:absolute;left:1702;top:203;width:8585;height:3077" filled="false" stroked="true" strokeweight=".72pt" strokecolor="#bebebe"/>
            <v:shape style="position:absolute;left:5084;top:1125;width:398;height:430" type="#_x0000_t202" filled="false" stroked="false">
              <v:textbox inset="0,0,0,0">
                <w:txbxContent>
                  <w:p>
                    <w:pPr>
                      <w:spacing w:line="204" w:lineRule="exact" w:before="0"/>
                      <w:ind w:left="0" w:right="-3" w:firstLine="64"/>
                      <w:jc w:val="left"/>
                      <w:rPr>
                        <w:b/>
                        <w:sz w:val="20"/>
                      </w:rPr>
                    </w:pPr>
                    <w:r>
                      <w:rPr>
                        <w:b/>
                        <w:color w:val="FFFFFF"/>
                        <w:sz w:val="20"/>
                      </w:rPr>
                      <w:t>No</w:t>
                    </w:r>
                  </w:p>
                  <w:p>
                    <w:pPr>
                      <w:spacing w:line="225" w:lineRule="exact" w:before="0"/>
                      <w:ind w:left="0" w:right="-20" w:firstLine="0"/>
                      <w:jc w:val="left"/>
                      <w:rPr>
                        <w:b/>
                        <w:sz w:val="20"/>
                      </w:rPr>
                    </w:pPr>
                    <w:r>
                      <w:rPr>
                        <w:b/>
                        <w:color w:val="FFFFFF"/>
                        <w:spacing w:val="-1"/>
                        <w:sz w:val="20"/>
                      </w:rPr>
                      <w:t>43%</w:t>
                    </w:r>
                  </w:p>
                </w:txbxContent>
              </v:textbox>
              <w10:wrap type="none"/>
            </v:shape>
            <v:shape style="position:absolute;left:6522;top:1389;width:398;height:430" type="#_x0000_t202" filled="false" stroked="false">
              <v:textbox inset="0,0,0,0">
                <w:txbxContent>
                  <w:p>
                    <w:pPr>
                      <w:spacing w:line="204" w:lineRule="exact" w:before="0"/>
                      <w:ind w:left="0" w:right="5" w:firstLine="0"/>
                      <w:jc w:val="center"/>
                      <w:rPr>
                        <w:b/>
                        <w:sz w:val="20"/>
                      </w:rPr>
                    </w:pPr>
                    <w:r>
                      <w:rPr>
                        <w:b/>
                        <w:color w:val="FFFFFF"/>
                        <w:sz w:val="20"/>
                      </w:rPr>
                      <w:t>Sí</w:t>
                    </w:r>
                  </w:p>
                  <w:p>
                    <w:pPr>
                      <w:spacing w:line="225" w:lineRule="exact" w:before="0"/>
                      <w:ind w:left="-1" w:right="0" w:firstLine="0"/>
                      <w:jc w:val="center"/>
                      <w:rPr>
                        <w:b/>
                        <w:sz w:val="20"/>
                      </w:rPr>
                    </w:pPr>
                    <w:r>
                      <w:rPr>
                        <w:b/>
                        <w:color w:val="FFFFFF"/>
                        <w:spacing w:val="-1"/>
                        <w:w w:val="95"/>
                        <w:sz w:val="20"/>
                      </w:rPr>
                      <w:t>57%</w:t>
                    </w:r>
                  </w:p>
                </w:txbxContent>
              </v:textbox>
              <w10:wrap type="none"/>
            </v:shape>
            <w10:wrap type="topAndBottom"/>
          </v:group>
        </w:pict>
      </w:r>
    </w:p>
    <w:p>
      <w:pPr>
        <w:pStyle w:val="BodyText"/>
        <w:spacing w:before="5"/>
        <w:rPr>
          <w:b/>
          <w:sz w:val="26"/>
        </w:rPr>
      </w:pPr>
    </w:p>
    <w:p>
      <w:pPr>
        <w:spacing w:before="1"/>
        <w:ind w:left="2020" w:right="202" w:firstLine="0"/>
        <w:jc w:val="left"/>
        <w:rPr>
          <w:sz w:val="20"/>
        </w:rPr>
      </w:pPr>
      <w:r>
        <w:rPr>
          <w:sz w:val="20"/>
        </w:rPr>
        <w:t>Fuente: elaboración propia con base en Montoya (2015).</w:t>
      </w:r>
    </w:p>
    <w:p>
      <w:pPr>
        <w:pStyle w:val="BodyText"/>
        <w:rPr>
          <w:sz w:val="20"/>
        </w:rPr>
      </w:pPr>
    </w:p>
    <w:p>
      <w:pPr>
        <w:pStyle w:val="BodyText"/>
        <w:rPr>
          <w:sz w:val="20"/>
        </w:rPr>
      </w:pPr>
    </w:p>
    <w:p>
      <w:pPr>
        <w:pStyle w:val="BodyText"/>
        <w:rPr>
          <w:sz w:val="20"/>
        </w:rPr>
      </w:pPr>
    </w:p>
    <w:p>
      <w:pPr>
        <w:pStyle w:val="BodyText"/>
        <w:spacing w:before="6"/>
        <w:rPr>
          <w:sz w:val="17"/>
        </w:rPr>
      </w:pPr>
    </w:p>
    <w:p>
      <w:pPr>
        <w:pStyle w:val="BodyText"/>
        <w:spacing w:line="360" w:lineRule="auto"/>
        <w:ind w:left="122" w:right="116"/>
        <w:jc w:val="both"/>
      </w:pPr>
      <w:r>
        <w:rPr/>
        <w:t>En cuanto a la pregunta si conocían los criterios emitidos por la SCJN, basados en la perspectiva de género y protegen los derechos humanos de las mujeres 54 por ciento manifestó no conocerlos, mientras que del 46 por ciento que refirió </w:t>
      </w:r>
      <w:r>
        <w:rPr>
          <w:spacing w:val="3"/>
        </w:rPr>
        <w:t>sí </w:t>
      </w:r>
      <w:r>
        <w:rPr/>
        <w:t>conocerlos, 38 por ciento</w:t>
      </w:r>
      <w:r>
        <w:rPr>
          <w:spacing w:val="-5"/>
        </w:rPr>
        <w:t> </w:t>
      </w:r>
      <w:r>
        <w:rPr/>
        <w:t>hizo</w:t>
      </w:r>
      <w:r>
        <w:rPr>
          <w:spacing w:val="-5"/>
        </w:rPr>
        <w:t> </w:t>
      </w:r>
      <w:r>
        <w:rPr/>
        <w:t>referencia</w:t>
      </w:r>
      <w:r>
        <w:rPr>
          <w:spacing w:val="-5"/>
        </w:rPr>
        <w:t> </w:t>
      </w:r>
      <w:r>
        <w:rPr/>
        <w:t>a</w:t>
      </w:r>
      <w:r>
        <w:rPr>
          <w:spacing w:val="-5"/>
        </w:rPr>
        <w:t> </w:t>
      </w:r>
      <w:r>
        <w:rPr/>
        <w:t>pensión</w:t>
      </w:r>
      <w:r>
        <w:rPr>
          <w:spacing w:val="-6"/>
        </w:rPr>
        <w:t> </w:t>
      </w:r>
      <w:r>
        <w:rPr/>
        <w:t>alimenticia,</w:t>
      </w:r>
      <w:r>
        <w:rPr>
          <w:spacing w:val="-4"/>
        </w:rPr>
        <w:t> </w:t>
      </w:r>
      <w:r>
        <w:rPr/>
        <w:t>y</w:t>
      </w:r>
      <w:r>
        <w:rPr>
          <w:spacing w:val="-7"/>
        </w:rPr>
        <w:t> </w:t>
      </w:r>
      <w:r>
        <w:rPr/>
        <w:t>33</w:t>
      </w:r>
      <w:r>
        <w:rPr>
          <w:spacing w:val="-6"/>
        </w:rPr>
        <w:t> </w:t>
      </w:r>
      <w:r>
        <w:rPr/>
        <w:t>por</w:t>
      </w:r>
      <w:r>
        <w:rPr>
          <w:spacing w:val="-4"/>
        </w:rPr>
        <w:t> </w:t>
      </w:r>
      <w:r>
        <w:rPr/>
        <w:t>ciento</w:t>
      </w:r>
      <w:r>
        <w:rPr>
          <w:spacing w:val="-5"/>
        </w:rPr>
        <w:t> </w:t>
      </w:r>
      <w:r>
        <w:rPr/>
        <w:t>a</w:t>
      </w:r>
      <w:r>
        <w:rPr>
          <w:spacing w:val="-5"/>
        </w:rPr>
        <w:t> </w:t>
      </w:r>
      <w:r>
        <w:rPr/>
        <w:t>la</w:t>
      </w:r>
      <w:r>
        <w:rPr>
          <w:spacing w:val="-8"/>
        </w:rPr>
        <w:t> </w:t>
      </w:r>
      <w:r>
        <w:rPr/>
        <w:t>guarda</w:t>
      </w:r>
      <w:r>
        <w:rPr>
          <w:spacing w:val="-6"/>
        </w:rPr>
        <w:t> </w:t>
      </w:r>
      <w:r>
        <w:rPr/>
        <w:t>y</w:t>
      </w:r>
      <w:r>
        <w:rPr>
          <w:spacing w:val="-7"/>
        </w:rPr>
        <w:t> </w:t>
      </w:r>
      <w:r>
        <w:rPr/>
        <w:t>custodia,</w:t>
      </w:r>
      <w:r>
        <w:rPr>
          <w:spacing w:val="-4"/>
        </w:rPr>
        <w:t> </w:t>
      </w:r>
      <w:r>
        <w:rPr/>
        <w:t>y</w:t>
      </w:r>
      <w:r>
        <w:rPr>
          <w:spacing w:val="-7"/>
        </w:rPr>
        <w:t> </w:t>
      </w:r>
      <w:r>
        <w:rPr/>
        <w:t>28</w:t>
      </w:r>
      <w:r>
        <w:rPr>
          <w:spacing w:val="-6"/>
        </w:rPr>
        <w:t> </w:t>
      </w:r>
      <w:r>
        <w:rPr/>
        <w:t>por ciento al feminicidio. El 60 por ciento de las abogadas encuestadas y 67 por ciento de los abogados encuestados dijeron no conocer, los defensores de oficio 56 por ciento desconoce los criterios de la scjn con perspectiva de género, una abogada y un abogado del Consejo Estatal de las Mujeres también lo</w:t>
      </w:r>
      <w:r>
        <w:rPr>
          <w:spacing w:val="-11"/>
        </w:rPr>
        <w:t> </w:t>
      </w:r>
      <w:r>
        <w:rPr/>
        <w:t>desconocen.</w:t>
      </w:r>
    </w:p>
    <w:p>
      <w:pPr>
        <w:pStyle w:val="BodyText"/>
      </w:pPr>
    </w:p>
    <w:p>
      <w:pPr>
        <w:pStyle w:val="BodyText"/>
      </w:pPr>
    </w:p>
    <w:p>
      <w:pPr>
        <w:pStyle w:val="BodyText"/>
        <w:spacing w:before="10"/>
        <w:rPr>
          <w:sz w:val="23"/>
        </w:rPr>
      </w:pPr>
    </w:p>
    <w:p>
      <w:pPr>
        <w:spacing w:line="360" w:lineRule="auto" w:before="0"/>
        <w:ind w:left="122" w:right="120" w:firstLine="0"/>
        <w:jc w:val="both"/>
        <w:rPr>
          <w:b/>
          <w:sz w:val="20"/>
        </w:rPr>
      </w:pPr>
      <w:r>
        <w:rPr>
          <w:b/>
          <w:sz w:val="20"/>
        </w:rPr>
        <w:t>Gráfica</w:t>
      </w:r>
      <w:r>
        <w:rPr>
          <w:b/>
          <w:spacing w:val="-4"/>
          <w:sz w:val="20"/>
        </w:rPr>
        <w:t> </w:t>
      </w:r>
      <w:r>
        <w:rPr>
          <w:b/>
          <w:sz w:val="20"/>
        </w:rPr>
        <w:t>13.</w:t>
      </w:r>
      <w:r>
        <w:rPr>
          <w:b/>
          <w:spacing w:val="-6"/>
          <w:sz w:val="20"/>
        </w:rPr>
        <w:t> </w:t>
      </w:r>
      <w:r>
        <w:rPr>
          <w:b/>
          <w:sz w:val="20"/>
        </w:rPr>
        <w:t>Conocimiento</w:t>
      </w:r>
      <w:r>
        <w:rPr>
          <w:b/>
          <w:spacing w:val="-3"/>
          <w:sz w:val="20"/>
        </w:rPr>
        <w:t> </w:t>
      </w:r>
      <w:r>
        <w:rPr>
          <w:b/>
          <w:sz w:val="20"/>
        </w:rPr>
        <w:t>de</w:t>
      </w:r>
      <w:r>
        <w:rPr>
          <w:b/>
          <w:spacing w:val="-6"/>
          <w:sz w:val="20"/>
        </w:rPr>
        <w:t> </w:t>
      </w:r>
      <w:r>
        <w:rPr>
          <w:b/>
          <w:sz w:val="20"/>
        </w:rPr>
        <w:t>abogados</w:t>
      </w:r>
      <w:r>
        <w:rPr>
          <w:b/>
          <w:spacing w:val="-4"/>
          <w:sz w:val="20"/>
        </w:rPr>
        <w:t> </w:t>
      </w:r>
      <w:r>
        <w:rPr>
          <w:b/>
          <w:sz w:val="20"/>
        </w:rPr>
        <w:t>y</w:t>
      </w:r>
      <w:r>
        <w:rPr>
          <w:b/>
          <w:spacing w:val="-6"/>
          <w:sz w:val="20"/>
        </w:rPr>
        <w:t> </w:t>
      </w:r>
      <w:r>
        <w:rPr>
          <w:b/>
          <w:sz w:val="20"/>
        </w:rPr>
        <w:t>abogadas</w:t>
      </w:r>
      <w:r>
        <w:rPr>
          <w:b/>
          <w:spacing w:val="-4"/>
          <w:sz w:val="20"/>
        </w:rPr>
        <w:t> </w:t>
      </w:r>
      <w:r>
        <w:rPr>
          <w:b/>
          <w:sz w:val="20"/>
        </w:rPr>
        <w:t>encuestados</w:t>
      </w:r>
      <w:r>
        <w:rPr>
          <w:b/>
          <w:spacing w:val="-6"/>
          <w:sz w:val="20"/>
        </w:rPr>
        <w:t> </w:t>
      </w:r>
      <w:r>
        <w:rPr>
          <w:b/>
          <w:sz w:val="20"/>
        </w:rPr>
        <w:t>de</w:t>
      </w:r>
      <w:r>
        <w:rPr>
          <w:b/>
          <w:spacing w:val="-6"/>
          <w:sz w:val="20"/>
        </w:rPr>
        <w:t> </w:t>
      </w:r>
      <w:r>
        <w:rPr>
          <w:b/>
          <w:sz w:val="20"/>
        </w:rPr>
        <w:t>los</w:t>
      </w:r>
      <w:r>
        <w:rPr>
          <w:b/>
          <w:spacing w:val="-4"/>
          <w:sz w:val="20"/>
        </w:rPr>
        <w:t> </w:t>
      </w:r>
      <w:r>
        <w:rPr>
          <w:b/>
          <w:sz w:val="20"/>
        </w:rPr>
        <w:t>criterios</w:t>
      </w:r>
      <w:r>
        <w:rPr>
          <w:b/>
          <w:spacing w:val="-5"/>
          <w:sz w:val="20"/>
        </w:rPr>
        <w:t> </w:t>
      </w:r>
      <w:r>
        <w:rPr>
          <w:b/>
          <w:sz w:val="20"/>
        </w:rPr>
        <w:t>emitidos</w:t>
      </w:r>
      <w:r>
        <w:rPr>
          <w:b/>
          <w:spacing w:val="-6"/>
          <w:sz w:val="20"/>
        </w:rPr>
        <w:t> </w:t>
      </w:r>
      <w:r>
        <w:rPr>
          <w:b/>
          <w:sz w:val="20"/>
        </w:rPr>
        <w:t>por la</w:t>
      </w:r>
      <w:r>
        <w:rPr>
          <w:b/>
          <w:spacing w:val="-7"/>
          <w:sz w:val="20"/>
        </w:rPr>
        <w:t> </w:t>
      </w:r>
      <w:r>
        <w:rPr>
          <w:b/>
          <w:sz w:val="20"/>
        </w:rPr>
        <w:t>Suprema</w:t>
      </w:r>
      <w:r>
        <w:rPr>
          <w:b/>
          <w:spacing w:val="-9"/>
          <w:sz w:val="20"/>
        </w:rPr>
        <w:t> </w:t>
      </w:r>
      <w:r>
        <w:rPr>
          <w:b/>
          <w:sz w:val="20"/>
        </w:rPr>
        <w:t>Corte</w:t>
      </w:r>
      <w:r>
        <w:rPr>
          <w:b/>
          <w:spacing w:val="-9"/>
          <w:sz w:val="20"/>
        </w:rPr>
        <w:t> </w:t>
      </w:r>
      <w:r>
        <w:rPr>
          <w:b/>
          <w:sz w:val="20"/>
        </w:rPr>
        <w:t>de</w:t>
      </w:r>
      <w:r>
        <w:rPr>
          <w:b/>
          <w:spacing w:val="-7"/>
          <w:sz w:val="20"/>
        </w:rPr>
        <w:t> </w:t>
      </w:r>
      <w:r>
        <w:rPr>
          <w:b/>
          <w:sz w:val="20"/>
        </w:rPr>
        <w:t>Justicia</w:t>
      </w:r>
      <w:r>
        <w:rPr>
          <w:b/>
          <w:spacing w:val="-10"/>
          <w:sz w:val="20"/>
        </w:rPr>
        <w:t> </w:t>
      </w:r>
      <w:r>
        <w:rPr>
          <w:b/>
          <w:sz w:val="20"/>
        </w:rPr>
        <w:t>de</w:t>
      </w:r>
      <w:r>
        <w:rPr>
          <w:b/>
          <w:spacing w:val="-9"/>
          <w:sz w:val="20"/>
        </w:rPr>
        <w:t> </w:t>
      </w:r>
      <w:r>
        <w:rPr>
          <w:b/>
          <w:sz w:val="20"/>
        </w:rPr>
        <w:t>la</w:t>
      </w:r>
      <w:r>
        <w:rPr>
          <w:b/>
          <w:spacing w:val="-9"/>
          <w:sz w:val="20"/>
        </w:rPr>
        <w:t> </w:t>
      </w:r>
      <w:r>
        <w:rPr>
          <w:b/>
          <w:sz w:val="20"/>
        </w:rPr>
        <w:t>Nación,</w:t>
      </w:r>
      <w:r>
        <w:rPr>
          <w:b/>
          <w:spacing w:val="-7"/>
          <w:sz w:val="20"/>
        </w:rPr>
        <w:t> </w:t>
      </w:r>
      <w:r>
        <w:rPr>
          <w:b/>
          <w:sz w:val="20"/>
        </w:rPr>
        <w:t>basados</w:t>
      </w:r>
      <w:r>
        <w:rPr>
          <w:b/>
          <w:spacing w:val="-7"/>
          <w:sz w:val="20"/>
        </w:rPr>
        <w:t> </w:t>
      </w:r>
      <w:r>
        <w:rPr>
          <w:b/>
          <w:sz w:val="20"/>
        </w:rPr>
        <w:t>en</w:t>
      </w:r>
      <w:r>
        <w:rPr>
          <w:b/>
          <w:spacing w:val="-6"/>
          <w:sz w:val="20"/>
        </w:rPr>
        <w:t> </w:t>
      </w:r>
      <w:r>
        <w:rPr>
          <w:b/>
          <w:sz w:val="20"/>
        </w:rPr>
        <w:t>la</w:t>
      </w:r>
      <w:r>
        <w:rPr>
          <w:b/>
          <w:spacing w:val="-10"/>
          <w:sz w:val="20"/>
        </w:rPr>
        <w:t> </w:t>
      </w:r>
      <w:r>
        <w:rPr>
          <w:b/>
          <w:sz w:val="20"/>
        </w:rPr>
        <w:t>perspectiva</w:t>
      </w:r>
      <w:r>
        <w:rPr>
          <w:b/>
          <w:spacing w:val="-9"/>
          <w:sz w:val="20"/>
        </w:rPr>
        <w:t> </w:t>
      </w:r>
      <w:r>
        <w:rPr>
          <w:b/>
          <w:sz w:val="20"/>
        </w:rPr>
        <w:t>de</w:t>
      </w:r>
      <w:r>
        <w:rPr>
          <w:b/>
          <w:spacing w:val="-7"/>
          <w:sz w:val="20"/>
        </w:rPr>
        <w:t> </w:t>
      </w:r>
      <w:r>
        <w:rPr>
          <w:b/>
          <w:sz w:val="20"/>
        </w:rPr>
        <w:t>género</w:t>
      </w:r>
      <w:r>
        <w:rPr>
          <w:b/>
          <w:spacing w:val="-6"/>
          <w:sz w:val="20"/>
        </w:rPr>
        <w:t> </w:t>
      </w:r>
      <w:r>
        <w:rPr>
          <w:b/>
          <w:sz w:val="20"/>
        </w:rPr>
        <w:t>encaminados a proteger los derechos humanos de las</w:t>
      </w:r>
      <w:r>
        <w:rPr>
          <w:b/>
          <w:spacing w:val="-17"/>
          <w:sz w:val="20"/>
        </w:rPr>
        <w:t> </w:t>
      </w:r>
      <w:r>
        <w:rPr>
          <w:b/>
          <w:sz w:val="20"/>
        </w:rPr>
        <w:t>mujeres.</w:t>
      </w:r>
    </w:p>
    <w:p>
      <w:pPr>
        <w:spacing w:after="0" w:line="360" w:lineRule="auto"/>
        <w:jc w:val="both"/>
        <w:rPr>
          <w:sz w:val="20"/>
        </w:rPr>
        <w:sectPr>
          <w:footerReference w:type="default" r:id="rId39"/>
          <w:pgSz w:w="12240" w:h="15840"/>
          <w:pgMar w:footer="1002" w:header="0" w:top="1500" w:bottom="1200" w:left="1580" w:right="1580"/>
          <w:pgNumType w:start="41"/>
        </w:sectPr>
      </w:pPr>
    </w:p>
    <w:p>
      <w:pPr>
        <w:pStyle w:val="BodyText"/>
        <w:ind w:left="116"/>
        <w:rPr>
          <w:sz w:val="20"/>
        </w:rPr>
      </w:pPr>
      <w:r>
        <w:rPr>
          <w:sz w:val="20"/>
        </w:rPr>
        <w:pict>
          <v:group style="width:441.15pt;height:159.15pt;mso-position-horizontal-relative:char;mso-position-vertical-relative:line" coordorigin="0,0" coordsize="8823,3183">
            <v:shape style="position:absolute;left:223;top:226;width:8376;height:2734" type="#_x0000_t75" stroked="false">
              <v:imagedata r:id="rId42" o:title=""/>
            </v:shape>
            <v:rect style="position:absolute;left:5;top:5;width:8813;height:3173" filled="false" stroked="true" strokeweight=".48pt" strokecolor="#888888"/>
            <v:shape style="position:absolute;left:3427;top:1221;width:398;height:430" type="#_x0000_t202" filled="false" stroked="false">
              <v:textbox inset="0,0,0,0">
                <w:txbxContent>
                  <w:p>
                    <w:pPr>
                      <w:spacing w:line="204" w:lineRule="exact" w:before="0"/>
                      <w:ind w:left="0" w:right="-3" w:firstLine="64"/>
                      <w:jc w:val="left"/>
                      <w:rPr>
                        <w:b/>
                        <w:sz w:val="20"/>
                      </w:rPr>
                    </w:pPr>
                    <w:r>
                      <w:rPr>
                        <w:b/>
                        <w:sz w:val="20"/>
                      </w:rPr>
                      <w:t>No</w:t>
                    </w:r>
                  </w:p>
                  <w:p>
                    <w:pPr>
                      <w:spacing w:line="225" w:lineRule="exact" w:before="0"/>
                      <w:ind w:left="0" w:right="-3" w:firstLine="0"/>
                      <w:jc w:val="left"/>
                      <w:rPr>
                        <w:b/>
                        <w:sz w:val="20"/>
                      </w:rPr>
                    </w:pPr>
                    <w:r>
                      <w:rPr>
                        <w:b/>
                        <w:w w:val="95"/>
                        <w:sz w:val="20"/>
                      </w:rPr>
                      <w:t>54%</w:t>
                    </w:r>
                  </w:p>
                </w:txbxContent>
              </v:textbox>
              <w10:wrap type="none"/>
            </v:shape>
            <v:shape style="position:absolute;left:4994;top:1077;width:398;height:430" type="#_x0000_t202" filled="false" stroked="false">
              <v:textbox inset="0,0,0,0">
                <w:txbxContent>
                  <w:p>
                    <w:pPr>
                      <w:spacing w:line="204" w:lineRule="exact" w:before="0"/>
                      <w:ind w:left="0" w:right="5" w:firstLine="0"/>
                      <w:jc w:val="center"/>
                      <w:rPr>
                        <w:b/>
                        <w:sz w:val="20"/>
                      </w:rPr>
                    </w:pPr>
                    <w:r>
                      <w:rPr>
                        <w:b/>
                        <w:sz w:val="20"/>
                      </w:rPr>
                      <w:t>Sí</w:t>
                    </w:r>
                  </w:p>
                  <w:p>
                    <w:pPr>
                      <w:spacing w:line="225" w:lineRule="exact" w:before="0"/>
                      <w:ind w:left="-1" w:right="0" w:firstLine="0"/>
                      <w:jc w:val="center"/>
                      <w:rPr>
                        <w:b/>
                        <w:sz w:val="20"/>
                      </w:rPr>
                    </w:pPr>
                    <w:r>
                      <w:rPr>
                        <w:b/>
                        <w:w w:val="95"/>
                        <w:sz w:val="20"/>
                      </w:rPr>
                      <w:t>46%</w:t>
                    </w:r>
                  </w:p>
                </w:txbxContent>
              </v:textbox>
              <w10:wrap type="none"/>
            </v:shape>
          </v:group>
        </w:pict>
      </w:r>
      <w:r>
        <w:rPr>
          <w:sz w:val="20"/>
        </w:rPr>
      </w:r>
    </w:p>
    <w:p>
      <w:pPr>
        <w:pStyle w:val="BodyText"/>
        <w:spacing w:before="10"/>
        <w:rPr>
          <w:b/>
          <w:sz w:val="20"/>
        </w:rPr>
      </w:pPr>
    </w:p>
    <w:p>
      <w:pPr>
        <w:spacing w:before="74"/>
        <w:ind w:left="2020" w:right="202" w:firstLine="0"/>
        <w:jc w:val="left"/>
        <w:rPr>
          <w:sz w:val="20"/>
        </w:rPr>
      </w:pPr>
      <w:r>
        <w:rPr>
          <w:sz w:val="20"/>
        </w:rPr>
        <w:t>Fuente: elaboración propia con base en Montoya (2015).</w:t>
      </w:r>
    </w:p>
    <w:p>
      <w:pPr>
        <w:pStyle w:val="BodyText"/>
        <w:rPr>
          <w:sz w:val="20"/>
        </w:rPr>
      </w:pPr>
    </w:p>
    <w:p>
      <w:pPr>
        <w:pStyle w:val="BodyText"/>
        <w:rPr>
          <w:sz w:val="20"/>
        </w:rPr>
      </w:pPr>
    </w:p>
    <w:p>
      <w:pPr>
        <w:pStyle w:val="BodyText"/>
        <w:rPr>
          <w:sz w:val="20"/>
        </w:rPr>
      </w:pPr>
    </w:p>
    <w:p>
      <w:pPr>
        <w:pStyle w:val="BodyText"/>
        <w:spacing w:before="5"/>
        <w:rPr>
          <w:sz w:val="17"/>
        </w:rPr>
      </w:pPr>
    </w:p>
    <w:p>
      <w:pPr>
        <w:pStyle w:val="BodyText"/>
        <w:spacing w:line="360" w:lineRule="auto" w:before="1"/>
        <w:ind w:left="122" w:right="117"/>
        <w:jc w:val="both"/>
      </w:pPr>
      <w:r>
        <w:rPr/>
        <w:t>El 52 por ciento de los y las profesionales a quienes se aplicó el cuestionario refirieron no saber que la Suprema Corte de Justicia de la Nación emitió un protocolo para juzgar con perspectiva de género, del 48 por ciento que dijo sí saber 63 por ciento no lo ha leído, y</w:t>
      </w:r>
      <w:r>
        <w:rPr>
          <w:spacing w:val="-42"/>
        </w:rPr>
        <w:t> </w:t>
      </w:r>
      <w:r>
        <w:rPr/>
        <w:t>18 por ciento en ralidad no lo conoce, por lo que tenemos que realmente solo 9 por ciento de los y las profesionales del derecho que fueron encuestados conoce el protoco para juzgar con perspectiva de género de la Suprema Corte de Justicia de la Nación. De las</w:t>
      </w:r>
      <w:r>
        <w:rPr>
          <w:spacing w:val="-32"/>
        </w:rPr>
        <w:t> </w:t>
      </w:r>
      <w:r>
        <w:rPr/>
        <w:t>abogadas encuestadas 50 por ciento lo conoce, de los abogados 41 por ciento dijo conocerlo. El 44 por ciento de los defensores de oficio lo conoce, 100 por ciento del personal jurídico del Consejo Estatal también lo conoce pero no lo ha</w:t>
      </w:r>
      <w:r>
        <w:rPr>
          <w:spacing w:val="-19"/>
        </w:rPr>
        <w:t> </w:t>
      </w:r>
      <w:r>
        <w:rPr/>
        <w:t>leído.</w:t>
      </w:r>
    </w:p>
    <w:p>
      <w:pPr>
        <w:pStyle w:val="BodyText"/>
        <w:spacing w:before="9"/>
        <w:rPr>
          <w:sz w:val="17"/>
        </w:rPr>
      </w:pPr>
    </w:p>
    <w:p>
      <w:pPr>
        <w:pStyle w:val="BodyText"/>
        <w:spacing w:line="360" w:lineRule="auto"/>
        <w:ind w:left="122" w:right="114"/>
        <w:jc w:val="both"/>
      </w:pPr>
      <w:r>
        <w:rPr/>
        <w:t>En cuanto a si han aplicado alguna legislación que proteja los derechos humanos de las mujeres, en la defensa de una mujer acusada de cometer una conducta delictiva 91 por ciento</w:t>
      </w:r>
      <w:r>
        <w:rPr>
          <w:spacing w:val="-16"/>
        </w:rPr>
        <w:t> </w:t>
      </w:r>
      <w:r>
        <w:rPr/>
        <w:t>refirió</w:t>
      </w:r>
      <w:r>
        <w:rPr>
          <w:spacing w:val="-16"/>
        </w:rPr>
        <w:t> </w:t>
      </w:r>
      <w:r>
        <w:rPr/>
        <w:t>no</w:t>
      </w:r>
      <w:r>
        <w:rPr>
          <w:spacing w:val="-16"/>
        </w:rPr>
        <w:t> </w:t>
      </w:r>
      <w:r>
        <w:rPr/>
        <w:t>haber</w:t>
      </w:r>
      <w:r>
        <w:rPr>
          <w:spacing w:val="-15"/>
        </w:rPr>
        <w:t> </w:t>
      </w:r>
      <w:r>
        <w:rPr/>
        <w:t>aplicado</w:t>
      </w:r>
      <w:r>
        <w:rPr>
          <w:spacing w:val="-16"/>
        </w:rPr>
        <w:t> </w:t>
      </w:r>
      <w:r>
        <w:rPr/>
        <w:t>ninguna</w:t>
      </w:r>
      <w:r>
        <w:rPr>
          <w:spacing w:val="-16"/>
        </w:rPr>
        <w:t> </w:t>
      </w:r>
      <w:r>
        <w:rPr/>
        <w:t>legislación,</w:t>
      </w:r>
      <w:r>
        <w:rPr>
          <w:spacing w:val="-15"/>
        </w:rPr>
        <w:t> </w:t>
      </w:r>
      <w:r>
        <w:rPr/>
        <w:t>mientras</w:t>
      </w:r>
      <w:r>
        <w:rPr>
          <w:spacing w:val="-18"/>
        </w:rPr>
        <w:t> </w:t>
      </w:r>
      <w:r>
        <w:rPr/>
        <w:t>que</w:t>
      </w:r>
      <w:r>
        <w:rPr>
          <w:spacing w:val="31"/>
        </w:rPr>
        <w:t> </w:t>
      </w:r>
      <w:r>
        <w:rPr/>
        <w:t>ocho</w:t>
      </w:r>
      <w:r>
        <w:rPr>
          <w:spacing w:val="-16"/>
        </w:rPr>
        <w:t> </w:t>
      </w:r>
      <w:r>
        <w:rPr/>
        <w:t>por</w:t>
      </w:r>
      <w:r>
        <w:rPr>
          <w:spacing w:val="-17"/>
        </w:rPr>
        <w:t> </w:t>
      </w:r>
      <w:r>
        <w:rPr/>
        <w:t>ciento</w:t>
      </w:r>
      <w:r>
        <w:rPr>
          <w:spacing w:val="-18"/>
        </w:rPr>
        <w:t> </w:t>
      </w:r>
      <w:r>
        <w:rPr/>
        <w:t>que</w:t>
      </w:r>
      <w:r>
        <w:rPr>
          <w:spacing w:val="-16"/>
        </w:rPr>
        <w:t> </w:t>
      </w:r>
      <w:r>
        <w:rPr/>
        <w:t>aplicó una legislación que protege derechos de las mujeres, refirió haber aplicado la ley de proteccióna</w:t>
      </w:r>
      <w:r>
        <w:rPr>
          <w:spacing w:val="-18"/>
        </w:rPr>
        <w:t> </w:t>
      </w:r>
      <w:r>
        <w:rPr/>
        <w:t>indígenas.</w:t>
      </w:r>
      <w:r>
        <w:rPr>
          <w:spacing w:val="-14"/>
        </w:rPr>
        <w:t> </w:t>
      </w:r>
      <w:r>
        <w:rPr/>
        <w:t>El</w:t>
      </w:r>
      <w:r>
        <w:rPr>
          <w:spacing w:val="-18"/>
        </w:rPr>
        <w:t> </w:t>
      </w:r>
      <w:r>
        <w:rPr/>
        <w:t>86</w:t>
      </w:r>
      <w:r>
        <w:rPr>
          <w:spacing w:val="-15"/>
        </w:rPr>
        <w:t> </w:t>
      </w:r>
      <w:r>
        <w:rPr/>
        <w:t>por</w:t>
      </w:r>
      <w:r>
        <w:rPr>
          <w:spacing w:val="-16"/>
        </w:rPr>
        <w:t> </w:t>
      </w:r>
      <w:r>
        <w:rPr/>
        <w:t>ciento</w:t>
      </w:r>
      <w:r>
        <w:rPr>
          <w:spacing w:val="-18"/>
        </w:rPr>
        <w:t> </w:t>
      </w:r>
      <w:r>
        <w:rPr/>
        <w:t>de</w:t>
      </w:r>
      <w:r>
        <w:rPr>
          <w:spacing w:val="-15"/>
        </w:rPr>
        <w:t> </w:t>
      </w:r>
      <w:r>
        <w:rPr/>
        <w:t>las</w:t>
      </w:r>
      <w:r>
        <w:rPr>
          <w:spacing w:val="-17"/>
        </w:rPr>
        <w:t> </w:t>
      </w:r>
      <w:r>
        <w:rPr/>
        <w:t>abogadas</w:t>
      </w:r>
      <w:r>
        <w:rPr>
          <w:spacing w:val="-15"/>
        </w:rPr>
        <w:t> </w:t>
      </w:r>
      <w:r>
        <w:rPr/>
        <w:t>a</w:t>
      </w:r>
      <w:r>
        <w:rPr>
          <w:spacing w:val="-18"/>
        </w:rPr>
        <w:t> </w:t>
      </w:r>
      <w:r>
        <w:rPr/>
        <w:t>las</w:t>
      </w:r>
      <w:r>
        <w:rPr>
          <w:spacing w:val="-17"/>
        </w:rPr>
        <w:t> </w:t>
      </w:r>
      <w:r>
        <w:rPr/>
        <w:t>que</w:t>
      </w:r>
      <w:r>
        <w:rPr>
          <w:spacing w:val="-18"/>
        </w:rPr>
        <w:t> </w:t>
      </w:r>
      <w:r>
        <w:rPr/>
        <w:t>se</w:t>
      </w:r>
      <w:r>
        <w:rPr>
          <w:spacing w:val="-18"/>
        </w:rPr>
        <w:t> </w:t>
      </w:r>
      <w:r>
        <w:rPr/>
        <w:t>le</w:t>
      </w:r>
      <w:r>
        <w:rPr>
          <w:spacing w:val="-15"/>
        </w:rPr>
        <w:t> </w:t>
      </w:r>
      <w:r>
        <w:rPr/>
        <w:t>aplicó</w:t>
      </w:r>
      <w:r>
        <w:rPr>
          <w:spacing w:val="-15"/>
        </w:rPr>
        <w:t> </w:t>
      </w:r>
      <w:r>
        <w:rPr/>
        <w:t>el</w:t>
      </w:r>
      <w:r>
        <w:rPr>
          <w:spacing w:val="-16"/>
        </w:rPr>
        <w:t> </w:t>
      </w:r>
      <w:r>
        <w:rPr/>
        <w:t>cuestionario y 94 por ciento de los hombres refirieron no haber aplicado alguna legislación que proteja los derechos de las mujeres. Ningún defensor de oficio ha aplicado una legislación que proteja derecho humanos de las mujeres, al igual que el abogado y las abogadas del Consejo Estatal de la Mujer y Bienestar Social. Resulta desalentador el hecho de que los abogados y las abogadas no hayan aplicado una legislación nacional o internacional que protejan</w:t>
      </w:r>
      <w:r>
        <w:rPr>
          <w:spacing w:val="-10"/>
        </w:rPr>
        <w:t> </w:t>
      </w:r>
      <w:r>
        <w:rPr/>
        <w:t>los</w:t>
      </w:r>
      <w:r>
        <w:rPr>
          <w:spacing w:val="-10"/>
        </w:rPr>
        <w:t> </w:t>
      </w:r>
      <w:r>
        <w:rPr/>
        <w:t>derechos</w:t>
      </w:r>
      <w:r>
        <w:rPr>
          <w:spacing w:val="-10"/>
        </w:rPr>
        <w:t> </w:t>
      </w:r>
      <w:r>
        <w:rPr/>
        <w:t>humanos</w:t>
      </w:r>
      <w:r>
        <w:rPr>
          <w:spacing w:val="-10"/>
        </w:rPr>
        <w:t> </w:t>
      </w:r>
      <w:r>
        <w:rPr/>
        <w:t>de</w:t>
      </w:r>
      <w:r>
        <w:rPr>
          <w:spacing w:val="-10"/>
        </w:rPr>
        <w:t> </w:t>
      </w:r>
      <w:r>
        <w:rPr/>
        <w:t>las</w:t>
      </w:r>
      <w:r>
        <w:rPr>
          <w:spacing w:val="-13"/>
        </w:rPr>
        <w:t> </w:t>
      </w:r>
      <w:r>
        <w:rPr/>
        <w:t>mujeres,</w:t>
      </w:r>
      <w:r>
        <w:rPr>
          <w:spacing w:val="-9"/>
        </w:rPr>
        <w:t> </w:t>
      </w:r>
      <w:r>
        <w:rPr>
          <w:spacing w:val="-3"/>
        </w:rPr>
        <w:t>ya</w:t>
      </w:r>
      <w:r>
        <w:rPr>
          <w:spacing w:val="-10"/>
        </w:rPr>
        <w:t> </w:t>
      </w:r>
      <w:r>
        <w:rPr/>
        <w:t>que</w:t>
      </w:r>
      <w:r>
        <w:rPr>
          <w:spacing w:val="-13"/>
        </w:rPr>
        <w:t> </w:t>
      </w:r>
      <w:r>
        <w:rPr/>
        <w:t>no</w:t>
      </w:r>
      <w:r>
        <w:rPr>
          <w:spacing w:val="-10"/>
        </w:rPr>
        <w:t> </w:t>
      </w:r>
      <w:r>
        <w:rPr/>
        <w:t>son</w:t>
      </w:r>
      <w:r>
        <w:rPr>
          <w:spacing w:val="-10"/>
        </w:rPr>
        <w:t> </w:t>
      </w:r>
      <w:r>
        <w:rPr/>
        <w:t>de</w:t>
      </w:r>
      <w:r>
        <w:rPr>
          <w:spacing w:val="-10"/>
        </w:rPr>
        <w:t> </w:t>
      </w:r>
      <w:r>
        <w:rPr/>
        <w:t>reciente</w:t>
      </w:r>
      <w:r>
        <w:rPr>
          <w:spacing w:val="-12"/>
        </w:rPr>
        <w:t> </w:t>
      </w:r>
      <w:r>
        <w:rPr/>
        <w:t>creación,</w:t>
      </w:r>
      <w:r>
        <w:rPr>
          <w:spacing w:val="-9"/>
        </w:rPr>
        <w:t> </w:t>
      </w:r>
      <w:r>
        <w:rPr/>
        <w:t>aunque</w:t>
      </w:r>
    </w:p>
    <w:p>
      <w:pPr>
        <w:spacing w:after="0" w:line="360" w:lineRule="auto"/>
        <w:jc w:val="both"/>
        <w:sectPr>
          <w:pgSz w:w="12240" w:h="15840"/>
          <w:pgMar w:header="0" w:footer="1002" w:top="1420" w:bottom="1200" w:left="1580" w:right="1580"/>
        </w:sectPr>
      </w:pPr>
    </w:p>
    <w:p>
      <w:pPr>
        <w:pStyle w:val="BodyText"/>
        <w:spacing w:line="362" w:lineRule="auto" w:before="54"/>
        <w:ind w:left="122" w:right="277"/>
        <w:jc w:val="both"/>
      </w:pPr>
      <w:r>
        <w:rPr/>
        <w:t>es</w:t>
      </w:r>
      <w:r>
        <w:rPr>
          <w:spacing w:val="-8"/>
        </w:rPr>
        <w:t> </w:t>
      </w:r>
      <w:r>
        <w:rPr/>
        <w:t>obvio,</w:t>
      </w:r>
      <w:r>
        <w:rPr>
          <w:spacing w:val="-7"/>
        </w:rPr>
        <w:t> </w:t>
      </w:r>
      <w:r>
        <w:rPr/>
        <w:t>dado</w:t>
      </w:r>
      <w:r>
        <w:rPr>
          <w:spacing w:val="-8"/>
        </w:rPr>
        <w:t> </w:t>
      </w:r>
      <w:r>
        <w:rPr/>
        <w:t>que</w:t>
      </w:r>
      <w:r>
        <w:rPr>
          <w:spacing w:val="-10"/>
        </w:rPr>
        <w:t> </w:t>
      </w:r>
      <w:r>
        <w:rPr/>
        <w:t>de</w:t>
      </w:r>
      <w:r>
        <w:rPr>
          <w:spacing w:val="-8"/>
        </w:rPr>
        <w:t> </w:t>
      </w:r>
      <w:r>
        <w:rPr/>
        <w:t>las</w:t>
      </w:r>
      <w:r>
        <w:rPr>
          <w:spacing w:val="-8"/>
        </w:rPr>
        <w:t> </w:t>
      </w:r>
      <w:r>
        <w:rPr/>
        <w:t>preguntas</w:t>
      </w:r>
      <w:r>
        <w:rPr>
          <w:spacing w:val="-7"/>
        </w:rPr>
        <w:t> </w:t>
      </w:r>
      <w:r>
        <w:rPr/>
        <w:t>anteriores</w:t>
      </w:r>
      <w:r>
        <w:rPr>
          <w:spacing w:val="-10"/>
        </w:rPr>
        <w:t> </w:t>
      </w:r>
      <w:r>
        <w:rPr/>
        <w:t>se</w:t>
      </w:r>
      <w:r>
        <w:rPr>
          <w:spacing w:val="-8"/>
        </w:rPr>
        <w:t> </w:t>
      </w:r>
      <w:r>
        <w:rPr/>
        <w:t>desprende</w:t>
      </w:r>
      <w:r>
        <w:rPr>
          <w:spacing w:val="-11"/>
        </w:rPr>
        <w:t> </w:t>
      </w:r>
      <w:r>
        <w:rPr/>
        <w:t>que</w:t>
      </w:r>
      <w:r>
        <w:rPr>
          <w:spacing w:val="-8"/>
        </w:rPr>
        <w:t> </w:t>
      </w:r>
      <w:r>
        <w:rPr/>
        <w:t>no</w:t>
      </w:r>
      <w:r>
        <w:rPr>
          <w:spacing w:val="-8"/>
        </w:rPr>
        <w:t> </w:t>
      </w:r>
      <w:r>
        <w:rPr/>
        <w:t>conocen</w:t>
      </w:r>
      <w:r>
        <w:rPr>
          <w:spacing w:val="-8"/>
        </w:rPr>
        <w:t> </w:t>
      </w:r>
      <w:r>
        <w:rPr/>
        <w:t>la</w:t>
      </w:r>
      <w:r>
        <w:rPr>
          <w:spacing w:val="-8"/>
        </w:rPr>
        <w:t> </w:t>
      </w:r>
      <w:r>
        <w:rPr/>
        <w:t>legislación aplicable.</w:t>
      </w:r>
    </w:p>
    <w:p>
      <w:pPr>
        <w:pStyle w:val="BodyText"/>
      </w:pPr>
    </w:p>
    <w:p>
      <w:pPr>
        <w:pStyle w:val="BodyText"/>
      </w:pPr>
    </w:p>
    <w:p>
      <w:pPr>
        <w:pStyle w:val="BodyText"/>
        <w:spacing w:before="5"/>
        <w:rPr>
          <w:sz w:val="23"/>
        </w:rPr>
      </w:pPr>
    </w:p>
    <w:p>
      <w:pPr>
        <w:spacing w:line="362" w:lineRule="auto" w:before="0"/>
        <w:ind w:left="122" w:right="290" w:firstLine="0"/>
        <w:jc w:val="both"/>
        <w:rPr>
          <w:b/>
          <w:sz w:val="20"/>
        </w:rPr>
      </w:pPr>
      <w:r>
        <w:rPr>
          <w:b/>
          <w:sz w:val="20"/>
        </w:rPr>
        <w:t>Gráfica. 14 Aplicación de la legislación nacional o internacional que proteje los derechos humanos de las mujeres, en la defensa de las mujeres.</w:t>
      </w:r>
    </w:p>
    <w:p>
      <w:pPr>
        <w:pStyle w:val="BodyText"/>
        <w:spacing w:before="7"/>
        <w:rPr>
          <w:b/>
          <w:sz w:val="13"/>
        </w:rPr>
      </w:pPr>
      <w:r>
        <w:rPr/>
        <w:pict>
          <v:group style="position:absolute;margin-left:84.705002pt;margin-top:9.788194pt;width:450.9pt;height:194.8pt;mso-position-horizontal-relative:page;mso-position-vertical-relative:paragraph;z-index:2176;mso-wrap-distance-left:0;mso-wrap-distance-right:0" coordorigin="1694,196" coordsize="9018,3896">
            <v:shape style="position:absolute;left:1920;top:422;width:8566;height:3444" type="#_x0000_t75" stroked="false">
              <v:imagedata r:id="rId43" o:title=""/>
            </v:shape>
            <v:shape style="position:absolute;left:6199;top:830;width:578;height:689" type="#_x0000_t75" stroked="false">
              <v:imagedata r:id="rId44" o:title=""/>
            </v:shape>
            <v:shape style="position:absolute;left:5635;top:2238;width:689;height:686" type="#_x0000_t75" stroked="false">
              <v:imagedata r:id="rId41" o:title=""/>
            </v:shape>
            <v:shape style="position:absolute;left:1702;top:203;width:9003;height:3881" type="#_x0000_t202" filled="false" stroked="true" strokeweight=".72pt" strokecolor="#bebebe">
              <v:textbox inset="0,0,0,0">
                <w:txbxContent>
                  <w:p>
                    <w:pPr>
                      <w:spacing w:line="240" w:lineRule="auto" w:before="0"/>
                      <w:rPr>
                        <w:b/>
                        <w:sz w:val="20"/>
                      </w:rPr>
                    </w:pPr>
                  </w:p>
                  <w:p>
                    <w:pPr>
                      <w:spacing w:line="240" w:lineRule="auto" w:before="0"/>
                      <w:rPr>
                        <w:b/>
                        <w:sz w:val="20"/>
                      </w:rPr>
                    </w:pPr>
                  </w:p>
                  <w:p>
                    <w:pPr>
                      <w:spacing w:line="240" w:lineRule="auto" w:before="0"/>
                      <w:rPr>
                        <w:b/>
                        <w:sz w:val="20"/>
                      </w:rPr>
                    </w:pPr>
                  </w:p>
                  <w:p>
                    <w:pPr>
                      <w:spacing w:before="1"/>
                      <w:ind w:left="4594" w:right="4103" w:hanging="5"/>
                      <w:jc w:val="center"/>
                      <w:rPr>
                        <w:b/>
                        <w:sz w:val="20"/>
                      </w:rPr>
                    </w:pPr>
                    <w:r>
                      <w:rPr>
                        <w:b/>
                        <w:color w:val="FFFFFF"/>
                        <w:sz w:val="20"/>
                      </w:rPr>
                      <w:t>Sí 9%</w:t>
                    </w: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4"/>
                      <w:rPr>
                        <w:b/>
                        <w:sz w:val="22"/>
                      </w:rPr>
                    </w:pPr>
                  </w:p>
                  <w:p>
                    <w:pPr>
                      <w:spacing w:before="0"/>
                      <w:ind w:left="4030" w:right="4557" w:hanging="3"/>
                      <w:jc w:val="center"/>
                      <w:rPr>
                        <w:b/>
                        <w:sz w:val="20"/>
                      </w:rPr>
                    </w:pPr>
                    <w:r>
                      <w:rPr>
                        <w:b/>
                        <w:color w:val="FFFFFF"/>
                        <w:sz w:val="20"/>
                      </w:rPr>
                      <w:t>No 91%</w:t>
                    </w:r>
                  </w:p>
                </w:txbxContent>
              </v:textbox>
              <w10:wrap type="none"/>
            </v:shape>
            <w10:wrap type="topAndBottom"/>
          </v:group>
        </w:pict>
      </w:r>
    </w:p>
    <w:p>
      <w:pPr>
        <w:pStyle w:val="BodyText"/>
        <w:spacing w:before="11"/>
        <w:rPr>
          <w:b/>
          <w:sz w:val="26"/>
        </w:rPr>
      </w:pPr>
    </w:p>
    <w:p>
      <w:pPr>
        <w:spacing w:before="0"/>
        <w:ind w:left="2327" w:right="0" w:firstLine="0"/>
        <w:jc w:val="left"/>
        <w:rPr>
          <w:sz w:val="20"/>
        </w:rPr>
      </w:pPr>
      <w:r>
        <w:rPr>
          <w:sz w:val="20"/>
        </w:rPr>
        <w:t>Fuente: elaboración con base en Montoya (2015).</w:t>
      </w:r>
    </w:p>
    <w:p>
      <w:pPr>
        <w:pStyle w:val="BodyText"/>
        <w:rPr>
          <w:sz w:val="20"/>
        </w:rPr>
      </w:pPr>
    </w:p>
    <w:p>
      <w:pPr>
        <w:pStyle w:val="BodyText"/>
        <w:rPr>
          <w:sz w:val="20"/>
        </w:rPr>
      </w:pPr>
    </w:p>
    <w:p>
      <w:pPr>
        <w:pStyle w:val="BodyText"/>
        <w:rPr>
          <w:sz w:val="20"/>
        </w:rPr>
      </w:pPr>
    </w:p>
    <w:p>
      <w:pPr>
        <w:pStyle w:val="BodyText"/>
        <w:spacing w:before="8"/>
        <w:rPr>
          <w:sz w:val="17"/>
        </w:rPr>
      </w:pPr>
    </w:p>
    <w:p>
      <w:pPr>
        <w:pStyle w:val="BodyText"/>
        <w:spacing w:line="360" w:lineRule="auto"/>
        <w:ind w:left="122" w:right="275"/>
        <w:jc w:val="both"/>
      </w:pPr>
      <w:r>
        <w:rPr/>
        <w:t>La última pregunta que se realizó fue referente al interés en capacitarse en materia de perspectiva de género a lo que 94 por ciento refirió estar interesado mientras que seis por ciento</w:t>
      </w:r>
      <w:r>
        <w:rPr>
          <w:spacing w:val="-5"/>
        </w:rPr>
        <w:t> </w:t>
      </w:r>
      <w:r>
        <w:rPr/>
        <w:t>dijo</w:t>
      </w:r>
      <w:r>
        <w:rPr>
          <w:spacing w:val="-8"/>
        </w:rPr>
        <w:t> </w:t>
      </w:r>
      <w:r>
        <w:rPr/>
        <w:t>no</w:t>
      </w:r>
      <w:r>
        <w:rPr>
          <w:spacing w:val="-8"/>
        </w:rPr>
        <w:t> </w:t>
      </w:r>
      <w:r>
        <w:rPr/>
        <w:t>interesarse</w:t>
      </w:r>
      <w:r>
        <w:rPr>
          <w:spacing w:val="-7"/>
        </w:rPr>
        <w:t> </w:t>
      </w:r>
      <w:r>
        <w:rPr/>
        <w:t>,</w:t>
      </w:r>
      <w:r>
        <w:rPr>
          <w:spacing w:val="-6"/>
        </w:rPr>
        <w:t> </w:t>
      </w:r>
      <w:r>
        <w:rPr/>
        <w:t>el</w:t>
      </w:r>
      <w:r>
        <w:rPr>
          <w:spacing w:val="-6"/>
        </w:rPr>
        <w:t> </w:t>
      </w:r>
      <w:r>
        <w:rPr/>
        <w:t>cual</w:t>
      </w:r>
      <w:r>
        <w:rPr>
          <w:spacing w:val="-9"/>
        </w:rPr>
        <w:t> </w:t>
      </w:r>
      <w:r>
        <w:rPr/>
        <w:t>sólo</w:t>
      </w:r>
      <w:r>
        <w:rPr>
          <w:spacing w:val="-5"/>
        </w:rPr>
        <w:t> </w:t>
      </w:r>
      <w:r>
        <w:rPr/>
        <w:t>estuvo</w:t>
      </w:r>
      <w:r>
        <w:rPr>
          <w:spacing w:val="-5"/>
        </w:rPr>
        <w:t> </w:t>
      </w:r>
      <w:r>
        <w:rPr/>
        <w:t>conformado</w:t>
      </w:r>
      <w:r>
        <w:rPr>
          <w:spacing w:val="-8"/>
        </w:rPr>
        <w:t> </w:t>
      </w:r>
      <w:r>
        <w:rPr/>
        <w:t>por</w:t>
      </w:r>
      <w:r>
        <w:rPr>
          <w:spacing w:val="-7"/>
        </w:rPr>
        <w:t> </w:t>
      </w:r>
      <w:r>
        <w:rPr/>
        <w:t>abogados</w:t>
      </w:r>
      <w:r>
        <w:rPr>
          <w:spacing w:val="-8"/>
        </w:rPr>
        <w:t> </w:t>
      </w:r>
      <w:r>
        <w:rPr/>
        <w:t>privados.</w:t>
      </w:r>
      <w:r>
        <w:rPr>
          <w:spacing w:val="-4"/>
        </w:rPr>
        <w:t> </w:t>
      </w:r>
      <w:r>
        <w:rPr/>
        <w:t>Quienes sí</w:t>
      </w:r>
      <w:r>
        <w:rPr>
          <w:spacing w:val="-14"/>
        </w:rPr>
        <w:t> </w:t>
      </w:r>
      <w:r>
        <w:rPr/>
        <w:t>manifestaron</w:t>
      </w:r>
      <w:r>
        <w:rPr>
          <w:spacing w:val="-10"/>
        </w:rPr>
        <w:t> </w:t>
      </w:r>
      <w:r>
        <w:rPr/>
        <w:t>interés</w:t>
      </w:r>
      <w:r>
        <w:rPr>
          <w:spacing w:val="-12"/>
        </w:rPr>
        <w:t> </w:t>
      </w:r>
      <w:r>
        <w:rPr/>
        <w:t>mencionaron</w:t>
      </w:r>
      <w:r>
        <w:rPr>
          <w:spacing w:val="-10"/>
        </w:rPr>
        <w:t> </w:t>
      </w:r>
      <w:r>
        <w:rPr/>
        <w:t>como</w:t>
      </w:r>
      <w:r>
        <w:rPr>
          <w:spacing w:val="42"/>
        </w:rPr>
        <w:t> </w:t>
      </w:r>
      <w:r>
        <w:rPr/>
        <w:t>la</w:t>
      </w:r>
      <w:r>
        <w:rPr>
          <w:spacing w:val="-10"/>
        </w:rPr>
        <w:t> </w:t>
      </w:r>
      <w:r>
        <w:rPr/>
        <w:t>razón</w:t>
      </w:r>
      <w:r>
        <w:rPr>
          <w:spacing w:val="-10"/>
        </w:rPr>
        <w:t> </w:t>
      </w:r>
      <w:r>
        <w:rPr/>
        <w:t>más</w:t>
      </w:r>
      <w:r>
        <w:rPr>
          <w:spacing w:val="-12"/>
        </w:rPr>
        <w:t> </w:t>
      </w:r>
      <w:r>
        <w:rPr/>
        <w:t>frecuente</w:t>
      </w:r>
      <w:r>
        <w:rPr>
          <w:spacing w:val="-12"/>
        </w:rPr>
        <w:t> </w:t>
      </w:r>
      <w:r>
        <w:rPr/>
        <w:t>que</w:t>
      </w:r>
      <w:r>
        <w:rPr>
          <w:spacing w:val="-13"/>
        </w:rPr>
        <w:t> </w:t>
      </w:r>
      <w:r>
        <w:rPr/>
        <w:t>el</w:t>
      </w:r>
      <w:r>
        <w:rPr>
          <w:spacing w:val="-11"/>
        </w:rPr>
        <w:t> </w:t>
      </w:r>
      <w:r>
        <w:rPr/>
        <w:t>brindar</w:t>
      </w:r>
      <w:r>
        <w:rPr>
          <w:spacing w:val="-9"/>
        </w:rPr>
        <w:t> </w:t>
      </w:r>
      <w:r>
        <w:rPr/>
        <w:t>una</w:t>
      </w:r>
      <w:r>
        <w:rPr>
          <w:spacing w:val="-10"/>
        </w:rPr>
        <w:t> </w:t>
      </w:r>
      <w:r>
        <w:rPr/>
        <w:t>mejor representación jurídica, siendo 48 por ciento. Lo cual permite ser optimistas al respecto, pues sí existe interés por partes de los abogados y las abogadas para capacitarse, dicha capacitación permitirá brindar una mejor respresentación jurídica a las</w:t>
      </w:r>
      <w:r>
        <w:rPr>
          <w:spacing w:val="-18"/>
        </w:rPr>
        <w:t> </w:t>
      </w:r>
      <w:r>
        <w:rPr/>
        <w:t>mujeres.</w:t>
      </w:r>
    </w:p>
    <w:p>
      <w:pPr>
        <w:pStyle w:val="BodyText"/>
      </w:pPr>
    </w:p>
    <w:p>
      <w:pPr>
        <w:pStyle w:val="BodyText"/>
      </w:pPr>
    </w:p>
    <w:p>
      <w:pPr>
        <w:pStyle w:val="BodyText"/>
        <w:spacing w:before="10"/>
        <w:rPr>
          <w:sz w:val="23"/>
        </w:rPr>
      </w:pPr>
    </w:p>
    <w:p>
      <w:pPr>
        <w:pStyle w:val="Heading8"/>
        <w:spacing w:line="360" w:lineRule="auto"/>
        <w:ind w:left="122" w:right="279"/>
        <w:rPr>
          <w:rFonts w:ascii="Arial" w:hAnsi="Arial"/>
        </w:rPr>
      </w:pPr>
      <w:r>
        <w:rPr>
          <w:rFonts w:ascii="Arial" w:hAnsi="Arial"/>
        </w:rPr>
        <w:t>Gráfica 16. Interés de abogados y abogadas encuestados en capacitarse en materia de perspectiva de género</w:t>
      </w:r>
    </w:p>
    <w:p>
      <w:pPr>
        <w:spacing w:after="0" w:line="360" w:lineRule="auto"/>
        <w:rPr>
          <w:rFonts w:ascii="Arial" w:hAnsi="Arial"/>
        </w:rPr>
        <w:sectPr>
          <w:pgSz w:w="12240" w:h="15840"/>
          <w:pgMar w:header="0" w:footer="1002" w:top="1360" w:bottom="1200" w:left="1580" w:right="1420"/>
        </w:sectPr>
      </w:pPr>
    </w:p>
    <w:p>
      <w:pPr>
        <w:pStyle w:val="BodyText"/>
        <w:ind w:left="114"/>
        <w:rPr>
          <w:sz w:val="20"/>
        </w:rPr>
      </w:pPr>
      <w:r>
        <w:rPr>
          <w:sz w:val="20"/>
        </w:rPr>
        <w:pict>
          <v:group style="width:453.4pt;height:177.75pt;mso-position-horizontal-relative:char;mso-position-vertical-relative:line" coordorigin="0,0" coordsize="9068,3555">
            <v:shape style="position:absolute;left:226;top:228;width:8616;height:3101" type="#_x0000_t75" stroked="false">
              <v:imagedata r:id="rId45" o:title=""/>
            </v:shape>
            <v:shape style="position:absolute;left:4416;top:1834;width:689;height:686" type="#_x0000_t75" stroked="false">
              <v:imagedata r:id="rId41" o:title=""/>
            </v:shape>
            <v:shape style="position:absolute;left:4121;top:564;width:576;height:689" type="#_x0000_t75" stroked="false">
              <v:imagedata r:id="rId46" o:title=""/>
            </v:shape>
            <v:shape style="position:absolute;left:8;top:8;width:9053;height:3540" type="#_x0000_t202" filled="false" stroked="true" strokeweight=".72pt" strokecolor="#bebebe">
              <v:textbox inset="0,0,0,0">
                <w:txbxContent>
                  <w:p>
                    <w:pPr>
                      <w:spacing w:line="240" w:lineRule="auto" w:before="0"/>
                      <w:rPr>
                        <w:b/>
                        <w:sz w:val="20"/>
                      </w:rPr>
                    </w:pPr>
                  </w:p>
                  <w:p>
                    <w:pPr>
                      <w:spacing w:line="240" w:lineRule="auto" w:before="0"/>
                      <w:rPr>
                        <w:b/>
                        <w:sz w:val="20"/>
                      </w:rPr>
                    </w:pPr>
                  </w:p>
                  <w:p>
                    <w:pPr>
                      <w:spacing w:before="161"/>
                      <w:ind w:left="4209" w:right="4540" w:hanging="3"/>
                      <w:jc w:val="center"/>
                      <w:rPr>
                        <w:b/>
                        <w:sz w:val="20"/>
                      </w:rPr>
                    </w:pPr>
                    <w:r>
                      <w:rPr>
                        <w:b/>
                        <w:color w:val="FFFFFF"/>
                        <w:sz w:val="20"/>
                      </w:rPr>
                      <w:t>No 7%</w:t>
                    </w:r>
                  </w:p>
                  <w:p>
                    <w:pPr>
                      <w:spacing w:line="240" w:lineRule="auto" w:before="0"/>
                      <w:rPr>
                        <w:b/>
                        <w:sz w:val="20"/>
                      </w:rPr>
                    </w:pPr>
                  </w:p>
                  <w:p>
                    <w:pPr>
                      <w:spacing w:line="240" w:lineRule="auto" w:before="0"/>
                      <w:rPr>
                        <w:b/>
                        <w:sz w:val="20"/>
                      </w:rPr>
                    </w:pPr>
                  </w:p>
                  <w:p>
                    <w:pPr>
                      <w:spacing w:line="240" w:lineRule="auto" w:before="0"/>
                      <w:rPr>
                        <w:b/>
                        <w:sz w:val="20"/>
                      </w:rPr>
                    </w:pPr>
                  </w:p>
                  <w:p>
                    <w:pPr>
                      <w:spacing w:before="118"/>
                      <w:ind w:left="4506" w:right="4132" w:hanging="5"/>
                      <w:jc w:val="center"/>
                      <w:rPr>
                        <w:b/>
                        <w:sz w:val="20"/>
                      </w:rPr>
                    </w:pPr>
                    <w:r>
                      <w:rPr>
                        <w:b/>
                        <w:color w:val="FFFFFF"/>
                        <w:sz w:val="20"/>
                      </w:rPr>
                      <w:t>Sí 93%</w:t>
                    </w:r>
                  </w:p>
                </w:txbxContent>
              </v:textbox>
              <w10:wrap type="none"/>
            </v:shape>
          </v:group>
        </w:pict>
      </w:r>
      <w:r>
        <w:rPr>
          <w:sz w:val="20"/>
        </w:rPr>
      </w:r>
    </w:p>
    <w:p>
      <w:pPr>
        <w:pStyle w:val="BodyText"/>
        <w:spacing w:before="3"/>
        <w:rPr>
          <w:b/>
          <w:sz w:val="24"/>
        </w:rPr>
      </w:pPr>
    </w:p>
    <w:p>
      <w:pPr>
        <w:spacing w:before="74"/>
        <w:ind w:left="2020" w:right="0" w:firstLine="0"/>
        <w:jc w:val="left"/>
        <w:rPr>
          <w:sz w:val="20"/>
        </w:rPr>
      </w:pPr>
      <w:r>
        <w:rPr>
          <w:sz w:val="20"/>
        </w:rPr>
        <w:t>Fuente: elaboración propia con base en Montoya (2015).</w:t>
      </w:r>
    </w:p>
    <w:p>
      <w:pPr>
        <w:pStyle w:val="BodyText"/>
        <w:rPr>
          <w:sz w:val="20"/>
        </w:rPr>
      </w:pPr>
    </w:p>
    <w:p>
      <w:pPr>
        <w:pStyle w:val="BodyText"/>
        <w:rPr>
          <w:sz w:val="20"/>
        </w:rPr>
      </w:pPr>
    </w:p>
    <w:p>
      <w:pPr>
        <w:pStyle w:val="BodyText"/>
        <w:rPr>
          <w:sz w:val="20"/>
        </w:rPr>
      </w:pPr>
    </w:p>
    <w:p>
      <w:pPr>
        <w:pStyle w:val="ListParagraph"/>
        <w:numPr>
          <w:ilvl w:val="2"/>
          <w:numId w:val="3"/>
        </w:numPr>
        <w:tabs>
          <w:tab w:pos="842" w:val="left" w:leader="none"/>
        </w:tabs>
        <w:spacing w:line="240" w:lineRule="auto" w:before="167" w:after="0"/>
        <w:ind w:left="842" w:right="0" w:hanging="720"/>
        <w:jc w:val="both"/>
        <w:rPr>
          <w:i/>
          <w:sz w:val="22"/>
        </w:rPr>
      </w:pPr>
      <w:r>
        <w:rPr>
          <w:i/>
          <w:sz w:val="22"/>
        </w:rPr>
        <w:t>Informantes</w:t>
      </w:r>
      <w:r>
        <w:rPr>
          <w:i/>
          <w:spacing w:val="-6"/>
          <w:sz w:val="22"/>
        </w:rPr>
        <w:t> </w:t>
      </w:r>
      <w:r>
        <w:rPr>
          <w:i/>
          <w:sz w:val="22"/>
        </w:rPr>
        <w:t>clave</w:t>
      </w:r>
    </w:p>
    <w:p>
      <w:pPr>
        <w:pStyle w:val="BodyText"/>
        <w:spacing w:before="6"/>
        <w:rPr>
          <w:i/>
          <w:sz w:val="28"/>
        </w:rPr>
      </w:pPr>
    </w:p>
    <w:p>
      <w:pPr>
        <w:pStyle w:val="BodyText"/>
        <w:spacing w:line="360" w:lineRule="auto"/>
        <w:ind w:left="122" w:right="341"/>
        <w:jc w:val="both"/>
      </w:pPr>
      <w:r>
        <w:rPr/>
        <w:t>Entre las conclusiones del presente trabajo, se pueden destacar las obtenidas a partir de los informantes clave que derivaron de las entrevistas:</w:t>
      </w:r>
    </w:p>
    <w:p>
      <w:pPr>
        <w:pStyle w:val="BodyText"/>
        <w:spacing w:before="7"/>
        <w:rPr>
          <w:sz w:val="17"/>
        </w:rPr>
      </w:pPr>
    </w:p>
    <w:p>
      <w:pPr>
        <w:pStyle w:val="BodyText"/>
        <w:spacing w:line="360" w:lineRule="auto"/>
        <w:ind w:left="122" w:right="336"/>
        <w:jc w:val="both"/>
      </w:pPr>
      <w:r>
        <w:rPr/>
        <w:t>En la entrevista con la abogada de las mujeres que se encuentra en Atlacomulco, Estado de México, le externé mi curiosidad por la forma en que se trabajaba dentro del Consejo Estatal de la Mujer y Bienestar Social, particularmente en la representación jurídica de las mujeres que son acusadas de cometer conductas delictivas, ella señaló que no existen instituciones encargadas de defender a mujeres, ya que ellos se especializan en las mujeres en situación de vunerabilidad, es decir no considera que las mujeres imputadas sean vulnerables. Asimismo, señaló que las mujeres que son acusadas de cometer conductas delictivas y solicitan la ayuda del CEMyBS son canalizadas con el defensor de oficio.</w:t>
      </w:r>
      <w:r>
        <w:rPr>
          <w:spacing w:val="-9"/>
        </w:rPr>
        <w:t> </w:t>
      </w:r>
      <w:r>
        <w:rPr/>
        <w:t>Con</w:t>
      </w:r>
      <w:r>
        <w:rPr>
          <w:spacing w:val="-8"/>
        </w:rPr>
        <w:t> </w:t>
      </w:r>
      <w:r>
        <w:rPr/>
        <w:t>esto</w:t>
      </w:r>
      <w:r>
        <w:rPr>
          <w:spacing w:val="-10"/>
        </w:rPr>
        <w:t> </w:t>
      </w:r>
      <w:r>
        <w:rPr/>
        <w:t>se</w:t>
      </w:r>
      <w:r>
        <w:rPr>
          <w:spacing w:val="-10"/>
        </w:rPr>
        <w:t> </w:t>
      </w:r>
      <w:r>
        <w:rPr/>
        <w:t>demuestra</w:t>
      </w:r>
      <w:r>
        <w:rPr>
          <w:spacing w:val="-11"/>
        </w:rPr>
        <w:t> </w:t>
      </w:r>
      <w:r>
        <w:rPr/>
        <w:t>que,</w:t>
      </w:r>
      <w:r>
        <w:rPr>
          <w:spacing w:val="-8"/>
        </w:rPr>
        <w:t> </w:t>
      </w:r>
      <w:r>
        <w:rPr/>
        <w:t>efectivamente,</w:t>
      </w:r>
      <w:r>
        <w:rPr>
          <w:spacing w:val="-8"/>
        </w:rPr>
        <w:t> </w:t>
      </w:r>
      <w:r>
        <w:rPr/>
        <w:t>las</w:t>
      </w:r>
      <w:r>
        <w:rPr>
          <w:spacing w:val="-7"/>
        </w:rPr>
        <w:t> </w:t>
      </w:r>
      <w:r>
        <w:rPr/>
        <w:t>instituciones</w:t>
      </w:r>
      <w:r>
        <w:rPr>
          <w:spacing w:val="-10"/>
        </w:rPr>
        <w:t> </w:t>
      </w:r>
      <w:r>
        <w:rPr/>
        <w:t>encargadas</w:t>
      </w:r>
      <w:r>
        <w:rPr>
          <w:spacing w:val="-7"/>
        </w:rPr>
        <w:t> </w:t>
      </w:r>
      <w:r>
        <w:rPr/>
        <w:t>de</w:t>
      </w:r>
      <w:r>
        <w:rPr>
          <w:spacing w:val="-10"/>
        </w:rPr>
        <w:t> </w:t>
      </w:r>
      <w:r>
        <w:rPr/>
        <w:t>proteger los derechos de las mujeres, excluyen al grupo de mujeres que cometen conductas delictivas, y son precisamente demandantes de una defensa con perspectiva de género, que tome en consideración las circunstancias de discriminación que sufren las mujeres dada la construcción social del sexo. Esta discriminación produce que las mujeres que cometieron o son acusadas de cometer conductas delictivas, no tengan un adecuado acceso a la</w:t>
      </w:r>
      <w:r>
        <w:rPr>
          <w:spacing w:val="-3"/>
        </w:rPr>
        <w:t> </w:t>
      </w:r>
      <w:r>
        <w:rPr/>
        <w:t>justicia.</w:t>
      </w:r>
    </w:p>
    <w:p>
      <w:pPr>
        <w:spacing w:after="0" w:line="360" w:lineRule="auto"/>
        <w:jc w:val="both"/>
        <w:sectPr>
          <w:pgSz w:w="12240" w:h="15840"/>
          <w:pgMar w:header="0" w:footer="1002" w:top="1400" w:bottom="1200" w:left="1580" w:right="1360"/>
        </w:sectPr>
      </w:pPr>
    </w:p>
    <w:p>
      <w:pPr>
        <w:pStyle w:val="BodyText"/>
        <w:spacing w:line="360" w:lineRule="auto" w:before="54"/>
        <w:ind w:left="102" w:right="119"/>
        <w:jc w:val="both"/>
      </w:pPr>
      <w:r>
        <w:rPr/>
        <w:t>En la entrevista con el Defensor de Oficio de Atlacomulco, Estado de México, al comentar al respecto de la perspectiva de género, me comentó que la inaplicabilidad de las normas jurídicas que protegen los derechos humanos de las mujeres tiene que ver principalmente con el hecho de que las autoridades judiciales desconocen la normatividad aplicable, y</w:t>
      </w:r>
      <w:r>
        <w:rPr>
          <w:spacing w:val="-26"/>
        </w:rPr>
        <w:t> </w:t>
      </w:r>
      <w:r>
        <w:rPr/>
        <w:t>por lo tanto no proveen a</w:t>
      </w:r>
      <w:r>
        <w:rPr>
          <w:spacing w:val="-7"/>
        </w:rPr>
        <w:t> </w:t>
      </w:r>
      <w:r>
        <w:rPr/>
        <w:t>favor.</w:t>
      </w:r>
    </w:p>
    <w:p>
      <w:pPr>
        <w:pStyle w:val="BodyText"/>
        <w:spacing w:before="7"/>
        <w:rPr>
          <w:sz w:val="17"/>
        </w:rPr>
      </w:pPr>
    </w:p>
    <w:p>
      <w:pPr>
        <w:pStyle w:val="BodyText"/>
        <w:spacing w:line="360" w:lineRule="auto"/>
        <w:ind w:left="102" w:right="117"/>
        <w:jc w:val="both"/>
      </w:pPr>
      <w:r>
        <w:rPr/>
        <w:t>La entrevista también la apliqué a abogados y abogadas particulares que respondían el cuestionario con buenos criterios, prácticamente cuatro tres hombres y una mujer,</w:t>
      </w:r>
      <w:r>
        <w:rPr>
          <w:spacing w:val="-28"/>
        </w:rPr>
        <w:t> </w:t>
      </w:r>
      <w:r>
        <w:rPr/>
        <w:t>quienes coincidieron en el hecho de que se politizado el tema de los derechos de las mujeres, y</w:t>
      </w:r>
      <w:r>
        <w:rPr>
          <w:spacing w:val="-38"/>
        </w:rPr>
        <w:t> </w:t>
      </w:r>
      <w:r>
        <w:rPr/>
        <w:t>los legisladores crean normas jurídicas, solo para estar acorde a la política internacional, pero no para que se observen verdaderamente los derechos</w:t>
      </w:r>
      <w:r>
        <w:rPr>
          <w:spacing w:val="-11"/>
        </w:rPr>
        <w:t> </w:t>
      </w:r>
      <w:r>
        <w:rPr/>
        <w:t>creados.</w:t>
      </w:r>
    </w:p>
    <w:p>
      <w:pPr>
        <w:pStyle w:val="BodyText"/>
      </w:pPr>
    </w:p>
    <w:p>
      <w:pPr>
        <w:pStyle w:val="BodyText"/>
      </w:pPr>
    </w:p>
    <w:p>
      <w:pPr>
        <w:pStyle w:val="BodyText"/>
        <w:spacing w:before="1"/>
        <w:rPr>
          <w:sz w:val="24"/>
        </w:rPr>
      </w:pPr>
    </w:p>
    <w:p>
      <w:pPr>
        <w:pStyle w:val="ListParagraph"/>
        <w:numPr>
          <w:ilvl w:val="2"/>
          <w:numId w:val="3"/>
        </w:numPr>
        <w:tabs>
          <w:tab w:pos="654" w:val="left" w:leader="none"/>
        </w:tabs>
        <w:spacing w:line="240" w:lineRule="auto" w:before="0" w:after="0"/>
        <w:ind w:left="653" w:right="0" w:hanging="551"/>
        <w:jc w:val="both"/>
        <w:rPr>
          <w:i/>
          <w:sz w:val="22"/>
        </w:rPr>
      </w:pPr>
      <w:r>
        <w:rPr>
          <w:i/>
          <w:sz w:val="22"/>
        </w:rPr>
        <w:t>Conclusiones</w:t>
      </w:r>
    </w:p>
    <w:p>
      <w:pPr>
        <w:pStyle w:val="BodyText"/>
        <w:spacing w:before="3"/>
        <w:rPr>
          <w:i/>
          <w:sz w:val="28"/>
        </w:rPr>
      </w:pPr>
    </w:p>
    <w:p>
      <w:pPr>
        <w:pStyle w:val="BodyText"/>
        <w:spacing w:line="360" w:lineRule="auto"/>
        <w:ind w:left="102" w:right="116"/>
        <w:jc w:val="both"/>
      </w:pPr>
      <w:r>
        <w:rPr/>
        <w:t>Por lo que hace al objetivo general, de los resultados se desprende que no existe incorporación de la perspectiva de género en la defensa de las mujeres que son acusadas de</w:t>
      </w:r>
      <w:r>
        <w:rPr>
          <w:spacing w:val="-13"/>
        </w:rPr>
        <w:t> </w:t>
      </w:r>
      <w:r>
        <w:rPr/>
        <w:t>cometer</w:t>
      </w:r>
      <w:r>
        <w:rPr>
          <w:spacing w:val="-12"/>
        </w:rPr>
        <w:t> </w:t>
      </w:r>
      <w:r>
        <w:rPr/>
        <w:t>una</w:t>
      </w:r>
      <w:r>
        <w:rPr>
          <w:spacing w:val="-12"/>
        </w:rPr>
        <w:t> </w:t>
      </w:r>
      <w:r>
        <w:rPr/>
        <w:t>conducta</w:t>
      </w:r>
      <w:r>
        <w:rPr>
          <w:spacing w:val="-15"/>
        </w:rPr>
        <w:t> </w:t>
      </w:r>
      <w:r>
        <w:rPr/>
        <w:t>delictiva,</w:t>
      </w:r>
      <w:r>
        <w:rPr>
          <w:spacing w:val="-12"/>
        </w:rPr>
        <w:t> </w:t>
      </w:r>
      <w:r>
        <w:rPr/>
        <w:t>lo</w:t>
      </w:r>
      <w:r>
        <w:rPr>
          <w:spacing w:val="-12"/>
        </w:rPr>
        <w:t> </w:t>
      </w:r>
      <w:r>
        <w:rPr/>
        <w:t>cual</w:t>
      </w:r>
      <w:r>
        <w:rPr>
          <w:spacing w:val="-13"/>
        </w:rPr>
        <w:t> </w:t>
      </w:r>
      <w:r>
        <w:rPr/>
        <w:t>las</w:t>
      </w:r>
      <w:r>
        <w:rPr>
          <w:spacing w:val="-12"/>
        </w:rPr>
        <w:t> </w:t>
      </w:r>
      <w:r>
        <w:rPr/>
        <w:t>deja</w:t>
      </w:r>
      <w:r>
        <w:rPr>
          <w:spacing w:val="-12"/>
        </w:rPr>
        <w:t> </w:t>
      </w:r>
      <w:r>
        <w:rPr/>
        <w:t>en</w:t>
      </w:r>
      <w:r>
        <w:rPr>
          <w:spacing w:val="-13"/>
        </w:rPr>
        <w:t> </w:t>
      </w:r>
      <w:r>
        <w:rPr/>
        <w:t>un</w:t>
      </w:r>
      <w:r>
        <w:rPr>
          <w:spacing w:val="-13"/>
        </w:rPr>
        <w:t> </w:t>
      </w:r>
      <w:r>
        <w:rPr/>
        <w:t>estado</w:t>
      </w:r>
      <w:r>
        <w:rPr>
          <w:spacing w:val="-13"/>
        </w:rPr>
        <w:t> </w:t>
      </w:r>
      <w:r>
        <w:rPr/>
        <w:t>de</w:t>
      </w:r>
      <w:r>
        <w:rPr>
          <w:spacing w:val="-13"/>
        </w:rPr>
        <w:t> </w:t>
      </w:r>
      <w:r>
        <w:rPr/>
        <w:t>indefensión</w:t>
      </w:r>
      <w:r>
        <w:rPr>
          <w:spacing w:val="-13"/>
        </w:rPr>
        <w:t> </w:t>
      </w:r>
      <w:r>
        <w:rPr/>
        <w:t>y</w:t>
      </w:r>
      <w:r>
        <w:rPr>
          <w:spacing w:val="-15"/>
        </w:rPr>
        <w:t> </w:t>
      </w:r>
      <w:r>
        <w:rPr/>
        <w:t>no</w:t>
      </w:r>
      <w:r>
        <w:rPr>
          <w:spacing w:val="-13"/>
        </w:rPr>
        <w:t> </w:t>
      </w:r>
      <w:r>
        <w:rPr/>
        <w:t>permite que tengan un debido acceso a la</w:t>
      </w:r>
      <w:r>
        <w:rPr>
          <w:spacing w:val="-10"/>
        </w:rPr>
        <w:t> </w:t>
      </w:r>
      <w:r>
        <w:rPr/>
        <w:t>justicia.</w:t>
      </w:r>
    </w:p>
    <w:p>
      <w:pPr>
        <w:pStyle w:val="BodyText"/>
        <w:spacing w:before="9"/>
        <w:rPr>
          <w:sz w:val="17"/>
        </w:rPr>
      </w:pPr>
    </w:p>
    <w:p>
      <w:pPr>
        <w:pStyle w:val="BodyText"/>
        <w:spacing w:line="360" w:lineRule="auto"/>
        <w:ind w:left="102" w:right="112"/>
        <w:jc w:val="both"/>
      </w:pPr>
      <w:r>
        <w:rPr/>
        <w:t>Los abogados y las abogadas no cuentan con perspectiva de género (64 por ciento). Porcentualmente</w:t>
      </w:r>
      <w:r>
        <w:rPr>
          <w:spacing w:val="-13"/>
        </w:rPr>
        <w:t> </w:t>
      </w:r>
      <w:r>
        <w:rPr/>
        <w:t>las</w:t>
      </w:r>
      <w:r>
        <w:rPr>
          <w:spacing w:val="-10"/>
        </w:rPr>
        <w:t> </w:t>
      </w:r>
      <w:r>
        <w:rPr/>
        <w:t>abogadas</w:t>
      </w:r>
      <w:r>
        <w:rPr>
          <w:spacing w:val="-13"/>
        </w:rPr>
        <w:t> </w:t>
      </w:r>
      <w:r>
        <w:rPr/>
        <w:t>presentan</w:t>
      </w:r>
      <w:r>
        <w:rPr>
          <w:spacing w:val="-15"/>
        </w:rPr>
        <w:t> </w:t>
      </w:r>
      <w:r>
        <w:rPr/>
        <w:t>mayor</w:t>
      </w:r>
      <w:r>
        <w:rPr>
          <w:spacing w:val="-12"/>
        </w:rPr>
        <w:t> </w:t>
      </w:r>
      <w:r>
        <w:rPr/>
        <w:t>perspectiva</w:t>
      </w:r>
      <w:r>
        <w:rPr>
          <w:spacing w:val="-10"/>
        </w:rPr>
        <w:t> </w:t>
      </w:r>
      <w:r>
        <w:rPr/>
        <w:t>de</w:t>
      </w:r>
      <w:r>
        <w:rPr>
          <w:spacing w:val="-15"/>
        </w:rPr>
        <w:t> </w:t>
      </w:r>
      <w:r>
        <w:rPr/>
        <w:t>género</w:t>
      </w:r>
      <w:r>
        <w:rPr>
          <w:spacing w:val="-14"/>
        </w:rPr>
        <w:t> </w:t>
      </w:r>
      <w:r>
        <w:rPr/>
        <w:t>con</w:t>
      </w:r>
      <w:r>
        <w:rPr>
          <w:spacing w:val="-10"/>
        </w:rPr>
        <w:t> </w:t>
      </w:r>
      <w:r>
        <w:rPr/>
        <w:t>respecto</w:t>
      </w:r>
      <w:r>
        <w:rPr>
          <w:spacing w:val="-13"/>
        </w:rPr>
        <w:t> </w:t>
      </w:r>
      <w:r>
        <w:rPr/>
        <w:t>de</w:t>
      </w:r>
      <w:r>
        <w:rPr>
          <w:spacing w:val="-13"/>
        </w:rPr>
        <w:t> </w:t>
      </w:r>
      <w:r>
        <w:rPr/>
        <w:t>los abogados, quienes defienden a las mujeres por parte del Consejo Estatal de la Mujer y Bienestar Social sólo 43 por ciento de los defensores cuentan con perspectiva de</w:t>
      </w:r>
      <w:r>
        <w:rPr>
          <w:spacing w:val="-25"/>
        </w:rPr>
        <w:t> </w:t>
      </w:r>
      <w:r>
        <w:rPr/>
        <w:t>género.</w:t>
      </w:r>
    </w:p>
    <w:p>
      <w:pPr>
        <w:pStyle w:val="BodyText"/>
        <w:spacing w:before="10"/>
        <w:rPr>
          <w:sz w:val="17"/>
        </w:rPr>
      </w:pPr>
    </w:p>
    <w:p>
      <w:pPr>
        <w:pStyle w:val="BodyText"/>
        <w:spacing w:line="360" w:lineRule="auto"/>
        <w:ind w:left="102" w:right="117"/>
        <w:jc w:val="both"/>
      </w:pPr>
      <w:r>
        <w:rPr/>
        <w:t>Porcentualmente los defensores de oficio cuentan con elementos necesarios para incorporar</w:t>
      </w:r>
      <w:r>
        <w:rPr>
          <w:spacing w:val="-13"/>
        </w:rPr>
        <w:t> </w:t>
      </w:r>
      <w:r>
        <w:rPr/>
        <w:t>a</w:t>
      </w:r>
      <w:r>
        <w:rPr>
          <w:spacing w:val="-13"/>
        </w:rPr>
        <w:t> </w:t>
      </w:r>
      <w:r>
        <w:rPr/>
        <w:t>las</w:t>
      </w:r>
      <w:r>
        <w:rPr>
          <w:spacing w:val="-13"/>
        </w:rPr>
        <w:t> </w:t>
      </w:r>
      <w:r>
        <w:rPr/>
        <w:t>defensa</w:t>
      </w:r>
      <w:r>
        <w:rPr>
          <w:spacing w:val="-15"/>
        </w:rPr>
        <w:t> </w:t>
      </w:r>
      <w:r>
        <w:rPr/>
        <w:t>de</w:t>
      </w:r>
      <w:r>
        <w:rPr>
          <w:spacing w:val="-13"/>
        </w:rPr>
        <w:t> </w:t>
      </w:r>
      <w:r>
        <w:rPr/>
        <w:t>las</w:t>
      </w:r>
      <w:r>
        <w:rPr>
          <w:spacing w:val="-13"/>
        </w:rPr>
        <w:t> </w:t>
      </w:r>
      <w:r>
        <w:rPr/>
        <w:t>mujeres</w:t>
      </w:r>
      <w:r>
        <w:rPr>
          <w:spacing w:val="-13"/>
        </w:rPr>
        <w:t> </w:t>
      </w:r>
      <w:r>
        <w:rPr/>
        <w:t>la</w:t>
      </w:r>
      <w:r>
        <w:rPr>
          <w:spacing w:val="-13"/>
        </w:rPr>
        <w:t> </w:t>
      </w:r>
      <w:r>
        <w:rPr/>
        <w:t>perspectiva</w:t>
      </w:r>
      <w:r>
        <w:rPr>
          <w:spacing w:val="-13"/>
        </w:rPr>
        <w:t> </w:t>
      </w:r>
      <w:r>
        <w:rPr/>
        <w:t>de</w:t>
      </w:r>
      <w:r>
        <w:rPr>
          <w:spacing w:val="-13"/>
        </w:rPr>
        <w:t> </w:t>
      </w:r>
      <w:r>
        <w:rPr/>
        <w:t>género,</w:t>
      </w:r>
      <w:r>
        <w:rPr>
          <w:spacing w:val="-12"/>
        </w:rPr>
        <w:t> </w:t>
      </w:r>
      <w:r>
        <w:rPr/>
        <w:t>no</w:t>
      </w:r>
      <w:r>
        <w:rPr>
          <w:spacing w:val="-13"/>
        </w:rPr>
        <w:t> </w:t>
      </w:r>
      <w:r>
        <w:rPr/>
        <w:t>obstante</w:t>
      </w:r>
      <w:r>
        <w:rPr>
          <w:spacing w:val="-13"/>
        </w:rPr>
        <w:t> </w:t>
      </w:r>
      <w:r>
        <w:rPr/>
        <w:t>es</w:t>
      </w:r>
      <w:r>
        <w:rPr>
          <w:spacing w:val="-13"/>
        </w:rPr>
        <w:t> </w:t>
      </w:r>
      <w:r>
        <w:rPr/>
        <w:t>un</w:t>
      </w:r>
      <w:r>
        <w:rPr>
          <w:spacing w:val="-13"/>
        </w:rPr>
        <w:t> </w:t>
      </w:r>
      <w:r>
        <w:rPr/>
        <w:t>número muy reducido de los abogados que cuentan con elementos para integrar la perspectiva de género en la defensa de las mujeres acusadas de cometer conductas</w:t>
      </w:r>
      <w:r>
        <w:rPr>
          <w:spacing w:val="-23"/>
        </w:rPr>
        <w:t> </w:t>
      </w:r>
      <w:r>
        <w:rPr/>
        <w:t>delictivas.</w:t>
      </w:r>
    </w:p>
    <w:p>
      <w:pPr>
        <w:pStyle w:val="BodyText"/>
        <w:spacing w:before="7"/>
        <w:rPr>
          <w:sz w:val="17"/>
        </w:rPr>
      </w:pPr>
    </w:p>
    <w:p>
      <w:pPr>
        <w:pStyle w:val="BodyText"/>
        <w:spacing w:line="360" w:lineRule="auto"/>
        <w:ind w:left="102" w:right="116"/>
        <w:jc w:val="both"/>
      </w:pPr>
      <w:r>
        <w:rPr/>
        <w:t>Los abogados y las abogadas a quienes se les aplicó el cuestionario, desconocen la legislación que protege los derechos humanos de las mujeres, lo que ocasiona una inadecuada defensa.</w:t>
      </w:r>
    </w:p>
    <w:p>
      <w:pPr>
        <w:pStyle w:val="BodyText"/>
        <w:spacing w:before="7"/>
        <w:rPr>
          <w:sz w:val="17"/>
        </w:rPr>
      </w:pPr>
    </w:p>
    <w:p>
      <w:pPr>
        <w:pStyle w:val="BodyText"/>
        <w:spacing w:line="360" w:lineRule="auto"/>
        <w:ind w:left="102" w:right="115"/>
        <w:jc w:val="both"/>
      </w:pPr>
      <w:r>
        <w:rPr/>
        <w:t>Con el diagnóstico presentado, se deja en evidencia que en la defensa de las mujeres que son</w:t>
      </w:r>
      <w:r>
        <w:rPr>
          <w:spacing w:val="-11"/>
        </w:rPr>
        <w:t> </w:t>
      </w:r>
      <w:r>
        <w:rPr/>
        <w:t>acusadas</w:t>
      </w:r>
      <w:r>
        <w:rPr>
          <w:spacing w:val="-14"/>
        </w:rPr>
        <w:t> </w:t>
      </w:r>
      <w:r>
        <w:rPr/>
        <w:t>de</w:t>
      </w:r>
      <w:r>
        <w:rPr>
          <w:spacing w:val="-14"/>
        </w:rPr>
        <w:t> </w:t>
      </w:r>
      <w:r>
        <w:rPr/>
        <w:t>cometer</w:t>
      </w:r>
      <w:r>
        <w:rPr>
          <w:spacing w:val="-13"/>
        </w:rPr>
        <w:t> </w:t>
      </w:r>
      <w:r>
        <w:rPr/>
        <w:t>conductas</w:t>
      </w:r>
      <w:r>
        <w:rPr>
          <w:spacing w:val="-13"/>
        </w:rPr>
        <w:t> </w:t>
      </w:r>
      <w:r>
        <w:rPr/>
        <w:t>delictivas,</w:t>
      </w:r>
      <w:r>
        <w:rPr>
          <w:spacing w:val="-9"/>
        </w:rPr>
        <w:t> </w:t>
      </w:r>
      <w:r>
        <w:rPr/>
        <w:t>carece</w:t>
      </w:r>
      <w:r>
        <w:rPr>
          <w:spacing w:val="-13"/>
        </w:rPr>
        <w:t> </w:t>
      </w:r>
      <w:r>
        <w:rPr/>
        <w:t>de</w:t>
      </w:r>
      <w:r>
        <w:rPr>
          <w:spacing w:val="-14"/>
        </w:rPr>
        <w:t> </w:t>
      </w:r>
      <w:r>
        <w:rPr/>
        <w:t>perspectiva</w:t>
      </w:r>
      <w:r>
        <w:rPr>
          <w:spacing w:val="-11"/>
        </w:rPr>
        <w:t> </w:t>
      </w:r>
      <w:r>
        <w:rPr/>
        <w:t>de</w:t>
      </w:r>
      <w:r>
        <w:rPr>
          <w:spacing w:val="-16"/>
        </w:rPr>
        <w:t> </w:t>
      </w:r>
      <w:r>
        <w:rPr/>
        <w:t>género,</w:t>
      </w:r>
      <w:r>
        <w:rPr>
          <w:spacing w:val="-13"/>
        </w:rPr>
        <w:t> </w:t>
      </w:r>
      <w:r>
        <w:rPr/>
        <w:t>por</w:t>
      </w:r>
      <w:r>
        <w:rPr>
          <w:spacing w:val="-11"/>
        </w:rPr>
        <w:t> </w:t>
      </w:r>
      <w:r>
        <w:rPr/>
        <w:t>lo</w:t>
      </w:r>
      <w:r>
        <w:rPr>
          <w:spacing w:val="-13"/>
        </w:rPr>
        <w:t> </w:t>
      </w:r>
      <w:r>
        <w:rPr/>
        <w:t>que se</w:t>
      </w:r>
      <w:r>
        <w:rPr>
          <w:spacing w:val="-8"/>
        </w:rPr>
        <w:t> </w:t>
      </w:r>
      <w:r>
        <w:rPr/>
        <w:t>violenta</w:t>
      </w:r>
      <w:r>
        <w:rPr>
          <w:spacing w:val="-8"/>
        </w:rPr>
        <w:t> </w:t>
      </w:r>
      <w:r>
        <w:rPr/>
        <w:t>sus</w:t>
      </w:r>
      <w:r>
        <w:rPr>
          <w:spacing w:val="-8"/>
        </w:rPr>
        <w:t> </w:t>
      </w:r>
      <w:r>
        <w:rPr/>
        <w:t>derechos</w:t>
      </w:r>
      <w:r>
        <w:rPr>
          <w:spacing w:val="-10"/>
        </w:rPr>
        <w:t> </w:t>
      </w:r>
      <w:r>
        <w:rPr/>
        <w:t>en</w:t>
      </w:r>
      <w:r>
        <w:rPr>
          <w:spacing w:val="-8"/>
        </w:rPr>
        <w:t> </w:t>
      </w:r>
      <w:r>
        <w:rPr/>
        <w:t>tanto</w:t>
      </w:r>
      <w:r>
        <w:rPr>
          <w:spacing w:val="-8"/>
        </w:rPr>
        <w:t> </w:t>
      </w:r>
      <w:r>
        <w:rPr/>
        <w:t>a</w:t>
      </w:r>
      <w:r>
        <w:rPr>
          <w:spacing w:val="-10"/>
        </w:rPr>
        <w:t> </w:t>
      </w:r>
      <w:r>
        <w:rPr/>
        <w:t>que</w:t>
      </w:r>
      <w:r>
        <w:rPr>
          <w:spacing w:val="-8"/>
        </w:rPr>
        <w:t> </w:t>
      </w:r>
      <w:r>
        <w:rPr/>
        <w:t>no</w:t>
      </w:r>
      <w:r>
        <w:rPr>
          <w:spacing w:val="-9"/>
        </w:rPr>
        <w:t> </w:t>
      </w:r>
      <w:r>
        <w:rPr/>
        <w:t>se</w:t>
      </w:r>
      <w:r>
        <w:rPr>
          <w:spacing w:val="-8"/>
        </w:rPr>
        <w:t> </w:t>
      </w:r>
      <w:r>
        <w:rPr/>
        <w:t>ejercen</w:t>
      </w:r>
      <w:r>
        <w:rPr>
          <w:spacing w:val="-8"/>
        </w:rPr>
        <w:t> </w:t>
      </w:r>
      <w:r>
        <w:rPr/>
        <w:t>de</w:t>
      </w:r>
      <w:r>
        <w:rPr>
          <w:spacing w:val="-8"/>
        </w:rPr>
        <w:t> </w:t>
      </w:r>
      <w:r>
        <w:rPr/>
        <w:t>manera</w:t>
      </w:r>
      <w:r>
        <w:rPr>
          <w:spacing w:val="-8"/>
        </w:rPr>
        <w:t> </w:t>
      </w:r>
      <w:r>
        <w:rPr/>
        <w:t>adecuada.</w:t>
      </w:r>
      <w:r>
        <w:rPr>
          <w:spacing w:val="-7"/>
        </w:rPr>
        <w:t> </w:t>
      </w:r>
      <w:r>
        <w:rPr/>
        <w:t>La</w:t>
      </w:r>
      <w:r>
        <w:rPr>
          <w:spacing w:val="-10"/>
        </w:rPr>
        <w:t> </w:t>
      </w:r>
      <w:r>
        <w:rPr/>
        <w:t>justicia</w:t>
      </w:r>
      <w:r>
        <w:rPr>
          <w:spacing w:val="-10"/>
        </w:rPr>
        <w:t> </w:t>
      </w:r>
      <w:r>
        <w:rPr/>
        <w:t>que</w:t>
      </w:r>
    </w:p>
    <w:p>
      <w:pPr>
        <w:spacing w:after="0" w:line="360" w:lineRule="auto"/>
        <w:jc w:val="both"/>
        <w:sectPr>
          <w:pgSz w:w="12240" w:h="15840"/>
          <w:pgMar w:header="0" w:footer="1002" w:top="1360" w:bottom="1200" w:left="1600" w:right="1580"/>
        </w:sectPr>
      </w:pPr>
    </w:p>
    <w:p>
      <w:pPr>
        <w:pStyle w:val="BodyText"/>
        <w:spacing w:line="360" w:lineRule="auto" w:before="54"/>
        <w:ind w:left="102" w:right="116"/>
        <w:jc w:val="both"/>
      </w:pPr>
      <w:r>
        <w:rPr/>
        <w:t>reciben resulta incompleta, pues no se consideran todos los elementos para un mejor proveer de la justicia; en tal sentido resulta necesario la incorporación de la perspectiva de género en la defensa de las mujeres imputadas, y aun más una asociación encargada de proteger a partir de la perspectiva de género los derechos de las mujeres, que les brinde una representación jurídica completa, a fin de que se observe el estricto cumplimiento de los derechos humanos de las mujeres y dejen de ser revictimizadas por sistema de justicia penal.</w:t>
      </w:r>
    </w:p>
    <w:p>
      <w:pPr>
        <w:pStyle w:val="BodyText"/>
      </w:pPr>
    </w:p>
    <w:p>
      <w:pPr>
        <w:pStyle w:val="BodyText"/>
      </w:pPr>
    </w:p>
    <w:p>
      <w:pPr>
        <w:pStyle w:val="BodyText"/>
        <w:spacing w:before="11"/>
        <w:rPr>
          <w:sz w:val="23"/>
        </w:rPr>
      </w:pPr>
    </w:p>
    <w:p>
      <w:pPr>
        <w:pStyle w:val="Heading8"/>
        <w:spacing w:line="360" w:lineRule="auto"/>
        <w:ind w:left="102" w:right="120"/>
        <w:rPr>
          <w:rFonts w:ascii="Arial" w:hAnsi="Arial"/>
        </w:rPr>
      </w:pPr>
      <w:r>
        <w:rPr>
          <w:rFonts w:ascii="Arial" w:hAnsi="Arial"/>
        </w:rPr>
        <w:t>4.2 Acercamiento a las mujeres que se encuentran recluidas en el Centro  Preventivo y Readaptación Social de El Oro, Estado de</w:t>
      </w:r>
      <w:r>
        <w:rPr>
          <w:rFonts w:ascii="Arial" w:hAnsi="Arial"/>
          <w:spacing w:val="-12"/>
        </w:rPr>
        <w:t> </w:t>
      </w:r>
      <w:r>
        <w:rPr>
          <w:rFonts w:ascii="Arial" w:hAnsi="Arial"/>
        </w:rPr>
        <w:t>México</w:t>
      </w:r>
    </w:p>
    <w:p>
      <w:pPr>
        <w:pStyle w:val="BodyText"/>
        <w:rPr>
          <w:b/>
          <w:sz w:val="18"/>
        </w:rPr>
      </w:pPr>
    </w:p>
    <w:p>
      <w:pPr>
        <w:pStyle w:val="BodyText"/>
        <w:spacing w:line="360" w:lineRule="auto"/>
        <w:ind w:left="102" w:right="115"/>
        <w:jc w:val="both"/>
      </w:pPr>
      <w:r>
        <w:rPr/>
        <w:t>Con la finalidad de conocer con mayor cercanía las percepciones del acceso a la justicia por parte de las mujeres que se han enfrentado al sistema de justicia penal, y para efectos de tomar en consideración de quienes sufren directamente la violencia estructural en el procedimiento penal, se realizó un grupo focal con siete mujeres que se encuentran recluidas en el Centro Preventivo y de Readaptación Social de El Oro, Estado de México, se recabaron sus testimonio respecto del acceso a la justicia por parte de las mujeres indiciadas y el procedimiento al que fueron sujetas, por lo que se dividió en tres rubros: 1. Datos generales de la reclusa 2. Percepción de los aspectos primordiales de su procedimiento 3. Violencia de género sufrida durante el procedimiento. Información que se obtuvo a partir de una entrevista semiestructurada, con cinco preguntas para cada rubro.</w:t>
      </w:r>
    </w:p>
    <w:p>
      <w:pPr>
        <w:pStyle w:val="BodyText"/>
        <w:spacing w:before="7"/>
        <w:rPr>
          <w:sz w:val="17"/>
        </w:rPr>
      </w:pPr>
    </w:p>
    <w:p>
      <w:pPr>
        <w:pStyle w:val="BodyText"/>
        <w:spacing w:line="360" w:lineRule="auto"/>
        <w:ind w:left="102" w:right="117"/>
        <w:jc w:val="both"/>
      </w:pPr>
      <w:r>
        <w:rPr/>
        <w:t>Es importante mencionar que las mujeres que formaron parte de este grupo focal, fueron seleccionadas por el Director del Centro penitenciario, sin oportunidad que se pudiera escoger a las internas con quienes conversar.</w:t>
      </w:r>
    </w:p>
    <w:p>
      <w:pPr>
        <w:pStyle w:val="BodyText"/>
        <w:spacing w:before="9"/>
        <w:rPr>
          <w:sz w:val="17"/>
        </w:rPr>
      </w:pPr>
    </w:p>
    <w:p>
      <w:pPr>
        <w:pStyle w:val="BodyText"/>
        <w:spacing w:line="360" w:lineRule="auto"/>
        <w:ind w:left="102" w:right="118"/>
        <w:jc w:val="both"/>
      </w:pPr>
      <w:r>
        <w:rPr/>
        <w:t>El grupo focal se desarrolló en las instalaciones del Centro Preventivo y de Readaptación Social del Oro, Estado de México, consiste de la trece mujeres que se encuentran</w:t>
      </w:r>
      <w:r>
        <w:rPr>
          <w:spacing w:val="-28"/>
        </w:rPr>
        <w:t> </w:t>
      </w:r>
      <w:r>
        <w:rPr/>
        <w:t>internas en dicho reclusorio, las cuales fueron seleccionadas por el Director del CEPRERESO, se realizó un entrevista semiestructurada a cada una de la integrantes del grupo focal, las preguntas</w:t>
      </w:r>
      <w:r>
        <w:rPr>
          <w:spacing w:val="-5"/>
        </w:rPr>
        <w:t> </w:t>
      </w:r>
      <w:r>
        <w:rPr/>
        <w:t>que</w:t>
      </w:r>
      <w:r>
        <w:rPr>
          <w:spacing w:val="-6"/>
        </w:rPr>
        <w:t> </w:t>
      </w:r>
      <w:r>
        <w:rPr/>
        <w:t>se</w:t>
      </w:r>
      <w:r>
        <w:rPr>
          <w:spacing w:val="-3"/>
        </w:rPr>
        <w:t> </w:t>
      </w:r>
      <w:r>
        <w:rPr/>
        <w:t>realizaron,</w:t>
      </w:r>
      <w:r>
        <w:rPr>
          <w:spacing w:val="-4"/>
        </w:rPr>
        <w:t> </w:t>
      </w:r>
      <w:r>
        <w:rPr/>
        <w:t>fueron</w:t>
      </w:r>
      <w:r>
        <w:rPr>
          <w:spacing w:val="-6"/>
        </w:rPr>
        <w:t> </w:t>
      </w:r>
      <w:r>
        <w:rPr/>
        <w:t>tendientes</w:t>
      </w:r>
      <w:r>
        <w:rPr>
          <w:spacing w:val="-3"/>
        </w:rPr>
        <w:t> </w:t>
      </w:r>
      <w:r>
        <w:rPr/>
        <w:t>a</w:t>
      </w:r>
      <w:r>
        <w:rPr>
          <w:spacing w:val="-5"/>
        </w:rPr>
        <w:t> </w:t>
      </w:r>
      <w:r>
        <w:rPr/>
        <w:t>obtener</w:t>
      </w:r>
      <w:r>
        <w:rPr>
          <w:spacing w:val="-3"/>
        </w:rPr>
        <w:t> </w:t>
      </w:r>
      <w:r>
        <w:rPr/>
        <w:t>información</w:t>
      </w:r>
      <w:r>
        <w:rPr>
          <w:spacing w:val="-3"/>
        </w:rPr>
        <w:t> </w:t>
      </w:r>
      <w:r>
        <w:rPr/>
        <w:t>de</w:t>
      </w:r>
      <w:r>
        <w:rPr>
          <w:spacing w:val="-3"/>
        </w:rPr>
        <w:t> </w:t>
      </w:r>
      <w:r>
        <w:rPr/>
        <w:t>tres</w:t>
      </w:r>
      <w:r>
        <w:rPr>
          <w:spacing w:val="-3"/>
        </w:rPr>
        <w:t> </w:t>
      </w:r>
      <w:r>
        <w:rPr/>
        <w:t>categorías,</w:t>
      </w:r>
      <w:r>
        <w:rPr>
          <w:spacing w:val="-3"/>
        </w:rPr>
        <w:t> </w:t>
      </w:r>
      <w:r>
        <w:rPr/>
        <w:t>la primera referente a los datos generales, la segunda al procedimiento, y la tercera a </w:t>
      </w:r>
      <w:r>
        <w:rPr>
          <w:spacing w:val="-3"/>
        </w:rPr>
        <w:t>los</w:t>
      </w:r>
      <w:r>
        <w:rPr>
          <w:spacing w:val="55"/>
        </w:rPr>
        <w:t> </w:t>
      </w:r>
      <w:r>
        <w:rPr/>
        <w:t>antecedentes de violencia de</w:t>
      </w:r>
      <w:r>
        <w:rPr>
          <w:spacing w:val="-8"/>
        </w:rPr>
        <w:t> </w:t>
      </w:r>
      <w:r>
        <w:rPr/>
        <w:t>género.</w:t>
      </w:r>
    </w:p>
    <w:p>
      <w:pPr>
        <w:pStyle w:val="BodyText"/>
        <w:spacing w:before="9"/>
        <w:rPr>
          <w:sz w:val="17"/>
        </w:rPr>
      </w:pPr>
    </w:p>
    <w:p>
      <w:pPr>
        <w:spacing w:before="0"/>
        <w:ind w:left="102" w:right="0" w:firstLine="0"/>
        <w:jc w:val="both"/>
        <w:rPr>
          <w:i/>
          <w:sz w:val="22"/>
        </w:rPr>
      </w:pPr>
      <w:r>
        <w:rPr>
          <w:i/>
          <w:sz w:val="22"/>
        </w:rPr>
        <w:t>4.2.1 Conclusiones del grupo focal</w:t>
      </w:r>
    </w:p>
    <w:p>
      <w:pPr>
        <w:spacing w:after="0"/>
        <w:jc w:val="both"/>
        <w:rPr>
          <w:sz w:val="22"/>
        </w:rPr>
        <w:sectPr>
          <w:pgSz w:w="12240" w:h="15840"/>
          <w:pgMar w:header="0" w:footer="1002" w:top="1360" w:bottom="1200" w:left="1600" w:right="1580"/>
        </w:sectPr>
      </w:pPr>
    </w:p>
    <w:p>
      <w:pPr>
        <w:pStyle w:val="BodyText"/>
        <w:spacing w:line="360" w:lineRule="auto" w:before="54"/>
        <w:ind w:left="102" w:right="114"/>
        <w:jc w:val="both"/>
      </w:pPr>
      <w:r>
        <w:rPr/>
        <w:t>De los datos proporcionados por las mujeres reclusas que fueron entrevistadas se obtuvieron los siguientes resultados significativos, debiendo tomar en cuenta que se entrevistaron a siete de las trece mujeres que se encuentran reclusas en el Centro Preventivo y de Readaptación Social de El Oro, Estado de México, asimismo que las mujeres</w:t>
      </w:r>
      <w:r>
        <w:rPr>
          <w:spacing w:val="-8"/>
        </w:rPr>
        <w:t> </w:t>
      </w:r>
      <w:r>
        <w:rPr/>
        <w:t>que</w:t>
      </w:r>
      <w:r>
        <w:rPr>
          <w:spacing w:val="-10"/>
        </w:rPr>
        <w:t> </w:t>
      </w:r>
      <w:r>
        <w:rPr/>
        <w:t>formaron</w:t>
      </w:r>
      <w:r>
        <w:rPr>
          <w:spacing w:val="-8"/>
        </w:rPr>
        <w:t> </w:t>
      </w:r>
      <w:r>
        <w:rPr/>
        <w:t>parte</w:t>
      </w:r>
      <w:r>
        <w:rPr>
          <w:spacing w:val="-5"/>
        </w:rPr>
        <w:t> </w:t>
      </w:r>
      <w:r>
        <w:rPr/>
        <w:t>del</w:t>
      </w:r>
      <w:r>
        <w:rPr>
          <w:spacing w:val="-9"/>
        </w:rPr>
        <w:t> </w:t>
      </w:r>
      <w:r>
        <w:rPr/>
        <w:t>grupo</w:t>
      </w:r>
      <w:r>
        <w:rPr>
          <w:spacing w:val="-10"/>
        </w:rPr>
        <w:t> </w:t>
      </w:r>
      <w:r>
        <w:rPr/>
        <w:t>focal</w:t>
      </w:r>
      <w:r>
        <w:rPr>
          <w:spacing w:val="-9"/>
        </w:rPr>
        <w:t> </w:t>
      </w:r>
      <w:r>
        <w:rPr/>
        <w:t>son</w:t>
      </w:r>
      <w:r>
        <w:rPr>
          <w:spacing w:val="-2"/>
        </w:rPr>
        <w:t> </w:t>
      </w:r>
      <w:r>
        <w:rPr/>
        <w:t>aquellas</w:t>
      </w:r>
      <w:r>
        <w:rPr>
          <w:spacing w:val="-7"/>
        </w:rPr>
        <w:t> </w:t>
      </w:r>
      <w:r>
        <w:rPr/>
        <w:t>que</w:t>
      </w:r>
      <w:r>
        <w:rPr>
          <w:spacing w:val="-6"/>
        </w:rPr>
        <w:t> </w:t>
      </w:r>
      <w:r>
        <w:rPr/>
        <w:t>escogió</w:t>
      </w:r>
      <w:r>
        <w:rPr>
          <w:spacing w:val="-5"/>
        </w:rPr>
        <w:t> </w:t>
      </w:r>
      <w:r>
        <w:rPr/>
        <w:t>el</w:t>
      </w:r>
      <w:r>
        <w:rPr>
          <w:spacing w:val="-6"/>
        </w:rPr>
        <w:t> </w:t>
      </w:r>
      <w:r>
        <w:rPr/>
        <w:t>Director</w:t>
      </w:r>
      <w:r>
        <w:rPr>
          <w:spacing w:val="-4"/>
        </w:rPr>
        <w:t> </w:t>
      </w:r>
      <w:r>
        <w:rPr/>
        <w:t>del</w:t>
      </w:r>
      <w:r>
        <w:rPr>
          <w:spacing w:val="-6"/>
        </w:rPr>
        <w:t> </w:t>
      </w:r>
      <w:r>
        <w:rPr/>
        <w:t>Centro Penitenciario.</w:t>
      </w:r>
    </w:p>
    <w:p>
      <w:pPr>
        <w:pStyle w:val="BodyText"/>
        <w:spacing w:before="7"/>
        <w:rPr>
          <w:sz w:val="17"/>
        </w:rPr>
      </w:pPr>
    </w:p>
    <w:p>
      <w:pPr>
        <w:pStyle w:val="BodyText"/>
        <w:spacing w:line="360" w:lineRule="auto"/>
        <w:ind w:left="102" w:right="115"/>
        <w:jc w:val="both"/>
      </w:pPr>
      <w:r>
        <w:rPr/>
        <w:t>Las mujeres que se entrevistaron recurrieron en primero lugar a la Defensoría Pública, lo cual deja entre ver la desigualdad social, que impide que las mujeres puedan pagar una defensa que les garantice la técnica y el adecuado acceso a la justicia.</w:t>
      </w:r>
    </w:p>
    <w:p>
      <w:pPr>
        <w:pStyle w:val="BodyText"/>
        <w:spacing w:before="7"/>
        <w:rPr>
          <w:sz w:val="17"/>
        </w:rPr>
      </w:pPr>
    </w:p>
    <w:p>
      <w:pPr>
        <w:pStyle w:val="BodyText"/>
        <w:spacing w:line="360" w:lineRule="auto"/>
        <w:ind w:left="102" w:right="115"/>
        <w:jc w:val="both"/>
      </w:pPr>
      <w:r>
        <w:rPr/>
        <w:t>En</w:t>
      </w:r>
      <w:r>
        <w:rPr>
          <w:spacing w:val="-9"/>
        </w:rPr>
        <w:t> </w:t>
      </w:r>
      <w:r>
        <w:rPr/>
        <w:t>la</w:t>
      </w:r>
      <w:r>
        <w:rPr>
          <w:spacing w:val="-9"/>
        </w:rPr>
        <w:t> </w:t>
      </w:r>
      <w:r>
        <w:rPr/>
        <w:t>versión</w:t>
      </w:r>
      <w:r>
        <w:rPr>
          <w:spacing w:val="-9"/>
        </w:rPr>
        <w:t> </w:t>
      </w:r>
      <w:r>
        <w:rPr/>
        <w:t>de</w:t>
      </w:r>
      <w:r>
        <w:rPr>
          <w:spacing w:val="-9"/>
        </w:rPr>
        <w:t> </w:t>
      </w:r>
      <w:r>
        <w:rPr/>
        <w:t>los</w:t>
      </w:r>
      <w:r>
        <w:rPr>
          <w:spacing w:val="-11"/>
        </w:rPr>
        <w:t> </w:t>
      </w:r>
      <w:r>
        <w:rPr/>
        <w:t>hechos</w:t>
      </w:r>
      <w:r>
        <w:rPr>
          <w:spacing w:val="-9"/>
        </w:rPr>
        <w:t> </w:t>
      </w:r>
      <w:r>
        <w:rPr/>
        <w:t>narrada</w:t>
      </w:r>
      <w:r>
        <w:rPr>
          <w:spacing w:val="-9"/>
        </w:rPr>
        <w:t> </w:t>
      </w:r>
      <w:r>
        <w:rPr/>
        <w:t>por</w:t>
      </w:r>
      <w:r>
        <w:rPr>
          <w:spacing w:val="-8"/>
        </w:rPr>
        <w:t> </w:t>
      </w:r>
      <w:r>
        <w:rPr/>
        <w:t>las</w:t>
      </w:r>
      <w:r>
        <w:rPr>
          <w:spacing w:val="-11"/>
        </w:rPr>
        <w:t> </w:t>
      </w:r>
      <w:r>
        <w:rPr/>
        <w:t>reclusas,</w:t>
      </w:r>
      <w:r>
        <w:rPr>
          <w:spacing w:val="-8"/>
        </w:rPr>
        <w:t> </w:t>
      </w:r>
      <w:r>
        <w:rPr/>
        <w:t>se</w:t>
      </w:r>
      <w:r>
        <w:rPr>
          <w:spacing w:val="-11"/>
        </w:rPr>
        <w:t> </w:t>
      </w:r>
      <w:r>
        <w:rPr/>
        <w:t>pueden</w:t>
      </w:r>
      <w:r>
        <w:rPr>
          <w:spacing w:val="-9"/>
        </w:rPr>
        <w:t> </w:t>
      </w:r>
      <w:r>
        <w:rPr/>
        <w:t>advertir</w:t>
      </w:r>
      <w:r>
        <w:rPr>
          <w:spacing w:val="-10"/>
        </w:rPr>
        <w:t> </w:t>
      </w:r>
      <w:r>
        <w:rPr/>
        <w:t>circunstancias</w:t>
      </w:r>
      <w:r>
        <w:rPr>
          <w:spacing w:val="-10"/>
        </w:rPr>
        <w:t> </w:t>
      </w:r>
      <w:r>
        <w:rPr/>
        <w:t>que tienen que ver directamente con cuestiones de género, que orillan a las mujeres a</w:t>
      </w:r>
      <w:r>
        <w:rPr>
          <w:spacing w:val="-40"/>
        </w:rPr>
        <w:t> </w:t>
      </w:r>
      <w:r>
        <w:rPr/>
        <w:t>cometer conductas delictivas, desde la presión de sus compañeros de vida, hasta la ideología imperante</w:t>
      </w:r>
      <w:r>
        <w:rPr>
          <w:spacing w:val="-14"/>
        </w:rPr>
        <w:t> </w:t>
      </w:r>
      <w:r>
        <w:rPr/>
        <w:t>en</w:t>
      </w:r>
      <w:r>
        <w:rPr>
          <w:spacing w:val="-14"/>
        </w:rPr>
        <w:t> </w:t>
      </w:r>
      <w:r>
        <w:rPr/>
        <w:t>la</w:t>
      </w:r>
      <w:r>
        <w:rPr>
          <w:spacing w:val="-14"/>
        </w:rPr>
        <w:t> </w:t>
      </w:r>
      <w:r>
        <w:rPr/>
        <w:t>sociedad.</w:t>
      </w:r>
      <w:r>
        <w:rPr>
          <w:spacing w:val="-10"/>
        </w:rPr>
        <w:t> </w:t>
      </w:r>
      <w:r>
        <w:rPr/>
        <w:t>La</w:t>
      </w:r>
      <w:r>
        <w:rPr>
          <w:spacing w:val="-16"/>
        </w:rPr>
        <w:t> </w:t>
      </w:r>
      <w:r>
        <w:rPr/>
        <w:t>totalidad</w:t>
      </w:r>
      <w:r>
        <w:rPr>
          <w:spacing w:val="-14"/>
        </w:rPr>
        <w:t> </w:t>
      </w:r>
      <w:r>
        <w:rPr/>
        <w:t>de</w:t>
      </w:r>
      <w:r>
        <w:rPr>
          <w:spacing w:val="-14"/>
        </w:rPr>
        <w:t> </w:t>
      </w:r>
      <w:r>
        <w:rPr/>
        <w:t>las</w:t>
      </w:r>
      <w:r>
        <w:rPr>
          <w:spacing w:val="-13"/>
        </w:rPr>
        <w:t> </w:t>
      </w:r>
      <w:r>
        <w:rPr/>
        <w:t>mujeres</w:t>
      </w:r>
      <w:r>
        <w:rPr>
          <w:spacing w:val="-14"/>
        </w:rPr>
        <w:t> </w:t>
      </w:r>
      <w:r>
        <w:rPr/>
        <w:t>entrevistadas</w:t>
      </w:r>
      <w:r>
        <w:rPr>
          <w:spacing w:val="-11"/>
        </w:rPr>
        <w:t> </w:t>
      </w:r>
      <w:r>
        <w:rPr/>
        <w:t>son</w:t>
      </w:r>
      <w:r>
        <w:rPr>
          <w:spacing w:val="-10"/>
        </w:rPr>
        <w:t> </w:t>
      </w:r>
      <w:r>
        <w:rPr/>
        <w:t>primo</w:t>
      </w:r>
      <w:r>
        <w:rPr>
          <w:spacing w:val="-14"/>
        </w:rPr>
        <w:t> </w:t>
      </w:r>
      <w:r>
        <w:rPr/>
        <w:t>delincuentes.</w:t>
      </w:r>
    </w:p>
    <w:p>
      <w:pPr>
        <w:pStyle w:val="BodyText"/>
        <w:spacing w:before="9"/>
        <w:rPr>
          <w:sz w:val="17"/>
        </w:rPr>
      </w:pPr>
    </w:p>
    <w:p>
      <w:pPr>
        <w:pStyle w:val="BodyText"/>
        <w:spacing w:line="360" w:lineRule="auto" w:before="1"/>
        <w:ind w:left="102" w:right="115"/>
        <w:jc w:val="both"/>
      </w:pPr>
      <w:r>
        <w:rPr/>
        <w:t>No se aplican medidas sustitutivas de la prisión para mujeres que se encuentran embarazadas o que tienen menores que requieren de su cuidado y atención, al grado de que las mayoría de las mujeres reclusas entrevistadas que tienen menores que dependan directamente de sus cuidados, no los han podido ver, a pesar de que en los instrumentos internacionales</w:t>
      </w:r>
      <w:r>
        <w:rPr>
          <w:spacing w:val="-6"/>
        </w:rPr>
        <w:t> </w:t>
      </w:r>
      <w:r>
        <w:rPr/>
        <w:t>se</w:t>
      </w:r>
      <w:r>
        <w:rPr>
          <w:spacing w:val="-6"/>
        </w:rPr>
        <w:t> </w:t>
      </w:r>
      <w:r>
        <w:rPr/>
        <w:t>establece</w:t>
      </w:r>
      <w:r>
        <w:rPr>
          <w:spacing w:val="-9"/>
        </w:rPr>
        <w:t> </w:t>
      </w:r>
      <w:r>
        <w:rPr/>
        <w:t>que</w:t>
      </w:r>
      <w:r>
        <w:rPr>
          <w:spacing w:val="-7"/>
        </w:rPr>
        <w:t> </w:t>
      </w:r>
      <w:r>
        <w:rPr/>
        <w:t>en</w:t>
      </w:r>
      <w:r>
        <w:rPr>
          <w:spacing w:val="-9"/>
        </w:rPr>
        <w:t> </w:t>
      </w:r>
      <w:r>
        <w:rPr/>
        <w:t>caso</w:t>
      </w:r>
      <w:r>
        <w:rPr>
          <w:spacing w:val="-9"/>
        </w:rPr>
        <w:t> </w:t>
      </w:r>
      <w:r>
        <w:rPr/>
        <w:t>de</w:t>
      </w:r>
      <w:r>
        <w:rPr>
          <w:spacing w:val="-7"/>
        </w:rPr>
        <w:t> </w:t>
      </w:r>
      <w:r>
        <w:rPr/>
        <w:t>posibilidad</w:t>
      </w:r>
      <w:r>
        <w:rPr>
          <w:spacing w:val="-6"/>
        </w:rPr>
        <w:t> </w:t>
      </w:r>
      <w:r>
        <w:rPr/>
        <w:t>de</w:t>
      </w:r>
      <w:r>
        <w:rPr>
          <w:spacing w:val="-7"/>
        </w:rPr>
        <w:t> </w:t>
      </w:r>
      <w:r>
        <w:rPr/>
        <w:t>medidas</w:t>
      </w:r>
      <w:r>
        <w:rPr>
          <w:spacing w:val="-6"/>
        </w:rPr>
        <w:t> </w:t>
      </w:r>
      <w:r>
        <w:rPr/>
        <w:t>alternas</w:t>
      </w:r>
      <w:r>
        <w:rPr>
          <w:spacing w:val="-6"/>
        </w:rPr>
        <w:t> </w:t>
      </w:r>
      <w:r>
        <w:rPr/>
        <w:t>a</w:t>
      </w:r>
      <w:r>
        <w:rPr>
          <w:spacing w:val="-6"/>
        </w:rPr>
        <w:t> </w:t>
      </w:r>
      <w:r>
        <w:rPr/>
        <w:t>la</w:t>
      </w:r>
      <w:r>
        <w:rPr>
          <w:spacing w:val="-6"/>
        </w:rPr>
        <w:t> </w:t>
      </w:r>
      <w:r>
        <w:rPr/>
        <w:t>prisión</w:t>
      </w:r>
      <w:r>
        <w:rPr>
          <w:spacing w:val="-7"/>
        </w:rPr>
        <w:t> </w:t>
      </w:r>
      <w:r>
        <w:rPr/>
        <w:t>se deben de</w:t>
      </w:r>
      <w:r>
        <w:rPr>
          <w:spacing w:val="-4"/>
        </w:rPr>
        <w:t> </w:t>
      </w:r>
      <w:r>
        <w:rPr/>
        <w:t>aplicar.</w:t>
      </w:r>
    </w:p>
    <w:p>
      <w:pPr>
        <w:pStyle w:val="BodyText"/>
        <w:spacing w:before="9"/>
        <w:rPr>
          <w:sz w:val="17"/>
        </w:rPr>
      </w:pPr>
    </w:p>
    <w:p>
      <w:pPr>
        <w:pStyle w:val="BodyText"/>
        <w:spacing w:line="360" w:lineRule="auto"/>
        <w:ind w:left="102" w:right="115"/>
        <w:jc w:val="both"/>
      </w:pPr>
      <w:r>
        <w:rPr/>
        <w:t>Las</w:t>
      </w:r>
      <w:r>
        <w:rPr>
          <w:spacing w:val="-8"/>
        </w:rPr>
        <w:t> </w:t>
      </w:r>
      <w:r>
        <w:rPr/>
        <w:t>mujeres</w:t>
      </w:r>
      <w:r>
        <w:rPr>
          <w:spacing w:val="-11"/>
        </w:rPr>
        <w:t> </w:t>
      </w:r>
      <w:r>
        <w:rPr/>
        <w:t>que</w:t>
      </w:r>
      <w:r>
        <w:rPr>
          <w:spacing w:val="-9"/>
        </w:rPr>
        <w:t> </w:t>
      </w:r>
      <w:r>
        <w:rPr/>
        <w:t>son</w:t>
      </w:r>
      <w:r>
        <w:rPr>
          <w:spacing w:val="-9"/>
        </w:rPr>
        <w:t> </w:t>
      </w:r>
      <w:r>
        <w:rPr/>
        <w:t>acusadas</w:t>
      </w:r>
      <w:r>
        <w:rPr>
          <w:spacing w:val="-6"/>
        </w:rPr>
        <w:t> </w:t>
      </w:r>
      <w:r>
        <w:rPr/>
        <w:t>de</w:t>
      </w:r>
      <w:r>
        <w:rPr>
          <w:spacing w:val="-11"/>
        </w:rPr>
        <w:t> </w:t>
      </w:r>
      <w:r>
        <w:rPr/>
        <w:t>cometer</w:t>
      </w:r>
      <w:r>
        <w:rPr>
          <w:spacing w:val="-8"/>
        </w:rPr>
        <w:t> </w:t>
      </w:r>
      <w:r>
        <w:rPr/>
        <w:t>conductas</w:t>
      </w:r>
      <w:r>
        <w:rPr>
          <w:spacing w:val="-9"/>
        </w:rPr>
        <w:t> </w:t>
      </w:r>
      <w:r>
        <w:rPr/>
        <w:t>delictivas</w:t>
      </w:r>
      <w:r>
        <w:rPr>
          <w:spacing w:val="-6"/>
        </w:rPr>
        <w:t> </w:t>
      </w:r>
      <w:r>
        <w:rPr/>
        <w:t>son</w:t>
      </w:r>
      <w:r>
        <w:rPr>
          <w:spacing w:val="-9"/>
        </w:rPr>
        <w:t> </w:t>
      </w:r>
      <w:r>
        <w:rPr/>
        <w:t>doblemente</w:t>
      </w:r>
      <w:r>
        <w:rPr>
          <w:spacing w:val="-9"/>
        </w:rPr>
        <w:t> </w:t>
      </w:r>
      <w:r>
        <w:rPr/>
        <w:t>excluidas, y su acceso a la justicia se encuentra obstaculizado por los estereotipos de la sociedad patriarcal, lo cual impide que puedan ser juzgadas con perspectiva de</w:t>
      </w:r>
      <w:r>
        <w:rPr>
          <w:spacing w:val="-22"/>
        </w:rPr>
        <w:t> </w:t>
      </w:r>
      <w:r>
        <w:rPr/>
        <w:t>género.</w:t>
      </w:r>
    </w:p>
    <w:p>
      <w:pPr>
        <w:pStyle w:val="BodyText"/>
        <w:spacing w:before="9"/>
        <w:rPr>
          <w:sz w:val="17"/>
        </w:rPr>
      </w:pPr>
    </w:p>
    <w:p>
      <w:pPr>
        <w:pStyle w:val="BodyText"/>
        <w:spacing w:line="360" w:lineRule="auto"/>
        <w:ind w:left="102" w:right="121"/>
        <w:jc w:val="both"/>
      </w:pPr>
      <w:r>
        <w:rPr/>
        <w:t>Por lo que hace a las sentencias que se les impusieron a las mujeres sentenciadas, son muy elevadas.</w:t>
      </w:r>
    </w:p>
    <w:p>
      <w:pPr>
        <w:pStyle w:val="BodyText"/>
        <w:spacing w:before="7"/>
        <w:rPr>
          <w:sz w:val="17"/>
        </w:rPr>
      </w:pPr>
    </w:p>
    <w:p>
      <w:pPr>
        <w:pStyle w:val="BodyText"/>
        <w:spacing w:line="360" w:lineRule="auto"/>
        <w:ind w:left="102" w:right="118"/>
        <w:jc w:val="both"/>
      </w:pPr>
      <w:r>
        <w:rPr/>
        <w:t>El Centro Preventivo y de Readaptación Social de El Oro, Estado de México, es mixto, es decir que alberga a hombre y mujeres, por lo ue no existe infraestructura, ni políticas públicas</w:t>
      </w:r>
      <w:r>
        <w:rPr>
          <w:spacing w:val="-9"/>
        </w:rPr>
        <w:t> </w:t>
      </w:r>
      <w:r>
        <w:rPr/>
        <w:t>que</w:t>
      </w:r>
      <w:r>
        <w:rPr>
          <w:spacing w:val="-11"/>
        </w:rPr>
        <w:t> </w:t>
      </w:r>
      <w:r>
        <w:rPr/>
        <w:t>atiendan</w:t>
      </w:r>
      <w:r>
        <w:rPr>
          <w:spacing w:val="-9"/>
        </w:rPr>
        <w:t> </w:t>
      </w:r>
      <w:r>
        <w:rPr/>
        <w:t>las</w:t>
      </w:r>
      <w:r>
        <w:rPr>
          <w:spacing w:val="-8"/>
        </w:rPr>
        <w:t> </w:t>
      </w:r>
      <w:r>
        <w:rPr/>
        <w:t>necesidades</w:t>
      </w:r>
      <w:r>
        <w:rPr>
          <w:spacing w:val="-11"/>
        </w:rPr>
        <w:t> </w:t>
      </w:r>
      <w:r>
        <w:rPr/>
        <w:t>de</w:t>
      </w:r>
      <w:r>
        <w:rPr>
          <w:spacing w:val="-9"/>
        </w:rPr>
        <w:t> </w:t>
      </w:r>
      <w:r>
        <w:rPr/>
        <w:t>las</w:t>
      </w:r>
      <w:r>
        <w:rPr>
          <w:spacing w:val="-14"/>
        </w:rPr>
        <w:t> </w:t>
      </w:r>
      <w:r>
        <w:rPr/>
        <w:t>mujeres</w:t>
      </w:r>
      <w:r>
        <w:rPr>
          <w:spacing w:val="-8"/>
        </w:rPr>
        <w:t> </w:t>
      </w:r>
      <w:r>
        <w:rPr/>
        <w:t>en</w:t>
      </w:r>
      <w:r>
        <w:rPr>
          <w:spacing w:val="-11"/>
        </w:rPr>
        <w:t> </w:t>
      </w:r>
      <w:r>
        <w:rPr/>
        <w:t>prisión,</w:t>
      </w:r>
      <w:r>
        <w:rPr>
          <w:spacing w:val="-8"/>
        </w:rPr>
        <w:t> </w:t>
      </w:r>
      <w:r>
        <w:rPr/>
        <w:t>lo</w:t>
      </w:r>
      <w:r>
        <w:rPr>
          <w:spacing w:val="-11"/>
        </w:rPr>
        <w:t> </w:t>
      </w:r>
      <w:r>
        <w:rPr/>
        <w:t>cual</w:t>
      </w:r>
      <w:r>
        <w:rPr>
          <w:spacing w:val="-10"/>
        </w:rPr>
        <w:t> </w:t>
      </w:r>
      <w:r>
        <w:rPr/>
        <w:t>las</w:t>
      </w:r>
      <w:r>
        <w:rPr>
          <w:spacing w:val="-8"/>
        </w:rPr>
        <w:t> </w:t>
      </w:r>
      <w:r>
        <w:rPr/>
        <w:t>discrimina</w:t>
      </w:r>
      <w:r>
        <w:rPr>
          <w:spacing w:val="-9"/>
        </w:rPr>
        <w:t> </w:t>
      </w:r>
      <w:r>
        <w:rPr/>
        <w:t>y</w:t>
      </w:r>
      <w:r>
        <w:rPr>
          <w:spacing w:val="-11"/>
        </w:rPr>
        <w:t> </w:t>
      </w:r>
      <w:r>
        <w:rPr/>
        <w:t>las convierte en víctimas de violencia</w:t>
      </w:r>
      <w:r>
        <w:rPr>
          <w:spacing w:val="-14"/>
        </w:rPr>
        <w:t> </w:t>
      </w:r>
      <w:r>
        <w:rPr/>
        <w:t>estructural.</w:t>
      </w:r>
    </w:p>
    <w:p>
      <w:pPr>
        <w:pStyle w:val="BodyText"/>
        <w:spacing w:before="9"/>
        <w:rPr>
          <w:sz w:val="17"/>
        </w:rPr>
      </w:pPr>
    </w:p>
    <w:p>
      <w:pPr>
        <w:pStyle w:val="BodyText"/>
        <w:spacing w:line="360" w:lineRule="auto"/>
        <w:ind w:left="102" w:right="121"/>
        <w:jc w:val="both"/>
      </w:pPr>
      <w:r>
        <w:rPr/>
        <w:t>Lo derechos humanos de las mujeres que son acusadas de cometer conductas delictivas, son violados, y se convierten en víctimas de violencia estructural del sistema de justicia</w:t>
      </w:r>
    </w:p>
    <w:p>
      <w:pPr>
        <w:spacing w:after="0" w:line="360" w:lineRule="auto"/>
        <w:jc w:val="both"/>
        <w:sectPr>
          <w:pgSz w:w="12240" w:h="15840"/>
          <w:pgMar w:header="0" w:footer="1002" w:top="1360" w:bottom="1200" w:left="1600" w:right="1580"/>
        </w:sectPr>
      </w:pPr>
    </w:p>
    <w:p>
      <w:pPr>
        <w:pStyle w:val="BodyText"/>
        <w:spacing w:line="362" w:lineRule="auto" w:before="54"/>
        <w:ind w:left="102" w:right="96"/>
      </w:pPr>
      <w:r>
        <w:rPr/>
        <w:t>penal, ya que se les niega un acceso adecuado a la justicia, lo cual se da por una defensa carente de perspectiva de género.</w:t>
      </w:r>
    </w:p>
    <w:p>
      <w:pPr>
        <w:spacing w:after="0" w:line="362" w:lineRule="auto"/>
        <w:sectPr>
          <w:pgSz w:w="12240" w:h="15840"/>
          <w:pgMar w:header="0" w:footer="1002" w:top="1360" w:bottom="1200" w:left="1600" w:right="1580"/>
        </w:sectPr>
      </w:pPr>
    </w:p>
    <w:p>
      <w:pPr>
        <w:pStyle w:val="BodyText"/>
        <w:rPr>
          <w:sz w:val="20"/>
        </w:rPr>
      </w:pPr>
    </w:p>
    <w:p>
      <w:pPr>
        <w:pStyle w:val="BodyText"/>
        <w:rPr>
          <w:sz w:val="20"/>
        </w:rPr>
      </w:pPr>
    </w:p>
    <w:p>
      <w:pPr>
        <w:pStyle w:val="BodyText"/>
        <w:rPr>
          <w:sz w:val="20"/>
        </w:rPr>
      </w:pPr>
    </w:p>
    <w:p>
      <w:pPr>
        <w:pStyle w:val="BodyText"/>
        <w:spacing w:before="9"/>
        <w:rPr>
          <w:sz w:val="26"/>
        </w:rPr>
      </w:pPr>
    </w:p>
    <w:p>
      <w:pPr>
        <w:pStyle w:val="Heading8"/>
        <w:numPr>
          <w:ilvl w:val="0"/>
          <w:numId w:val="1"/>
        </w:numPr>
        <w:tabs>
          <w:tab w:pos="810" w:val="left" w:leader="none"/>
        </w:tabs>
        <w:spacing w:line="240" w:lineRule="auto" w:before="73" w:after="0"/>
        <w:ind w:left="810" w:right="0" w:hanging="708"/>
        <w:jc w:val="both"/>
        <w:rPr>
          <w:rFonts w:ascii="Arial" w:hAnsi="Arial"/>
        </w:rPr>
      </w:pPr>
      <w:r>
        <w:rPr>
          <w:rFonts w:ascii="Arial" w:hAnsi="Arial"/>
        </w:rPr>
        <w:t>PROPUESTA DE</w:t>
      </w:r>
      <w:r>
        <w:rPr>
          <w:rFonts w:ascii="Arial" w:hAnsi="Arial"/>
          <w:spacing w:val="-13"/>
        </w:rPr>
        <w:t> </w:t>
      </w:r>
      <w:r>
        <w:rPr>
          <w:rFonts w:ascii="Arial" w:hAnsi="Arial"/>
        </w:rPr>
        <w:t>INTERVENCIÓN</w:t>
      </w:r>
    </w:p>
    <w:p>
      <w:pPr>
        <w:pStyle w:val="BodyText"/>
        <w:spacing w:before="8"/>
        <w:rPr>
          <w:b/>
          <w:sz w:val="28"/>
        </w:rPr>
      </w:pPr>
    </w:p>
    <w:p>
      <w:pPr>
        <w:pStyle w:val="BodyText"/>
        <w:spacing w:line="360" w:lineRule="auto"/>
        <w:ind w:left="102" w:right="115"/>
        <w:jc w:val="both"/>
      </w:pPr>
      <w:r>
        <w:rPr/>
        <w:t>A partir de las conclusiones del diagnóstico aplicado para aproximar los conocimientos de los/las</w:t>
      </w:r>
      <w:r>
        <w:rPr>
          <w:spacing w:val="-7"/>
        </w:rPr>
        <w:t> </w:t>
      </w:r>
      <w:r>
        <w:rPr/>
        <w:t>profesionales</w:t>
      </w:r>
      <w:r>
        <w:rPr>
          <w:spacing w:val="-8"/>
        </w:rPr>
        <w:t> </w:t>
      </w:r>
      <w:r>
        <w:rPr/>
        <w:t>del</w:t>
      </w:r>
      <w:r>
        <w:rPr>
          <w:spacing w:val="-9"/>
        </w:rPr>
        <w:t> </w:t>
      </w:r>
      <w:r>
        <w:rPr/>
        <w:t>derecho</w:t>
      </w:r>
      <w:r>
        <w:rPr>
          <w:spacing w:val="-10"/>
        </w:rPr>
        <w:t> </w:t>
      </w:r>
      <w:r>
        <w:rPr/>
        <w:t>que</w:t>
      </w:r>
      <w:r>
        <w:rPr>
          <w:spacing w:val="-8"/>
        </w:rPr>
        <w:t> </w:t>
      </w:r>
      <w:r>
        <w:rPr/>
        <w:t>se</w:t>
      </w:r>
      <w:r>
        <w:rPr>
          <w:spacing w:val="-10"/>
        </w:rPr>
        <w:t> </w:t>
      </w:r>
      <w:r>
        <w:rPr/>
        <w:t>dedican</w:t>
      </w:r>
      <w:r>
        <w:rPr>
          <w:spacing w:val="-10"/>
        </w:rPr>
        <w:t> </w:t>
      </w:r>
      <w:r>
        <w:rPr/>
        <w:t>a</w:t>
      </w:r>
      <w:r>
        <w:rPr>
          <w:spacing w:val="-8"/>
        </w:rPr>
        <w:t> </w:t>
      </w:r>
      <w:r>
        <w:rPr/>
        <w:t>la</w:t>
      </w:r>
      <w:r>
        <w:rPr>
          <w:spacing w:val="-8"/>
        </w:rPr>
        <w:t> </w:t>
      </w:r>
      <w:r>
        <w:rPr/>
        <w:t>defensa</w:t>
      </w:r>
      <w:r>
        <w:rPr>
          <w:spacing w:val="-8"/>
        </w:rPr>
        <w:t> </w:t>
      </w:r>
      <w:r>
        <w:rPr/>
        <w:t>de</w:t>
      </w:r>
      <w:r>
        <w:rPr>
          <w:spacing w:val="-10"/>
        </w:rPr>
        <w:t> </w:t>
      </w:r>
      <w:r>
        <w:rPr/>
        <w:t>mujeres</w:t>
      </w:r>
      <w:r>
        <w:rPr>
          <w:spacing w:val="-10"/>
        </w:rPr>
        <w:t> </w:t>
      </w:r>
      <w:r>
        <w:rPr/>
        <w:t>en</w:t>
      </w:r>
      <w:r>
        <w:rPr>
          <w:spacing w:val="-8"/>
        </w:rPr>
        <w:t> </w:t>
      </w:r>
      <w:r>
        <w:rPr/>
        <w:t>materia</w:t>
      </w:r>
      <w:r>
        <w:rPr>
          <w:spacing w:val="-8"/>
        </w:rPr>
        <w:t> </w:t>
      </w:r>
      <w:r>
        <w:rPr/>
        <w:t>penal, sobre la perspectiva de género, como la han aplicado en su caso y la utilización del marco jurídico nacional e internacional que protegen los derechos de las mujeres, tenemos que: no existe incorporación de la perspectiva de género en la defensa de las mujeres que son acusadas de cometer conductas delictivas, lo cual, las deja en un estado de indefensión y no permite que tengan un adecuado acceso a la justicia, los abogados y las abogadas, no cuentan con perspectiva de género y por ende, no cuentan con elementos que permitan garantizar una defensa, alejada de prejuicios sexistas. Los abogados y las bogadas a quienes se les aplicó el cuestionario, desconocen la legislación que protege los derechos humanos de las mujeres, lo que ocasiona una inadecuada defensa. (Montoya,</w:t>
      </w:r>
      <w:r>
        <w:rPr>
          <w:spacing w:val="-19"/>
        </w:rPr>
        <w:t> </w:t>
      </w:r>
      <w:r>
        <w:rPr/>
        <w:t>2015).</w:t>
      </w:r>
    </w:p>
    <w:p>
      <w:pPr>
        <w:pStyle w:val="BodyText"/>
        <w:spacing w:before="7"/>
        <w:rPr>
          <w:sz w:val="17"/>
        </w:rPr>
      </w:pPr>
    </w:p>
    <w:p>
      <w:pPr>
        <w:pStyle w:val="BodyText"/>
        <w:spacing w:line="360" w:lineRule="auto"/>
        <w:ind w:left="102" w:right="164"/>
        <w:jc w:val="both"/>
      </w:pPr>
      <w:r>
        <w:rPr/>
        <w:t>Asimismo, en el estudio realizado con las mujeres privadas de su libertad en el Cetro Preventivo y de Readaptación Social del Oro, Estado de México, permitió determinar ciertos factores que propician la indefensión jurídica de las mujeres, entre los cuales destacan, la no existencia de estrategias procesales con perspectiva de género, así como la inadecuada defensa por parte de los abogados y las abogadas.</w:t>
      </w:r>
    </w:p>
    <w:p>
      <w:pPr>
        <w:pStyle w:val="BodyText"/>
        <w:spacing w:before="7"/>
        <w:rPr>
          <w:sz w:val="17"/>
        </w:rPr>
      </w:pPr>
    </w:p>
    <w:p>
      <w:pPr>
        <w:pStyle w:val="BodyText"/>
        <w:spacing w:line="360" w:lineRule="auto"/>
        <w:ind w:left="102" w:right="115"/>
        <w:jc w:val="both"/>
      </w:pPr>
      <w:r>
        <w:rPr/>
        <w:t>En ese sentido, existe la necesidad apremiante de que los abogados y las abogadas que defienden a mujeres indiciadas, incorporen en sus litigios la perespectiva de género, a fin de garantizar una defensa técnica y adecuada, la cual permita proteger los derechos humanos de las mujeres en todo el procedimiento.</w:t>
      </w:r>
    </w:p>
    <w:p>
      <w:pPr>
        <w:pStyle w:val="BodyText"/>
        <w:spacing w:before="7"/>
        <w:rPr>
          <w:sz w:val="17"/>
        </w:rPr>
      </w:pPr>
    </w:p>
    <w:p>
      <w:pPr>
        <w:pStyle w:val="BodyText"/>
        <w:spacing w:line="360" w:lineRule="auto"/>
        <w:ind w:left="102" w:right="115"/>
        <w:jc w:val="both"/>
      </w:pPr>
      <w:r>
        <w:rPr/>
        <w:t>Lo anterior es necesario, ya que con la reforma Constitucional del 10 de junio del 2011, el Estado Mexicano se obliga a reconocer los derechos humanos de todas las personas que se</w:t>
      </w:r>
      <w:r>
        <w:rPr>
          <w:spacing w:val="-3"/>
        </w:rPr>
        <w:t> </w:t>
      </w:r>
      <w:r>
        <w:rPr/>
        <w:t>encuentran</w:t>
      </w:r>
      <w:r>
        <w:rPr>
          <w:spacing w:val="-3"/>
        </w:rPr>
        <w:t> </w:t>
      </w:r>
      <w:r>
        <w:rPr/>
        <w:t>en</w:t>
      </w:r>
      <w:r>
        <w:rPr>
          <w:spacing w:val="-6"/>
        </w:rPr>
        <w:t> </w:t>
      </w:r>
      <w:r>
        <w:rPr/>
        <w:t>el</w:t>
      </w:r>
      <w:r>
        <w:rPr>
          <w:spacing w:val="-4"/>
        </w:rPr>
        <w:t> </w:t>
      </w:r>
      <w:r>
        <w:rPr/>
        <w:t>territorio</w:t>
      </w:r>
      <w:r>
        <w:rPr>
          <w:spacing w:val="-3"/>
        </w:rPr>
        <w:t> </w:t>
      </w:r>
      <w:r>
        <w:rPr/>
        <w:t>mexicano,</w:t>
      </w:r>
      <w:r>
        <w:rPr>
          <w:spacing w:val="-2"/>
        </w:rPr>
        <w:t> </w:t>
      </w:r>
      <w:r>
        <w:rPr/>
        <w:t>no</w:t>
      </w:r>
      <w:r>
        <w:rPr>
          <w:spacing w:val="-6"/>
        </w:rPr>
        <w:t> </w:t>
      </w:r>
      <w:r>
        <w:rPr/>
        <w:t>sólo</w:t>
      </w:r>
      <w:r>
        <w:rPr>
          <w:spacing w:val="-3"/>
        </w:rPr>
        <w:t> </w:t>
      </w:r>
      <w:r>
        <w:rPr/>
        <w:t>de</w:t>
      </w:r>
      <w:r>
        <w:rPr>
          <w:spacing w:val="-3"/>
        </w:rPr>
        <w:t> </w:t>
      </w:r>
      <w:r>
        <w:rPr/>
        <w:t>los</w:t>
      </w:r>
      <w:r>
        <w:rPr>
          <w:spacing w:val="-3"/>
        </w:rPr>
        <w:t> </w:t>
      </w:r>
      <w:r>
        <w:rPr/>
        <w:t>reconocidos</w:t>
      </w:r>
      <w:r>
        <w:rPr>
          <w:spacing w:val="-5"/>
        </w:rPr>
        <w:t> </w:t>
      </w:r>
      <w:r>
        <w:rPr/>
        <w:t>en</w:t>
      </w:r>
      <w:r>
        <w:rPr>
          <w:spacing w:val="-3"/>
        </w:rPr>
        <w:t> </w:t>
      </w:r>
      <w:r>
        <w:rPr/>
        <w:t>la</w:t>
      </w:r>
      <w:r>
        <w:rPr>
          <w:spacing w:val="-5"/>
        </w:rPr>
        <w:t> </w:t>
      </w:r>
      <w:r>
        <w:rPr/>
        <w:t>Constitución,</w:t>
      </w:r>
      <w:r>
        <w:rPr>
          <w:spacing w:val="-4"/>
        </w:rPr>
        <w:t> </w:t>
      </w:r>
      <w:r>
        <w:rPr/>
        <w:t>sino también en aquellos reconocidos en los Tratados Internacionales de los cuales el Estado Mexicano es parte, por lo cual, la aplicación de los instrumentos internacionales que protegen los derechos humanos de las mujeres son de carácter obligatorio y tienen la misma</w:t>
      </w:r>
      <w:r>
        <w:rPr>
          <w:spacing w:val="-9"/>
        </w:rPr>
        <w:t> </w:t>
      </w:r>
      <w:r>
        <w:rPr/>
        <w:t>jerarquía</w:t>
      </w:r>
      <w:r>
        <w:rPr>
          <w:spacing w:val="-6"/>
        </w:rPr>
        <w:t> </w:t>
      </w:r>
      <w:r>
        <w:rPr/>
        <w:t>que</w:t>
      </w:r>
      <w:r>
        <w:rPr>
          <w:spacing w:val="-7"/>
        </w:rPr>
        <w:t> </w:t>
      </w:r>
      <w:r>
        <w:rPr/>
        <w:t>la</w:t>
      </w:r>
      <w:r>
        <w:rPr>
          <w:spacing w:val="-6"/>
        </w:rPr>
        <w:t> </w:t>
      </w:r>
      <w:r>
        <w:rPr/>
        <w:t>Constitución</w:t>
      </w:r>
      <w:r>
        <w:rPr>
          <w:spacing w:val="-7"/>
        </w:rPr>
        <w:t> </w:t>
      </w:r>
      <w:r>
        <w:rPr/>
        <w:t>Federal,</w:t>
      </w:r>
      <w:r>
        <w:rPr>
          <w:spacing w:val="-5"/>
        </w:rPr>
        <w:t> </w:t>
      </w:r>
      <w:r>
        <w:rPr/>
        <w:t>por</w:t>
      </w:r>
      <w:r>
        <w:rPr>
          <w:spacing w:val="-5"/>
        </w:rPr>
        <w:t> </w:t>
      </w:r>
      <w:r>
        <w:rPr/>
        <w:t>lo</w:t>
      </w:r>
      <w:r>
        <w:rPr>
          <w:spacing w:val="-6"/>
        </w:rPr>
        <w:t> </w:t>
      </w:r>
      <w:r>
        <w:rPr/>
        <w:t>cual,</w:t>
      </w:r>
      <w:r>
        <w:rPr>
          <w:spacing w:val="-5"/>
        </w:rPr>
        <w:t> </w:t>
      </w:r>
      <w:r>
        <w:rPr/>
        <w:t>dichos</w:t>
      </w:r>
      <w:r>
        <w:rPr>
          <w:spacing w:val="-6"/>
        </w:rPr>
        <w:t> </w:t>
      </w:r>
      <w:r>
        <w:rPr/>
        <w:t>instrumentos,</w:t>
      </w:r>
      <w:r>
        <w:rPr>
          <w:spacing w:val="-5"/>
        </w:rPr>
        <w:t> </w:t>
      </w:r>
      <w:r>
        <w:rPr/>
        <w:t>así</w:t>
      </w:r>
      <w:r>
        <w:rPr>
          <w:spacing w:val="-10"/>
        </w:rPr>
        <w:t> </w:t>
      </w:r>
      <w:r>
        <w:rPr/>
        <w:t>como</w:t>
      </w:r>
      <w:r>
        <w:rPr>
          <w:spacing w:val="-6"/>
        </w:rPr>
        <w:t> </w:t>
      </w:r>
      <w:r>
        <w:rPr/>
        <w:t>los</w:t>
      </w:r>
    </w:p>
    <w:p>
      <w:pPr>
        <w:spacing w:after="0" w:line="360" w:lineRule="auto"/>
        <w:jc w:val="both"/>
        <w:sectPr>
          <w:pgSz w:w="12240" w:h="15840"/>
          <w:pgMar w:header="0" w:footer="1002" w:top="1500" w:bottom="1200" w:left="1600" w:right="1580"/>
        </w:sectPr>
      </w:pPr>
    </w:p>
    <w:p>
      <w:pPr>
        <w:pStyle w:val="BodyText"/>
        <w:spacing w:line="362" w:lineRule="auto" w:before="54"/>
        <w:ind w:left="102" w:right="121"/>
        <w:jc w:val="both"/>
      </w:pPr>
      <w:r>
        <w:rPr/>
        <w:t>protocolos que constituyen una herramienta para la aplicación de la observancia de los derechos humanos de las mujeres.</w:t>
      </w:r>
    </w:p>
    <w:p>
      <w:pPr>
        <w:pStyle w:val="BodyText"/>
        <w:spacing w:before="4"/>
        <w:rPr>
          <w:sz w:val="17"/>
        </w:rPr>
      </w:pPr>
    </w:p>
    <w:p>
      <w:pPr>
        <w:pStyle w:val="BodyText"/>
        <w:spacing w:line="360" w:lineRule="auto"/>
        <w:ind w:left="102" w:right="161"/>
        <w:jc w:val="both"/>
      </w:pPr>
      <w:r>
        <w:rPr/>
        <w:t>En ese sentido, con fundamento en el artículo 1 en relación con el artículo 133 de nuestra Carta Magna y con estricto apego a lo dispuesto por el artículo 7 de la Convención Sobre la Eliminación de todas las formas de Discriminación en contra de la Mujer (CEDAW), el cual establece que los Estados tienen la responsabilidad de establecer procedimientos legales, justos y eficaces, para la mujer que haya sido sometida a violencia, medidas de protección, un juicio oportuno y acceso a tales procedimientos; para lo cual, es necesaria la incorporación de la perspectiva de género en la defensa de mujeres indiciadas, ya que permitirá que sus derechos humanos sean respetados durante el procedimiento penal al que sean sujetas, evitar su transgresión debido a los roles que la cultura patriarcal ha asignado a las mujeres, y en consecuencia, que el Estado Mexicano cumpla con su obligación de observar, respetar y garantizar los derechos humanos de las mujeres y al mismo tiempo que se cumpla con los objetivos de la Reforma Penal mexicana, de fecha 2008, en el que se cambia del sistema inquisitivo al sistema acusatorio, cuyo objetivo principal es mejorar el desempeño en la procuración e impartición de justicia en materia penal, establecer un sistema de igualdad de las partes y lograr el reconocimiento y protección de los derechos humanos establecidos en la Constitución Política de los Estados Unidos Mexicanos y los Tratados Internacionales.</w:t>
      </w:r>
    </w:p>
    <w:p>
      <w:pPr>
        <w:pStyle w:val="BodyText"/>
        <w:spacing w:before="7"/>
        <w:rPr>
          <w:sz w:val="17"/>
        </w:rPr>
      </w:pPr>
    </w:p>
    <w:p>
      <w:pPr>
        <w:pStyle w:val="BodyText"/>
        <w:spacing w:line="360" w:lineRule="auto"/>
        <w:ind w:left="102" w:right="162"/>
        <w:jc w:val="both"/>
      </w:pPr>
      <w:r>
        <w:rPr/>
        <w:t>Es evidente que, el problema es muy amplio en el que intervienen dstintos factores, situaciones que van desde la formación académica, hasta la forma en que los y las porfesionales del derecho practican el litigio.</w:t>
      </w:r>
    </w:p>
    <w:p>
      <w:pPr>
        <w:pStyle w:val="BodyText"/>
        <w:spacing w:before="10"/>
        <w:rPr>
          <w:sz w:val="17"/>
        </w:rPr>
      </w:pPr>
    </w:p>
    <w:p>
      <w:pPr>
        <w:pStyle w:val="BodyText"/>
        <w:spacing w:line="360" w:lineRule="auto"/>
        <w:ind w:left="102" w:right="163"/>
        <w:jc w:val="both"/>
      </w:pPr>
      <w:r>
        <w:rPr/>
        <w:t>Por lo cual, para los efectos del presente trabajo, enfocándonos en los y las profesionales del derecho, que se encuentran ejerciendo, se propone la elaboración de una guía que aporte la directrices necesarias para la elaboración de una defensa con perspectiva de género</w:t>
      </w:r>
      <w:r>
        <w:rPr>
          <w:spacing w:val="-10"/>
        </w:rPr>
        <w:t> </w:t>
      </w:r>
      <w:r>
        <w:rPr/>
        <w:t>de</w:t>
      </w:r>
      <w:r>
        <w:rPr>
          <w:spacing w:val="-13"/>
        </w:rPr>
        <w:t> </w:t>
      </w:r>
      <w:r>
        <w:rPr/>
        <w:t>las</w:t>
      </w:r>
      <w:r>
        <w:rPr>
          <w:spacing w:val="-12"/>
        </w:rPr>
        <w:t> </w:t>
      </w:r>
      <w:r>
        <w:rPr/>
        <w:t>mujeres</w:t>
      </w:r>
      <w:r>
        <w:rPr>
          <w:spacing w:val="-12"/>
        </w:rPr>
        <w:t> </w:t>
      </w:r>
      <w:r>
        <w:rPr/>
        <w:t>indiciadas,</w:t>
      </w:r>
      <w:r>
        <w:rPr>
          <w:spacing w:val="-9"/>
        </w:rPr>
        <w:t> </w:t>
      </w:r>
      <w:r>
        <w:rPr/>
        <w:t>con</w:t>
      </w:r>
      <w:r>
        <w:rPr>
          <w:spacing w:val="-13"/>
        </w:rPr>
        <w:t> </w:t>
      </w:r>
      <w:r>
        <w:rPr/>
        <w:t>lo</w:t>
      </w:r>
      <w:r>
        <w:rPr>
          <w:spacing w:val="-10"/>
        </w:rPr>
        <w:t> </w:t>
      </w:r>
      <w:r>
        <w:rPr/>
        <w:t>cual</w:t>
      </w:r>
      <w:r>
        <w:rPr>
          <w:spacing w:val="-13"/>
        </w:rPr>
        <w:t> </w:t>
      </w:r>
      <w:r>
        <w:rPr/>
        <w:t>se</w:t>
      </w:r>
      <w:r>
        <w:rPr>
          <w:spacing w:val="-12"/>
        </w:rPr>
        <w:t> </w:t>
      </w:r>
      <w:r>
        <w:rPr/>
        <w:t>garantizará</w:t>
      </w:r>
      <w:r>
        <w:rPr>
          <w:spacing w:val="-12"/>
        </w:rPr>
        <w:t> </w:t>
      </w:r>
      <w:r>
        <w:rPr/>
        <w:t>que</w:t>
      </w:r>
      <w:r>
        <w:rPr>
          <w:spacing w:val="-13"/>
        </w:rPr>
        <w:t> </w:t>
      </w:r>
      <w:r>
        <w:rPr/>
        <w:t>éstas</w:t>
      </w:r>
      <w:r>
        <w:rPr>
          <w:spacing w:val="-12"/>
        </w:rPr>
        <w:t> </w:t>
      </w:r>
      <w:r>
        <w:rPr/>
        <w:t>tengan</w:t>
      </w:r>
      <w:r>
        <w:rPr>
          <w:spacing w:val="-10"/>
        </w:rPr>
        <w:t> </w:t>
      </w:r>
      <w:r>
        <w:rPr/>
        <w:t>un</w:t>
      </w:r>
      <w:r>
        <w:rPr>
          <w:spacing w:val="-10"/>
        </w:rPr>
        <w:t> </w:t>
      </w:r>
      <w:r>
        <w:rPr/>
        <w:t>adecuado acceso a la justicia, se prtejan sus derechos humanos y se cumplan con los objetivos del nuevo sistema penal acusatorio, sin excluir a las</w:t>
      </w:r>
      <w:r>
        <w:rPr>
          <w:spacing w:val="-14"/>
        </w:rPr>
        <w:t> </w:t>
      </w:r>
      <w:r>
        <w:rPr/>
        <w:t>mujeres.</w:t>
      </w:r>
    </w:p>
    <w:p>
      <w:pPr>
        <w:pStyle w:val="BodyText"/>
        <w:spacing w:before="9"/>
        <w:rPr>
          <w:sz w:val="17"/>
        </w:rPr>
      </w:pPr>
    </w:p>
    <w:p>
      <w:pPr>
        <w:pStyle w:val="BodyText"/>
        <w:spacing w:line="360" w:lineRule="auto" w:before="1"/>
        <w:ind w:left="102" w:right="163"/>
        <w:jc w:val="both"/>
      </w:pPr>
      <w:r>
        <w:rPr/>
        <w:t>La guía que se propone, está dirigido a los defensores y defensoras, tanto de oficio como particulares,</w:t>
      </w:r>
      <w:r>
        <w:rPr>
          <w:spacing w:val="-6"/>
        </w:rPr>
        <w:t> </w:t>
      </w:r>
      <w:r>
        <w:rPr/>
        <w:t>que</w:t>
      </w:r>
      <w:r>
        <w:rPr>
          <w:spacing w:val="-3"/>
        </w:rPr>
        <w:t> </w:t>
      </w:r>
      <w:r>
        <w:rPr/>
        <w:t>defienden</w:t>
      </w:r>
      <w:r>
        <w:rPr>
          <w:spacing w:val="-3"/>
        </w:rPr>
        <w:t> </w:t>
      </w:r>
      <w:r>
        <w:rPr/>
        <w:t>los</w:t>
      </w:r>
      <w:r>
        <w:rPr>
          <w:spacing w:val="-5"/>
        </w:rPr>
        <w:t> </w:t>
      </w:r>
      <w:r>
        <w:rPr/>
        <w:t>derechos</w:t>
      </w:r>
      <w:r>
        <w:rPr>
          <w:spacing w:val="-5"/>
        </w:rPr>
        <w:t> </w:t>
      </w:r>
      <w:r>
        <w:rPr/>
        <w:t>humanos</w:t>
      </w:r>
      <w:r>
        <w:rPr>
          <w:spacing w:val="-3"/>
        </w:rPr>
        <w:t> </w:t>
      </w:r>
      <w:r>
        <w:rPr/>
        <w:t>de</w:t>
      </w:r>
      <w:r>
        <w:rPr>
          <w:spacing w:val="-8"/>
        </w:rPr>
        <w:t> </w:t>
      </w:r>
      <w:r>
        <w:rPr/>
        <w:t>mujeres</w:t>
      </w:r>
      <w:r>
        <w:rPr>
          <w:spacing w:val="-5"/>
        </w:rPr>
        <w:t> </w:t>
      </w:r>
      <w:r>
        <w:rPr/>
        <w:t>en</w:t>
      </w:r>
      <w:r>
        <w:rPr>
          <w:spacing w:val="-6"/>
        </w:rPr>
        <w:t> </w:t>
      </w:r>
      <w:r>
        <w:rPr/>
        <w:t>materia</w:t>
      </w:r>
      <w:r>
        <w:rPr>
          <w:spacing w:val="-8"/>
        </w:rPr>
        <w:t> </w:t>
      </w:r>
      <w:r>
        <w:rPr/>
        <w:t>penal,</w:t>
      </w:r>
      <w:r>
        <w:rPr>
          <w:spacing w:val="-2"/>
        </w:rPr>
        <w:t> </w:t>
      </w:r>
      <w:r>
        <w:rPr/>
        <w:t>el</w:t>
      </w:r>
      <w:r>
        <w:rPr>
          <w:spacing w:val="-6"/>
        </w:rPr>
        <w:t> </w:t>
      </w:r>
      <w:r>
        <w:rPr/>
        <w:t>cual</w:t>
      </w:r>
      <w:r>
        <w:rPr>
          <w:spacing w:val="-4"/>
        </w:rPr>
        <w:t> </w:t>
      </w:r>
      <w:r>
        <w:rPr/>
        <w:t>se basa en la elaboración de una teoría del caso con perspectiva de género, ya que la</w:t>
      </w:r>
      <w:r>
        <w:rPr>
          <w:spacing w:val="25"/>
        </w:rPr>
        <w:t> </w:t>
      </w:r>
      <w:r>
        <w:rPr/>
        <w:t>teoría</w:t>
      </w:r>
    </w:p>
    <w:p>
      <w:pPr>
        <w:spacing w:after="0" w:line="360" w:lineRule="auto"/>
        <w:jc w:val="both"/>
        <w:sectPr>
          <w:footerReference w:type="default" r:id="rId47"/>
          <w:pgSz w:w="12240" w:h="15840"/>
          <w:pgMar w:footer="1002" w:header="0" w:top="1360" w:bottom="1200" w:left="1600" w:right="1580"/>
        </w:sectPr>
      </w:pPr>
    </w:p>
    <w:p>
      <w:pPr>
        <w:pStyle w:val="BodyText"/>
        <w:spacing w:line="362" w:lineRule="auto" w:before="54"/>
        <w:ind w:left="102" w:right="170"/>
        <w:jc w:val="both"/>
      </w:pPr>
      <w:r>
        <w:rPr/>
        <w:t>del</w:t>
      </w:r>
      <w:r>
        <w:rPr>
          <w:spacing w:val="-7"/>
        </w:rPr>
        <w:t> </w:t>
      </w:r>
      <w:r>
        <w:rPr/>
        <w:t>caso</w:t>
      </w:r>
      <w:r>
        <w:rPr>
          <w:spacing w:val="-9"/>
        </w:rPr>
        <w:t> </w:t>
      </w:r>
      <w:r>
        <w:rPr/>
        <w:t>es</w:t>
      </w:r>
      <w:r>
        <w:rPr>
          <w:spacing w:val="-9"/>
        </w:rPr>
        <w:t> </w:t>
      </w:r>
      <w:r>
        <w:rPr/>
        <w:t>la</w:t>
      </w:r>
      <w:r>
        <w:rPr>
          <w:spacing w:val="-9"/>
        </w:rPr>
        <w:t> </w:t>
      </w:r>
      <w:r>
        <w:rPr/>
        <w:t>herramienta</w:t>
      </w:r>
      <w:r>
        <w:rPr>
          <w:spacing w:val="-6"/>
        </w:rPr>
        <w:t> </w:t>
      </w:r>
      <w:r>
        <w:rPr/>
        <w:t>estratégica</w:t>
      </w:r>
      <w:r>
        <w:rPr>
          <w:spacing w:val="-11"/>
        </w:rPr>
        <w:t> </w:t>
      </w:r>
      <w:r>
        <w:rPr/>
        <w:t>que</w:t>
      </w:r>
      <w:r>
        <w:rPr>
          <w:spacing w:val="-9"/>
        </w:rPr>
        <w:t> </w:t>
      </w:r>
      <w:r>
        <w:rPr/>
        <w:t>tienen</w:t>
      </w:r>
      <w:r>
        <w:rPr>
          <w:spacing w:val="-9"/>
        </w:rPr>
        <w:t> </w:t>
      </w:r>
      <w:r>
        <w:rPr/>
        <w:t>los</w:t>
      </w:r>
      <w:r>
        <w:rPr>
          <w:spacing w:val="-6"/>
        </w:rPr>
        <w:t> </w:t>
      </w:r>
      <w:r>
        <w:rPr/>
        <w:t>abogados</w:t>
      </w:r>
      <w:r>
        <w:rPr>
          <w:spacing w:val="-9"/>
        </w:rPr>
        <w:t> </w:t>
      </w:r>
      <w:r>
        <w:rPr/>
        <w:t>y</w:t>
      </w:r>
      <w:r>
        <w:rPr>
          <w:spacing w:val="-11"/>
        </w:rPr>
        <w:t> </w:t>
      </w:r>
      <w:r>
        <w:rPr/>
        <w:t>las</w:t>
      </w:r>
      <w:r>
        <w:rPr>
          <w:spacing w:val="-9"/>
        </w:rPr>
        <w:t> </w:t>
      </w:r>
      <w:r>
        <w:rPr/>
        <w:t>abogadas</w:t>
      </w:r>
      <w:r>
        <w:rPr>
          <w:spacing w:val="-6"/>
        </w:rPr>
        <w:t> </w:t>
      </w:r>
      <w:r>
        <w:rPr/>
        <w:t>defensoras para su litigio, y de la cual depende el éxito de la</w:t>
      </w:r>
      <w:r>
        <w:rPr>
          <w:spacing w:val="-18"/>
        </w:rPr>
        <w:t> </w:t>
      </w:r>
      <w:r>
        <w:rPr/>
        <w:t>defensa.</w:t>
      </w:r>
    </w:p>
    <w:p>
      <w:pPr>
        <w:pStyle w:val="BodyText"/>
        <w:spacing w:before="4"/>
        <w:rPr>
          <w:sz w:val="17"/>
        </w:rPr>
      </w:pPr>
    </w:p>
    <w:p>
      <w:pPr>
        <w:pStyle w:val="BodyText"/>
        <w:spacing w:line="360" w:lineRule="auto"/>
        <w:ind w:left="102" w:right="163"/>
        <w:jc w:val="both"/>
      </w:pPr>
      <w:r>
        <w:rPr/>
        <w:t>En</w:t>
      </w:r>
      <w:r>
        <w:rPr>
          <w:spacing w:val="-4"/>
        </w:rPr>
        <w:t> </w:t>
      </w:r>
      <w:r>
        <w:rPr/>
        <w:t>ese</w:t>
      </w:r>
      <w:r>
        <w:rPr>
          <w:spacing w:val="-7"/>
        </w:rPr>
        <w:t> </w:t>
      </w:r>
      <w:r>
        <w:rPr/>
        <w:t>sentido,</w:t>
      </w:r>
      <w:r>
        <w:rPr>
          <w:spacing w:val="-5"/>
        </w:rPr>
        <w:t> </w:t>
      </w:r>
      <w:r>
        <w:rPr/>
        <w:t>en</w:t>
      </w:r>
      <w:r>
        <w:rPr>
          <w:spacing w:val="-7"/>
        </w:rPr>
        <w:t> </w:t>
      </w:r>
      <w:r>
        <w:rPr/>
        <w:t>la</w:t>
      </w:r>
      <w:r>
        <w:rPr>
          <w:spacing w:val="-9"/>
        </w:rPr>
        <w:t> </w:t>
      </w:r>
      <w:r>
        <w:rPr/>
        <w:t>guía</w:t>
      </w:r>
      <w:r>
        <w:rPr>
          <w:spacing w:val="-3"/>
        </w:rPr>
        <w:t> </w:t>
      </w:r>
      <w:r>
        <w:rPr/>
        <w:t>se</w:t>
      </w:r>
      <w:r>
        <w:rPr>
          <w:spacing w:val="-6"/>
        </w:rPr>
        <w:t> </w:t>
      </w:r>
      <w:r>
        <w:rPr/>
        <w:t>establecen</w:t>
      </w:r>
      <w:r>
        <w:rPr>
          <w:spacing w:val="-6"/>
        </w:rPr>
        <w:t> </w:t>
      </w:r>
      <w:r>
        <w:rPr/>
        <w:t>las</w:t>
      </w:r>
      <w:r>
        <w:rPr>
          <w:spacing w:val="-6"/>
        </w:rPr>
        <w:t> </w:t>
      </w:r>
      <w:r>
        <w:rPr/>
        <w:t>características</w:t>
      </w:r>
      <w:r>
        <w:rPr>
          <w:spacing w:val="-4"/>
        </w:rPr>
        <w:t> </w:t>
      </w:r>
      <w:r>
        <w:rPr/>
        <w:t>de</w:t>
      </w:r>
      <w:r>
        <w:rPr>
          <w:spacing w:val="-7"/>
        </w:rPr>
        <w:t> </w:t>
      </w:r>
      <w:r>
        <w:rPr/>
        <w:t>la</w:t>
      </w:r>
      <w:r>
        <w:rPr>
          <w:spacing w:val="-9"/>
        </w:rPr>
        <w:t> </w:t>
      </w:r>
      <w:r>
        <w:rPr/>
        <w:t>teoría</w:t>
      </w:r>
      <w:r>
        <w:rPr>
          <w:spacing w:val="-4"/>
        </w:rPr>
        <w:t> </w:t>
      </w:r>
      <w:r>
        <w:rPr/>
        <w:t>del</w:t>
      </w:r>
      <w:r>
        <w:rPr>
          <w:spacing w:val="-5"/>
        </w:rPr>
        <w:t> </w:t>
      </w:r>
      <w:r>
        <w:rPr/>
        <w:t>caso,</w:t>
      </w:r>
      <w:r>
        <w:rPr>
          <w:spacing w:val="-5"/>
        </w:rPr>
        <w:t> </w:t>
      </w:r>
      <w:r>
        <w:rPr/>
        <w:t>cruzadas con</w:t>
      </w:r>
      <w:r>
        <w:rPr>
          <w:spacing w:val="-10"/>
        </w:rPr>
        <w:t> </w:t>
      </w:r>
      <w:r>
        <w:rPr/>
        <w:t>planteamientos</w:t>
      </w:r>
      <w:r>
        <w:rPr>
          <w:spacing w:val="-12"/>
        </w:rPr>
        <w:t> </w:t>
      </w:r>
      <w:r>
        <w:rPr/>
        <w:t>basados</w:t>
      </w:r>
      <w:r>
        <w:rPr>
          <w:spacing w:val="-9"/>
        </w:rPr>
        <w:t> </w:t>
      </w:r>
      <w:r>
        <w:rPr/>
        <w:t>en</w:t>
      </w:r>
      <w:r>
        <w:rPr>
          <w:spacing w:val="-12"/>
        </w:rPr>
        <w:t> </w:t>
      </w:r>
      <w:r>
        <w:rPr/>
        <w:t>la</w:t>
      </w:r>
      <w:r>
        <w:rPr>
          <w:spacing w:val="-9"/>
        </w:rPr>
        <w:t> </w:t>
      </w:r>
      <w:r>
        <w:rPr/>
        <w:t>perspectiva</w:t>
      </w:r>
      <w:r>
        <w:rPr>
          <w:spacing w:val="-10"/>
        </w:rPr>
        <w:t> </w:t>
      </w:r>
      <w:r>
        <w:rPr/>
        <w:t>de</w:t>
      </w:r>
      <w:r>
        <w:rPr>
          <w:spacing w:val="-15"/>
        </w:rPr>
        <w:t> </w:t>
      </w:r>
      <w:r>
        <w:rPr/>
        <w:t>género,</w:t>
      </w:r>
      <w:r>
        <w:rPr>
          <w:spacing w:val="-11"/>
        </w:rPr>
        <w:t> </w:t>
      </w:r>
      <w:r>
        <w:rPr/>
        <w:t>cuyas</w:t>
      </w:r>
      <w:r>
        <w:rPr>
          <w:spacing w:val="-10"/>
        </w:rPr>
        <w:t> </w:t>
      </w:r>
      <w:r>
        <w:rPr/>
        <w:t>principales</w:t>
      </w:r>
      <w:r>
        <w:rPr>
          <w:spacing w:val="-10"/>
        </w:rPr>
        <w:t> </w:t>
      </w:r>
      <w:r>
        <w:rPr/>
        <w:t>características son que utiliza la perspectiva de género como método analítico de los hechos, pruebas y ordenamientos jurídicos aplicables, así como la aplicación de los tratados internacionales y demás ordenamientos normativos que protegen los derechos humanos de las</w:t>
      </w:r>
      <w:r>
        <w:rPr>
          <w:spacing w:val="-26"/>
        </w:rPr>
        <w:t> </w:t>
      </w:r>
      <w:r>
        <w:rPr/>
        <w:t>mujeres.</w:t>
      </w:r>
    </w:p>
    <w:p>
      <w:pPr>
        <w:pStyle w:val="BodyText"/>
        <w:spacing w:before="10"/>
        <w:rPr>
          <w:sz w:val="17"/>
        </w:rPr>
      </w:pPr>
    </w:p>
    <w:p>
      <w:pPr>
        <w:pStyle w:val="BodyText"/>
        <w:spacing w:line="360" w:lineRule="auto"/>
        <w:ind w:left="102" w:right="164"/>
        <w:jc w:val="both"/>
      </w:pPr>
      <w:r>
        <w:rPr/>
        <w:t>El manual consta de cuatro partes sustanciales, en la primera se esboza el marco conceptual</w:t>
      </w:r>
      <w:r>
        <w:rPr>
          <w:spacing w:val="-11"/>
        </w:rPr>
        <w:t> </w:t>
      </w:r>
      <w:r>
        <w:rPr/>
        <w:t>en</w:t>
      </w:r>
      <w:r>
        <w:rPr>
          <w:spacing w:val="-13"/>
        </w:rPr>
        <w:t> </w:t>
      </w:r>
      <w:r>
        <w:rPr/>
        <w:t>el</w:t>
      </w:r>
      <w:r>
        <w:rPr>
          <w:spacing w:val="-14"/>
        </w:rPr>
        <w:t> </w:t>
      </w:r>
      <w:r>
        <w:rPr/>
        <w:t>que</w:t>
      </w:r>
      <w:r>
        <w:rPr>
          <w:spacing w:val="-10"/>
        </w:rPr>
        <w:t> </w:t>
      </w:r>
      <w:r>
        <w:rPr/>
        <w:t>sustenta</w:t>
      </w:r>
      <w:r>
        <w:rPr>
          <w:spacing w:val="-13"/>
        </w:rPr>
        <w:t> </w:t>
      </w:r>
      <w:r>
        <w:rPr/>
        <w:t>la</w:t>
      </w:r>
      <w:r>
        <w:rPr>
          <w:spacing w:val="-12"/>
        </w:rPr>
        <w:t> </w:t>
      </w:r>
      <w:r>
        <w:rPr/>
        <w:t>guía,</w:t>
      </w:r>
      <w:r>
        <w:rPr>
          <w:spacing w:val="-9"/>
        </w:rPr>
        <w:t> </w:t>
      </w:r>
      <w:r>
        <w:rPr/>
        <w:t>con</w:t>
      </w:r>
      <w:r>
        <w:rPr>
          <w:spacing w:val="-10"/>
        </w:rPr>
        <w:t> </w:t>
      </w:r>
      <w:r>
        <w:rPr/>
        <w:t>la</w:t>
      </w:r>
      <w:r>
        <w:rPr>
          <w:spacing w:val="-12"/>
        </w:rPr>
        <w:t> </w:t>
      </w:r>
      <w:r>
        <w:rPr/>
        <w:t>finalidad</w:t>
      </w:r>
      <w:r>
        <w:rPr>
          <w:spacing w:val="-10"/>
        </w:rPr>
        <w:t> </w:t>
      </w:r>
      <w:r>
        <w:rPr/>
        <w:t>de</w:t>
      </w:r>
      <w:r>
        <w:rPr>
          <w:spacing w:val="-13"/>
        </w:rPr>
        <w:t> </w:t>
      </w:r>
      <w:r>
        <w:rPr/>
        <w:t>que</w:t>
      </w:r>
      <w:r>
        <w:rPr>
          <w:spacing w:val="-13"/>
        </w:rPr>
        <w:t> </w:t>
      </w:r>
      <w:r>
        <w:rPr/>
        <w:t>los</w:t>
      </w:r>
      <w:r>
        <w:rPr>
          <w:spacing w:val="-10"/>
        </w:rPr>
        <w:t> </w:t>
      </w:r>
      <w:r>
        <w:rPr/>
        <w:t>abogados</w:t>
      </w:r>
      <w:r>
        <w:rPr>
          <w:spacing w:val="-13"/>
        </w:rPr>
        <w:t> </w:t>
      </w:r>
      <w:r>
        <w:rPr/>
        <w:t>y</w:t>
      </w:r>
      <w:r>
        <w:rPr>
          <w:spacing w:val="-12"/>
        </w:rPr>
        <w:t> </w:t>
      </w:r>
      <w:r>
        <w:rPr/>
        <w:t>las</w:t>
      </w:r>
      <w:r>
        <w:rPr>
          <w:spacing w:val="-10"/>
        </w:rPr>
        <w:t> </w:t>
      </w:r>
      <w:r>
        <w:rPr/>
        <w:t>abogadas, tengan un conocimiento sobre conceptos como igualdad, equidad, ación afirmativa, perspectiva de género, derechos humanos y control de convencionalidad, conocimiento, que</w:t>
      </w:r>
      <w:r>
        <w:rPr>
          <w:spacing w:val="-8"/>
        </w:rPr>
        <w:t> </w:t>
      </w:r>
      <w:r>
        <w:rPr/>
        <w:t>resulta</w:t>
      </w:r>
      <w:r>
        <w:rPr>
          <w:spacing w:val="-7"/>
        </w:rPr>
        <w:t> </w:t>
      </w:r>
      <w:r>
        <w:rPr/>
        <w:t>imprescindible</w:t>
      </w:r>
      <w:r>
        <w:rPr>
          <w:spacing w:val="-5"/>
        </w:rPr>
        <w:t> </w:t>
      </w:r>
      <w:r>
        <w:rPr/>
        <w:t>para</w:t>
      </w:r>
      <w:r>
        <w:rPr>
          <w:spacing w:val="-7"/>
        </w:rPr>
        <w:t> </w:t>
      </w:r>
      <w:r>
        <w:rPr/>
        <w:t>la</w:t>
      </w:r>
      <w:r>
        <w:rPr>
          <w:spacing w:val="-7"/>
        </w:rPr>
        <w:t> </w:t>
      </w:r>
      <w:r>
        <w:rPr/>
        <w:t>incorporación</w:t>
      </w:r>
      <w:r>
        <w:rPr>
          <w:spacing w:val="-5"/>
        </w:rPr>
        <w:t> </w:t>
      </w:r>
      <w:r>
        <w:rPr/>
        <w:t>de</w:t>
      </w:r>
      <w:r>
        <w:rPr>
          <w:spacing w:val="-5"/>
        </w:rPr>
        <w:t> </w:t>
      </w:r>
      <w:r>
        <w:rPr/>
        <w:t>la</w:t>
      </w:r>
      <w:r>
        <w:rPr>
          <w:spacing w:val="-5"/>
        </w:rPr>
        <w:t> </w:t>
      </w:r>
      <w:r>
        <w:rPr/>
        <w:t>perspectiva</w:t>
      </w:r>
      <w:r>
        <w:rPr>
          <w:spacing w:val="-5"/>
        </w:rPr>
        <w:t> </w:t>
      </w:r>
      <w:r>
        <w:rPr/>
        <w:t>de</w:t>
      </w:r>
      <w:r>
        <w:rPr>
          <w:spacing w:val="-8"/>
        </w:rPr>
        <w:t> </w:t>
      </w:r>
      <w:r>
        <w:rPr/>
        <w:t>género</w:t>
      </w:r>
      <w:r>
        <w:rPr>
          <w:spacing w:val="-5"/>
        </w:rPr>
        <w:t> </w:t>
      </w:r>
      <w:r>
        <w:rPr/>
        <w:t>en</w:t>
      </w:r>
      <w:r>
        <w:rPr>
          <w:spacing w:val="-8"/>
        </w:rPr>
        <w:t> </w:t>
      </w:r>
      <w:r>
        <w:rPr/>
        <w:t>la</w:t>
      </w:r>
      <w:r>
        <w:rPr>
          <w:spacing w:val="-7"/>
        </w:rPr>
        <w:t> </w:t>
      </w:r>
      <w:r>
        <w:rPr/>
        <w:t>defensa de las mujeres</w:t>
      </w:r>
      <w:r>
        <w:rPr>
          <w:spacing w:val="-8"/>
        </w:rPr>
        <w:t> </w:t>
      </w:r>
      <w:r>
        <w:rPr/>
        <w:t>indiciadas.</w:t>
      </w:r>
    </w:p>
    <w:p>
      <w:pPr>
        <w:pStyle w:val="BodyText"/>
        <w:spacing w:before="9"/>
        <w:rPr>
          <w:sz w:val="17"/>
        </w:rPr>
      </w:pPr>
    </w:p>
    <w:p>
      <w:pPr>
        <w:pStyle w:val="BodyText"/>
        <w:spacing w:line="360" w:lineRule="auto" w:before="1"/>
        <w:ind w:left="102" w:right="166"/>
        <w:jc w:val="both"/>
      </w:pPr>
      <w:r>
        <w:rPr/>
        <w:t>En la segunda parte, se establecen las bases de la construcción de una teoría del caso, así como para incorporar la perspectiva de género en la estrategia de defensa de las mujeres indiciadas.</w:t>
      </w:r>
    </w:p>
    <w:p>
      <w:pPr>
        <w:pStyle w:val="BodyText"/>
        <w:spacing w:before="9"/>
        <w:rPr>
          <w:sz w:val="17"/>
        </w:rPr>
      </w:pPr>
    </w:p>
    <w:p>
      <w:pPr>
        <w:pStyle w:val="BodyText"/>
        <w:spacing w:line="360" w:lineRule="auto"/>
        <w:ind w:left="102" w:right="163"/>
        <w:jc w:val="both"/>
      </w:pPr>
      <w:r>
        <w:rPr/>
        <w:t>En la tercera, a partir de una serie de pasos, se explica detalladamente, cómo debe irse construyendo la teoría del caso con perspectiva de género, utilizando los planteamientos de los capítulos anteriores.</w:t>
      </w:r>
    </w:p>
    <w:p>
      <w:pPr>
        <w:pStyle w:val="BodyText"/>
        <w:spacing w:before="7"/>
        <w:rPr>
          <w:sz w:val="17"/>
        </w:rPr>
      </w:pPr>
    </w:p>
    <w:p>
      <w:pPr>
        <w:pStyle w:val="BodyText"/>
        <w:spacing w:line="360" w:lineRule="auto"/>
        <w:ind w:left="102" w:right="164"/>
        <w:jc w:val="both"/>
      </w:pPr>
      <w:r>
        <w:rPr/>
        <w:t>Finalmente, se hace referencia a la figuara de </w:t>
      </w:r>
      <w:r>
        <w:rPr>
          <w:i/>
        </w:rPr>
        <w:t>amicus curiae, </w:t>
      </w:r>
      <w:r>
        <w:rPr/>
        <w:t>como una herramienta para la teoría del caso con perspectiva de género, a través de la cual se puede recurrir al conocimiento de académicas y académicos, especializados en teoría de género y los derechos humanos de las mujeres, para que brinden al personal encargado de impartir justicia, elemento técnicos que vislumbren las circunstancias de discriminación de género presentes</w:t>
      </w:r>
      <w:r>
        <w:rPr>
          <w:spacing w:val="-7"/>
        </w:rPr>
        <w:t> </w:t>
      </w:r>
      <w:r>
        <w:rPr/>
        <w:t>en</w:t>
      </w:r>
      <w:r>
        <w:rPr>
          <w:spacing w:val="-6"/>
        </w:rPr>
        <w:t> </w:t>
      </w:r>
      <w:r>
        <w:rPr/>
        <w:t>el</w:t>
      </w:r>
      <w:r>
        <w:rPr>
          <w:spacing w:val="-6"/>
        </w:rPr>
        <w:t> </w:t>
      </w:r>
      <w:r>
        <w:rPr/>
        <w:t>caso</w:t>
      </w:r>
      <w:r>
        <w:rPr>
          <w:spacing w:val="-6"/>
        </w:rPr>
        <w:t> </w:t>
      </w:r>
      <w:r>
        <w:rPr/>
        <w:t>concreto,</w:t>
      </w:r>
      <w:r>
        <w:rPr>
          <w:spacing w:val="-4"/>
        </w:rPr>
        <w:t> </w:t>
      </w:r>
      <w:r>
        <w:rPr/>
        <w:t>y</w:t>
      </w:r>
      <w:r>
        <w:rPr>
          <w:spacing w:val="-7"/>
        </w:rPr>
        <w:t> </w:t>
      </w:r>
      <w:r>
        <w:rPr/>
        <w:t>la</w:t>
      </w:r>
      <w:r>
        <w:rPr>
          <w:spacing w:val="-5"/>
        </w:rPr>
        <w:t> </w:t>
      </w:r>
      <w:r>
        <w:rPr/>
        <w:t>importancia</w:t>
      </w:r>
      <w:r>
        <w:rPr>
          <w:spacing w:val="-5"/>
        </w:rPr>
        <w:t> </w:t>
      </w:r>
      <w:r>
        <w:rPr/>
        <w:t>de</w:t>
      </w:r>
      <w:r>
        <w:rPr>
          <w:spacing w:val="-8"/>
        </w:rPr>
        <w:t> </w:t>
      </w:r>
      <w:r>
        <w:rPr/>
        <w:t>que</w:t>
      </w:r>
      <w:r>
        <w:rPr>
          <w:spacing w:val="-6"/>
        </w:rPr>
        <w:t> </w:t>
      </w:r>
      <w:r>
        <w:rPr/>
        <w:t>se</w:t>
      </w:r>
      <w:r>
        <w:rPr>
          <w:spacing w:val="-8"/>
        </w:rPr>
        <w:t> </w:t>
      </w:r>
      <w:r>
        <w:rPr/>
        <w:t>juzgue</w:t>
      </w:r>
      <w:r>
        <w:rPr>
          <w:spacing w:val="-8"/>
        </w:rPr>
        <w:t> </w:t>
      </w:r>
      <w:r>
        <w:rPr/>
        <w:t>a</w:t>
      </w:r>
      <w:r>
        <w:rPr>
          <w:spacing w:val="-5"/>
        </w:rPr>
        <w:t> </w:t>
      </w:r>
      <w:r>
        <w:rPr/>
        <w:t>partir</w:t>
      </w:r>
      <w:r>
        <w:rPr>
          <w:spacing w:val="-4"/>
        </w:rPr>
        <w:t> </w:t>
      </w:r>
      <w:r>
        <w:rPr/>
        <w:t>de</w:t>
      </w:r>
      <w:r>
        <w:rPr>
          <w:spacing w:val="-5"/>
        </w:rPr>
        <w:t> </w:t>
      </w:r>
      <w:r>
        <w:rPr/>
        <w:t>un</w:t>
      </w:r>
      <w:r>
        <w:rPr>
          <w:spacing w:val="-6"/>
        </w:rPr>
        <w:t> </w:t>
      </w:r>
      <w:r>
        <w:rPr/>
        <w:t>enfoque</w:t>
      </w:r>
      <w:r>
        <w:rPr>
          <w:spacing w:val="-6"/>
        </w:rPr>
        <w:t> </w:t>
      </w:r>
      <w:r>
        <w:rPr/>
        <w:t>de género.</w:t>
      </w:r>
    </w:p>
    <w:p>
      <w:pPr>
        <w:pStyle w:val="BodyText"/>
        <w:spacing w:before="7"/>
        <w:rPr>
          <w:sz w:val="17"/>
        </w:rPr>
      </w:pPr>
    </w:p>
    <w:p>
      <w:pPr>
        <w:pStyle w:val="BodyText"/>
        <w:spacing w:line="360" w:lineRule="auto"/>
        <w:ind w:left="102" w:right="118"/>
        <w:jc w:val="both"/>
      </w:pPr>
      <w:r>
        <w:rPr/>
        <w:t>La</w:t>
      </w:r>
      <w:r>
        <w:rPr>
          <w:spacing w:val="-11"/>
        </w:rPr>
        <w:t> </w:t>
      </w:r>
      <w:r>
        <w:rPr/>
        <w:t>guía,</w:t>
      </w:r>
      <w:r>
        <w:rPr>
          <w:spacing w:val="-10"/>
        </w:rPr>
        <w:t> </w:t>
      </w:r>
      <w:r>
        <w:rPr/>
        <w:t>se</w:t>
      </w:r>
      <w:r>
        <w:rPr>
          <w:spacing w:val="-11"/>
        </w:rPr>
        <w:t> </w:t>
      </w:r>
      <w:r>
        <w:rPr/>
        <w:t>propone</w:t>
      </w:r>
      <w:r>
        <w:rPr>
          <w:spacing w:val="-11"/>
        </w:rPr>
        <w:t> </w:t>
      </w:r>
      <w:r>
        <w:rPr/>
        <w:t>como</w:t>
      </w:r>
      <w:r>
        <w:rPr>
          <w:spacing w:val="-11"/>
        </w:rPr>
        <w:t> </w:t>
      </w:r>
      <w:r>
        <w:rPr/>
        <w:t>una</w:t>
      </w:r>
      <w:r>
        <w:rPr>
          <w:spacing w:val="-11"/>
        </w:rPr>
        <w:t> </w:t>
      </w:r>
      <w:r>
        <w:rPr/>
        <w:t>acción</w:t>
      </w:r>
      <w:r>
        <w:rPr>
          <w:spacing w:val="-11"/>
        </w:rPr>
        <w:t> </w:t>
      </w:r>
      <w:r>
        <w:rPr/>
        <w:t>para</w:t>
      </w:r>
      <w:r>
        <w:rPr>
          <w:spacing w:val="-14"/>
        </w:rPr>
        <w:t> </w:t>
      </w:r>
      <w:r>
        <w:rPr/>
        <w:t>erradicar</w:t>
      </w:r>
      <w:r>
        <w:rPr>
          <w:spacing w:val="-10"/>
        </w:rPr>
        <w:t> </w:t>
      </w:r>
      <w:r>
        <w:rPr/>
        <w:t>la</w:t>
      </w:r>
      <w:r>
        <w:rPr>
          <w:spacing w:val="-11"/>
        </w:rPr>
        <w:t> </w:t>
      </w:r>
      <w:r>
        <w:rPr/>
        <w:t>violencia</w:t>
      </w:r>
      <w:r>
        <w:rPr>
          <w:spacing w:val="-11"/>
        </w:rPr>
        <w:t> </w:t>
      </w:r>
      <w:r>
        <w:rPr/>
        <w:t>estructural</w:t>
      </w:r>
      <w:r>
        <w:rPr>
          <w:spacing w:val="-12"/>
        </w:rPr>
        <w:t> </w:t>
      </w:r>
      <w:r>
        <w:rPr/>
        <w:t>que</w:t>
      </w:r>
      <w:r>
        <w:rPr>
          <w:spacing w:val="-14"/>
        </w:rPr>
        <w:t> </w:t>
      </w:r>
      <w:r>
        <w:rPr/>
        <w:t>las</w:t>
      </w:r>
      <w:r>
        <w:rPr>
          <w:spacing w:val="-11"/>
        </w:rPr>
        <w:t> </w:t>
      </w:r>
      <w:r>
        <w:rPr/>
        <w:t>mujeres indiciadas sufren en el sistema penal mexicano, así como una estrategia para que los derechos humanos de las mujeres puedan ser observados en el proceso penal y se apliquen</w:t>
      </w:r>
      <w:r>
        <w:rPr>
          <w:spacing w:val="-5"/>
        </w:rPr>
        <w:t> </w:t>
      </w:r>
      <w:r>
        <w:rPr/>
        <w:t>las</w:t>
      </w:r>
      <w:r>
        <w:rPr>
          <w:spacing w:val="-5"/>
        </w:rPr>
        <w:t> </w:t>
      </w:r>
      <w:r>
        <w:rPr/>
        <w:t>normas</w:t>
      </w:r>
      <w:r>
        <w:rPr>
          <w:spacing w:val="-8"/>
        </w:rPr>
        <w:t> </w:t>
      </w:r>
      <w:r>
        <w:rPr/>
        <w:t>que</w:t>
      </w:r>
      <w:r>
        <w:rPr>
          <w:spacing w:val="-8"/>
        </w:rPr>
        <w:t> </w:t>
      </w:r>
      <w:r>
        <w:rPr/>
        <w:t>protegen</w:t>
      </w:r>
      <w:r>
        <w:rPr>
          <w:spacing w:val="-6"/>
        </w:rPr>
        <w:t> </w:t>
      </w:r>
      <w:r>
        <w:rPr/>
        <w:t>dichos</w:t>
      </w:r>
      <w:r>
        <w:rPr>
          <w:spacing w:val="-5"/>
        </w:rPr>
        <w:t> </w:t>
      </w:r>
      <w:r>
        <w:rPr/>
        <w:t>derechos,</w:t>
      </w:r>
      <w:r>
        <w:rPr>
          <w:spacing w:val="-4"/>
        </w:rPr>
        <w:t> </w:t>
      </w:r>
      <w:r>
        <w:rPr/>
        <w:t>ya</w:t>
      </w:r>
      <w:r>
        <w:rPr>
          <w:spacing w:val="-5"/>
        </w:rPr>
        <w:t> </w:t>
      </w:r>
      <w:r>
        <w:rPr/>
        <w:t>que</w:t>
      </w:r>
      <w:r>
        <w:rPr>
          <w:spacing w:val="-6"/>
        </w:rPr>
        <w:t> </w:t>
      </w:r>
      <w:r>
        <w:rPr/>
        <w:t>cumple</w:t>
      </w:r>
      <w:r>
        <w:rPr>
          <w:spacing w:val="-5"/>
        </w:rPr>
        <w:t> </w:t>
      </w:r>
      <w:r>
        <w:rPr/>
        <w:t>la</w:t>
      </w:r>
      <w:r>
        <w:rPr>
          <w:spacing w:val="-8"/>
        </w:rPr>
        <w:t> </w:t>
      </w:r>
      <w:r>
        <w:rPr/>
        <w:t>función</w:t>
      </w:r>
      <w:r>
        <w:rPr>
          <w:spacing w:val="-6"/>
        </w:rPr>
        <w:t> </w:t>
      </w:r>
      <w:r>
        <w:rPr/>
        <w:t>de</w:t>
      </w:r>
      <w:r>
        <w:rPr>
          <w:spacing w:val="-6"/>
        </w:rPr>
        <w:t> </w:t>
      </w:r>
      <w:r>
        <w:rPr/>
        <w:t>orientar</w:t>
      </w:r>
      <w:r>
        <w:rPr>
          <w:spacing w:val="-6"/>
        </w:rPr>
        <w:t> </w:t>
      </w:r>
      <w:r>
        <w:rPr/>
        <w:t>la actividad de los defensores y defensoras a partir de la perspectiva de</w:t>
      </w:r>
      <w:r>
        <w:rPr>
          <w:spacing w:val="-23"/>
        </w:rPr>
        <w:t> </w:t>
      </w:r>
      <w:r>
        <w:rPr/>
        <w:t>género.</w:t>
      </w:r>
    </w:p>
    <w:p>
      <w:pPr>
        <w:spacing w:after="0" w:line="360" w:lineRule="auto"/>
        <w:jc w:val="both"/>
        <w:sectPr>
          <w:footerReference w:type="default" r:id="rId48"/>
          <w:pgSz w:w="12240" w:h="15840"/>
          <w:pgMar w:footer="1002" w:header="0" w:top="1360" w:bottom="1200" w:left="1600" w:right="1580"/>
          <w:pgNumType w:start="51"/>
        </w:sectPr>
      </w:pPr>
    </w:p>
    <w:p>
      <w:pPr>
        <w:pStyle w:val="BodyText"/>
        <w:spacing w:line="360" w:lineRule="auto" w:before="54"/>
        <w:ind w:left="102" w:right="120"/>
        <w:jc w:val="both"/>
      </w:pPr>
      <w:r>
        <w:rPr/>
        <w:t>La distribución y promoción de la guía, se solicitará el apoyo del “Grupo Profesional de Servicios Colín Maya”, que es una Sociedad Coperativa de la Economía Social, para la reproducción de cien ejemplares de la guía.</w:t>
      </w:r>
    </w:p>
    <w:p>
      <w:pPr>
        <w:pStyle w:val="BodyText"/>
        <w:spacing w:before="7"/>
        <w:rPr>
          <w:sz w:val="17"/>
        </w:rPr>
      </w:pPr>
    </w:p>
    <w:p>
      <w:pPr>
        <w:pStyle w:val="BodyText"/>
        <w:spacing w:line="360" w:lineRule="auto"/>
        <w:ind w:left="102" w:right="117"/>
        <w:jc w:val="both"/>
      </w:pPr>
      <w:r>
        <w:rPr/>
        <w:t>Una vez que se cuenten con los ejemplares de la guía, </w:t>
      </w:r>
      <w:r>
        <w:rPr>
          <w:spacing w:val="2"/>
        </w:rPr>
        <w:t>se </w:t>
      </w:r>
      <w:r>
        <w:rPr/>
        <w:t>organizará una presentación de la misma, en la instalaciones del Centro Universitario de Atlacomulco o de la Universidad de</w:t>
      </w:r>
      <w:r>
        <w:rPr>
          <w:spacing w:val="-4"/>
        </w:rPr>
        <w:t> </w:t>
      </w:r>
      <w:r>
        <w:rPr/>
        <w:t>Atlacomulco,</w:t>
      </w:r>
      <w:r>
        <w:rPr>
          <w:spacing w:val="-5"/>
        </w:rPr>
        <w:t> </w:t>
      </w:r>
      <w:r>
        <w:rPr/>
        <w:t>para</w:t>
      </w:r>
      <w:r>
        <w:rPr>
          <w:spacing w:val="-6"/>
        </w:rPr>
        <w:t> </w:t>
      </w:r>
      <w:r>
        <w:rPr/>
        <w:t>lo</w:t>
      </w:r>
      <w:r>
        <w:rPr>
          <w:spacing w:val="-6"/>
        </w:rPr>
        <w:t> </w:t>
      </w:r>
      <w:r>
        <w:rPr/>
        <w:t>cual,</w:t>
      </w:r>
      <w:r>
        <w:rPr>
          <w:spacing w:val="-3"/>
        </w:rPr>
        <w:t> </w:t>
      </w:r>
      <w:r>
        <w:rPr/>
        <w:t>se</w:t>
      </w:r>
      <w:r>
        <w:rPr>
          <w:spacing w:val="-8"/>
        </w:rPr>
        <w:t> </w:t>
      </w:r>
      <w:r>
        <w:rPr/>
        <w:t>convocará</w:t>
      </w:r>
      <w:r>
        <w:rPr>
          <w:spacing w:val="-4"/>
        </w:rPr>
        <w:t> </w:t>
      </w:r>
      <w:r>
        <w:rPr/>
        <w:t>a</w:t>
      </w:r>
      <w:r>
        <w:rPr>
          <w:spacing w:val="-6"/>
        </w:rPr>
        <w:t> </w:t>
      </w:r>
      <w:r>
        <w:rPr/>
        <w:t>los</w:t>
      </w:r>
      <w:r>
        <w:rPr>
          <w:spacing w:val="-8"/>
        </w:rPr>
        <w:t> </w:t>
      </w:r>
      <w:r>
        <w:rPr/>
        <w:t>abogados</w:t>
      </w:r>
      <w:r>
        <w:rPr>
          <w:spacing w:val="-6"/>
        </w:rPr>
        <w:t> </w:t>
      </w:r>
      <w:r>
        <w:rPr/>
        <w:t>y</w:t>
      </w:r>
      <w:r>
        <w:rPr>
          <w:spacing w:val="-6"/>
        </w:rPr>
        <w:t> </w:t>
      </w:r>
      <w:r>
        <w:rPr/>
        <w:t>las</w:t>
      </w:r>
      <w:r>
        <w:rPr>
          <w:spacing w:val="-6"/>
        </w:rPr>
        <w:t> </w:t>
      </w:r>
      <w:r>
        <w:rPr/>
        <w:t>abogadas</w:t>
      </w:r>
      <w:r>
        <w:rPr>
          <w:spacing w:val="-6"/>
        </w:rPr>
        <w:t> </w:t>
      </w:r>
      <w:r>
        <w:rPr/>
        <w:t>que</w:t>
      </w:r>
      <w:r>
        <w:rPr>
          <w:spacing w:val="-7"/>
        </w:rPr>
        <w:t> </w:t>
      </w:r>
      <w:r>
        <w:rPr/>
        <w:t>litigan</w:t>
      </w:r>
      <w:r>
        <w:rPr>
          <w:spacing w:val="-4"/>
        </w:rPr>
        <w:t> </w:t>
      </w:r>
      <w:r>
        <w:rPr/>
        <w:t>en</w:t>
      </w:r>
      <w:r>
        <w:rPr>
          <w:spacing w:val="-7"/>
        </w:rPr>
        <w:t> </w:t>
      </w:r>
      <w:r>
        <w:rPr/>
        <w:t>la región, colocando los promocionales en los  juzgados de el Oro, Ixtlahuaca y</w:t>
      </w:r>
      <w:r>
        <w:rPr>
          <w:spacing w:val="-22"/>
        </w:rPr>
        <w:t> </w:t>
      </w:r>
      <w:r>
        <w:rPr/>
        <w:t>Atlacomulco.</w:t>
      </w:r>
    </w:p>
    <w:p>
      <w:pPr>
        <w:pStyle w:val="BodyText"/>
        <w:spacing w:before="10"/>
        <w:rPr>
          <w:sz w:val="17"/>
        </w:rPr>
      </w:pPr>
    </w:p>
    <w:p>
      <w:pPr>
        <w:pStyle w:val="BodyText"/>
        <w:spacing w:line="360" w:lineRule="auto"/>
        <w:ind w:left="102" w:right="117"/>
        <w:jc w:val="both"/>
      </w:pPr>
      <w:r>
        <w:rPr/>
        <w:t>En la presentación de la “Guía para la incorporación de la perspectiva de género en la defensa de las mujeres indiciadas”, se abordará el planteamiento del problema, los principales hallazgos obtenidos a partir del diagnóstico, la importancia de incorporar la perspectiva de género en la defensa de las mujeres indiciadas y finalmente la descripción general del contenido de la guía.</w:t>
      </w:r>
    </w:p>
    <w:p>
      <w:pPr>
        <w:spacing w:after="0" w:line="360" w:lineRule="auto"/>
        <w:jc w:val="both"/>
        <w:sectPr>
          <w:pgSz w:w="12240" w:h="15840"/>
          <w:pgMar w:header="0" w:footer="1002" w:top="1360" w:bottom="1200" w:left="1600" w:right="1580"/>
        </w:sectPr>
      </w:pPr>
    </w:p>
    <w:p>
      <w:pPr>
        <w:pStyle w:val="BodyText"/>
        <w:rPr>
          <w:sz w:val="20"/>
        </w:rPr>
      </w:pPr>
      <w:r>
        <w:rPr/>
        <w:pict>
          <v:shape style="position:absolute;margin-left:0pt;margin-top:1.559878pt;width:610.1pt;height:790.45pt;mso-position-horizontal-relative:page;mso-position-vertical-relative:page;z-index:-99232"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42"/>
                    <w:ind w:right="1656"/>
                    <w:jc w:val="right"/>
                    <w:rPr>
                      <w:rFonts w:ascii="Calibri"/>
                    </w:rPr>
                  </w:pPr>
                  <w:r>
                    <w:rPr>
                      <w:rFonts w:ascii="Calibri"/>
                    </w:rPr>
                    <w:t>53</w:t>
                  </w:r>
                </w:p>
              </w:txbxContent>
            </v:textbox>
            <w10:wrap type="none"/>
          </v:shape>
        </w:pict>
      </w:r>
      <w:r>
        <w:rPr>
          <w:sz w:val="20"/>
        </w:rPr>
        <w:drawing>
          <wp:inline distT="0" distB="0" distL="0" distR="0">
            <wp:extent cx="7729783" cy="10014966"/>
            <wp:effectExtent l="0" t="0" r="0" b="0"/>
            <wp:docPr id="5" name="image34.jpeg" descr=""/>
            <wp:cNvGraphicFramePr>
              <a:graphicFrameLocks noChangeAspect="1"/>
            </wp:cNvGraphicFramePr>
            <a:graphic>
              <a:graphicData uri="http://schemas.openxmlformats.org/drawingml/2006/picture">
                <pic:pic>
                  <pic:nvPicPr>
                    <pic:cNvPr id="6" name="image34.jpeg"/>
                    <pic:cNvPicPr/>
                  </pic:nvPicPr>
                  <pic:blipFill>
                    <a:blip r:embed="rId50" cstate="print"/>
                    <a:stretch>
                      <a:fillRect/>
                    </a:stretch>
                  </pic:blipFill>
                  <pic:spPr>
                    <a:xfrm>
                      <a:off x="0" y="0"/>
                      <a:ext cx="7729783" cy="10014966"/>
                    </a:xfrm>
                    <a:prstGeom prst="rect">
                      <a:avLst/>
                    </a:prstGeom>
                  </pic:spPr>
                </pic:pic>
              </a:graphicData>
            </a:graphic>
          </wp:inline>
        </w:drawing>
      </w:r>
      <w:r>
        <w:rPr>
          <w:sz w:val="20"/>
        </w:rPr>
      </w:r>
    </w:p>
    <w:p>
      <w:pPr>
        <w:spacing w:after="0"/>
        <w:rPr>
          <w:sz w:val="20"/>
        </w:rPr>
        <w:sectPr>
          <w:footerReference w:type="default" r:id="rId49"/>
          <w:pgSz w:w="12240" w:h="15840"/>
          <w:pgMar w:footer="0" w:header="0" w:top="40" w:bottom="0" w:left="0" w:right="0"/>
        </w:sectPr>
      </w:pPr>
    </w:p>
    <w:p>
      <w:pPr>
        <w:pStyle w:val="Heading6"/>
        <w:spacing w:before="54"/>
        <w:ind w:left="1945" w:right="1256" w:firstLine="0"/>
        <w:jc w:val="center"/>
      </w:pPr>
      <w:r>
        <w:rPr/>
        <w:t>ÍNDICE</w:t>
      </w:r>
    </w:p>
    <w:p>
      <w:pPr>
        <w:spacing w:after="0"/>
        <w:jc w:val="center"/>
        <w:sectPr>
          <w:footerReference w:type="default" r:id="rId51"/>
          <w:pgSz w:w="12240" w:h="15840"/>
          <w:pgMar w:footer="1002" w:header="0" w:top="1360" w:bottom="1709" w:left="1600" w:right="1580"/>
          <w:pgNumType w:start="54"/>
        </w:sectPr>
      </w:pPr>
    </w:p>
    <w:sdt>
      <w:sdtPr>
        <w:docPartObj>
          <w:docPartGallery w:val="Table of Contents"/>
          <w:docPartUnique/>
        </w:docPartObj>
      </w:sdtPr>
      <w:sdtEndPr/>
      <w:sdtContent>
        <w:p>
          <w:pPr>
            <w:pStyle w:val="TOC1"/>
            <w:tabs>
              <w:tab w:pos="8941" w:val="right" w:leader="none"/>
            </w:tabs>
          </w:pPr>
          <w:hyperlink w:history="true" w:anchor="_TOC_250010">
            <w:r>
              <w:rPr/>
              <w:t>Introducción</w:t>
              <w:tab/>
              <w:t>4</w:t>
            </w:r>
          </w:hyperlink>
        </w:p>
        <w:p>
          <w:pPr>
            <w:pStyle w:val="TOC1"/>
            <w:tabs>
              <w:tab w:pos="8941" w:val="right" w:leader="none"/>
            </w:tabs>
            <w:rPr>
              <w:b/>
            </w:rPr>
          </w:pPr>
          <w:hyperlink w:history="true" w:anchor="_TOC_250009">
            <w:r>
              <w:rPr/>
              <w:t>Justificación</w:t>
            </w:r>
            <w:r>
              <w:rPr>
                <w:b/>
              </w:rPr>
              <w:tab/>
              <w:t>6</w:t>
            </w:r>
          </w:hyperlink>
        </w:p>
        <w:p>
          <w:pPr>
            <w:pStyle w:val="TOC1"/>
            <w:tabs>
              <w:tab w:pos="8941" w:val="right" w:leader="none"/>
            </w:tabs>
            <w:spacing w:before="240"/>
            <w:rPr>
              <w:b/>
            </w:rPr>
          </w:pPr>
          <w:r>
            <w:rPr/>
            <w:t>Capítulo 1.</w:t>
          </w:r>
          <w:r>
            <w:rPr>
              <w:spacing w:val="-33"/>
            </w:rPr>
            <w:t> </w:t>
          </w:r>
          <w:r>
            <w:rPr/>
            <w:t>Marco</w:t>
          </w:r>
          <w:r>
            <w:rPr>
              <w:spacing w:val="-18"/>
            </w:rPr>
            <w:t> </w:t>
          </w:r>
          <w:r>
            <w:rPr/>
            <w:t>Conceptual</w:t>
          </w:r>
          <w:r>
            <w:rPr>
              <w:b/>
            </w:rPr>
            <w:tab/>
            <w:t>10</w:t>
          </w:r>
        </w:p>
        <w:p>
          <w:pPr>
            <w:pStyle w:val="TOC5"/>
            <w:numPr>
              <w:ilvl w:val="1"/>
              <w:numId w:val="4"/>
            </w:numPr>
            <w:tabs>
              <w:tab w:pos="1196" w:val="left" w:leader="none"/>
              <w:tab w:pos="8941" w:val="right" w:leader="none"/>
            </w:tabs>
            <w:spacing w:line="240" w:lineRule="auto" w:before="242" w:after="0"/>
            <w:ind w:left="1195" w:right="0" w:hanging="385"/>
            <w:jc w:val="left"/>
            <w:rPr>
              <w:i w:val="0"/>
              <w:sz w:val="24"/>
            </w:rPr>
          </w:pPr>
          <w:hyperlink w:history="true" w:anchor="_TOC_250008">
            <w:r>
              <w:rPr>
                <w:b w:val="0"/>
                <w:i w:val="0"/>
                <w:sz w:val="24"/>
              </w:rPr>
              <w:t>Igualdad</w:t>
            </w:r>
            <w:r>
              <w:rPr>
                <w:i w:val="0"/>
                <w:sz w:val="24"/>
              </w:rPr>
              <w:tab/>
              <w:t>11</w:t>
            </w:r>
          </w:hyperlink>
        </w:p>
        <w:p>
          <w:pPr>
            <w:pStyle w:val="TOC5"/>
            <w:numPr>
              <w:ilvl w:val="1"/>
              <w:numId w:val="4"/>
            </w:numPr>
            <w:tabs>
              <w:tab w:pos="1196" w:val="left" w:leader="none"/>
              <w:tab w:pos="8941" w:val="right" w:leader="none"/>
            </w:tabs>
            <w:spacing w:line="240" w:lineRule="auto" w:before="240" w:after="0"/>
            <w:ind w:left="1195" w:right="0" w:hanging="385"/>
            <w:jc w:val="left"/>
            <w:rPr>
              <w:i w:val="0"/>
              <w:sz w:val="24"/>
            </w:rPr>
          </w:pPr>
          <w:hyperlink w:history="true" w:anchor="_TOC_250007">
            <w:r>
              <w:rPr>
                <w:b w:val="0"/>
                <w:i w:val="0"/>
                <w:sz w:val="24"/>
              </w:rPr>
              <w:t>Equidad</w:t>
            </w:r>
            <w:r>
              <w:rPr>
                <w:i w:val="0"/>
                <w:sz w:val="24"/>
              </w:rPr>
              <w:tab/>
              <w:t>12</w:t>
            </w:r>
          </w:hyperlink>
        </w:p>
        <w:p>
          <w:pPr>
            <w:pStyle w:val="TOC4"/>
            <w:numPr>
              <w:ilvl w:val="1"/>
              <w:numId w:val="4"/>
            </w:numPr>
            <w:tabs>
              <w:tab w:pos="1196" w:val="left" w:leader="none"/>
              <w:tab w:pos="8941" w:val="right" w:leader="none"/>
            </w:tabs>
            <w:spacing w:line="240" w:lineRule="auto" w:before="243" w:after="0"/>
            <w:ind w:left="1195" w:right="0" w:hanging="385"/>
            <w:jc w:val="left"/>
            <w:rPr>
              <w:b/>
            </w:rPr>
          </w:pPr>
          <w:hyperlink w:history="true" w:anchor="_TOC_250006">
            <w:r>
              <w:rPr/>
              <w:t>Acción</w:t>
            </w:r>
            <w:r>
              <w:rPr>
                <w:spacing w:val="-17"/>
              </w:rPr>
              <w:t> </w:t>
            </w:r>
            <w:r>
              <w:rPr/>
              <w:t>Afirmativa</w:t>
            </w:r>
            <w:r>
              <w:rPr>
                <w:b/>
              </w:rPr>
              <w:tab/>
              <w:t>14</w:t>
            </w:r>
          </w:hyperlink>
        </w:p>
        <w:p>
          <w:pPr>
            <w:pStyle w:val="TOC4"/>
            <w:numPr>
              <w:ilvl w:val="1"/>
              <w:numId w:val="4"/>
            </w:numPr>
            <w:tabs>
              <w:tab w:pos="1196" w:val="left" w:leader="none"/>
              <w:tab w:pos="8941" w:val="right" w:leader="none"/>
            </w:tabs>
            <w:spacing w:line="240" w:lineRule="auto" w:before="240" w:after="0"/>
            <w:ind w:left="1195" w:right="0" w:hanging="385"/>
            <w:jc w:val="left"/>
            <w:rPr>
              <w:b/>
            </w:rPr>
          </w:pPr>
          <w:hyperlink w:history="true" w:anchor="_TOC_250005">
            <w:r>
              <w:rPr/>
              <w:t>Perspectiva</w:t>
            </w:r>
            <w:r>
              <w:rPr>
                <w:spacing w:val="-17"/>
              </w:rPr>
              <w:t> </w:t>
            </w:r>
            <w:r>
              <w:rPr/>
              <w:t>de</w:t>
            </w:r>
            <w:r>
              <w:rPr>
                <w:spacing w:val="-19"/>
              </w:rPr>
              <w:t> </w:t>
            </w:r>
            <w:r>
              <w:rPr/>
              <w:t>Género</w:t>
            </w:r>
            <w:r>
              <w:rPr>
                <w:b/>
              </w:rPr>
              <w:tab/>
              <w:t>17</w:t>
            </w:r>
          </w:hyperlink>
        </w:p>
        <w:p>
          <w:pPr>
            <w:pStyle w:val="TOC4"/>
            <w:numPr>
              <w:ilvl w:val="1"/>
              <w:numId w:val="4"/>
            </w:numPr>
            <w:tabs>
              <w:tab w:pos="1196" w:val="left" w:leader="none"/>
              <w:tab w:pos="8941" w:val="right" w:leader="none"/>
            </w:tabs>
            <w:spacing w:line="240" w:lineRule="auto" w:before="242" w:after="0"/>
            <w:ind w:left="1195" w:right="0" w:hanging="385"/>
            <w:jc w:val="left"/>
            <w:rPr>
              <w:b/>
            </w:rPr>
          </w:pPr>
          <w:hyperlink w:history="true" w:anchor="_TOC_250004">
            <w:r>
              <w:rPr/>
              <w:t>Control</w:t>
            </w:r>
            <w:r>
              <w:rPr>
                <w:spacing w:val="-18"/>
              </w:rPr>
              <w:t> </w:t>
            </w:r>
            <w:r>
              <w:rPr/>
              <w:t>de</w:t>
            </w:r>
            <w:r>
              <w:rPr>
                <w:spacing w:val="-17"/>
              </w:rPr>
              <w:t> </w:t>
            </w:r>
            <w:r>
              <w:rPr/>
              <w:t>Convencionalidad</w:t>
            </w:r>
            <w:r>
              <w:rPr>
                <w:b/>
              </w:rPr>
              <w:tab/>
              <w:t>20</w:t>
            </w:r>
          </w:hyperlink>
        </w:p>
        <w:p>
          <w:pPr>
            <w:pStyle w:val="TOC1"/>
            <w:tabs>
              <w:tab w:pos="8941" w:val="right" w:leader="none"/>
            </w:tabs>
            <w:rPr>
              <w:b/>
            </w:rPr>
          </w:pPr>
          <w:r>
            <w:rPr/>
            <w:t>Capítulo</w:t>
          </w:r>
          <w:r>
            <w:rPr>
              <w:spacing w:val="-17"/>
            </w:rPr>
            <w:t> </w:t>
          </w:r>
          <w:r>
            <w:rPr/>
            <w:t>2.</w:t>
          </w:r>
          <w:r>
            <w:rPr>
              <w:spacing w:val="-20"/>
            </w:rPr>
            <w:t> </w:t>
          </w:r>
          <w:r>
            <w:rPr/>
            <w:t>Teoría</w:t>
          </w:r>
          <w:r>
            <w:rPr>
              <w:spacing w:val="-17"/>
            </w:rPr>
            <w:t> </w:t>
          </w:r>
          <w:r>
            <w:rPr/>
            <w:t>del</w:t>
          </w:r>
          <w:r>
            <w:rPr>
              <w:spacing w:val="-21"/>
            </w:rPr>
            <w:t> </w:t>
          </w:r>
          <w:r>
            <w:rPr/>
            <w:t>Caso</w:t>
          </w:r>
          <w:r>
            <w:rPr>
              <w:b/>
            </w:rPr>
            <w:tab/>
            <w:t>24</w:t>
          </w:r>
        </w:p>
        <w:p>
          <w:pPr>
            <w:pStyle w:val="TOC4"/>
            <w:numPr>
              <w:ilvl w:val="1"/>
              <w:numId w:val="5"/>
            </w:numPr>
            <w:tabs>
              <w:tab w:pos="1196" w:val="left" w:leader="none"/>
              <w:tab w:pos="8941" w:val="right" w:leader="none"/>
            </w:tabs>
            <w:spacing w:line="240" w:lineRule="auto" w:before="240" w:after="0"/>
            <w:ind w:left="1195" w:right="0" w:hanging="385"/>
            <w:jc w:val="left"/>
            <w:rPr>
              <w:b/>
            </w:rPr>
          </w:pPr>
          <w:hyperlink w:history="true" w:anchor="_TOC_250003">
            <w:r>
              <w:rPr/>
              <w:t>La Teoría</w:t>
            </w:r>
            <w:r>
              <w:rPr>
                <w:spacing w:val="-35"/>
              </w:rPr>
              <w:t> </w:t>
            </w:r>
            <w:r>
              <w:rPr/>
              <w:t>del</w:t>
            </w:r>
            <w:r>
              <w:rPr>
                <w:spacing w:val="-18"/>
              </w:rPr>
              <w:t> </w:t>
            </w:r>
            <w:r>
              <w:rPr/>
              <w:t>Caso</w:t>
            </w:r>
            <w:r>
              <w:rPr>
                <w:b/>
              </w:rPr>
              <w:tab/>
              <w:t>26</w:t>
            </w:r>
          </w:hyperlink>
        </w:p>
        <w:p>
          <w:pPr>
            <w:pStyle w:val="TOC4"/>
            <w:numPr>
              <w:ilvl w:val="1"/>
              <w:numId w:val="5"/>
            </w:numPr>
            <w:tabs>
              <w:tab w:pos="1196" w:val="left" w:leader="none"/>
              <w:tab w:pos="8941" w:val="right" w:leader="none"/>
            </w:tabs>
            <w:spacing w:line="240" w:lineRule="auto" w:before="243" w:after="0"/>
            <w:ind w:left="1195" w:right="0" w:hanging="385"/>
            <w:jc w:val="left"/>
            <w:rPr>
              <w:b/>
            </w:rPr>
          </w:pPr>
          <w:hyperlink w:history="true" w:anchor="_TOC_250002">
            <w:r>
              <w:rPr/>
              <w:t>Características</w:t>
            </w:r>
            <w:r>
              <w:rPr>
                <w:spacing w:val="-18"/>
              </w:rPr>
              <w:t> </w:t>
            </w:r>
            <w:r>
              <w:rPr/>
              <w:t>de</w:t>
            </w:r>
            <w:r>
              <w:rPr>
                <w:spacing w:val="-17"/>
              </w:rPr>
              <w:t> </w:t>
            </w:r>
            <w:r>
              <w:rPr/>
              <w:t>la</w:t>
            </w:r>
            <w:r>
              <w:rPr>
                <w:spacing w:val="-17"/>
              </w:rPr>
              <w:t> </w:t>
            </w:r>
            <w:r>
              <w:rPr/>
              <w:t>Teoría</w:t>
            </w:r>
            <w:r>
              <w:rPr>
                <w:spacing w:val="-17"/>
              </w:rPr>
              <w:t> </w:t>
            </w:r>
            <w:r>
              <w:rPr/>
              <w:t>del</w:t>
            </w:r>
            <w:r>
              <w:rPr>
                <w:spacing w:val="-18"/>
              </w:rPr>
              <w:t> </w:t>
            </w:r>
            <w:r>
              <w:rPr/>
              <w:t>Caso</w:t>
            </w:r>
            <w:r>
              <w:rPr>
                <w:b/>
              </w:rPr>
              <w:tab/>
              <w:t>27</w:t>
            </w:r>
          </w:hyperlink>
        </w:p>
        <w:p>
          <w:pPr>
            <w:pStyle w:val="TOC4"/>
            <w:numPr>
              <w:ilvl w:val="1"/>
              <w:numId w:val="5"/>
            </w:numPr>
            <w:tabs>
              <w:tab w:pos="1196" w:val="left" w:leader="none"/>
              <w:tab w:pos="8941" w:val="right" w:leader="none"/>
            </w:tabs>
            <w:spacing w:line="240" w:lineRule="auto" w:before="240" w:after="0"/>
            <w:ind w:left="1195" w:right="0" w:hanging="385"/>
            <w:jc w:val="left"/>
            <w:rPr>
              <w:b/>
            </w:rPr>
          </w:pPr>
          <w:hyperlink w:history="true" w:anchor="_TOC_250001">
            <w:r>
              <w:rPr/>
              <w:t>Elementos</w:t>
            </w:r>
            <w:r>
              <w:rPr>
                <w:spacing w:val="-18"/>
              </w:rPr>
              <w:t> </w:t>
            </w:r>
            <w:r>
              <w:rPr/>
              <w:t>de</w:t>
            </w:r>
            <w:r>
              <w:rPr>
                <w:spacing w:val="-17"/>
              </w:rPr>
              <w:t> </w:t>
            </w:r>
            <w:r>
              <w:rPr/>
              <w:t>la</w:t>
            </w:r>
            <w:r>
              <w:rPr>
                <w:spacing w:val="-19"/>
              </w:rPr>
              <w:t> </w:t>
            </w:r>
            <w:r>
              <w:rPr/>
              <w:t>Teoría</w:t>
            </w:r>
            <w:r>
              <w:rPr>
                <w:spacing w:val="-17"/>
              </w:rPr>
              <w:t> </w:t>
            </w:r>
            <w:r>
              <w:rPr/>
              <w:t>del</w:t>
            </w:r>
            <w:r>
              <w:rPr>
                <w:spacing w:val="-18"/>
              </w:rPr>
              <w:t> </w:t>
            </w:r>
            <w:r>
              <w:rPr/>
              <w:t>Caso</w:t>
            </w:r>
            <w:r>
              <w:rPr>
                <w:b/>
              </w:rPr>
              <w:tab/>
              <w:t>27</w:t>
            </w:r>
          </w:hyperlink>
        </w:p>
        <w:p>
          <w:pPr>
            <w:pStyle w:val="TOC1"/>
            <w:tabs>
              <w:tab w:pos="8941" w:val="right" w:leader="none"/>
            </w:tabs>
            <w:rPr>
              <w:b/>
            </w:rPr>
          </w:pPr>
          <w:r>
            <w:rPr/>
            <w:t>Capítulo</w:t>
          </w:r>
          <w:r>
            <w:rPr>
              <w:spacing w:val="-17"/>
            </w:rPr>
            <w:t> </w:t>
          </w:r>
          <w:r>
            <w:rPr/>
            <w:t>3.</w:t>
          </w:r>
          <w:r>
            <w:rPr>
              <w:spacing w:val="-20"/>
            </w:rPr>
            <w:t> </w:t>
          </w:r>
          <w:r>
            <w:rPr/>
            <w:t>Teoría</w:t>
          </w:r>
          <w:r>
            <w:rPr>
              <w:spacing w:val="-17"/>
            </w:rPr>
            <w:t> </w:t>
          </w:r>
          <w:r>
            <w:rPr/>
            <w:t>del</w:t>
          </w:r>
          <w:r>
            <w:rPr>
              <w:spacing w:val="-21"/>
            </w:rPr>
            <w:t> </w:t>
          </w:r>
          <w:r>
            <w:rPr/>
            <w:t>Caso</w:t>
          </w:r>
          <w:r>
            <w:rPr>
              <w:spacing w:val="-17"/>
            </w:rPr>
            <w:t> </w:t>
          </w:r>
          <w:r>
            <w:rPr/>
            <w:t>con</w:t>
          </w:r>
          <w:r>
            <w:rPr>
              <w:spacing w:val="-19"/>
            </w:rPr>
            <w:t> </w:t>
          </w:r>
          <w:r>
            <w:rPr/>
            <w:t>perspectiva</w:t>
          </w:r>
          <w:r>
            <w:rPr>
              <w:spacing w:val="-17"/>
            </w:rPr>
            <w:t> </w:t>
          </w:r>
          <w:r>
            <w:rPr/>
            <w:t>de</w:t>
          </w:r>
          <w:r>
            <w:rPr>
              <w:spacing w:val="-17"/>
            </w:rPr>
            <w:t> </w:t>
          </w:r>
          <w:r>
            <w:rPr/>
            <w:t>género</w:t>
          </w:r>
          <w:r>
            <w:rPr>
              <w:b/>
            </w:rPr>
            <w:tab/>
            <w:t>30</w:t>
          </w:r>
        </w:p>
        <w:p>
          <w:pPr>
            <w:pStyle w:val="TOC4"/>
            <w:numPr>
              <w:ilvl w:val="1"/>
              <w:numId w:val="6"/>
            </w:numPr>
            <w:tabs>
              <w:tab w:pos="1194" w:val="left" w:leader="none"/>
              <w:tab w:pos="8940" w:val="right" w:leader="none"/>
            </w:tabs>
            <w:spacing w:line="240" w:lineRule="auto" w:before="240" w:after="0"/>
            <w:ind w:left="1193" w:right="0" w:hanging="383"/>
            <w:jc w:val="left"/>
            <w:rPr>
              <w:b/>
            </w:rPr>
          </w:pPr>
          <w:hyperlink w:history="true" w:anchor="_TOC_250000">
            <w:r>
              <w:rPr/>
              <w:t>Teoría</w:t>
            </w:r>
            <w:r>
              <w:rPr>
                <w:spacing w:val="-17"/>
              </w:rPr>
              <w:t> </w:t>
            </w:r>
            <w:r>
              <w:rPr/>
              <w:t>del</w:t>
            </w:r>
            <w:r>
              <w:rPr>
                <w:spacing w:val="-18"/>
              </w:rPr>
              <w:t> </w:t>
            </w:r>
            <w:r>
              <w:rPr/>
              <w:t>Caso</w:t>
            </w:r>
            <w:r>
              <w:rPr>
                <w:spacing w:val="-17"/>
              </w:rPr>
              <w:t> </w:t>
            </w:r>
            <w:r>
              <w:rPr/>
              <w:t>con</w:t>
            </w:r>
            <w:r>
              <w:rPr>
                <w:spacing w:val="-17"/>
              </w:rPr>
              <w:t> </w:t>
            </w:r>
            <w:r>
              <w:rPr/>
              <w:t>perspectiva</w:t>
            </w:r>
            <w:r>
              <w:rPr>
                <w:spacing w:val="-17"/>
              </w:rPr>
              <w:t> </w:t>
            </w:r>
            <w:r>
              <w:rPr/>
              <w:t>de</w:t>
            </w:r>
            <w:r>
              <w:rPr>
                <w:spacing w:val="-17"/>
              </w:rPr>
              <w:t> </w:t>
            </w:r>
            <w:r>
              <w:rPr/>
              <w:t>género</w:t>
            </w:r>
            <w:r>
              <w:rPr>
                <w:b/>
              </w:rPr>
              <w:tab/>
              <w:t>32</w:t>
            </w:r>
          </w:hyperlink>
        </w:p>
        <w:p>
          <w:pPr>
            <w:pStyle w:val="TOC4"/>
            <w:numPr>
              <w:ilvl w:val="1"/>
              <w:numId w:val="6"/>
            </w:numPr>
            <w:tabs>
              <w:tab w:pos="1213" w:val="left" w:leader="none"/>
            </w:tabs>
            <w:spacing w:line="240" w:lineRule="auto" w:before="242" w:after="0"/>
            <w:ind w:left="1212" w:right="0" w:hanging="402"/>
            <w:jc w:val="left"/>
          </w:pPr>
          <w:r>
            <w:rPr/>
            <w:t>¿Por qué es importante la aplicación de</w:t>
          </w:r>
          <w:r>
            <w:rPr>
              <w:spacing w:val="-19"/>
            </w:rPr>
            <w:t> </w:t>
          </w:r>
          <w:r>
            <w:rPr/>
            <w:t>una</w:t>
          </w:r>
        </w:p>
        <w:p>
          <w:pPr>
            <w:pStyle w:val="TOC4"/>
            <w:tabs>
              <w:tab w:pos="8941" w:val="right" w:leader="none"/>
            </w:tabs>
            <w:spacing w:before="242"/>
            <w:ind w:left="810" w:firstLine="0"/>
            <w:rPr>
              <w:b/>
            </w:rPr>
          </w:pPr>
          <w:r>
            <w:rPr/>
            <w:t>Teoría</w:t>
          </w:r>
          <w:r>
            <w:rPr>
              <w:spacing w:val="-17"/>
            </w:rPr>
            <w:t> </w:t>
          </w:r>
          <w:r>
            <w:rPr/>
            <w:t>del</w:t>
          </w:r>
          <w:r>
            <w:rPr>
              <w:spacing w:val="-18"/>
            </w:rPr>
            <w:t> </w:t>
          </w:r>
          <w:r>
            <w:rPr/>
            <w:t>Caso</w:t>
          </w:r>
          <w:r>
            <w:rPr>
              <w:spacing w:val="-17"/>
            </w:rPr>
            <w:t> </w:t>
          </w:r>
          <w:r>
            <w:rPr/>
            <w:t>con</w:t>
          </w:r>
          <w:r>
            <w:rPr>
              <w:spacing w:val="-17"/>
            </w:rPr>
            <w:t> </w:t>
          </w:r>
          <w:r>
            <w:rPr/>
            <w:t>perspectiva</w:t>
          </w:r>
          <w:r>
            <w:rPr>
              <w:spacing w:val="-17"/>
            </w:rPr>
            <w:t> </w:t>
          </w:r>
          <w:r>
            <w:rPr/>
            <w:t>de</w:t>
          </w:r>
          <w:r>
            <w:rPr>
              <w:spacing w:val="-17"/>
            </w:rPr>
            <w:t> </w:t>
          </w:r>
          <w:r>
            <w:rPr/>
            <w:t>género?</w:t>
          </w:r>
          <w:r>
            <w:rPr>
              <w:b/>
            </w:rPr>
            <w:tab/>
            <w:t>34</w:t>
          </w:r>
        </w:p>
        <w:p>
          <w:pPr>
            <w:pStyle w:val="TOC4"/>
            <w:numPr>
              <w:ilvl w:val="1"/>
              <w:numId w:val="6"/>
            </w:numPr>
            <w:tabs>
              <w:tab w:pos="1213" w:val="left" w:leader="none"/>
            </w:tabs>
            <w:spacing w:line="240" w:lineRule="auto" w:before="240" w:after="0"/>
            <w:ind w:left="1212" w:right="0" w:hanging="402"/>
            <w:jc w:val="left"/>
          </w:pPr>
          <w:r>
            <w:rPr/>
            <w:t>¿Cuáles son la características de una Teoría</w:t>
          </w:r>
          <w:r>
            <w:rPr>
              <w:spacing w:val="-18"/>
            </w:rPr>
            <w:t> </w:t>
          </w:r>
          <w:r>
            <w:rPr/>
            <w:t>del</w:t>
          </w:r>
        </w:p>
        <w:p>
          <w:pPr>
            <w:pStyle w:val="TOC4"/>
            <w:tabs>
              <w:tab w:pos="8941" w:val="right" w:leader="none"/>
            </w:tabs>
            <w:spacing w:before="242"/>
            <w:ind w:left="810" w:firstLine="0"/>
            <w:rPr>
              <w:b/>
            </w:rPr>
          </w:pPr>
          <w:r>
            <w:rPr/>
            <w:t>Caso con</w:t>
          </w:r>
          <w:r>
            <w:rPr>
              <w:spacing w:val="-51"/>
            </w:rPr>
            <w:t> </w:t>
          </w:r>
          <w:r>
            <w:rPr/>
            <w:t>perspectiva de</w:t>
          </w:r>
          <w:r>
            <w:rPr>
              <w:spacing w:val="-17"/>
            </w:rPr>
            <w:t> </w:t>
          </w:r>
          <w:r>
            <w:rPr/>
            <w:t>género?</w:t>
          </w:r>
          <w:r>
            <w:rPr>
              <w:b/>
            </w:rPr>
            <w:tab/>
            <w:t>34</w:t>
          </w:r>
        </w:p>
        <w:p>
          <w:pPr>
            <w:pStyle w:val="TOC4"/>
            <w:numPr>
              <w:ilvl w:val="1"/>
              <w:numId w:val="6"/>
            </w:numPr>
            <w:tabs>
              <w:tab w:pos="1213" w:val="left" w:leader="none"/>
            </w:tabs>
            <w:spacing w:line="240" w:lineRule="auto" w:before="240" w:after="0"/>
            <w:ind w:left="1212" w:right="0" w:hanging="402"/>
            <w:jc w:val="left"/>
          </w:pPr>
          <w:r>
            <w:rPr/>
            <w:t>¿Qué elementos debe de tener una teoría del</w:t>
          </w:r>
          <w:r>
            <w:rPr>
              <w:spacing w:val="-23"/>
            </w:rPr>
            <w:t> </w:t>
          </w:r>
          <w:r>
            <w:rPr/>
            <w:t>caso</w:t>
          </w:r>
        </w:p>
        <w:p>
          <w:pPr>
            <w:pStyle w:val="TOC4"/>
            <w:tabs>
              <w:tab w:pos="8941" w:val="right" w:leader="none"/>
            </w:tabs>
            <w:spacing w:before="242"/>
            <w:ind w:left="810" w:firstLine="0"/>
            <w:rPr>
              <w:b/>
            </w:rPr>
          </w:pPr>
          <w:r>
            <w:rPr/>
            <w:t>con perspectiva</w:t>
          </w:r>
          <w:r>
            <w:rPr>
              <w:spacing w:val="-29"/>
            </w:rPr>
            <w:t> </w:t>
          </w:r>
          <w:r>
            <w:rPr/>
            <w:t>de</w:t>
          </w:r>
          <w:r>
            <w:rPr>
              <w:spacing w:val="-12"/>
            </w:rPr>
            <w:t> </w:t>
          </w:r>
          <w:r>
            <w:rPr/>
            <w:t>género?</w:t>
          </w:r>
          <w:r>
            <w:rPr>
              <w:b/>
            </w:rPr>
            <w:tab/>
            <w:t>34</w:t>
          </w:r>
        </w:p>
        <w:p>
          <w:pPr>
            <w:pStyle w:val="TOC1"/>
            <w:spacing w:before="240"/>
            <w:ind w:right="96"/>
          </w:pPr>
          <w:r>
            <w:rPr/>
            <w:t>Capítulo 4. Pasos para la elaboración de una Teoría del Caso</w:t>
          </w:r>
        </w:p>
        <w:p>
          <w:pPr>
            <w:pStyle w:val="TOC3"/>
            <w:tabs>
              <w:tab w:pos="8941" w:val="right" w:leader="none"/>
            </w:tabs>
            <w:rPr>
              <w:b/>
            </w:rPr>
          </w:pPr>
          <w:r>
            <w:rPr/>
            <w:t>con perspectiva</w:t>
          </w:r>
          <w:r>
            <w:rPr>
              <w:spacing w:val="-33"/>
            </w:rPr>
            <w:t> </w:t>
          </w:r>
          <w:r>
            <w:rPr/>
            <w:t>de</w:t>
          </w:r>
          <w:r>
            <w:rPr>
              <w:spacing w:val="-19"/>
            </w:rPr>
            <w:t> </w:t>
          </w:r>
          <w:r>
            <w:rPr/>
            <w:t>género</w:t>
          </w:r>
          <w:r>
            <w:rPr>
              <w:b/>
            </w:rPr>
            <w:tab/>
            <w:t>39</w:t>
          </w:r>
        </w:p>
        <w:p>
          <w:pPr>
            <w:pStyle w:val="TOC2"/>
            <w:rPr>
              <w:b w:val="0"/>
              <w:i w:val="0"/>
              <w:sz w:val="24"/>
            </w:rPr>
          </w:pPr>
          <w:r>
            <w:rPr>
              <w:b w:val="0"/>
              <w:i w:val="0"/>
              <w:sz w:val="24"/>
            </w:rPr>
            <w:t>Capítulo 5. </w:t>
          </w:r>
          <w:r>
            <w:rPr>
              <w:b w:val="0"/>
              <w:i/>
              <w:sz w:val="24"/>
            </w:rPr>
            <w:t>Amicus Curiae: </w:t>
          </w:r>
          <w:r>
            <w:rPr>
              <w:b w:val="0"/>
              <w:i w:val="0"/>
              <w:sz w:val="24"/>
            </w:rPr>
            <w:t>Una herramienta para la</w:t>
          </w:r>
        </w:p>
        <w:p>
          <w:pPr>
            <w:pStyle w:val="TOC1"/>
            <w:tabs>
              <w:tab w:pos="8941" w:val="right" w:leader="none"/>
            </w:tabs>
            <w:rPr>
              <w:b/>
            </w:rPr>
          </w:pPr>
          <w:r>
            <w:rPr/>
            <w:t>Teoría</w:t>
          </w:r>
          <w:r>
            <w:rPr>
              <w:spacing w:val="-17"/>
            </w:rPr>
            <w:t> </w:t>
          </w:r>
          <w:r>
            <w:rPr/>
            <w:t>del</w:t>
          </w:r>
          <w:r>
            <w:rPr>
              <w:spacing w:val="-18"/>
            </w:rPr>
            <w:t> </w:t>
          </w:r>
          <w:r>
            <w:rPr/>
            <w:t>Caso</w:t>
          </w:r>
          <w:r>
            <w:rPr>
              <w:spacing w:val="-17"/>
            </w:rPr>
            <w:t> </w:t>
          </w:r>
          <w:r>
            <w:rPr/>
            <w:t>con</w:t>
          </w:r>
          <w:r>
            <w:rPr>
              <w:spacing w:val="-17"/>
            </w:rPr>
            <w:t> </w:t>
          </w:r>
          <w:r>
            <w:rPr/>
            <w:t>perspectiva</w:t>
          </w:r>
          <w:r>
            <w:rPr>
              <w:spacing w:val="-17"/>
            </w:rPr>
            <w:t> </w:t>
          </w:r>
          <w:r>
            <w:rPr/>
            <w:t>de</w:t>
          </w:r>
          <w:r>
            <w:rPr>
              <w:spacing w:val="-17"/>
            </w:rPr>
            <w:t> </w:t>
          </w:r>
          <w:r>
            <w:rPr/>
            <w:t>género</w:t>
          </w:r>
          <w:r>
            <w:rPr>
              <w:b/>
            </w:rPr>
            <w:tab/>
            <w:t>53</w:t>
          </w:r>
        </w:p>
        <w:p>
          <w:pPr>
            <w:pStyle w:val="TOC1"/>
            <w:tabs>
              <w:tab w:pos="8941" w:val="right" w:leader="none"/>
            </w:tabs>
            <w:spacing w:before="54"/>
            <w:rPr>
              <w:b/>
            </w:rPr>
          </w:pPr>
          <w:r>
            <w:rPr/>
            <w:t>Fuentes</w:t>
          </w:r>
          <w:r>
            <w:rPr>
              <w:spacing w:val="-18"/>
            </w:rPr>
            <w:t> </w:t>
          </w:r>
          <w:r>
            <w:rPr/>
            <w:t>de</w:t>
          </w:r>
          <w:r>
            <w:rPr>
              <w:spacing w:val="-17"/>
            </w:rPr>
            <w:t> </w:t>
          </w:r>
          <w:r>
            <w:rPr/>
            <w:t>consultadas</w:t>
          </w:r>
          <w:r>
            <w:rPr>
              <w:b/>
            </w:rPr>
            <w:tab/>
            <w:t>57</w:t>
          </w:r>
        </w:p>
      </w:sdtContent>
    </w:sdt>
    <w:p>
      <w:pPr>
        <w:spacing w:after="0"/>
        <w:sectPr>
          <w:type w:val="continuous"/>
          <w:pgSz w:w="12240" w:h="15840"/>
          <w:pgMar w:top="1360" w:bottom="1709" w:left="1600" w:right="1580"/>
        </w:sectPr>
      </w:pPr>
    </w:p>
    <w:p>
      <w:pPr>
        <w:pStyle w:val="BodyText"/>
        <w:spacing w:before="9"/>
        <w:rPr>
          <w:b/>
          <w:sz w:val="45"/>
        </w:rPr>
      </w:pPr>
    </w:p>
    <w:p>
      <w:pPr>
        <w:spacing w:before="0"/>
        <w:ind w:left="102" w:right="0" w:firstLine="0"/>
        <w:jc w:val="both"/>
        <w:rPr>
          <w:b/>
          <w:sz w:val="36"/>
        </w:rPr>
      </w:pPr>
      <w:r>
        <w:rPr>
          <w:b/>
          <w:color w:val="6F2F9F"/>
          <w:sz w:val="36"/>
        </w:rPr>
        <w:t>INTRODUCCIÓN</w:t>
      </w:r>
    </w:p>
    <w:p>
      <w:pPr>
        <w:pStyle w:val="BodyText"/>
        <w:spacing w:before="6"/>
        <w:rPr>
          <w:b/>
          <w:sz w:val="35"/>
        </w:rPr>
      </w:pPr>
    </w:p>
    <w:p>
      <w:pPr>
        <w:pStyle w:val="BodyText"/>
        <w:spacing w:line="360" w:lineRule="auto"/>
        <w:ind w:left="102" w:right="119"/>
        <w:jc w:val="both"/>
      </w:pPr>
      <w:r>
        <w:rPr/>
        <w:t>El presente trabajo surge como resultado del diagnóstico aplicado en 2015, con el objetivo de aproximar el conocimiento de los/las profesionales del derecho que se dedican a la defensa</w:t>
      </w:r>
      <w:r>
        <w:rPr>
          <w:spacing w:val="-16"/>
        </w:rPr>
        <w:t> </w:t>
      </w:r>
      <w:r>
        <w:rPr/>
        <w:t>de</w:t>
      </w:r>
      <w:r>
        <w:rPr>
          <w:spacing w:val="-19"/>
        </w:rPr>
        <w:t> </w:t>
      </w:r>
      <w:r>
        <w:rPr/>
        <w:t>mujeres</w:t>
      </w:r>
      <w:r>
        <w:rPr>
          <w:spacing w:val="-16"/>
        </w:rPr>
        <w:t> </w:t>
      </w:r>
      <w:r>
        <w:rPr/>
        <w:t>en</w:t>
      </w:r>
      <w:r>
        <w:rPr>
          <w:spacing w:val="-19"/>
        </w:rPr>
        <w:t> </w:t>
      </w:r>
      <w:r>
        <w:rPr/>
        <w:t>materia</w:t>
      </w:r>
      <w:r>
        <w:rPr>
          <w:spacing w:val="-16"/>
        </w:rPr>
        <w:t> </w:t>
      </w:r>
      <w:r>
        <w:rPr/>
        <w:t>penal,</w:t>
      </w:r>
      <w:r>
        <w:rPr>
          <w:spacing w:val="-17"/>
        </w:rPr>
        <w:t> </w:t>
      </w:r>
      <w:r>
        <w:rPr/>
        <w:t>sobre</w:t>
      </w:r>
      <w:r>
        <w:rPr>
          <w:spacing w:val="-16"/>
        </w:rPr>
        <w:t> </w:t>
      </w:r>
      <w:r>
        <w:rPr/>
        <w:t>la</w:t>
      </w:r>
      <w:r>
        <w:rPr>
          <w:spacing w:val="-16"/>
        </w:rPr>
        <w:t> </w:t>
      </w:r>
      <w:r>
        <w:rPr/>
        <w:t>perspectiva</w:t>
      </w:r>
      <w:r>
        <w:rPr>
          <w:spacing w:val="-16"/>
        </w:rPr>
        <w:t> </w:t>
      </w:r>
      <w:r>
        <w:rPr/>
        <w:t>de</w:t>
      </w:r>
      <w:r>
        <w:rPr>
          <w:spacing w:val="-19"/>
        </w:rPr>
        <w:t> </w:t>
      </w:r>
      <w:r>
        <w:rPr/>
        <w:t>género,</w:t>
      </w:r>
      <w:r>
        <w:rPr>
          <w:spacing w:val="-15"/>
        </w:rPr>
        <w:t> </w:t>
      </w:r>
      <w:r>
        <w:rPr/>
        <w:t>cómo</w:t>
      </w:r>
      <w:r>
        <w:rPr>
          <w:spacing w:val="-16"/>
        </w:rPr>
        <w:t> </w:t>
      </w:r>
      <w:r>
        <w:rPr/>
        <w:t>la</w:t>
      </w:r>
      <w:r>
        <w:rPr>
          <w:spacing w:val="-16"/>
        </w:rPr>
        <w:t> </w:t>
      </w:r>
      <w:r>
        <w:rPr/>
        <w:t>han</w:t>
      </w:r>
      <w:r>
        <w:rPr>
          <w:spacing w:val="-16"/>
        </w:rPr>
        <w:t> </w:t>
      </w:r>
      <w:r>
        <w:rPr/>
        <w:t>aplicado, en su caso, y la utilización del marco jurídico nacional e internacional que protegen los derechos de las</w:t>
      </w:r>
      <w:r>
        <w:rPr>
          <w:spacing w:val="-6"/>
        </w:rPr>
        <w:t> </w:t>
      </w:r>
      <w:r>
        <w:rPr/>
        <w:t>mujeres.</w:t>
      </w:r>
    </w:p>
    <w:p>
      <w:pPr>
        <w:pStyle w:val="BodyText"/>
        <w:spacing w:before="7"/>
        <w:rPr>
          <w:sz w:val="17"/>
        </w:rPr>
      </w:pPr>
    </w:p>
    <w:p>
      <w:pPr>
        <w:pStyle w:val="BodyText"/>
        <w:ind w:left="102"/>
        <w:jc w:val="both"/>
      </w:pPr>
      <w:r>
        <w:rPr/>
        <w:t>Las principales conclusiones de dicho diagnóstico fueron:</w:t>
      </w:r>
    </w:p>
    <w:p>
      <w:pPr>
        <w:pStyle w:val="BodyText"/>
        <w:spacing w:before="5"/>
        <w:rPr>
          <w:sz w:val="28"/>
        </w:rPr>
      </w:pPr>
    </w:p>
    <w:p>
      <w:pPr>
        <w:spacing w:line="360" w:lineRule="auto" w:before="0"/>
        <w:ind w:left="1234" w:right="1873" w:firstLine="0"/>
        <w:jc w:val="both"/>
        <w:rPr>
          <w:sz w:val="20"/>
        </w:rPr>
      </w:pPr>
      <w:r>
        <w:rPr>
          <w:sz w:val="20"/>
        </w:rPr>
        <w:t>No existe incorporación de la perspectiva de género en la defensa de las mujeres que son acusadas de cometer conductas delictivas, lo cual, las deja en un estado de indefensión y no permite que tengan un adecuado acceso a la justicia.</w:t>
      </w:r>
    </w:p>
    <w:p>
      <w:pPr>
        <w:pStyle w:val="BodyText"/>
        <w:spacing w:before="5"/>
        <w:rPr>
          <w:sz w:val="17"/>
        </w:rPr>
      </w:pPr>
    </w:p>
    <w:p>
      <w:pPr>
        <w:spacing w:line="360" w:lineRule="auto" w:before="0"/>
        <w:ind w:left="1234" w:right="1872" w:firstLine="0"/>
        <w:jc w:val="both"/>
        <w:rPr>
          <w:sz w:val="20"/>
        </w:rPr>
      </w:pPr>
      <w:r>
        <w:rPr>
          <w:sz w:val="20"/>
        </w:rPr>
        <w:t>Los abogados y las abogadas, no cuentan con perspectiva de género y por ende, no cuentan con elementos que permitan garantizar una defensa, alejada de prejuicios sexistas.</w:t>
      </w:r>
    </w:p>
    <w:p>
      <w:pPr>
        <w:pStyle w:val="BodyText"/>
        <w:spacing w:before="5"/>
        <w:rPr>
          <w:sz w:val="17"/>
        </w:rPr>
      </w:pPr>
    </w:p>
    <w:p>
      <w:pPr>
        <w:spacing w:line="362" w:lineRule="auto" w:before="0"/>
        <w:ind w:left="1234" w:right="1872" w:firstLine="0"/>
        <w:jc w:val="both"/>
        <w:rPr>
          <w:sz w:val="20"/>
        </w:rPr>
      </w:pPr>
      <w:r>
        <w:rPr>
          <w:sz w:val="20"/>
        </w:rPr>
        <w:t>Porcentualmente los defensores de oficio, cuentan con más elementos para incorporar a la defensa de las mujeres la perspectiva de género.</w:t>
      </w:r>
    </w:p>
    <w:p>
      <w:pPr>
        <w:pStyle w:val="BodyText"/>
        <w:spacing w:before="3"/>
        <w:rPr>
          <w:sz w:val="17"/>
        </w:rPr>
      </w:pPr>
    </w:p>
    <w:p>
      <w:pPr>
        <w:spacing w:line="360" w:lineRule="auto" w:before="0"/>
        <w:ind w:left="1234" w:right="1870" w:firstLine="0"/>
        <w:jc w:val="both"/>
        <w:rPr>
          <w:sz w:val="20"/>
        </w:rPr>
      </w:pPr>
      <w:r>
        <w:rPr>
          <w:sz w:val="20"/>
        </w:rPr>
        <w:t>Los</w:t>
      </w:r>
      <w:r>
        <w:rPr>
          <w:spacing w:val="-9"/>
          <w:sz w:val="20"/>
        </w:rPr>
        <w:t> </w:t>
      </w:r>
      <w:r>
        <w:rPr>
          <w:sz w:val="20"/>
        </w:rPr>
        <w:t>abogados</w:t>
      </w:r>
      <w:r>
        <w:rPr>
          <w:spacing w:val="-5"/>
          <w:sz w:val="20"/>
        </w:rPr>
        <w:t> </w:t>
      </w:r>
      <w:r>
        <w:rPr>
          <w:sz w:val="20"/>
        </w:rPr>
        <w:t>y</w:t>
      </w:r>
      <w:r>
        <w:rPr>
          <w:spacing w:val="-11"/>
          <w:sz w:val="20"/>
        </w:rPr>
        <w:t> </w:t>
      </w:r>
      <w:r>
        <w:rPr>
          <w:sz w:val="20"/>
        </w:rPr>
        <w:t>las</w:t>
      </w:r>
      <w:r>
        <w:rPr>
          <w:spacing w:val="-7"/>
          <w:sz w:val="20"/>
        </w:rPr>
        <w:t> </w:t>
      </w:r>
      <w:r>
        <w:rPr>
          <w:sz w:val="20"/>
        </w:rPr>
        <w:t>bogadas</w:t>
      </w:r>
      <w:r>
        <w:rPr>
          <w:spacing w:val="-9"/>
          <w:sz w:val="20"/>
        </w:rPr>
        <w:t> </w:t>
      </w:r>
      <w:r>
        <w:rPr>
          <w:sz w:val="20"/>
        </w:rPr>
        <w:t>a</w:t>
      </w:r>
      <w:r>
        <w:rPr>
          <w:spacing w:val="-10"/>
          <w:sz w:val="20"/>
        </w:rPr>
        <w:t> </w:t>
      </w:r>
      <w:r>
        <w:rPr>
          <w:sz w:val="20"/>
        </w:rPr>
        <w:t>quienes</w:t>
      </w:r>
      <w:r>
        <w:rPr>
          <w:spacing w:val="-9"/>
          <w:sz w:val="20"/>
        </w:rPr>
        <w:t> </w:t>
      </w:r>
      <w:r>
        <w:rPr>
          <w:sz w:val="20"/>
        </w:rPr>
        <w:t>se</w:t>
      </w:r>
      <w:r>
        <w:rPr>
          <w:spacing w:val="-8"/>
          <w:sz w:val="20"/>
        </w:rPr>
        <w:t> </w:t>
      </w:r>
      <w:r>
        <w:rPr>
          <w:sz w:val="20"/>
        </w:rPr>
        <w:t>les</w:t>
      </w:r>
      <w:r>
        <w:rPr>
          <w:spacing w:val="-9"/>
          <w:sz w:val="20"/>
        </w:rPr>
        <w:t> </w:t>
      </w:r>
      <w:r>
        <w:rPr>
          <w:sz w:val="20"/>
        </w:rPr>
        <w:t>aplicó</w:t>
      </w:r>
      <w:r>
        <w:rPr>
          <w:spacing w:val="-8"/>
          <w:sz w:val="20"/>
        </w:rPr>
        <w:t> </w:t>
      </w:r>
      <w:r>
        <w:rPr>
          <w:sz w:val="20"/>
        </w:rPr>
        <w:t>el</w:t>
      </w:r>
      <w:r>
        <w:rPr>
          <w:spacing w:val="-9"/>
          <w:sz w:val="20"/>
        </w:rPr>
        <w:t> </w:t>
      </w:r>
      <w:r>
        <w:rPr>
          <w:sz w:val="20"/>
        </w:rPr>
        <w:t>cuestionario, desconocen</w:t>
      </w:r>
      <w:r>
        <w:rPr>
          <w:spacing w:val="-13"/>
          <w:sz w:val="20"/>
        </w:rPr>
        <w:t> </w:t>
      </w:r>
      <w:r>
        <w:rPr>
          <w:sz w:val="20"/>
        </w:rPr>
        <w:t>la</w:t>
      </w:r>
      <w:r>
        <w:rPr>
          <w:spacing w:val="-15"/>
          <w:sz w:val="20"/>
        </w:rPr>
        <w:t> </w:t>
      </w:r>
      <w:r>
        <w:rPr>
          <w:sz w:val="20"/>
        </w:rPr>
        <w:t>legislación</w:t>
      </w:r>
      <w:r>
        <w:rPr>
          <w:spacing w:val="-13"/>
          <w:sz w:val="20"/>
        </w:rPr>
        <w:t> </w:t>
      </w:r>
      <w:r>
        <w:rPr>
          <w:sz w:val="20"/>
        </w:rPr>
        <w:t>que</w:t>
      </w:r>
      <w:r>
        <w:rPr>
          <w:spacing w:val="-16"/>
          <w:sz w:val="20"/>
        </w:rPr>
        <w:t> </w:t>
      </w:r>
      <w:r>
        <w:rPr>
          <w:sz w:val="20"/>
        </w:rPr>
        <w:t>protege</w:t>
      </w:r>
      <w:r>
        <w:rPr>
          <w:spacing w:val="-15"/>
          <w:sz w:val="20"/>
        </w:rPr>
        <w:t> </w:t>
      </w:r>
      <w:r>
        <w:rPr>
          <w:sz w:val="20"/>
        </w:rPr>
        <w:t>los</w:t>
      </w:r>
      <w:r>
        <w:rPr>
          <w:spacing w:val="-14"/>
          <w:sz w:val="20"/>
        </w:rPr>
        <w:t> </w:t>
      </w:r>
      <w:r>
        <w:rPr>
          <w:sz w:val="20"/>
        </w:rPr>
        <w:t>derechos</w:t>
      </w:r>
      <w:r>
        <w:rPr>
          <w:spacing w:val="-14"/>
          <w:sz w:val="20"/>
        </w:rPr>
        <w:t> </w:t>
      </w:r>
      <w:r>
        <w:rPr>
          <w:sz w:val="20"/>
        </w:rPr>
        <w:t>humanos</w:t>
      </w:r>
      <w:r>
        <w:rPr>
          <w:spacing w:val="-14"/>
          <w:sz w:val="20"/>
        </w:rPr>
        <w:t> </w:t>
      </w:r>
      <w:r>
        <w:rPr>
          <w:sz w:val="20"/>
        </w:rPr>
        <w:t>de</w:t>
      </w:r>
      <w:r>
        <w:rPr>
          <w:spacing w:val="-16"/>
          <w:sz w:val="20"/>
        </w:rPr>
        <w:t> </w:t>
      </w:r>
      <w:r>
        <w:rPr>
          <w:sz w:val="20"/>
        </w:rPr>
        <w:t>las mujeres,</w:t>
      </w:r>
      <w:r>
        <w:rPr>
          <w:spacing w:val="-14"/>
          <w:sz w:val="20"/>
        </w:rPr>
        <w:t> </w:t>
      </w:r>
      <w:r>
        <w:rPr>
          <w:sz w:val="20"/>
        </w:rPr>
        <w:t>lo</w:t>
      </w:r>
      <w:r>
        <w:rPr>
          <w:spacing w:val="-14"/>
          <w:sz w:val="20"/>
        </w:rPr>
        <w:t> </w:t>
      </w:r>
      <w:r>
        <w:rPr>
          <w:sz w:val="20"/>
        </w:rPr>
        <w:t>que</w:t>
      </w:r>
      <w:r>
        <w:rPr>
          <w:spacing w:val="-14"/>
          <w:sz w:val="20"/>
        </w:rPr>
        <w:t> </w:t>
      </w:r>
      <w:r>
        <w:rPr>
          <w:sz w:val="20"/>
        </w:rPr>
        <w:t>ocasiona</w:t>
      </w:r>
      <w:r>
        <w:rPr>
          <w:spacing w:val="-14"/>
          <w:sz w:val="20"/>
        </w:rPr>
        <w:t> </w:t>
      </w:r>
      <w:r>
        <w:rPr>
          <w:sz w:val="20"/>
        </w:rPr>
        <w:t>una</w:t>
      </w:r>
      <w:r>
        <w:rPr>
          <w:spacing w:val="-14"/>
          <w:sz w:val="20"/>
        </w:rPr>
        <w:t> </w:t>
      </w:r>
      <w:r>
        <w:rPr>
          <w:sz w:val="20"/>
        </w:rPr>
        <w:t>inadecuada</w:t>
      </w:r>
      <w:r>
        <w:rPr>
          <w:spacing w:val="-11"/>
          <w:sz w:val="20"/>
        </w:rPr>
        <w:t> </w:t>
      </w:r>
      <w:r>
        <w:rPr>
          <w:sz w:val="20"/>
        </w:rPr>
        <w:t>defensa</w:t>
      </w:r>
      <w:r>
        <w:rPr>
          <w:spacing w:val="-14"/>
          <w:sz w:val="20"/>
        </w:rPr>
        <w:t> </w:t>
      </w:r>
      <w:r>
        <w:rPr>
          <w:sz w:val="20"/>
        </w:rPr>
        <w:t>(Montoya,</w:t>
      </w:r>
      <w:r>
        <w:rPr>
          <w:spacing w:val="-14"/>
          <w:sz w:val="20"/>
        </w:rPr>
        <w:t> </w:t>
      </w:r>
      <w:r>
        <w:rPr>
          <w:sz w:val="20"/>
        </w:rPr>
        <w:t>2015).</w:t>
      </w:r>
    </w:p>
    <w:p>
      <w:pPr>
        <w:pStyle w:val="BodyText"/>
        <w:spacing w:before="8"/>
        <w:rPr>
          <w:sz w:val="17"/>
        </w:rPr>
      </w:pPr>
    </w:p>
    <w:p>
      <w:pPr>
        <w:pStyle w:val="BodyText"/>
        <w:spacing w:line="360" w:lineRule="auto"/>
        <w:ind w:left="102" w:right="164"/>
        <w:jc w:val="both"/>
      </w:pPr>
      <w:r>
        <w:rPr/>
        <w:t>Asimismo, en el estudio realizado con las mujeres privadas de su libertad en el Centro Preventivo y de Readaptación Social del Oro, Estado de México, permitió determinar ciertos factores que propician la indefensión jurídica de las mujeres, entre los cuales destacan, la no existencia de estrategias procesales con perspectiva de género, así como la inadecuada defensa por parte de los abogados y las abogadas.</w:t>
      </w:r>
    </w:p>
    <w:p>
      <w:pPr>
        <w:pStyle w:val="BodyText"/>
        <w:spacing w:before="7"/>
        <w:rPr>
          <w:sz w:val="17"/>
        </w:rPr>
      </w:pPr>
    </w:p>
    <w:p>
      <w:pPr>
        <w:pStyle w:val="BodyText"/>
        <w:spacing w:line="360" w:lineRule="auto"/>
        <w:ind w:left="102" w:right="165"/>
        <w:jc w:val="both"/>
      </w:pPr>
      <w:r>
        <w:rPr/>
        <w:t>Es</w:t>
      </w:r>
      <w:r>
        <w:rPr>
          <w:spacing w:val="-5"/>
        </w:rPr>
        <w:t> </w:t>
      </w:r>
      <w:r>
        <w:rPr/>
        <w:t>así</w:t>
      </w:r>
      <w:r>
        <w:rPr>
          <w:spacing w:val="-12"/>
        </w:rPr>
        <w:t> </w:t>
      </w:r>
      <w:r>
        <w:rPr/>
        <w:t>que,</w:t>
      </w:r>
      <w:r>
        <w:rPr>
          <w:spacing w:val="-6"/>
        </w:rPr>
        <w:t> </w:t>
      </w:r>
      <w:r>
        <w:rPr/>
        <w:t>ésta</w:t>
      </w:r>
      <w:r>
        <w:rPr>
          <w:spacing w:val="-10"/>
        </w:rPr>
        <w:t> </w:t>
      </w:r>
      <w:r>
        <w:rPr/>
        <w:t>guía</w:t>
      </w:r>
      <w:r>
        <w:rPr>
          <w:spacing w:val="-8"/>
        </w:rPr>
        <w:t> </w:t>
      </w:r>
      <w:r>
        <w:rPr/>
        <w:t>se</w:t>
      </w:r>
      <w:r>
        <w:rPr>
          <w:spacing w:val="-8"/>
        </w:rPr>
        <w:t> </w:t>
      </w:r>
      <w:r>
        <w:rPr/>
        <w:t>presenta</w:t>
      </w:r>
      <w:r>
        <w:rPr>
          <w:spacing w:val="-7"/>
        </w:rPr>
        <w:t> </w:t>
      </w:r>
      <w:r>
        <w:rPr/>
        <w:t>como</w:t>
      </w:r>
      <w:r>
        <w:rPr>
          <w:spacing w:val="-8"/>
        </w:rPr>
        <w:t> </w:t>
      </w:r>
      <w:r>
        <w:rPr/>
        <w:t>una</w:t>
      </w:r>
      <w:r>
        <w:rPr>
          <w:spacing w:val="-8"/>
        </w:rPr>
        <w:t> </w:t>
      </w:r>
      <w:r>
        <w:rPr/>
        <w:t>estrategia,</w:t>
      </w:r>
      <w:r>
        <w:rPr>
          <w:spacing w:val="-7"/>
        </w:rPr>
        <w:t> </w:t>
      </w:r>
      <w:r>
        <w:rPr/>
        <w:t>para</w:t>
      </w:r>
      <w:r>
        <w:rPr>
          <w:spacing w:val="-8"/>
        </w:rPr>
        <w:t> </w:t>
      </w:r>
      <w:r>
        <w:rPr/>
        <w:t>la</w:t>
      </w:r>
      <w:r>
        <w:rPr>
          <w:spacing w:val="-8"/>
        </w:rPr>
        <w:t> </w:t>
      </w:r>
      <w:r>
        <w:rPr/>
        <w:t>defensa</w:t>
      </w:r>
      <w:r>
        <w:rPr>
          <w:spacing w:val="-8"/>
        </w:rPr>
        <w:t> </w:t>
      </w:r>
      <w:r>
        <w:rPr/>
        <w:t>con</w:t>
      </w:r>
      <w:r>
        <w:rPr>
          <w:spacing w:val="-5"/>
        </w:rPr>
        <w:t> </w:t>
      </w:r>
      <w:r>
        <w:rPr/>
        <w:t>perspectiva</w:t>
      </w:r>
      <w:r>
        <w:rPr>
          <w:spacing w:val="-8"/>
        </w:rPr>
        <w:t> </w:t>
      </w:r>
      <w:r>
        <w:rPr/>
        <w:t>de género de las mujeres indiciadas, que de manera funcional permita a los/las abogados/as incorporar</w:t>
      </w:r>
      <w:r>
        <w:rPr>
          <w:spacing w:val="-8"/>
        </w:rPr>
        <w:t> </w:t>
      </w:r>
      <w:r>
        <w:rPr/>
        <w:t>le</w:t>
      </w:r>
      <w:r>
        <w:rPr>
          <w:spacing w:val="-6"/>
        </w:rPr>
        <w:t> </w:t>
      </w:r>
      <w:r>
        <w:rPr/>
        <w:t>perspectiva</w:t>
      </w:r>
      <w:r>
        <w:rPr>
          <w:spacing w:val="-6"/>
        </w:rPr>
        <w:t> </w:t>
      </w:r>
      <w:r>
        <w:rPr/>
        <w:t>de</w:t>
      </w:r>
      <w:r>
        <w:rPr>
          <w:spacing w:val="-9"/>
        </w:rPr>
        <w:t> </w:t>
      </w:r>
      <w:r>
        <w:rPr/>
        <w:t>género</w:t>
      </w:r>
      <w:r>
        <w:rPr>
          <w:spacing w:val="-8"/>
        </w:rPr>
        <w:t> </w:t>
      </w:r>
      <w:r>
        <w:rPr/>
        <w:t>en</w:t>
      </w:r>
      <w:r>
        <w:rPr>
          <w:spacing w:val="-9"/>
        </w:rPr>
        <w:t> </w:t>
      </w:r>
      <w:r>
        <w:rPr/>
        <w:t>su</w:t>
      </w:r>
      <w:r>
        <w:rPr>
          <w:spacing w:val="-5"/>
        </w:rPr>
        <w:t> </w:t>
      </w:r>
      <w:r>
        <w:rPr/>
        <w:t>defensa,</w:t>
      </w:r>
      <w:r>
        <w:rPr>
          <w:spacing w:val="-8"/>
        </w:rPr>
        <w:t> </w:t>
      </w:r>
      <w:r>
        <w:rPr/>
        <w:t>garantizando</w:t>
      </w:r>
      <w:r>
        <w:rPr>
          <w:spacing w:val="-7"/>
        </w:rPr>
        <w:t> </w:t>
      </w:r>
      <w:r>
        <w:rPr/>
        <w:t>una</w:t>
      </w:r>
      <w:r>
        <w:rPr>
          <w:spacing w:val="-6"/>
        </w:rPr>
        <w:t> </w:t>
      </w:r>
      <w:r>
        <w:rPr/>
        <w:t>defensa</w:t>
      </w:r>
      <w:r>
        <w:rPr>
          <w:spacing w:val="-6"/>
        </w:rPr>
        <w:t> </w:t>
      </w:r>
      <w:r>
        <w:rPr/>
        <w:t>técnica</w:t>
      </w:r>
      <w:r>
        <w:rPr>
          <w:spacing w:val="-6"/>
        </w:rPr>
        <w:t> </w:t>
      </w:r>
      <w:r>
        <w:rPr/>
        <w:t>a</w:t>
      </w:r>
      <w:r>
        <w:rPr>
          <w:spacing w:val="-9"/>
        </w:rPr>
        <w:t> </w:t>
      </w:r>
      <w:r>
        <w:rPr/>
        <w:t>las mujeres</w:t>
      </w:r>
      <w:r>
        <w:rPr>
          <w:spacing w:val="48"/>
        </w:rPr>
        <w:t> </w:t>
      </w:r>
      <w:r>
        <w:rPr/>
        <w:t>indiciadas,</w:t>
      </w:r>
      <w:r>
        <w:rPr>
          <w:spacing w:val="50"/>
        </w:rPr>
        <w:t> </w:t>
      </w:r>
      <w:r>
        <w:rPr/>
        <w:t>lo</w:t>
      </w:r>
      <w:r>
        <w:rPr>
          <w:spacing w:val="48"/>
        </w:rPr>
        <w:t> </w:t>
      </w:r>
      <w:r>
        <w:rPr/>
        <w:t>que</w:t>
      </w:r>
      <w:r>
        <w:rPr>
          <w:spacing w:val="51"/>
        </w:rPr>
        <w:t> </w:t>
      </w:r>
      <w:r>
        <w:rPr/>
        <w:t>permitirá</w:t>
      </w:r>
      <w:r>
        <w:rPr>
          <w:spacing w:val="48"/>
        </w:rPr>
        <w:t> </w:t>
      </w:r>
      <w:r>
        <w:rPr/>
        <w:t>las</w:t>
      </w:r>
      <w:r>
        <w:rPr>
          <w:spacing w:val="48"/>
        </w:rPr>
        <w:t> </w:t>
      </w:r>
      <w:r>
        <w:rPr/>
        <w:t>protección</w:t>
      </w:r>
      <w:r>
        <w:rPr>
          <w:spacing w:val="51"/>
        </w:rPr>
        <w:t> </w:t>
      </w:r>
      <w:r>
        <w:rPr/>
        <w:t>de</w:t>
      </w:r>
      <w:r>
        <w:rPr>
          <w:spacing w:val="48"/>
        </w:rPr>
        <w:t> </w:t>
      </w:r>
      <w:r>
        <w:rPr/>
        <w:t>sus</w:t>
      </w:r>
      <w:r>
        <w:rPr>
          <w:spacing w:val="48"/>
        </w:rPr>
        <w:t> </w:t>
      </w:r>
      <w:r>
        <w:rPr/>
        <w:t>derechos</w:t>
      </w:r>
      <w:r>
        <w:rPr>
          <w:spacing w:val="48"/>
        </w:rPr>
        <w:t> </w:t>
      </w:r>
      <w:r>
        <w:rPr/>
        <w:t>humanos</w:t>
      </w:r>
      <w:r>
        <w:rPr>
          <w:spacing w:val="48"/>
        </w:rPr>
        <w:t> </w:t>
      </w:r>
      <w:r>
        <w:rPr/>
        <w:t>en</w:t>
      </w:r>
      <w:r>
        <w:rPr>
          <w:spacing w:val="48"/>
        </w:rPr>
        <w:t> </w:t>
      </w:r>
      <w:r>
        <w:rPr/>
        <w:t>los</w:t>
      </w:r>
    </w:p>
    <w:p>
      <w:pPr>
        <w:spacing w:after="0" w:line="360" w:lineRule="auto"/>
        <w:jc w:val="both"/>
        <w:sectPr>
          <w:pgSz w:w="12240" w:h="15840"/>
          <w:pgMar w:header="0" w:footer="1002" w:top="1500" w:bottom="1200" w:left="1600" w:right="1580"/>
        </w:sectPr>
      </w:pPr>
    </w:p>
    <w:p>
      <w:pPr>
        <w:pStyle w:val="BodyText"/>
        <w:spacing w:line="362" w:lineRule="auto" w:before="54"/>
        <w:ind w:left="102" w:right="96"/>
      </w:pPr>
      <w:r>
        <w:rPr/>
        <w:t>procedimientos</w:t>
      </w:r>
      <w:r>
        <w:rPr>
          <w:spacing w:val="-15"/>
        </w:rPr>
        <w:t> </w:t>
      </w:r>
      <w:r>
        <w:rPr/>
        <w:t>penales</w:t>
      </w:r>
      <w:r>
        <w:rPr>
          <w:spacing w:val="-15"/>
        </w:rPr>
        <w:t> </w:t>
      </w:r>
      <w:r>
        <w:rPr/>
        <w:t>a</w:t>
      </w:r>
      <w:r>
        <w:rPr>
          <w:spacing w:val="-12"/>
        </w:rPr>
        <w:t> </w:t>
      </w:r>
      <w:r>
        <w:rPr/>
        <w:t>los</w:t>
      </w:r>
      <w:r>
        <w:rPr>
          <w:spacing w:val="-15"/>
        </w:rPr>
        <w:t> </w:t>
      </w:r>
      <w:r>
        <w:rPr/>
        <w:t>que</w:t>
      </w:r>
      <w:r>
        <w:rPr>
          <w:spacing w:val="-13"/>
        </w:rPr>
        <w:t> </w:t>
      </w:r>
      <w:r>
        <w:rPr/>
        <w:t>son</w:t>
      </w:r>
      <w:r>
        <w:rPr>
          <w:spacing w:val="-15"/>
        </w:rPr>
        <w:t> </w:t>
      </w:r>
      <w:r>
        <w:rPr/>
        <w:t>sujetas</w:t>
      </w:r>
      <w:r>
        <w:rPr>
          <w:spacing w:val="-14"/>
        </w:rPr>
        <w:t> </w:t>
      </w:r>
      <w:r>
        <w:rPr/>
        <w:t>y</w:t>
      </w:r>
      <w:r>
        <w:rPr>
          <w:spacing w:val="-15"/>
        </w:rPr>
        <w:t> </w:t>
      </w:r>
      <w:r>
        <w:rPr/>
        <w:t>puedan</w:t>
      </w:r>
      <w:r>
        <w:rPr>
          <w:spacing w:val="-13"/>
        </w:rPr>
        <w:t> </w:t>
      </w:r>
      <w:r>
        <w:rPr/>
        <w:t>tener</w:t>
      </w:r>
      <w:r>
        <w:rPr>
          <w:spacing w:val="-12"/>
        </w:rPr>
        <w:t> </w:t>
      </w:r>
      <w:r>
        <w:rPr/>
        <w:t>un</w:t>
      </w:r>
      <w:r>
        <w:rPr>
          <w:spacing w:val="-13"/>
        </w:rPr>
        <w:t> </w:t>
      </w:r>
      <w:r>
        <w:rPr/>
        <w:t>acceso</w:t>
      </w:r>
      <w:r>
        <w:rPr>
          <w:spacing w:val="-13"/>
        </w:rPr>
        <w:t> </w:t>
      </w:r>
      <w:r>
        <w:rPr/>
        <w:t>a</w:t>
      </w:r>
      <w:r>
        <w:rPr>
          <w:spacing w:val="-18"/>
        </w:rPr>
        <w:t> </w:t>
      </w:r>
      <w:r>
        <w:rPr/>
        <w:t>la</w:t>
      </w:r>
      <w:r>
        <w:rPr>
          <w:spacing w:val="-12"/>
        </w:rPr>
        <w:t> </w:t>
      </w:r>
      <w:r>
        <w:rPr/>
        <w:t>justicia</w:t>
      </w:r>
      <w:r>
        <w:rPr>
          <w:spacing w:val="-12"/>
        </w:rPr>
        <w:t> </w:t>
      </w:r>
      <w:r>
        <w:rPr/>
        <w:t>alejado de todo estereotipo sexista que vulnere su derecho a la</w:t>
      </w:r>
      <w:r>
        <w:rPr>
          <w:spacing w:val="-18"/>
        </w:rPr>
        <w:t> </w:t>
      </w:r>
      <w:r>
        <w:rPr/>
        <w:t>igualdad.</w:t>
      </w:r>
    </w:p>
    <w:p>
      <w:pPr>
        <w:spacing w:after="0" w:line="362" w:lineRule="auto"/>
        <w:sectPr>
          <w:pgSz w:w="12240" w:h="15840"/>
          <w:pgMar w:header="0" w:footer="1002"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87"/>
      </w:pPr>
      <w:bookmarkStart w:name="_TOC_250009" w:id="2"/>
      <w:bookmarkEnd w:id="2"/>
      <w:r>
        <w:rPr>
          <w:color w:val="6F2F9F"/>
        </w:rPr>
        <w:t>JUSTIFICACIÓN</w:t>
      </w:r>
    </w:p>
    <w:p>
      <w:pPr>
        <w:pStyle w:val="BodyText"/>
        <w:spacing w:before="6"/>
        <w:rPr>
          <w:b/>
          <w:sz w:val="35"/>
        </w:rPr>
      </w:pPr>
    </w:p>
    <w:p>
      <w:pPr>
        <w:pStyle w:val="BodyText"/>
        <w:spacing w:line="360" w:lineRule="auto"/>
        <w:ind w:left="102" w:right="164"/>
        <w:jc w:val="both"/>
      </w:pPr>
      <w:r>
        <w:rPr/>
        <w:t>Las reformas constitucionales del 10 de junio del 2011, obligan al Estado mexicano al reconocimiento</w:t>
      </w:r>
      <w:r>
        <w:rPr>
          <w:spacing w:val="-13"/>
        </w:rPr>
        <w:t> </w:t>
      </w:r>
      <w:r>
        <w:rPr/>
        <w:t>de</w:t>
      </w:r>
      <w:r>
        <w:rPr>
          <w:spacing w:val="-10"/>
        </w:rPr>
        <w:t> </w:t>
      </w:r>
      <w:r>
        <w:rPr/>
        <w:t>los</w:t>
      </w:r>
      <w:r>
        <w:rPr>
          <w:spacing w:val="-10"/>
        </w:rPr>
        <w:t> </w:t>
      </w:r>
      <w:r>
        <w:rPr/>
        <w:t>derechos</w:t>
      </w:r>
      <w:r>
        <w:rPr>
          <w:spacing w:val="-10"/>
        </w:rPr>
        <w:t> </w:t>
      </w:r>
      <w:r>
        <w:rPr/>
        <w:t>humanos</w:t>
      </w:r>
      <w:r>
        <w:rPr>
          <w:spacing w:val="-10"/>
        </w:rPr>
        <w:t> </w:t>
      </w:r>
      <w:r>
        <w:rPr/>
        <w:t>de</w:t>
      </w:r>
      <w:r>
        <w:rPr>
          <w:spacing w:val="-13"/>
        </w:rPr>
        <w:t> </w:t>
      </w:r>
      <w:r>
        <w:rPr/>
        <w:t>todas</w:t>
      </w:r>
      <w:r>
        <w:rPr>
          <w:spacing w:val="-10"/>
        </w:rPr>
        <w:t> </w:t>
      </w:r>
      <w:r>
        <w:rPr/>
        <w:t>las</w:t>
      </w:r>
      <w:r>
        <w:rPr>
          <w:spacing w:val="-10"/>
        </w:rPr>
        <w:t> </w:t>
      </w:r>
      <w:r>
        <w:rPr/>
        <w:t>personas</w:t>
      </w:r>
      <w:r>
        <w:rPr>
          <w:spacing w:val="-12"/>
        </w:rPr>
        <w:t> </w:t>
      </w:r>
      <w:r>
        <w:rPr/>
        <w:t>que</w:t>
      </w:r>
      <w:r>
        <w:rPr>
          <w:spacing w:val="-13"/>
        </w:rPr>
        <w:t> </w:t>
      </w:r>
      <w:r>
        <w:rPr/>
        <w:t>habitan</w:t>
      </w:r>
      <w:r>
        <w:rPr>
          <w:spacing w:val="-10"/>
        </w:rPr>
        <w:t> </w:t>
      </w:r>
      <w:r>
        <w:rPr/>
        <w:t>en</w:t>
      </w:r>
      <w:r>
        <w:rPr>
          <w:spacing w:val="-10"/>
        </w:rPr>
        <w:t> </w:t>
      </w:r>
      <w:r>
        <w:rPr/>
        <w:t>el</w:t>
      </w:r>
      <w:r>
        <w:rPr>
          <w:spacing w:val="-11"/>
        </w:rPr>
        <w:t> </w:t>
      </w:r>
      <w:r>
        <w:rPr/>
        <w:t>territorio nacional, no sólo de aquellos que se encuentran expresamente reconocidos en la Constitución, sino también de aquellos que se encuentran en los Tratados Internacionales en los que el Estado mexicano sea parte, esto con arreglo en los dispuesto por el artículo primero</w:t>
      </w:r>
      <w:r>
        <w:rPr>
          <w:spacing w:val="-18"/>
        </w:rPr>
        <w:t> </w:t>
      </w:r>
      <w:r>
        <w:rPr/>
        <w:t>en</w:t>
      </w:r>
      <w:r>
        <w:rPr>
          <w:spacing w:val="-18"/>
        </w:rPr>
        <w:t> </w:t>
      </w:r>
      <w:r>
        <w:rPr/>
        <w:t>relación</w:t>
      </w:r>
      <w:r>
        <w:rPr>
          <w:spacing w:val="-15"/>
        </w:rPr>
        <w:t> </w:t>
      </w:r>
      <w:r>
        <w:rPr/>
        <w:t>con</w:t>
      </w:r>
      <w:r>
        <w:rPr>
          <w:spacing w:val="-15"/>
        </w:rPr>
        <w:t> </w:t>
      </w:r>
      <w:r>
        <w:rPr/>
        <w:t>el</w:t>
      </w:r>
      <w:r>
        <w:rPr>
          <w:spacing w:val="-16"/>
        </w:rPr>
        <w:t> </w:t>
      </w:r>
      <w:r>
        <w:rPr/>
        <w:t>133</w:t>
      </w:r>
      <w:r>
        <w:rPr>
          <w:spacing w:val="-15"/>
        </w:rPr>
        <w:t> </w:t>
      </w:r>
      <w:r>
        <w:rPr/>
        <w:t>de</w:t>
      </w:r>
      <w:r>
        <w:rPr>
          <w:spacing w:val="-15"/>
        </w:rPr>
        <w:t> </w:t>
      </w:r>
      <w:r>
        <w:rPr/>
        <w:t>nuestra</w:t>
      </w:r>
      <w:r>
        <w:rPr>
          <w:spacing w:val="-18"/>
        </w:rPr>
        <w:t> </w:t>
      </w:r>
      <w:r>
        <w:rPr/>
        <w:t>Carta</w:t>
      </w:r>
      <w:r>
        <w:rPr>
          <w:spacing w:val="-15"/>
        </w:rPr>
        <w:t> </w:t>
      </w:r>
      <w:r>
        <w:rPr/>
        <w:t>Magna.</w:t>
      </w:r>
      <w:r>
        <w:rPr>
          <w:spacing w:val="-14"/>
        </w:rPr>
        <w:t> </w:t>
      </w:r>
      <w:r>
        <w:rPr/>
        <w:t>Asimismo,</w:t>
      </w:r>
      <w:r>
        <w:rPr>
          <w:spacing w:val="-16"/>
        </w:rPr>
        <w:t> </w:t>
      </w:r>
      <w:r>
        <w:rPr/>
        <w:t>se</w:t>
      </w:r>
      <w:r>
        <w:rPr>
          <w:spacing w:val="-17"/>
        </w:rPr>
        <w:t> </w:t>
      </w:r>
      <w:r>
        <w:rPr/>
        <w:t>crea</w:t>
      </w:r>
      <w:r>
        <w:rPr>
          <w:spacing w:val="-20"/>
        </w:rPr>
        <w:t> </w:t>
      </w:r>
      <w:r>
        <w:rPr/>
        <w:t>la</w:t>
      </w:r>
      <w:r>
        <w:rPr>
          <w:spacing w:val="-15"/>
        </w:rPr>
        <w:t> </w:t>
      </w:r>
      <w:r>
        <w:rPr/>
        <w:t>obligatoriedad de la promoción, respeto y estricta observancia de dichos derechos por todas las autoridades en los distintos ámbitos de</w:t>
      </w:r>
      <w:r>
        <w:rPr>
          <w:spacing w:val="-13"/>
        </w:rPr>
        <w:t> </w:t>
      </w:r>
      <w:r>
        <w:rPr/>
        <w:t>gobierno.</w:t>
      </w:r>
    </w:p>
    <w:p>
      <w:pPr>
        <w:pStyle w:val="BodyText"/>
        <w:spacing w:before="7"/>
        <w:rPr>
          <w:sz w:val="17"/>
        </w:rPr>
      </w:pPr>
    </w:p>
    <w:p>
      <w:pPr>
        <w:pStyle w:val="BodyText"/>
        <w:spacing w:line="360" w:lineRule="auto"/>
        <w:ind w:left="102" w:right="166"/>
        <w:jc w:val="both"/>
      </w:pPr>
      <w:r>
        <w:rPr/>
        <w:t>En ese orden de ideas, el Estado mexicano ha suscrito diversos instrumentos de carácter internacional protectores de los derechos de las mujeres, tales como, la Convención Americana</w:t>
      </w:r>
      <w:r>
        <w:rPr>
          <w:spacing w:val="-14"/>
        </w:rPr>
        <w:t> </w:t>
      </w:r>
      <w:r>
        <w:rPr/>
        <w:t>de</w:t>
      </w:r>
      <w:r>
        <w:rPr>
          <w:spacing w:val="-14"/>
        </w:rPr>
        <w:t> </w:t>
      </w:r>
      <w:r>
        <w:rPr/>
        <w:t>Derechos</w:t>
      </w:r>
      <w:r>
        <w:rPr>
          <w:spacing w:val="-16"/>
        </w:rPr>
        <w:t> </w:t>
      </w:r>
      <w:r>
        <w:rPr/>
        <w:t>Humanos,</w:t>
      </w:r>
      <w:r>
        <w:rPr>
          <w:spacing w:val="-13"/>
        </w:rPr>
        <w:t> </w:t>
      </w:r>
      <w:r>
        <w:rPr/>
        <w:t>la</w:t>
      </w:r>
      <w:r>
        <w:rPr>
          <w:spacing w:val="-13"/>
        </w:rPr>
        <w:t> </w:t>
      </w:r>
      <w:r>
        <w:rPr/>
        <w:t>Convención</w:t>
      </w:r>
      <w:r>
        <w:rPr>
          <w:spacing w:val="-14"/>
        </w:rPr>
        <w:t> </w:t>
      </w:r>
      <w:r>
        <w:rPr/>
        <w:t>Sobre</w:t>
      </w:r>
      <w:r>
        <w:rPr>
          <w:spacing w:val="-13"/>
        </w:rPr>
        <w:t> </w:t>
      </w:r>
      <w:r>
        <w:rPr/>
        <w:t>la</w:t>
      </w:r>
      <w:r>
        <w:rPr>
          <w:spacing w:val="-13"/>
        </w:rPr>
        <w:t> </w:t>
      </w:r>
      <w:r>
        <w:rPr/>
        <w:t>Eliminación</w:t>
      </w:r>
      <w:r>
        <w:rPr>
          <w:spacing w:val="-14"/>
        </w:rPr>
        <w:t> </w:t>
      </w:r>
      <w:r>
        <w:rPr/>
        <w:t>de</w:t>
      </w:r>
      <w:r>
        <w:rPr>
          <w:spacing w:val="-14"/>
        </w:rPr>
        <w:t> </w:t>
      </w:r>
      <w:r>
        <w:rPr/>
        <w:t>todas</w:t>
      </w:r>
      <w:r>
        <w:rPr>
          <w:spacing w:val="-13"/>
        </w:rPr>
        <w:t> </w:t>
      </w:r>
      <w:r>
        <w:rPr/>
        <w:t>las</w:t>
      </w:r>
      <w:r>
        <w:rPr>
          <w:spacing w:val="-16"/>
        </w:rPr>
        <w:t> </w:t>
      </w:r>
      <w:r>
        <w:rPr/>
        <w:t>formas de violencia en contra de las mujeres (CEDAW), La Convención Interamericana para Prevenir, Sancionar y Erradicar la Violencia en contra de las Mujeres (Convención Belém Do Pará), los cuales constriñen a nuestro país a tomar las medidas necesarias para que las mujeres sean juzgadas a partir de la perspectiva de género, con la finalidad de que tengan procedimientos judiciales</w:t>
      </w:r>
      <w:r>
        <w:rPr>
          <w:spacing w:val="-15"/>
        </w:rPr>
        <w:t> </w:t>
      </w:r>
      <w:r>
        <w:rPr/>
        <w:t>justos.</w:t>
      </w:r>
    </w:p>
    <w:p>
      <w:pPr>
        <w:pStyle w:val="BodyText"/>
        <w:spacing w:before="7"/>
        <w:rPr>
          <w:sz w:val="17"/>
        </w:rPr>
      </w:pPr>
    </w:p>
    <w:p>
      <w:pPr>
        <w:pStyle w:val="BodyText"/>
        <w:spacing w:line="360" w:lineRule="auto"/>
        <w:ind w:left="102" w:right="163"/>
        <w:jc w:val="both"/>
      </w:pPr>
      <w:r>
        <w:rPr/>
        <w:t>Ahora bien, la reforma constitucional en materia penal del 2008, en el que se cambia del sistema inquisitivo al sistema acusatorio, tiene como objetivos: mejorar el desempeño en la</w:t>
      </w:r>
      <w:r>
        <w:rPr>
          <w:spacing w:val="-9"/>
        </w:rPr>
        <w:t> </w:t>
      </w:r>
      <w:r>
        <w:rPr/>
        <w:t>procuración</w:t>
      </w:r>
      <w:r>
        <w:rPr>
          <w:spacing w:val="-9"/>
        </w:rPr>
        <w:t> </w:t>
      </w:r>
      <w:r>
        <w:rPr/>
        <w:t>e</w:t>
      </w:r>
      <w:r>
        <w:rPr>
          <w:spacing w:val="-11"/>
        </w:rPr>
        <w:t> </w:t>
      </w:r>
      <w:r>
        <w:rPr/>
        <w:t>impartición</w:t>
      </w:r>
      <w:r>
        <w:rPr>
          <w:spacing w:val="-9"/>
        </w:rPr>
        <w:t> </w:t>
      </w:r>
      <w:r>
        <w:rPr/>
        <w:t>de</w:t>
      </w:r>
      <w:r>
        <w:rPr>
          <w:spacing w:val="-11"/>
        </w:rPr>
        <w:t> </w:t>
      </w:r>
      <w:r>
        <w:rPr/>
        <w:t>justicia</w:t>
      </w:r>
      <w:r>
        <w:rPr>
          <w:spacing w:val="-9"/>
        </w:rPr>
        <w:t> </w:t>
      </w:r>
      <w:r>
        <w:rPr/>
        <w:t>en</w:t>
      </w:r>
      <w:r>
        <w:rPr>
          <w:spacing w:val="-14"/>
        </w:rPr>
        <w:t> </w:t>
      </w:r>
      <w:r>
        <w:rPr/>
        <w:t>materia</w:t>
      </w:r>
      <w:r>
        <w:rPr>
          <w:spacing w:val="-11"/>
        </w:rPr>
        <w:t> </w:t>
      </w:r>
      <w:r>
        <w:rPr/>
        <w:t>penal;</w:t>
      </w:r>
      <w:r>
        <w:rPr>
          <w:spacing w:val="-8"/>
        </w:rPr>
        <w:t> </w:t>
      </w:r>
      <w:r>
        <w:rPr/>
        <w:t>establecer</w:t>
      </w:r>
      <w:r>
        <w:rPr>
          <w:spacing w:val="-10"/>
        </w:rPr>
        <w:t> </w:t>
      </w:r>
      <w:r>
        <w:rPr/>
        <w:t>un</w:t>
      </w:r>
      <w:r>
        <w:rPr>
          <w:spacing w:val="-11"/>
        </w:rPr>
        <w:t> </w:t>
      </w:r>
      <w:r>
        <w:rPr/>
        <w:t>sistema</w:t>
      </w:r>
      <w:r>
        <w:rPr>
          <w:spacing w:val="-8"/>
        </w:rPr>
        <w:t> </w:t>
      </w:r>
      <w:r>
        <w:rPr/>
        <w:t>de</w:t>
      </w:r>
      <w:r>
        <w:rPr>
          <w:spacing w:val="-11"/>
        </w:rPr>
        <w:t> </w:t>
      </w:r>
      <w:r>
        <w:rPr/>
        <w:t>igualdad de</w:t>
      </w:r>
      <w:r>
        <w:rPr>
          <w:spacing w:val="-14"/>
        </w:rPr>
        <w:t> </w:t>
      </w:r>
      <w:r>
        <w:rPr/>
        <w:t>las</w:t>
      </w:r>
      <w:r>
        <w:rPr>
          <w:spacing w:val="-13"/>
        </w:rPr>
        <w:t> </w:t>
      </w:r>
      <w:r>
        <w:rPr/>
        <w:t>partes</w:t>
      </w:r>
      <w:r>
        <w:rPr>
          <w:spacing w:val="-13"/>
        </w:rPr>
        <w:t> </w:t>
      </w:r>
      <w:r>
        <w:rPr/>
        <w:t>y</w:t>
      </w:r>
      <w:r>
        <w:rPr>
          <w:spacing w:val="-16"/>
        </w:rPr>
        <w:t> </w:t>
      </w:r>
      <w:r>
        <w:rPr/>
        <w:t>lograr</w:t>
      </w:r>
      <w:r>
        <w:rPr>
          <w:spacing w:val="-15"/>
        </w:rPr>
        <w:t> </w:t>
      </w:r>
      <w:r>
        <w:rPr/>
        <w:t>el</w:t>
      </w:r>
      <w:r>
        <w:rPr>
          <w:spacing w:val="-15"/>
        </w:rPr>
        <w:t> </w:t>
      </w:r>
      <w:r>
        <w:rPr/>
        <w:t>reconocimiento</w:t>
      </w:r>
      <w:r>
        <w:rPr>
          <w:spacing w:val="-16"/>
        </w:rPr>
        <w:t> </w:t>
      </w:r>
      <w:r>
        <w:rPr/>
        <w:t>y</w:t>
      </w:r>
      <w:r>
        <w:rPr>
          <w:spacing w:val="-16"/>
        </w:rPr>
        <w:t> </w:t>
      </w:r>
      <w:r>
        <w:rPr/>
        <w:t>protección</w:t>
      </w:r>
      <w:r>
        <w:rPr>
          <w:spacing w:val="-14"/>
        </w:rPr>
        <w:t> </w:t>
      </w:r>
      <w:r>
        <w:rPr/>
        <w:t>de</w:t>
      </w:r>
      <w:r>
        <w:rPr>
          <w:spacing w:val="-16"/>
        </w:rPr>
        <w:t> </w:t>
      </w:r>
      <w:r>
        <w:rPr/>
        <w:t>los</w:t>
      </w:r>
      <w:r>
        <w:rPr>
          <w:spacing w:val="-13"/>
        </w:rPr>
        <w:t> </w:t>
      </w:r>
      <w:r>
        <w:rPr/>
        <w:t>derechos</w:t>
      </w:r>
      <w:r>
        <w:rPr>
          <w:spacing w:val="-16"/>
        </w:rPr>
        <w:t> </w:t>
      </w:r>
      <w:r>
        <w:rPr/>
        <w:t>humanos</w:t>
      </w:r>
      <w:r>
        <w:rPr>
          <w:spacing w:val="-13"/>
        </w:rPr>
        <w:t> </w:t>
      </w:r>
      <w:r>
        <w:rPr/>
        <w:t>establecidos en</w:t>
      </w:r>
      <w:r>
        <w:rPr>
          <w:spacing w:val="-9"/>
        </w:rPr>
        <w:t> </w:t>
      </w:r>
      <w:r>
        <w:rPr/>
        <w:t>la</w:t>
      </w:r>
      <w:r>
        <w:rPr>
          <w:spacing w:val="-9"/>
        </w:rPr>
        <w:t> </w:t>
      </w:r>
      <w:r>
        <w:rPr/>
        <w:t>Constitución</w:t>
      </w:r>
      <w:r>
        <w:rPr>
          <w:spacing w:val="-9"/>
        </w:rPr>
        <w:t> </w:t>
      </w:r>
      <w:r>
        <w:rPr/>
        <w:t>Política</w:t>
      </w:r>
      <w:r>
        <w:rPr>
          <w:spacing w:val="-9"/>
        </w:rPr>
        <w:t> </w:t>
      </w:r>
      <w:r>
        <w:rPr/>
        <w:t>de</w:t>
      </w:r>
      <w:r>
        <w:rPr>
          <w:spacing w:val="-9"/>
        </w:rPr>
        <w:t> </w:t>
      </w:r>
      <w:r>
        <w:rPr/>
        <w:t>los</w:t>
      </w:r>
      <w:r>
        <w:rPr>
          <w:spacing w:val="-9"/>
        </w:rPr>
        <w:t> </w:t>
      </w:r>
      <w:r>
        <w:rPr/>
        <w:t>Estados</w:t>
      </w:r>
      <w:r>
        <w:rPr>
          <w:spacing w:val="-9"/>
        </w:rPr>
        <w:t> </w:t>
      </w:r>
      <w:r>
        <w:rPr/>
        <w:t>Unidos</w:t>
      </w:r>
      <w:r>
        <w:rPr>
          <w:spacing w:val="-9"/>
        </w:rPr>
        <w:t> </w:t>
      </w:r>
      <w:r>
        <w:rPr/>
        <w:t>Mexicanos</w:t>
      </w:r>
      <w:r>
        <w:rPr>
          <w:spacing w:val="-8"/>
        </w:rPr>
        <w:t> </w:t>
      </w:r>
      <w:r>
        <w:rPr/>
        <w:t>y</w:t>
      </w:r>
      <w:r>
        <w:rPr>
          <w:spacing w:val="-11"/>
        </w:rPr>
        <w:t> </w:t>
      </w:r>
      <w:r>
        <w:rPr/>
        <w:t>los</w:t>
      </w:r>
      <w:r>
        <w:rPr>
          <w:spacing w:val="-9"/>
        </w:rPr>
        <w:t> </w:t>
      </w:r>
      <w:r>
        <w:rPr/>
        <w:t>tratados</w:t>
      </w:r>
      <w:r>
        <w:rPr>
          <w:spacing w:val="-11"/>
        </w:rPr>
        <w:t> </w:t>
      </w:r>
      <w:r>
        <w:rPr/>
        <w:t>internacionales.</w:t>
      </w:r>
    </w:p>
    <w:p>
      <w:pPr>
        <w:pStyle w:val="BodyText"/>
        <w:spacing w:before="7"/>
        <w:rPr>
          <w:sz w:val="17"/>
        </w:rPr>
      </w:pPr>
    </w:p>
    <w:p>
      <w:pPr>
        <w:pStyle w:val="BodyText"/>
        <w:spacing w:line="360" w:lineRule="auto"/>
        <w:ind w:left="102" w:right="162"/>
        <w:jc w:val="both"/>
      </w:pPr>
      <w:r>
        <w:rPr/>
        <w:t>Debido al pensamiento androcéntrico imperante en las personas que intervienen en la actividad judicial, los derechos humanos de las mujeres que se encuentran sujetas a un procedimiento penal son vulnerados, por lo que, resulta imprescindible incorporar la perspectiva de género en la defensa de mujeres indiciadas, a fin de que sus derechos humanos sean respetados durante el procedimiento penal al que sean sujetas, evitar su transgresión derivada de los estereotipos de género y en consecuencia, que el Estado</w:t>
      </w:r>
    </w:p>
    <w:p>
      <w:pPr>
        <w:spacing w:after="0" w:line="360" w:lineRule="auto"/>
        <w:jc w:val="both"/>
        <w:sectPr>
          <w:pgSz w:w="12240" w:h="15840"/>
          <w:pgMar w:header="0" w:footer="1002" w:top="1500" w:bottom="1200" w:left="1600" w:right="1580"/>
        </w:sectPr>
      </w:pPr>
    </w:p>
    <w:p>
      <w:pPr>
        <w:pStyle w:val="BodyText"/>
        <w:spacing w:line="360" w:lineRule="auto" w:before="54"/>
        <w:ind w:left="102" w:right="167"/>
        <w:jc w:val="both"/>
      </w:pPr>
      <w:r>
        <w:rPr/>
        <w:t>mexicano cumpla con su obligación de observar, respetar y garantizar los derechos humanos de las mujeres, y sólo entonces podrá cumplir con los objetivos de la reforma penal mexicana, sin excluir a las mujeres.</w:t>
      </w:r>
    </w:p>
    <w:p>
      <w:pPr>
        <w:pStyle w:val="BodyText"/>
        <w:spacing w:before="7"/>
        <w:rPr>
          <w:sz w:val="17"/>
        </w:rPr>
      </w:pPr>
    </w:p>
    <w:p>
      <w:pPr>
        <w:pStyle w:val="BodyText"/>
        <w:spacing w:line="360" w:lineRule="auto"/>
        <w:ind w:left="102" w:right="168"/>
        <w:jc w:val="both"/>
      </w:pPr>
      <w:r>
        <w:rPr/>
        <w:t>La presente guía, pretende establecer ciertas directrices para incorporar la perspectiva de género en la defensa de las mujeres indiciadas, resaltando la importancia de utilizar el enfoque de género en la actividad judicial, cuando se encuentren controvertidos los derechos humanos de las mujeres. Se muestran los pasos a seguir para la elaboración</w:t>
      </w:r>
      <w:r>
        <w:rPr>
          <w:spacing w:val="-39"/>
        </w:rPr>
        <w:t> </w:t>
      </w:r>
      <w:r>
        <w:rPr/>
        <w:t>de una teoría del caso con perspectiva de género, para la defensa de las mujeres</w:t>
      </w:r>
      <w:r>
        <w:rPr>
          <w:spacing w:val="-22"/>
        </w:rPr>
        <w:t> </w:t>
      </w:r>
      <w:r>
        <w:rPr/>
        <w:t>indiciadas.</w:t>
      </w:r>
    </w:p>
    <w:p>
      <w:pPr>
        <w:spacing w:after="0" w:line="360" w:lineRule="auto"/>
        <w:jc w:val="both"/>
        <w:sectPr>
          <w:pgSz w:w="12240" w:h="15840"/>
          <w:pgMar w:header="0" w:footer="1002" w:top="1360" w:bottom="1200" w:left="1600" w:right="1580"/>
        </w:sectPr>
      </w:pPr>
    </w:p>
    <w:p>
      <w:pPr>
        <w:pStyle w:val="BodyText"/>
        <w:rPr>
          <w:rFonts w:ascii="Times New Roman"/>
          <w:sz w:val="20"/>
        </w:rPr>
      </w:pPr>
    </w:p>
    <w:p>
      <w:pPr>
        <w:pStyle w:val="BodyText"/>
        <w:spacing w:before="6"/>
        <w:rPr>
          <w:rFonts w:ascii="Times New Roman"/>
          <w:sz w:val="12"/>
        </w:rPr>
      </w:pPr>
    </w:p>
    <w:p>
      <w:pPr>
        <w:pStyle w:val="BodyText"/>
        <w:ind w:left="101"/>
        <w:rPr>
          <w:rFonts w:ascii="Times New Roman"/>
          <w:sz w:val="20"/>
        </w:rPr>
      </w:pPr>
      <w:r>
        <w:rPr>
          <w:rFonts w:ascii="Times New Roman"/>
          <w:sz w:val="20"/>
        </w:rPr>
        <w:drawing>
          <wp:inline distT="0" distB="0" distL="0" distR="0">
            <wp:extent cx="6455151" cy="5323522"/>
            <wp:effectExtent l="0" t="0" r="0" b="0"/>
            <wp:docPr id="7" name="image35.jpeg" descr=""/>
            <wp:cNvGraphicFramePr>
              <a:graphicFrameLocks noChangeAspect="1"/>
            </wp:cNvGraphicFramePr>
            <a:graphic>
              <a:graphicData uri="http://schemas.openxmlformats.org/drawingml/2006/picture">
                <pic:pic>
                  <pic:nvPicPr>
                    <pic:cNvPr id="8" name="image35.jpeg"/>
                    <pic:cNvPicPr/>
                  </pic:nvPicPr>
                  <pic:blipFill>
                    <a:blip r:embed="rId53" cstate="print"/>
                    <a:stretch>
                      <a:fillRect/>
                    </a:stretch>
                  </pic:blipFill>
                  <pic:spPr>
                    <a:xfrm>
                      <a:off x="0" y="0"/>
                      <a:ext cx="6455151" cy="5323522"/>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52"/>
          <w:pgSz w:w="12240" w:h="15840"/>
          <w:pgMar w:footer="942" w:header="0" w:top="1500" w:bottom="1140" w:left="1600" w:right="240"/>
        </w:sectPr>
      </w:pPr>
    </w:p>
    <w:p>
      <w:pPr>
        <w:pStyle w:val="BodyText"/>
        <w:ind w:right="-40"/>
        <w:rPr>
          <w:rFonts w:ascii="Times New Roman"/>
          <w:sz w:val="20"/>
        </w:rPr>
      </w:pPr>
      <w:r>
        <w:rPr/>
        <w:pict>
          <v:shape style="position:absolute;margin-left:0pt;margin-top:70.799896pt;width:612pt;height:720pt;mso-position-horizontal-relative:page;mso-position-vertical-relative:page;z-index:-99208"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1"/>
                    <w:rPr>
                      <w:rFonts w:ascii="Times New Roman"/>
                      <w:sz w:val="23"/>
                    </w:rPr>
                  </w:pPr>
                </w:p>
                <w:p>
                  <w:pPr>
                    <w:pStyle w:val="BodyText"/>
                    <w:ind w:right="1695"/>
                    <w:jc w:val="right"/>
                    <w:rPr>
                      <w:rFonts w:ascii="Calibri"/>
                    </w:rPr>
                  </w:pPr>
                  <w:r>
                    <w:rPr>
                      <w:rFonts w:ascii="Calibri"/>
                    </w:rPr>
                    <w:t>61</w:t>
                  </w:r>
                </w:p>
              </w:txbxContent>
            </v:textbox>
            <w10:wrap type="none"/>
          </v:shape>
        </w:pict>
      </w:r>
      <w:r>
        <w:rPr>
          <w:rFonts w:ascii="Times New Roman"/>
          <w:sz w:val="20"/>
        </w:rPr>
        <w:drawing>
          <wp:inline distT="0" distB="0" distL="0" distR="0">
            <wp:extent cx="7772400" cy="9144000"/>
            <wp:effectExtent l="0" t="0" r="0" b="0"/>
            <wp:docPr id="9" name="image36.jpeg" descr=""/>
            <wp:cNvGraphicFramePr>
              <a:graphicFrameLocks noChangeAspect="1"/>
            </wp:cNvGraphicFramePr>
            <a:graphic>
              <a:graphicData uri="http://schemas.openxmlformats.org/drawingml/2006/picture">
                <pic:pic>
                  <pic:nvPicPr>
                    <pic:cNvPr id="10" name="image36.jpeg"/>
                    <pic:cNvPicPr/>
                  </pic:nvPicPr>
                  <pic:blipFill>
                    <a:blip r:embed="rId55" cstate="print"/>
                    <a:stretch>
                      <a:fillRect/>
                    </a:stretch>
                  </pic:blipFill>
                  <pic:spPr>
                    <a:xfrm>
                      <a:off x="0" y="0"/>
                      <a:ext cx="7772400" cy="9144000"/>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54"/>
          <w:pgSz w:w="12240" w:h="15840"/>
          <w:pgMar w:footer="0" w:header="0" w:top="1420" w:bottom="0" w:left="0" w:right="0"/>
        </w:sectPr>
      </w:pPr>
    </w:p>
    <w:p>
      <w:pPr>
        <w:pStyle w:val="BodyText"/>
        <w:rPr>
          <w:rFonts w:ascii="Times New Roman"/>
          <w:sz w:val="20"/>
        </w:rPr>
      </w:pPr>
      <w:r>
        <w:rPr/>
        <w:pict>
          <v:group style="position:absolute;margin-left:-.5pt;margin-top:70.300003pt;width:611.35pt;height:127.85pt;mso-position-horizontal-relative:page;mso-position-vertical-relative:page;z-index:2392" coordorigin="-10,1406" coordsize="12227,2557">
            <v:rect style="position:absolute;left:0;top:1416;width:12206;height:2537" filled="true" fillcolor="#6f2f9f" stroked="false">
              <v:fill type="solid"/>
            </v:rect>
            <v:shape style="position:absolute;left:10769;top:2546;width:1428;height:1325" type="#_x0000_t75" stroked="false">
              <v:imagedata r:id="rId57" o:title=""/>
            </v:shape>
            <v:shape style="position:absolute;left:0;top:1416;width:12207;height:2537" type="#_x0000_t202" filled="false" stroked="true" strokeweight=".96pt" strokecolor="#ec7c30">
              <v:textbox inset="0,0,0,0">
                <w:txbxContent>
                  <w:p>
                    <w:pPr>
                      <w:spacing w:line="1035" w:lineRule="exact" w:before="0"/>
                      <w:ind w:left="1104" w:right="532" w:firstLine="0"/>
                      <w:jc w:val="left"/>
                      <w:rPr>
                        <w:rFonts w:ascii="Aharoni" w:hAnsi="Aharoni"/>
                        <w:b/>
                        <w:sz w:val="96"/>
                      </w:rPr>
                    </w:pPr>
                    <w:r>
                      <w:rPr>
                        <w:rFonts w:ascii="Aharoni" w:hAnsi="Aharoni"/>
                        <w:b/>
                        <w:color w:val="FFFFFF"/>
                        <w:sz w:val="96"/>
                      </w:rPr>
                      <w:t>CAP</w:t>
                    </w:r>
                    <w:r>
                      <w:rPr>
                        <w:rFonts w:ascii="Cambria" w:hAnsi="Cambria"/>
                        <w:b/>
                        <w:color w:val="FFFFFF"/>
                        <w:sz w:val="96"/>
                      </w:rPr>
                      <w:t>Í </w:t>
                    </w:r>
                    <w:r>
                      <w:rPr>
                        <w:rFonts w:ascii="Aharoni" w:hAnsi="Aharoni"/>
                        <w:b/>
                        <w:color w:val="FFFFFF"/>
                        <w:sz w:val="96"/>
                      </w:rPr>
                      <w:t>TULO</w:t>
                    </w:r>
                    <w:r>
                      <w:rPr>
                        <w:rFonts w:ascii="Aharoni" w:hAnsi="Aharoni"/>
                        <w:b/>
                        <w:color w:val="FFFFFF"/>
                        <w:spacing w:val="-72"/>
                        <w:sz w:val="96"/>
                      </w:rPr>
                      <w:t> </w:t>
                    </w:r>
                    <w:r>
                      <w:rPr>
                        <w:rFonts w:ascii="Aharoni" w:hAnsi="Aharoni"/>
                        <w:b/>
                        <w:color w:val="FFFFFF"/>
                        <w:sz w:val="96"/>
                      </w:rPr>
                      <w:t>1:</w:t>
                    </w:r>
                  </w:p>
                  <w:p>
                    <w:pPr>
                      <w:spacing w:before="343"/>
                      <w:ind w:left="1476" w:right="532" w:firstLine="0"/>
                      <w:jc w:val="left"/>
                      <w:rPr>
                        <w:rFonts w:ascii="Aharoni"/>
                        <w:b/>
                        <w:sz w:val="96"/>
                      </w:rPr>
                    </w:pPr>
                    <w:r>
                      <w:rPr>
                        <w:rFonts w:ascii="Aharoni"/>
                        <w:b/>
                        <w:color w:val="FFFFFF"/>
                        <w:sz w:val="96"/>
                      </w:rPr>
                      <w:t>MARCO CONCEPTUAL</w:t>
                    </w:r>
                  </w:p>
                </w:txbxContent>
              </v:textbox>
              <w10:wrap type="non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7"/>
        <w:spacing w:line="360" w:lineRule="auto" w:before="206"/>
        <w:ind w:left="1702" w:right="1745" w:firstLine="1415"/>
        <w:jc w:val="both"/>
        <w:rPr>
          <w:rFonts w:ascii="Arial" w:hAnsi="Arial"/>
        </w:rPr>
      </w:pPr>
      <w:r>
        <w:rPr/>
        <w:pict>
          <v:group style="position:absolute;margin-left:84.720001pt;margin-top:200.645874pt;width:432.85pt;height:125.4pt;mso-position-horizontal-relative:page;mso-position-vertical-relative:paragraph;z-index:2320;mso-wrap-distance-left:0;mso-wrap-distance-right:0" coordorigin="1694,4013" coordsize="8657,2508">
            <v:shape style="position:absolute;left:1694;top:4013;width:8657;height:2508" type="#_x0000_t75" stroked="false">
              <v:imagedata r:id="rId58" o:title=""/>
            </v:shape>
            <v:shape style="position:absolute;left:1694;top:4013;width:8657;height:2508" type="#_x0000_t202" filled="false" stroked="false">
              <v:textbox inset="0,0,0,0">
                <w:txbxContent>
                  <w:p>
                    <w:pPr>
                      <w:spacing w:line="360" w:lineRule="auto" w:before="98"/>
                      <w:ind w:left="170" w:right="202" w:firstLine="0"/>
                      <w:jc w:val="both"/>
                      <w:rPr>
                        <w:sz w:val="24"/>
                      </w:rPr>
                    </w:pPr>
                    <w:r>
                      <w:rPr>
                        <w:sz w:val="24"/>
                      </w:rPr>
                      <w:t>Objetivo: Al finalizar el presente apartado, los y las estudiantes de la presente guía, estarán en la posibilidad de obtener una definición propia de los conceptos que se exponen como igualdad, perspectiva de género y acción afirmativa, así como entender la importancia de incorporar la perspectiva de género en la actividad judicial, a partir de    los elementos teóricos abordados</w:t>
                    </w:r>
                  </w:p>
                  <w:p>
                    <w:pPr>
                      <w:spacing w:before="2"/>
                      <w:ind w:left="170" w:right="0" w:firstLine="0"/>
                      <w:jc w:val="both"/>
                      <w:rPr>
                        <w:sz w:val="24"/>
                      </w:rPr>
                    </w:pPr>
                    <w:r>
                      <w:rPr>
                        <w:sz w:val="24"/>
                      </w:rPr>
                      <w:t>en éste capítulo.</w:t>
                    </w:r>
                  </w:p>
                </w:txbxContent>
              </v:textbox>
              <w10:wrap type="none"/>
            </v:shape>
            <w10:wrap type="topAndBottom"/>
          </v:group>
        </w:pict>
      </w:r>
      <w:r>
        <w:rPr/>
        <w:drawing>
          <wp:anchor distT="0" distB="0" distL="0" distR="0" allowOverlap="1" layoutInCell="1" locked="0" behindDoc="1" simplePos="0" relativeHeight="268336319">
            <wp:simplePos x="0" y="0"/>
            <wp:positionH relativeFrom="page">
              <wp:posOffset>1080516</wp:posOffset>
            </wp:positionH>
            <wp:positionV relativeFrom="paragraph">
              <wp:posOffset>-1933881</wp:posOffset>
            </wp:positionV>
            <wp:extent cx="1700784" cy="2784347"/>
            <wp:effectExtent l="0" t="0" r="0" b="0"/>
            <wp:wrapNone/>
            <wp:docPr id="11" name="image39.jpeg" descr=""/>
            <wp:cNvGraphicFramePr>
              <a:graphicFrameLocks noChangeAspect="1"/>
            </wp:cNvGraphicFramePr>
            <a:graphic>
              <a:graphicData uri="http://schemas.openxmlformats.org/drawingml/2006/picture">
                <pic:pic>
                  <pic:nvPicPr>
                    <pic:cNvPr id="12" name="image39.jpeg"/>
                    <pic:cNvPicPr/>
                  </pic:nvPicPr>
                  <pic:blipFill>
                    <a:blip r:embed="rId59" cstate="print"/>
                    <a:stretch>
                      <a:fillRect/>
                    </a:stretch>
                  </pic:blipFill>
                  <pic:spPr>
                    <a:xfrm>
                      <a:off x="0" y="0"/>
                      <a:ext cx="1700784" cy="2784347"/>
                    </a:xfrm>
                    <a:prstGeom prst="rect">
                      <a:avLst/>
                    </a:prstGeom>
                  </pic:spPr>
                </pic:pic>
              </a:graphicData>
            </a:graphic>
          </wp:anchor>
        </w:drawing>
      </w:r>
      <w:r>
        <w:rPr>
          <w:rFonts w:ascii="Arial" w:hAnsi="Arial"/>
        </w:rPr>
        <w:t>En este apartado se abordan distintos conceptos teóricos, de los cuales debemos tener un conocimiento previo para que podamos incorporar a nuestra defensa la perspectiva de género. Se hace referencia al principio de igualdad consagrado en la Constitución Política de los Estados Unidos</w:t>
      </w:r>
      <w:r>
        <w:rPr>
          <w:rFonts w:ascii="Arial" w:hAnsi="Arial"/>
          <w:spacing w:val="-27"/>
        </w:rPr>
        <w:t> </w:t>
      </w:r>
      <w:r>
        <w:rPr>
          <w:rFonts w:ascii="Arial" w:hAnsi="Arial"/>
        </w:rPr>
        <w:t>Mexicanos, así como a la perspectiva de género, estableciendo la importancia de incorporarla en</w:t>
      </w:r>
      <w:r>
        <w:rPr>
          <w:rFonts w:ascii="Arial" w:hAnsi="Arial"/>
          <w:spacing w:val="-16"/>
        </w:rPr>
        <w:t> </w:t>
      </w:r>
      <w:r>
        <w:rPr>
          <w:rFonts w:ascii="Arial" w:hAnsi="Arial"/>
        </w:rPr>
        <w:t>el</w:t>
      </w:r>
      <w:r>
        <w:rPr>
          <w:rFonts w:ascii="Arial" w:hAnsi="Arial"/>
          <w:spacing w:val="-14"/>
        </w:rPr>
        <w:t> </w:t>
      </w:r>
      <w:r>
        <w:rPr>
          <w:rFonts w:ascii="Arial" w:hAnsi="Arial"/>
        </w:rPr>
        <w:t>sistema</w:t>
      </w:r>
      <w:r>
        <w:rPr>
          <w:rFonts w:ascii="Arial" w:hAnsi="Arial"/>
          <w:spacing w:val="-15"/>
        </w:rPr>
        <w:t> </w:t>
      </w:r>
      <w:r>
        <w:rPr>
          <w:rFonts w:ascii="Arial" w:hAnsi="Arial"/>
        </w:rPr>
        <w:t>judicial,</w:t>
      </w:r>
      <w:r>
        <w:rPr>
          <w:rFonts w:ascii="Arial" w:hAnsi="Arial"/>
          <w:spacing w:val="-16"/>
        </w:rPr>
        <w:t> </w:t>
      </w:r>
      <w:r>
        <w:rPr>
          <w:rFonts w:ascii="Arial" w:hAnsi="Arial"/>
        </w:rPr>
        <w:t>partiendo</w:t>
      </w:r>
      <w:r>
        <w:rPr>
          <w:rFonts w:ascii="Arial" w:hAnsi="Arial"/>
          <w:spacing w:val="-13"/>
        </w:rPr>
        <w:t> </w:t>
      </w:r>
      <w:r>
        <w:rPr>
          <w:rFonts w:ascii="Arial" w:hAnsi="Arial"/>
        </w:rPr>
        <w:t>de</w:t>
      </w:r>
      <w:r>
        <w:rPr>
          <w:rFonts w:ascii="Arial" w:hAnsi="Arial"/>
          <w:spacing w:val="-13"/>
        </w:rPr>
        <w:t> </w:t>
      </w:r>
      <w:r>
        <w:rPr>
          <w:rFonts w:ascii="Arial" w:hAnsi="Arial"/>
        </w:rPr>
        <w:t>la</w:t>
      </w:r>
      <w:r>
        <w:rPr>
          <w:rFonts w:ascii="Arial" w:hAnsi="Arial"/>
          <w:spacing w:val="-16"/>
        </w:rPr>
        <w:t> </w:t>
      </w:r>
      <w:r>
        <w:rPr>
          <w:rFonts w:ascii="Arial" w:hAnsi="Arial"/>
        </w:rPr>
        <w:t>necesidad</w:t>
      </w:r>
      <w:r>
        <w:rPr>
          <w:rFonts w:ascii="Arial" w:hAnsi="Arial"/>
          <w:spacing w:val="-13"/>
        </w:rPr>
        <w:t> </w:t>
      </w:r>
      <w:r>
        <w:rPr>
          <w:rFonts w:ascii="Arial" w:hAnsi="Arial"/>
        </w:rPr>
        <w:t>de</w:t>
      </w:r>
      <w:r>
        <w:rPr>
          <w:rFonts w:ascii="Arial" w:hAnsi="Arial"/>
          <w:spacing w:val="-13"/>
        </w:rPr>
        <w:t> </w:t>
      </w:r>
      <w:r>
        <w:rPr>
          <w:rFonts w:ascii="Arial" w:hAnsi="Arial"/>
        </w:rPr>
        <w:t>realizar</w:t>
      </w:r>
      <w:r>
        <w:rPr>
          <w:rFonts w:ascii="Arial" w:hAnsi="Arial"/>
          <w:spacing w:val="-15"/>
        </w:rPr>
        <w:t> </w:t>
      </w:r>
      <w:r>
        <w:rPr>
          <w:rFonts w:ascii="Arial" w:hAnsi="Arial"/>
        </w:rPr>
        <w:t>en</w:t>
      </w:r>
      <w:r>
        <w:rPr>
          <w:rFonts w:ascii="Arial" w:hAnsi="Arial"/>
          <w:spacing w:val="-13"/>
        </w:rPr>
        <w:t> </w:t>
      </w:r>
      <w:r>
        <w:rPr>
          <w:rFonts w:ascii="Arial" w:hAnsi="Arial"/>
        </w:rPr>
        <w:t>ciertos</w:t>
      </w:r>
      <w:r>
        <w:rPr>
          <w:rFonts w:ascii="Arial" w:hAnsi="Arial"/>
          <w:spacing w:val="-19"/>
        </w:rPr>
        <w:t> </w:t>
      </w:r>
      <w:r>
        <w:rPr>
          <w:rFonts w:ascii="Arial" w:hAnsi="Arial"/>
        </w:rPr>
        <w:t>casos</w:t>
      </w:r>
      <w:r>
        <w:rPr>
          <w:rFonts w:ascii="Arial" w:hAnsi="Arial"/>
          <w:spacing w:val="-16"/>
        </w:rPr>
        <w:t> </w:t>
      </w:r>
      <w:r>
        <w:rPr>
          <w:rFonts w:ascii="Arial" w:hAnsi="Arial"/>
          <w:spacing w:val="3"/>
        </w:rPr>
        <w:t>un</w:t>
      </w:r>
      <w:r>
        <w:rPr>
          <w:rFonts w:ascii="Arial" w:hAnsi="Arial"/>
          <w:spacing w:val="-16"/>
        </w:rPr>
        <w:t> </w:t>
      </w:r>
      <w:r>
        <w:rPr>
          <w:rFonts w:ascii="Arial" w:hAnsi="Arial"/>
        </w:rPr>
        <w:t>trato diferenciado, con la finalidad de proteger el principio de igualdad. Asimismo analizaremos el control de convencionalidad como una herramienta importante en la defensa de los derechos humanos de las</w:t>
      </w:r>
      <w:r>
        <w:rPr>
          <w:rFonts w:ascii="Arial" w:hAnsi="Arial"/>
          <w:spacing w:val="-18"/>
        </w:rPr>
        <w:t> </w:t>
      </w:r>
      <w:r>
        <w:rPr>
          <w:rFonts w:ascii="Arial" w:hAnsi="Arial"/>
        </w:rPr>
        <w:t>mujeres.</w:t>
      </w:r>
    </w:p>
    <w:p>
      <w:pPr>
        <w:spacing w:after="0" w:line="360" w:lineRule="auto"/>
        <w:jc w:val="both"/>
        <w:rPr>
          <w:rFonts w:ascii="Arial" w:hAnsi="Arial"/>
        </w:rPr>
        <w:sectPr>
          <w:footerReference w:type="default" r:id="rId56"/>
          <w:pgSz w:w="12240" w:h="15840"/>
          <w:pgMar w:footer="993" w:header="0" w:top="1400" w:bottom="1180" w:left="0" w:right="0"/>
          <w:pgNumType w:start="62"/>
        </w:sectPr>
      </w:pPr>
    </w:p>
    <w:p>
      <w:pPr>
        <w:pStyle w:val="Heading2"/>
        <w:numPr>
          <w:ilvl w:val="1"/>
          <w:numId w:val="7"/>
        </w:numPr>
        <w:tabs>
          <w:tab w:pos="702" w:val="left" w:leader="none"/>
        </w:tabs>
        <w:spacing w:line="240" w:lineRule="auto" w:before="30" w:after="0"/>
        <w:ind w:left="102" w:right="0" w:firstLine="0"/>
        <w:jc w:val="both"/>
        <w:rPr>
          <w:color w:val="6F2F9F"/>
        </w:rPr>
      </w:pPr>
      <w:bookmarkStart w:name="_TOC_250008" w:id="3"/>
      <w:bookmarkEnd w:id="3"/>
      <w:r>
        <w:rPr>
          <w:color w:val="6F2F9F"/>
        </w:rPr>
        <w:t>Igualdad:</w:t>
      </w:r>
    </w:p>
    <w:p>
      <w:pPr>
        <w:pStyle w:val="BodyText"/>
        <w:spacing w:before="4"/>
        <w:rPr>
          <w:b/>
          <w:sz w:val="32"/>
        </w:rPr>
      </w:pPr>
    </w:p>
    <w:p>
      <w:pPr>
        <w:pStyle w:val="BodyText"/>
        <w:spacing w:line="360" w:lineRule="auto"/>
        <w:ind w:left="102" w:right="1"/>
        <w:jc w:val="both"/>
      </w:pPr>
      <w:r>
        <w:rPr/>
        <w:t>En nuestro país el principio de igualdad encuentra sustento en la Constitución Política de los Estados Unidos Mexicanos, así como en diversos instrumentos de carácter internacional de los que el Estado mexicano es parte, el cual concentra la titularidad universal de los derechos humanos.</w:t>
      </w:r>
    </w:p>
    <w:p>
      <w:pPr>
        <w:pStyle w:val="BodyText"/>
        <w:spacing w:before="9"/>
        <w:rPr>
          <w:sz w:val="17"/>
        </w:rPr>
      </w:pPr>
    </w:p>
    <w:p>
      <w:pPr>
        <w:pStyle w:val="BodyText"/>
        <w:spacing w:line="360" w:lineRule="auto"/>
        <w:ind w:left="102"/>
        <w:jc w:val="both"/>
      </w:pPr>
      <w:r>
        <w:rPr/>
        <w:t>La igualdad “como principio” da sustento al marco jurídico y a los actos que derivan de él (SCJN, 2013:30), lo que implica que la igualdad aparece como criterio de creación e interpretación del Derecho, sobre el cual las autoridades jurisdiccionales</w:t>
      </w:r>
      <w:r>
        <w:rPr>
          <w:spacing w:val="-12"/>
        </w:rPr>
        <w:t> </w:t>
      </w:r>
      <w:r>
        <w:rPr/>
        <w:t>y</w:t>
      </w:r>
      <w:r>
        <w:rPr>
          <w:spacing w:val="-14"/>
        </w:rPr>
        <w:t> </w:t>
      </w:r>
      <w:r>
        <w:rPr/>
        <w:t>legislativas</w:t>
      </w:r>
      <w:r>
        <w:rPr>
          <w:spacing w:val="-12"/>
        </w:rPr>
        <w:t> </w:t>
      </w:r>
      <w:r>
        <w:rPr/>
        <w:t>deben</w:t>
      </w:r>
      <w:r>
        <w:rPr>
          <w:spacing w:val="-12"/>
        </w:rPr>
        <w:t> </w:t>
      </w:r>
      <w:r>
        <w:rPr/>
        <w:t>regir</w:t>
      </w:r>
      <w:r>
        <w:rPr>
          <w:spacing w:val="-11"/>
        </w:rPr>
        <w:t> </w:t>
      </w:r>
      <w:r>
        <w:rPr/>
        <w:t>su</w:t>
      </w:r>
      <w:r>
        <w:rPr>
          <w:spacing w:val="-12"/>
        </w:rPr>
        <w:t> </w:t>
      </w:r>
      <w:r>
        <w:rPr/>
        <w:t>actividad.</w:t>
      </w:r>
    </w:p>
    <w:p>
      <w:pPr>
        <w:pStyle w:val="BodyText"/>
        <w:spacing w:before="9"/>
        <w:rPr>
          <w:sz w:val="17"/>
        </w:rPr>
      </w:pPr>
    </w:p>
    <w:p>
      <w:pPr>
        <w:pStyle w:val="BodyText"/>
        <w:spacing w:line="360" w:lineRule="auto" w:before="1"/>
        <w:ind w:left="102"/>
        <w:jc w:val="both"/>
      </w:pPr>
      <w:r>
        <w:rPr/>
        <w:t>Asimismo, la Suprema Corte de Justicia de la Nación (2013), señala que la igualdad, “como derecho”, constituye una herramienta subjetiva para acceder a la justicia, permite a las personas a reclamar la realización efectiva de la igualdad en el ejercicio de los derechos. Implica una obligación a cargo del Estado Mexicano a fin de vigilar el estricto cumplimiento de la igualdad.</w:t>
      </w:r>
    </w:p>
    <w:p>
      <w:pPr>
        <w:pStyle w:val="BodyText"/>
        <w:spacing w:before="7"/>
        <w:rPr>
          <w:sz w:val="17"/>
        </w:rPr>
      </w:pPr>
    </w:p>
    <w:p>
      <w:pPr>
        <w:spacing w:line="360" w:lineRule="auto" w:before="0"/>
        <w:ind w:left="102" w:right="0" w:firstLine="0"/>
        <w:jc w:val="both"/>
        <w:rPr>
          <w:sz w:val="22"/>
        </w:rPr>
      </w:pPr>
      <w:r>
        <w:rPr>
          <w:sz w:val="22"/>
        </w:rPr>
        <w:t>Po otro lado, la Suprema Corte de Justicia de la Nación, señala que la igualdad es </w:t>
      </w:r>
      <w:r>
        <w:rPr>
          <w:i/>
          <w:sz w:val="22"/>
        </w:rPr>
        <w:t>“tratar del mismo </w:t>
      </w:r>
      <w:r>
        <w:rPr>
          <w:i/>
          <w:sz w:val="22"/>
        </w:rPr>
        <w:t>modo a quienes se encuentran en iguales situaciones” </w:t>
      </w:r>
      <w:r>
        <w:rPr>
          <w:sz w:val="22"/>
        </w:rPr>
        <w:t>(SCJN, 1997), es decir el igual tratamiento de los iguales en igualdad de circunstancias.</w:t>
      </w:r>
    </w:p>
    <w:p>
      <w:pPr>
        <w:pStyle w:val="BodyText"/>
        <w:spacing w:before="9"/>
        <w:rPr>
          <w:sz w:val="26"/>
        </w:rPr>
      </w:pPr>
      <w:r>
        <w:rPr/>
        <w:br w:type="column"/>
      </w:r>
      <w:r>
        <w:rPr>
          <w:sz w:val="26"/>
        </w:rPr>
      </w:r>
    </w:p>
    <w:p>
      <w:pPr>
        <w:tabs>
          <w:tab w:pos="605" w:val="left" w:leader="none"/>
          <w:tab w:pos="852" w:val="left" w:leader="none"/>
          <w:tab w:pos="1131" w:val="left" w:leader="none"/>
          <w:tab w:pos="1924" w:val="left" w:leader="none"/>
          <w:tab w:pos="2033" w:val="left" w:leader="none"/>
          <w:tab w:pos="2146" w:val="left" w:leader="none"/>
          <w:tab w:pos="2265" w:val="left" w:leader="none"/>
          <w:tab w:pos="2487" w:val="left" w:leader="none"/>
          <w:tab w:pos="2600" w:val="left" w:leader="none"/>
          <w:tab w:pos="2778" w:val="left" w:leader="none"/>
          <w:tab w:pos="2856" w:val="left" w:leader="none"/>
          <w:tab w:pos="2888" w:val="left" w:leader="none"/>
        </w:tabs>
        <w:spacing w:line="254" w:lineRule="auto" w:before="0"/>
        <w:ind w:left="102" w:right="126" w:firstLine="0"/>
        <w:jc w:val="left"/>
        <w:rPr>
          <w:rFonts w:ascii="Cambria" w:hAnsi="Cambria"/>
          <w:sz w:val="32"/>
        </w:rPr>
      </w:pPr>
      <w:r>
        <w:rPr>
          <w:rFonts w:ascii="Cambria" w:hAnsi="Cambria"/>
          <w:color w:val="6F2F9F"/>
          <w:sz w:val="32"/>
        </w:rPr>
        <w:t>El</w:t>
        <w:tab/>
        <w:tab/>
      </w:r>
      <w:r>
        <w:rPr>
          <w:rFonts w:ascii="Cambria" w:hAnsi="Cambria"/>
          <w:color w:val="6F2F9F"/>
          <w:w w:val="90"/>
          <w:sz w:val="32"/>
        </w:rPr>
        <w:t>derecho</w:t>
        <w:tab/>
        <w:tab/>
        <w:tab/>
        <w:tab/>
      </w:r>
      <w:r>
        <w:rPr>
          <w:rFonts w:ascii="Cambria" w:hAnsi="Cambria"/>
          <w:color w:val="6F2F9F"/>
          <w:sz w:val="32"/>
        </w:rPr>
        <w:t>a</w:t>
        <w:tab/>
        <w:tab/>
        <w:tab/>
        <w:tab/>
        <w:tab/>
        <w:t>la igualdad</w:t>
        <w:tab/>
        <w:tab/>
        <w:tab/>
        <w:tab/>
        <w:tab/>
      </w:r>
      <w:r>
        <w:rPr>
          <w:rFonts w:ascii="Cambria" w:hAnsi="Cambria"/>
          <w:color w:val="6F2F9F"/>
          <w:w w:val="90"/>
          <w:sz w:val="32"/>
        </w:rPr>
        <w:t>entre </w:t>
      </w:r>
      <w:r>
        <w:rPr>
          <w:rFonts w:ascii="Cambria" w:hAnsi="Cambria"/>
          <w:color w:val="6F2F9F"/>
          <w:sz w:val="32"/>
        </w:rPr>
        <w:t>hombres y mujeres,</w:t>
      </w:r>
      <w:r>
        <w:rPr>
          <w:rFonts w:ascii="Cambria" w:hAnsi="Cambria"/>
          <w:color w:val="6F2F9F"/>
          <w:spacing w:val="-16"/>
          <w:sz w:val="32"/>
        </w:rPr>
        <w:t> </w:t>
      </w:r>
      <w:r>
        <w:rPr>
          <w:rFonts w:ascii="Cambria" w:hAnsi="Cambria"/>
          <w:color w:val="6F2F9F"/>
          <w:sz w:val="32"/>
        </w:rPr>
        <w:t>se encuentra regulado</w:t>
      </w:r>
      <w:r>
        <w:rPr>
          <w:rFonts w:ascii="Cambria" w:hAnsi="Cambria"/>
          <w:color w:val="6F2F9F"/>
          <w:spacing w:val="-32"/>
          <w:sz w:val="32"/>
        </w:rPr>
        <w:t> </w:t>
      </w:r>
      <w:r>
        <w:rPr>
          <w:rFonts w:ascii="Cambria" w:hAnsi="Cambria"/>
          <w:color w:val="6F2F9F"/>
          <w:sz w:val="32"/>
        </w:rPr>
        <w:t>en los artículos 1 y 4 en relación del 133 de la Constitución</w:t>
        <w:tab/>
        <w:tab/>
        <w:tab/>
      </w:r>
      <w:r>
        <w:rPr>
          <w:rFonts w:ascii="Cambria" w:hAnsi="Cambria"/>
          <w:color w:val="6F2F9F"/>
          <w:spacing w:val="-3"/>
          <w:sz w:val="32"/>
        </w:rPr>
        <w:t>Política </w:t>
      </w:r>
      <w:r>
        <w:rPr>
          <w:rFonts w:ascii="Cambria" w:hAnsi="Cambria"/>
          <w:color w:val="6F2F9F"/>
          <w:sz w:val="32"/>
        </w:rPr>
        <w:t>de los Estados Unidos Mexicanos,</w:t>
      </w:r>
      <w:r>
        <w:rPr>
          <w:rFonts w:ascii="Cambria" w:hAnsi="Cambria"/>
          <w:color w:val="6F2F9F"/>
          <w:spacing w:val="-48"/>
          <w:sz w:val="32"/>
        </w:rPr>
        <w:t> </w:t>
      </w:r>
      <w:r>
        <w:rPr>
          <w:rFonts w:ascii="Cambria" w:hAnsi="Cambria"/>
          <w:color w:val="6F2F9F"/>
          <w:sz w:val="32"/>
        </w:rPr>
        <w:t>así</w:t>
      </w:r>
      <w:r>
        <w:rPr>
          <w:rFonts w:ascii="Cambria" w:hAnsi="Cambria"/>
          <w:color w:val="6F2F9F"/>
          <w:spacing w:val="-48"/>
          <w:sz w:val="32"/>
        </w:rPr>
        <w:t> </w:t>
      </w:r>
      <w:r>
        <w:rPr>
          <w:rFonts w:ascii="Cambria" w:hAnsi="Cambria"/>
          <w:color w:val="6F2F9F"/>
          <w:sz w:val="32"/>
        </w:rPr>
        <w:t>como</w:t>
      </w:r>
      <w:r>
        <w:rPr>
          <w:rFonts w:ascii="Cambria" w:hAnsi="Cambria"/>
          <w:color w:val="6F2F9F"/>
          <w:spacing w:val="-49"/>
          <w:sz w:val="32"/>
        </w:rPr>
        <w:t> </w:t>
      </w:r>
      <w:r>
        <w:rPr>
          <w:rFonts w:ascii="Cambria" w:hAnsi="Cambria"/>
          <w:color w:val="6F2F9F"/>
          <w:sz w:val="32"/>
        </w:rPr>
        <w:t>en el</w:t>
        <w:tab/>
        <w:t>artículo</w:t>
        <w:tab/>
        <w:t>24</w:t>
        <w:tab/>
        <w:tab/>
      </w:r>
      <w:r>
        <w:rPr>
          <w:rFonts w:ascii="Cambria" w:hAnsi="Cambria"/>
          <w:color w:val="6F2F9F"/>
          <w:spacing w:val="-3"/>
          <w:w w:val="95"/>
          <w:sz w:val="32"/>
        </w:rPr>
        <w:t>dela </w:t>
      </w:r>
      <w:r>
        <w:rPr>
          <w:rFonts w:ascii="Cambria" w:hAnsi="Cambria"/>
          <w:color w:val="6F2F9F"/>
          <w:sz w:val="32"/>
        </w:rPr>
        <w:t>Convención Americana</w:t>
        <w:tab/>
        <w:tab/>
        <w:t>de</w:t>
        <w:tab/>
        <w:tab/>
        <w:tab/>
      </w:r>
      <w:r>
        <w:rPr>
          <w:rFonts w:ascii="Cambria" w:hAnsi="Cambria"/>
          <w:color w:val="6F2F9F"/>
          <w:spacing w:val="-3"/>
          <w:w w:val="95"/>
          <w:sz w:val="32"/>
        </w:rPr>
        <w:t>los </w:t>
      </w:r>
      <w:r>
        <w:rPr>
          <w:rFonts w:ascii="Cambria" w:hAnsi="Cambria"/>
          <w:color w:val="6F2F9F"/>
          <w:w w:val="95"/>
          <w:sz w:val="32"/>
        </w:rPr>
        <w:t>Derechos Humanos, los </w:t>
      </w:r>
      <w:r>
        <w:rPr>
          <w:rFonts w:ascii="Cambria" w:hAnsi="Cambria"/>
          <w:color w:val="6F2F9F"/>
          <w:sz w:val="32"/>
        </w:rPr>
        <w:t>artículos 7 y 15 de la Convención</w:t>
        <w:tab/>
      </w:r>
      <w:r>
        <w:rPr>
          <w:rFonts w:ascii="Cambria" w:hAnsi="Cambria"/>
          <w:color w:val="6F2F9F"/>
          <w:spacing w:val="-1"/>
          <w:w w:val="85"/>
          <w:sz w:val="32"/>
        </w:rPr>
        <w:t>sobre</w:t>
        <w:tab/>
        <w:tab/>
        <w:tab/>
        <w:tab/>
      </w:r>
      <w:r>
        <w:rPr>
          <w:rFonts w:ascii="Cambria" w:hAnsi="Cambria"/>
          <w:color w:val="6F2F9F"/>
          <w:spacing w:val="-1"/>
          <w:sz w:val="32"/>
        </w:rPr>
        <w:t>la </w:t>
      </w:r>
      <w:r>
        <w:rPr>
          <w:rFonts w:ascii="Cambria" w:hAnsi="Cambria"/>
          <w:color w:val="6F2F9F"/>
          <w:sz w:val="32"/>
        </w:rPr>
        <w:t>Eliminación de todas la</w:t>
        <w:tab/>
        <w:tab/>
        <w:tab/>
        <w:t>formas</w:t>
        <w:tab/>
        <w:tab/>
        <w:tab/>
        <w:tab/>
        <w:tab/>
        <w:tab/>
      </w:r>
      <w:r>
        <w:rPr>
          <w:rFonts w:ascii="Cambria" w:hAnsi="Cambria"/>
          <w:color w:val="6F2F9F"/>
          <w:w w:val="85"/>
          <w:sz w:val="32"/>
        </w:rPr>
        <w:t>de</w:t>
      </w:r>
    </w:p>
    <w:p>
      <w:pPr>
        <w:spacing w:line="254" w:lineRule="auto" w:before="0"/>
        <w:ind w:left="102" w:right="125" w:firstLine="0"/>
        <w:jc w:val="both"/>
        <w:rPr>
          <w:rFonts w:ascii="Cambria" w:hAnsi="Cambria"/>
          <w:sz w:val="32"/>
        </w:rPr>
      </w:pPr>
      <w:r>
        <w:rPr>
          <w:rFonts w:ascii="Cambria" w:hAnsi="Cambria"/>
          <w:color w:val="6F2F9F"/>
          <w:sz w:val="32"/>
        </w:rPr>
        <w:t>Discriminación en contra de la Mujer (CEDAW), y los artículos 1 y 4 de la Convención Belém Do Pará</w:t>
      </w:r>
    </w:p>
    <w:p>
      <w:pPr>
        <w:spacing w:after="0" w:line="254" w:lineRule="auto"/>
        <w:jc w:val="both"/>
        <w:rPr>
          <w:rFonts w:ascii="Cambria" w:hAnsi="Cambria"/>
          <w:sz w:val="32"/>
        </w:rPr>
        <w:sectPr>
          <w:pgSz w:w="12240" w:h="15840"/>
          <w:pgMar w:header="0" w:footer="993" w:top="1380" w:bottom="1200" w:left="1600" w:right="1580"/>
          <w:cols w:num="2" w:equalWidth="0">
            <w:col w:w="5308" w:space="476"/>
            <w:col w:w="3276"/>
          </w:cols>
        </w:sectPr>
      </w:pPr>
    </w:p>
    <w:p>
      <w:pPr>
        <w:pStyle w:val="BodyText"/>
        <w:spacing w:before="1"/>
        <w:rPr>
          <w:rFonts w:ascii="Cambria"/>
          <w:sz w:val="11"/>
        </w:rPr>
      </w:pPr>
    </w:p>
    <w:p>
      <w:pPr>
        <w:pStyle w:val="BodyText"/>
        <w:spacing w:line="360" w:lineRule="auto" w:before="73"/>
        <w:ind w:left="102" w:right="163"/>
        <w:jc w:val="both"/>
      </w:pPr>
      <w:r>
        <w:rPr/>
        <w:t>Ahora bien, es de reconocer que existen ciertos grupos, que derivadas de las condiciones sociales específicas en las que viven, se encuentran en situación de desigualdad, pese a que jurídicamente tengan el derecho a la igualdad.</w:t>
      </w:r>
    </w:p>
    <w:p>
      <w:pPr>
        <w:spacing w:after="0" w:line="360" w:lineRule="auto"/>
        <w:jc w:val="both"/>
        <w:sectPr>
          <w:type w:val="continuous"/>
          <w:pgSz w:w="12240" w:h="15840"/>
          <w:pgMar w:top="1400" w:bottom="280" w:left="1600" w:right="1580"/>
        </w:sectPr>
      </w:pPr>
    </w:p>
    <w:p>
      <w:pPr>
        <w:pStyle w:val="BodyText"/>
        <w:spacing w:line="360" w:lineRule="auto" w:before="54"/>
        <w:ind w:left="102" w:right="4175"/>
        <w:jc w:val="both"/>
      </w:pPr>
      <w:r>
        <w:rPr/>
        <w:pict>
          <v:group style="position:absolute;margin-left:366.23999pt;margin-top:12.517852pt;width:167.4pt;height:316.8pt;mso-position-horizontal-relative:page;mso-position-vertical-relative:paragraph;z-index:2560" coordorigin="7325,250" coordsize="3348,6336">
            <v:shape style="position:absolute;left:7325;top:250;width:3346;height:6336" type="#_x0000_t75" stroked="false">
              <v:imagedata r:id="rId60" o:title=""/>
            </v:shape>
            <v:shape style="position:absolute;left:7326;top:305;width:3343;height:718" type="#_x0000_t202" filled="false" stroked="false">
              <v:textbox inset="0,0,0,0">
                <w:txbxContent>
                  <w:p>
                    <w:pPr>
                      <w:spacing w:line="288" w:lineRule="exact" w:before="0"/>
                      <w:ind w:left="0" w:right="-7" w:firstLine="0"/>
                      <w:jc w:val="left"/>
                      <w:rPr>
                        <w:rFonts w:ascii="Cambria"/>
                        <w:sz w:val="32"/>
                      </w:rPr>
                    </w:pPr>
                    <w:r>
                      <w:rPr>
                        <w:rFonts w:ascii="Cambria"/>
                        <w:color w:val="6F2F9F"/>
                        <w:sz w:val="32"/>
                      </w:rPr>
                      <w:t>Existen diversos</w:t>
                    </w:r>
                    <w:r>
                      <w:rPr>
                        <w:rFonts w:ascii="Cambria"/>
                        <w:color w:val="6F2F9F"/>
                        <w:spacing w:val="67"/>
                        <w:sz w:val="32"/>
                      </w:rPr>
                      <w:t> </w:t>
                    </w:r>
                    <w:r>
                      <w:rPr>
                        <w:rFonts w:ascii="Cambria"/>
                        <w:color w:val="6F2F9F"/>
                        <w:sz w:val="32"/>
                      </w:rPr>
                      <w:t>grupos</w:t>
                    </w:r>
                  </w:p>
                  <w:p>
                    <w:pPr>
                      <w:tabs>
                        <w:tab w:pos="735" w:val="left" w:leader="none"/>
                        <w:tab w:pos="1244" w:val="left" w:leader="none"/>
                      </w:tabs>
                      <w:spacing w:before="23"/>
                      <w:ind w:left="0" w:right="0" w:firstLine="0"/>
                      <w:jc w:val="left"/>
                      <w:rPr>
                        <w:rFonts w:ascii="Cambria"/>
                        <w:sz w:val="32"/>
                      </w:rPr>
                    </w:pPr>
                    <w:r>
                      <w:rPr>
                        <w:rFonts w:ascii="Cambria"/>
                        <w:color w:val="6F2F9F"/>
                        <w:sz w:val="32"/>
                      </w:rPr>
                      <w:t>que</w:t>
                      <w:tab/>
                      <w:t>se</w:t>
                      <w:tab/>
                      <w:t>encuentran</w:t>
                    </w:r>
                  </w:p>
                </w:txbxContent>
              </v:textbox>
              <w10:wrap type="none"/>
            </v:shape>
            <v:shape style="position:absolute;left:7326;top:1101;width:1995;height:1517" type="#_x0000_t202" filled="false" stroked="false">
              <v:textbox inset="0,0,0,0">
                <w:txbxContent>
                  <w:p>
                    <w:pPr>
                      <w:spacing w:line="288" w:lineRule="exact" w:before="0"/>
                      <w:ind w:left="0" w:right="0" w:firstLine="0"/>
                      <w:jc w:val="left"/>
                      <w:rPr>
                        <w:rFonts w:ascii="Cambria"/>
                        <w:sz w:val="32"/>
                      </w:rPr>
                    </w:pPr>
                    <w:r>
                      <w:rPr>
                        <w:rFonts w:ascii="Cambria"/>
                        <w:color w:val="6F2F9F"/>
                        <w:sz w:val="32"/>
                      </w:rPr>
                      <w:t>situaciones</w:t>
                    </w:r>
                  </w:p>
                  <w:p>
                    <w:pPr>
                      <w:spacing w:line="254" w:lineRule="auto" w:before="25"/>
                      <w:ind w:left="0" w:right="0" w:firstLine="0"/>
                      <w:jc w:val="left"/>
                      <w:rPr>
                        <w:rFonts w:ascii="Cambria"/>
                        <w:sz w:val="32"/>
                      </w:rPr>
                    </w:pPr>
                    <w:r>
                      <w:rPr>
                        <w:rFonts w:ascii="Cambria"/>
                        <w:color w:val="6F2F9F"/>
                        <w:sz w:val="32"/>
                      </w:rPr>
                      <w:t>desigualdad derivado circunstancias</w:t>
                    </w:r>
                  </w:p>
                </w:txbxContent>
              </v:textbox>
              <w10:wrap type="none"/>
            </v:shape>
            <v:shape style="position:absolute;left:10355;top:703;width:318;height:718" type="#_x0000_t202" filled="false" stroked="false">
              <v:textbox inset="0,0,0,0">
                <w:txbxContent>
                  <w:p>
                    <w:pPr>
                      <w:spacing w:line="288" w:lineRule="exact" w:before="0"/>
                      <w:ind w:left="28" w:right="-3" w:hanging="29"/>
                      <w:jc w:val="left"/>
                      <w:rPr>
                        <w:rFonts w:ascii="Cambria"/>
                        <w:sz w:val="32"/>
                      </w:rPr>
                    </w:pPr>
                    <w:r>
                      <w:rPr>
                        <w:rFonts w:ascii="Cambria"/>
                        <w:color w:val="6F2F9F"/>
                        <w:w w:val="90"/>
                        <w:sz w:val="32"/>
                      </w:rPr>
                      <w:t>en</w:t>
                    </w:r>
                  </w:p>
                  <w:p>
                    <w:pPr>
                      <w:spacing w:before="23"/>
                      <w:ind w:left="28" w:right="-14" w:firstLine="0"/>
                      <w:jc w:val="left"/>
                      <w:rPr>
                        <w:rFonts w:ascii="Cambria"/>
                        <w:sz w:val="32"/>
                      </w:rPr>
                    </w:pPr>
                    <w:r>
                      <w:rPr>
                        <w:rFonts w:ascii="Cambria"/>
                        <w:color w:val="6F2F9F"/>
                        <w:w w:val="85"/>
                        <w:sz w:val="32"/>
                      </w:rPr>
                      <w:t>de</w:t>
                    </w:r>
                  </w:p>
                </w:txbxContent>
              </v:textbox>
              <w10:wrap type="none"/>
            </v:shape>
            <v:shape style="position:absolute;left:7326;top:2698;width:1889;height:320" type="#_x0000_t202" filled="false" stroked="false">
              <v:textbox inset="0,0,0,0">
                <w:txbxContent>
                  <w:p>
                    <w:pPr>
                      <w:tabs>
                        <w:tab w:pos="1276" w:val="left" w:leader="none"/>
                      </w:tabs>
                      <w:spacing w:line="288" w:lineRule="exact" w:before="0"/>
                      <w:ind w:left="0" w:right="0" w:firstLine="0"/>
                      <w:jc w:val="left"/>
                      <w:rPr>
                        <w:rFonts w:ascii="Cambria" w:hAnsi="Cambria"/>
                        <w:sz w:val="32"/>
                      </w:rPr>
                    </w:pPr>
                    <w:r>
                      <w:rPr>
                        <w:rFonts w:ascii="Cambria" w:hAnsi="Cambria"/>
                        <w:color w:val="6F2F9F"/>
                        <w:sz w:val="32"/>
                      </w:rPr>
                      <w:t>género,</w:t>
                      <w:tab/>
                    </w:r>
                    <w:r>
                      <w:rPr>
                        <w:rFonts w:ascii="Cambria" w:hAnsi="Cambria"/>
                        <w:color w:val="6F2F9F"/>
                        <w:spacing w:val="-5"/>
                        <w:w w:val="90"/>
                        <w:sz w:val="32"/>
                      </w:rPr>
                      <w:t>sexo,</w:t>
                    </w:r>
                  </w:p>
                </w:txbxContent>
              </v:textbox>
              <w10:wrap type="none"/>
            </v:shape>
            <v:shape style="position:absolute;left:9547;top:1502;width:1125;height:1515" type="#_x0000_t202" filled="false" stroked="false">
              <v:textbox inset="0,0,0,0">
                <w:txbxContent>
                  <w:p>
                    <w:pPr>
                      <w:spacing w:line="288" w:lineRule="exact" w:before="0"/>
                      <w:ind w:left="0" w:right="1" w:firstLine="0"/>
                      <w:jc w:val="right"/>
                      <w:rPr>
                        <w:rFonts w:ascii="Cambria"/>
                        <w:sz w:val="32"/>
                      </w:rPr>
                    </w:pPr>
                    <w:r>
                      <w:rPr>
                        <w:rFonts w:ascii="Cambria"/>
                        <w:color w:val="6F2F9F"/>
                        <w:sz w:val="32"/>
                      </w:rPr>
                      <w:t>social,</w:t>
                    </w:r>
                  </w:p>
                  <w:p>
                    <w:pPr>
                      <w:spacing w:line="254" w:lineRule="auto" w:before="23"/>
                      <w:ind w:left="0" w:right="0" w:firstLine="835"/>
                      <w:jc w:val="right"/>
                      <w:rPr>
                        <w:rFonts w:ascii="Cambria" w:hAnsi="Cambria"/>
                        <w:sz w:val="32"/>
                      </w:rPr>
                    </w:pPr>
                    <w:r>
                      <w:rPr>
                        <w:rFonts w:ascii="Cambria" w:hAnsi="Cambria"/>
                        <w:color w:val="6F2F9F"/>
                        <w:w w:val="85"/>
                        <w:sz w:val="32"/>
                      </w:rPr>
                      <w:t>de como </w:t>
                    </w:r>
                    <w:r>
                      <w:rPr>
                        <w:rFonts w:ascii="Cambria" w:hAnsi="Cambria"/>
                        <w:color w:val="6F2F9F"/>
                        <w:w w:val="95"/>
                        <w:sz w:val="32"/>
                      </w:rPr>
                      <w:t>religión,</w:t>
                    </w:r>
                  </w:p>
                </w:txbxContent>
              </v:textbox>
              <w10:wrap type="none"/>
            </v:shape>
            <v:shape style="position:absolute;left:7326;top:3099;width:3345;height:2713" type="#_x0000_t202" filled="false" stroked="false">
              <v:textbox inset="0,0,0,0">
                <w:txbxContent>
                  <w:p>
                    <w:pPr>
                      <w:spacing w:line="288" w:lineRule="exact" w:before="0"/>
                      <w:ind w:left="0" w:right="0" w:firstLine="0"/>
                      <w:jc w:val="both"/>
                      <w:rPr>
                        <w:rFonts w:ascii="Cambria"/>
                        <w:sz w:val="32"/>
                      </w:rPr>
                    </w:pPr>
                    <w:r>
                      <w:rPr>
                        <w:rFonts w:ascii="Cambria"/>
                        <w:color w:val="6F2F9F"/>
                        <w:w w:val="95"/>
                        <w:sz w:val="32"/>
                      </w:rPr>
                      <w:t>pertenecer  comunidades</w:t>
                    </w:r>
                  </w:p>
                  <w:p>
                    <w:pPr>
                      <w:spacing w:line="254" w:lineRule="auto" w:before="23"/>
                      <w:ind w:left="0" w:right="0" w:firstLine="0"/>
                      <w:jc w:val="both"/>
                      <w:rPr>
                        <w:rFonts w:ascii="Cambria" w:hAnsi="Cambria"/>
                        <w:sz w:val="32"/>
                      </w:rPr>
                    </w:pPr>
                    <w:r>
                      <w:rPr>
                        <w:rFonts w:ascii="Cambria" w:hAnsi="Cambria"/>
                        <w:color w:val="6F2F9F"/>
                        <w:sz w:val="32"/>
                      </w:rPr>
                      <w:t>indígenas. Los cuales derivados</w:t>
                    </w:r>
                    <w:r>
                      <w:rPr>
                        <w:rFonts w:ascii="Cambria" w:hAnsi="Cambria"/>
                        <w:color w:val="6F2F9F"/>
                        <w:spacing w:val="-33"/>
                        <w:sz w:val="32"/>
                      </w:rPr>
                      <w:t> </w:t>
                    </w:r>
                    <w:r>
                      <w:rPr>
                        <w:rFonts w:ascii="Cambria" w:hAnsi="Cambria"/>
                        <w:color w:val="6F2F9F"/>
                        <w:sz w:val="32"/>
                      </w:rPr>
                      <w:t>de</w:t>
                    </w:r>
                    <w:r>
                      <w:rPr>
                        <w:rFonts w:ascii="Cambria" w:hAnsi="Cambria"/>
                        <w:color w:val="6F2F9F"/>
                        <w:spacing w:val="-32"/>
                        <w:sz w:val="32"/>
                      </w:rPr>
                      <w:t> </w:t>
                    </w:r>
                    <w:r>
                      <w:rPr>
                        <w:rFonts w:ascii="Cambria" w:hAnsi="Cambria"/>
                        <w:color w:val="6F2F9F"/>
                        <w:sz w:val="32"/>
                      </w:rPr>
                      <w:t>la</w:t>
                    </w:r>
                    <w:r>
                      <w:rPr>
                        <w:rFonts w:ascii="Cambria" w:hAnsi="Cambria"/>
                        <w:color w:val="6F2F9F"/>
                        <w:spacing w:val="-33"/>
                        <w:sz w:val="32"/>
                      </w:rPr>
                      <w:t> </w:t>
                    </w:r>
                    <w:r>
                      <w:rPr>
                        <w:rFonts w:ascii="Cambria" w:hAnsi="Cambria"/>
                        <w:color w:val="6F2F9F"/>
                        <w:sz w:val="32"/>
                      </w:rPr>
                      <w:t>exclusión y discriminación, no pueden ejercer sus </w:t>
                    </w:r>
                    <w:r>
                      <w:rPr>
                        <w:rFonts w:ascii="Cambria" w:hAnsi="Cambria"/>
                        <w:color w:val="6F2F9F"/>
                        <w:w w:val="95"/>
                        <w:sz w:val="32"/>
                      </w:rPr>
                      <w:t>derechos en condiciones </w:t>
                    </w:r>
                    <w:r>
                      <w:rPr>
                        <w:rFonts w:ascii="Cambria" w:hAnsi="Cambria"/>
                        <w:color w:val="6F2F9F"/>
                        <w:sz w:val="32"/>
                      </w:rPr>
                      <w:t>de</w:t>
                    </w:r>
                    <w:r>
                      <w:rPr>
                        <w:rFonts w:ascii="Cambria" w:hAnsi="Cambria"/>
                        <w:color w:val="6F2F9F"/>
                        <w:spacing w:val="24"/>
                        <w:sz w:val="32"/>
                      </w:rPr>
                      <w:t> </w:t>
                    </w:r>
                    <w:r>
                      <w:rPr>
                        <w:rFonts w:ascii="Cambria" w:hAnsi="Cambria"/>
                        <w:color w:val="6F2F9F"/>
                        <w:sz w:val="32"/>
                      </w:rPr>
                      <w:t>igualdad.</w:t>
                    </w:r>
                  </w:p>
                </w:txbxContent>
              </v:textbox>
              <w10:wrap type="none"/>
            </v:shape>
            <w10:wrap type="none"/>
          </v:group>
        </w:pict>
      </w:r>
      <w:r>
        <w:rPr/>
        <w:t>El problema surge, cuando se trata a los desiguales de forma igual, es decir, cuando hay ausencia</w:t>
      </w:r>
      <w:r>
        <w:rPr>
          <w:spacing w:val="-17"/>
        </w:rPr>
        <w:t> </w:t>
      </w:r>
      <w:r>
        <w:rPr/>
        <w:t>de</w:t>
      </w:r>
      <w:r>
        <w:rPr>
          <w:spacing w:val="-20"/>
        </w:rPr>
        <w:t> </w:t>
      </w:r>
      <w:r>
        <w:rPr/>
        <w:t>visibilización</w:t>
      </w:r>
      <w:r>
        <w:rPr>
          <w:spacing w:val="-15"/>
        </w:rPr>
        <w:t> </w:t>
      </w:r>
      <w:r>
        <w:rPr/>
        <w:t>jurídica</w:t>
      </w:r>
      <w:r>
        <w:rPr>
          <w:spacing w:val="-17"/>
        </w:rPr>
        <w:t> </w:t>
      </w:r>
      <w:r>
        <w:rPr/>
        <w:t>de</w:t>
      </w:r>
      <w:r>
        <w:rPr>
          <w:spacing w:val="-17"/>
        </w:rPr>
        <w:t> </w:t>
      </w:r>
      <w:r>
        <w:rPr/>
        <w:t>ciertos</w:t>
      </w:r>
      <w:r>
        <w:rPr>
          <w:spacing w:val="-22"/>
        </w:rPr>
        <w:t> </w:t>
      </w:r>
      <w:r>
        <w:rPr/>
        <w:t>grupos que socialmente se encuentran en situación de vulnerabilidad. La igualdad requiere de acciones de reconocimiento, redistribución y</w:t>
      </w:r>
      <w:r>
        <w:rPr>
          <w:spacing w:val="-32"/>
        </w:rPr>
        <w:t> </w:t>
      </w:r>
      <w:r>
        <w:rPr/>
        <w:t>representación de los grupos socialmente</w:t>
      </w:r>
      <w:r>
        <w:rPr>
          <w:spacing w:val="-12"/>
        </w:rPr>
        <w:t> </w:t>
      </w:r>
      <w:r>
        <w:rPr/>
        <w:t>vulnerables.</w:t>
      </w:r>
    </w:p>
    <w:p>
      <w:pPr>
        <w:pStyle w:val="BodyText"/>
        <w:spacing w:before="10"/>
        <w:rPr>
          <w:sz w:val="17"/>
        </w:rPr>
      </w:pPr>
    </w:p>
    <w:p>
      <w:pPr>
        <w:pStyle w:val="BodyText"/>
        <w:spacing w:line="360" w:lineRule="auto"/>
        <w:ind w:left="102" w:right="4177"/>
        <w:jc w:val="both"/>
      </w:pPr>
      <w:r>
        <w:rPr/>
        <w:t>Al respecto Juez Rodolfo E. Piza Escalante en la Opinión Consultiva 4/84, señala que:</w:t>
      </w:r>
    </w:p>
    <w:p>
      <w:pPr>
        <w:pStyle w:val="BodyText"/>
        <w:spacing w:before="6"/>
        <w:rPr>
          <w:sz w:val="17"/>
        </w:rPr>
      </w:pPr>
    </w:p>
    <w:p>
      <w:pPr>
        <w:spacing w:line="360" w:lineRule="auto" w:before="0"/>
        <w:ind w:left="668" w:right="4179" w:firstLine="0"/>
        <w:jc w:val="both"/>
        <w:rPr>
          <w:sz w:val="20"/>
        </w:rPr>
      </w:pPr>
      <w:r>
        <w:rPr/>
        <w:pict>
          <v:shape style="position:absolute;margin-left:429.840027pt;margin-top:145.409851pt;width:97.35pt;height:59.65pt;mso-position-horizontal-relative:page;mso-position-vertical-relative:paragraph;z-index:2584" coordorigin="8597,2908" coordsize="1947,1193" path="m10543,3049l10531,3040,9154,3868,10543,3049m10543,2975l10531,2968,8957,3909,10543,2975m10543,2951l10531,2951,8597,4101,8612,4101,10543,2951m10543,2942l10531,2942,8986,3859,8986,3868,10543,2942m10543,2908l10531,2908,9276,3662,10543,2908e" filled="true" fillcolor="#8496af" stroked="false">
            <v:path arrowok="t"/>
            <v:fill type="solid"/>
            <w10:wrap type="none"/>
          </v:shape>
        </w:pict>
      </w:r>
      <w:r>
        <w:rPr>
          <w:sz w:val="20"/>
        </w:rPr>
        <w:t>“ (…) los conceptos de igualdad y de no discriminación se corresponden mutuamente, como las dos caras de una misma institución: la igualdad es la cara positiva de la no discriminación, y la no discriminación es la cara negativa de la igualdad, y ambas la expresión</w:t>
      </w:r>
      <w:r>
        <w:rPr>
          <w:spacing w:val="-19"/>
          <w:sz w:val="20"/>
        </w:rPr>
        <w:t> </w:t>
      </w:r>
      <w:r>
        <w:rPr>
          <w:sz w:val="20"/>
        </w:rPr>
        <w:t>de una</w:t>
      </w:r>
      <w:r>
        <w:rPr>
          <w:spacing w:val="-15"/>
          <w:sz w:val="20"/>
        </w:rPr>
        <w:t> </w:t>
      </w:r>
      <w:r>
        <w:rPr>
          <w:sz w:val="20"/>
        </w:rPr>
        <w:t>valor</w:t>
      </w:r>
      <w:r>
        <w:rPr>
          <w:spacing w:val="-14"/>
          <w:sz w:val="20"/>
        </w:rPr>
        <w:t> </w:t>
      </w:r>
      <w:r>
        <w:rPr>
          <w:sz w:val="20"/>
        </w:rPr>
        <w:t>jurídico</w:t>
      </w:r>
      <w:r>
        <w:rPr>
          <w:spacing w:val="-15"/>
          <w:sz w:val="20"/>
        </w:rPr>
        <w:t> </w:t>
      </w:r>
      <w:r>
        <w:rPr>
          <w:sz w:val="20"/>
        </w:rPr>
        <w:t>de</w:t>
      </w:r>
      <w:r>
        <w:rPr>
          <w:spacing w:val="-13"/>
          <w:sz w:val="20"/>
        </w:rPr>
        <w:t> </w:t>
      </w:r>
      <w:r>
        <w:rPr>
          <w:sz w:val="20"/>
        </w:rPr>
        <w:t>la</w:t>
      </w:r>
      <w:r>
        <w:rPr>
          <w:spacing w:val="-15"/>
          <w:sz w:val="20"/>
        </w:rPr>
        <w:t> </w:t>
      </w:r>
      <w:r>
        <w:rPr>
          <w:sz w:val="20"/>
        </w:rPr>
        <w:t>igualdad</w:t>
      </w:r>
      <w:r>
        <w:rPr>
          <w:spacing w:val="-15"/>
          <w:sz w:val="20"/>
        </w:rPr>
        <w:t> </w:t>
      </w:r>
      <w:r>
        <w:rPr>
          <w:sz w:val="20"/>
        </w:rPr>
        <w:t>que</w:t>
      </w:r>
      <w:r>
        <w:rPr>
          <w:spacing w:val="-15"/>
          <w:sz w:val="20"/>
        </w:rPr>
        <w:t> </w:t>
      </w:r>
      <w:r>
        <w:rPr>
          <w:sz w:val="20"/>
        </w:rPr>
        <w:t>está</w:t>
      </w:r>
      <w:r>
        <w:rPr>
          <w:spacing w:val="-15"/>
          <w:sz w:val="20"/>
        </w:rPr>
        <w:t> </w:t>
      </w:r>
      <w:r>
        <w:rPr>
          <w:sz w:val="20"/>
        </w:rPr>
        <w:t>implícito en el concepto mismo del Derecho como orden de justicia para el bien común” (SCJN,</w:t>
      </w:r>
      <w:r>
        <w:rPr>
          <w:spacing w:val="-15"/>
          <w:sz w:val="20"/>
        </w:rPr>
        <w:t> </w:t>
      </w:r>
      <w:r>
        <w:rPr>
          <w:sz w:val="20"/>
        </w:rPr>
        <w:t>2013).</w:t>
      </w:r>
    </w:p>
    <w:p>
      <w:pPr>
        <w:pStyle w:val="BodyText"/>
        <w:spacing w:before="5"/>
        <w:rPr>
          <w:sz w:val="17"/>
        </w:rPr>
      </w:pPr>
    </w:p>
    <w:p>
      <w:pPr>
        <w:pStyle w:val="BodyText"/>
        <w:spacing w:line="360" w:lineRule="auto"/>
        <w:ind w:left="102" w:right="4175"/>
        <w:jc w:val="both"/>
      </w:pPr>
      <w:r>
        <w:rPr/>
        <w:t>Estos</w:t>
      </w:r>
      <w:r>
        <w:rPr>
          <w:spacing w:val="-17"/>
        </w:rPr>
        <w:t> </w:t>
      </w:r>
      <w:r>
        <w:rPr/>
        <w:t>requerimientos</w:t>
      </w:r>
      <w:r>
        <w:rPr>
          <w:spacing w:val="-17"/>
        </w:rPr>
        <w:t> </w:t>
      </w:r>
      <w:r>
        <w:rPr/>
        <w:t>para</w:t>
      </w:r>
      <w:r>
        <w:rPr>
          <w:spacing w:val="-14"/>
        </w:rPr>
        <w:t> </w:t>
      </w:r>
      <w:r>
        <w:rPr/>
        <w:t>la</w:t>
      </w:r>
      <w:r>
        <w:rPr>
          <w:spacing w:val="-17"/>
        </w:rPr>
        <w:t> </w:t>
      </w:r>
      <w:r>
        <w:rPr/>
        <w:t>igualdad,</w:t>
      </w:r>
      <w:r>
        <w:rPr>
          <w:spacing w:val="-16"/>
        </w:rPr>
        <w:t> </w:t>
      </w:r>
      <w:r>
        <w:rPr/>
        <w:t>deben</w:t>
      </w:r>
      <w:r>
        <w:rPr>
          <w:spacing w:val="-17"/>
        </w:rPr>
        <w:t> </w:t>
      </w:r>
      <w:r>
        <w:rPr/>
        <w:t>estar presentes en el acceso a la justicia de grupos específicos que tienen circunstancias especiales</w:t>
      </w:r>
      <w:r>
        <w:rPr>
          <w:spacing w:val="-30"/>
        </w:rPr>
        <w:t> </w:t>
      </w:r>
      <w:r>
        <w:rPr/>
        <w:t>y</w:t>
      </w:r>
    </w:p>
    <w:p>
      <w:pPr>
        <w:pStyle w:val="BodyText"/>
        <w:spacing w:line="362" w:lineRule="auto" w:before="3"/>
        <w:ind w:left="102" w:right="241"/>
        <w:jc w:val="both"/>
      </w:pPr>
      <w:r>
        <w:rPr/>
        <w:t>se encuentran en una situación de vulnerabilidad, a fin de que estos grupos que son excluidos, puedan ejercer sus derechos en condiciones de igualdad.</w:t>
      </w:r>
    </w:p>
    <w:p>
      <w:pPr>
        <w:pStyle w:val="BodyText"/>
        <w:spacing w:before="2"/>
        <w:rPr>
          <w:sz w:val="17"/>
        </w:rPr>
      </w:pPr>
    </w:p>
    <w:p>
      <w:pPr>
        <w:pStyle w:val="Heading2"/>
        <w:numPr>
          <w:ilvl w:val="1"/>
          <w:numId w:val="7"/>
        </w:numPr>
        <w:tabs>
          <w:tab w:pos="702" w:val="left" w:leader="none"/>
        </w:tabs>
        <w:spacing w:line="240" w:lineRule="auto" w:before="1" w:after="0"/>
        <w:ind w:left="701" w:right="0" w:hanging="599"/>
        <w:jc w:val="both"/>
        <w:rPr>
          <w:color w:val="9E3186"/>
        </w:rPr>
      </w:pPr>
      <w:bookmarkStart w:name="_TOC_250007" w:id="4"/>
      <w:bookmarkEnd w:id="4"/>
      <w:r>
        <w:rPr>
          <w:color w:val="9E3186"/>
        </w:rPr>
        <w:t>Equidad:</w:t>
      </w:r>
    </w:p>
    <w:p>
      <w:pPr>
        <w:pStyle w:val="BodyText"/>
        <w:spacing w:before="6"/>
        <w:rPr>
          <w:b/>
          <w:sz w:val="35"/>
        </w:rPr>
      </w:pPr>
    </w:p>
    <w:p>
      <w:pPr>
        <w:pStyle w:val="BodyText"/>
        <w:spacing w:line="360" w:lineRule="auto"/>
        <w:ind w:left="102" w:right="241"/>
        <w:jc w:val="both"/>
      </w:pPr>
      <w:r>
        <w:rPr/>
        <w:t>Es un principio de justicia emparentado con la idea de igualdad sustantiva y el reconocimiento de las diferencias sociales.</w:t>
      </w:r>
    </w:p>
    <w:p>
      <w:pPr>
        <w:pStyle w:val="BodyText"/>
        <w:spacing w:before="9"/>
        <w:rPr>
          <w:sz w:val="17"/>
        </w:rPr>
      </w:pPr>
    </w:p>
    <w:p>
      <w:pPr>
        <w:pStyle w:val="BodyText"/>
        <w:spacing w:line="360" w:lineRule="auto"/>
        <w:ind w:left="102" w:right="238"/>
        <w:jc w:val="both"/>
      </w:pPr>
      <w:r>
        <w:rPr/>
        <w:t>La</w:t>
      </w:r>
      <w:r>
        <w:rPr>
          <w:spacing w:val="-14"/>
        </w:rPr>
        <w:t> </w:t>
      </w:r>
      <w:r>
        <w:rPr/>
        <w:t>equidad</w:t>
      </w:r>
      <w:r>
        <w:rPr>
          <w:spacing w:val="-13"/>
        </w:rPr>
        <w:t> </w:t>
      </w:r>
      <w:r>
        <w:rPr/>
        <w:t>es</w:t>
      </w:r>
      <w:r>
        <w:rPr>
          <w:spacing w:val="-13"/>
        </w:rPr>
        <w:t> </w:t>
      </w:r>
      <w:r>
        <w:rPr/>
        <w:t>una</w:t>
      </w:r>
      <w:r>
        <w:rPr>
          <w:spacing w:val="-13"/>
        </w:rPr>
        <w:t> </w:t>
      </w:r>
      <w:r>
        <w:rPr/>
        <w:t>igualdad</w:t>
      </w:r>
      <w:r>
        <w:rPr>
          <w:spacing w:val="-14"/>
        </w:rPr>
        <w:t> </w:t>
      </w:r>
      <w:r>
        <w:rPr/>
        <w:t>en</w:t>
      </w:r>
      <w:r>
        <w:rPr>
          <w:spacing w:val="-14"/>
        </w:rPr>
        <w:t> </w:t>
      </w:r>
      <w:r>
        <w:rPr/>
        <w:t>las</w:t>
      </w:r>
      <w:r>
        <w:rPr>
          <w:spacing w:val="-13"/>
        </w:rPr>
        <w:t> </w:t>
      </w:r>
      <w:r>
        <w:rPr/>
        <w:t>diferencias,</w:t>
      </w:r>
      <w:r>
        <w:rPr>
          <w:spacing w:val="-15"/>
        </w:rPr>
        <w:t> </w:t>
      </w:r>
      <w:r>
        <w:rPr/>
        <w:t>tomando</w:t>
      </w:r>
      <w:r>
        <w:rPr>
          <w:spacing w:val="-14"/>
        </w:rPr>
        <w:t> </w:t>
      </w:r>
      <w:r>
        <w:rPr/>
        <w:t>en</w:t>
      </w:r>
      <w:r>
        <w:rPr>
          <w:spacing w:val="-16"/>
        </w:rPr>
        <w:t> </w:t>
      </w:r>
      <w:r>
        <w:rPr/>
        <w:t>consideración</w:t>
      </w:r>
      <w:r>
        <w:rPr>
          <w:spacing w:val="-16"/>
        </w:rPr>
        <w:t> </w:t>
      </w:r>
      <w:r>
        <w:rPr/>
        <w:t>las</w:t>
      </w:r>
      <w:r>
        <w:rPr>
          <w:spacing w:val="-13"/>
        </w:rPr>
        <w:t> </w:t>
      </w:r>
      <w:r>
        <w:rPr/>
        <w:t>circunstancias y</w:t>
      </w:r>
      <w:r>
        <w:rPr>
          <w:spacing w:val="-6"/>
        </w:rPr>
        <w:t> </w:t>
      </w:r>
      <w:r>
        <w:rPr/>
        <w:t>los</w:t>
      </w:r>
      <w:r>
        <w:rPr>
          <w:spacing w:val="-4"/>
        </w:rPr>
        <w:t> </w:t>
      </w:r>
      <w:r>
        <w:rPr/>
        <w:t>contextos</w:t>
      </w:r>
      <w:r>
        <w:rPr>
          <w:spacing w:val="-4"/>
        </w:rPr>
        <w:t> </w:t>
      </w:r>
      <w:r>
        <w:rPr/>
        <w:t>que</w:t>
      </w:r>
      <w:r>
        <w:rPr>
          <w:spacing w:val="-7"/>
        </w:rPr>
        <w:t> </w:t>
      </w:r>
      <w:r>
        <w:rPr/>
        <w:t>provocan</w:t>
      </w:r>
      <w:r>
        <w:rPr>
          <w:spacing w:val="-4"/>
        </w:rPr>
        <w:t> </w:t>
      </w:r>
      <w:r>
        <w:rPr/>
        <w:t>desigualdad</w:t>
      </w:r>
      <w:r>
        <w:rPr>
          <w:spacing w:val="-4"/>
        </w:rPr>
        <w:t> </w:t>
      </w:r>
      <w:r>
        <w:rPr/>
        <w:t>con</w:t>
      </w:r>
      <w:r>
        <w:rPr>
          <w:spacing w:val="-7"/>
        </w:rPr>
        <w:t> </w:t>
      </w:r>
      <w:r>
        <w:rPr/>
        <w:t>el</w:t>
      </w:r>
      <w:r>
        <w:rPr>
          <w:spacing w:val="-5"/>
        </w:rPr>
        <w:t> </w:t>
      </w:r>
      <w:r>
        <w:rPr/>
        <w:t>reconocimiento</w:t>
      </w:r>
      <w:r>
        <w:rPr>
          <w:spacing w:val="-7"/>
        </w:rPr>
        <w:t> </w:t>
      </w:r>
      <w:r>
        <w:rPr/>
        <w:t>de</w:t>
      </w:r>
      <w:r>
        <w:rPr>
          <w:spacing w:val="-5"/>
        </w:rPr>
        <w:t> </w:t>
      </w:r>
      <w:r>
        <w:rPr/>
        <w:t>la</w:t>
      </w:r>
      <w:r>
        <w:rPr>
          <w:spacing w:val="-4"/>
        </w:rPr>
        <w:t> </w:t>
      </w:r>
      <w:r>
        <w:rPr/>
        <w:t>diversidad</w:t>
      </w:r>
      <w:r>
        <w:rPr>
          <w:spacing w:val="-5"/>
        </w:rPr>
        <w:t> </w:t>
      </w:r>
      <w:r>
        <w:rPr/>
        <w:t>social</w:t>
      </w:r>
      <w:r>
        <w:rPr>
          <w:spacing w:val="-5"/>
        </w:rPr>
        <w:t> </w:t>
      </w:r>
      <w:r>
        <w:rPr>
          <w:spacing w:val="-2"/>
        </w:rPr>
        <w:t>(D´ </w:t>
      </w:r>
      <w:r>
        <w:rPr/>
        <w:t>Elia,</w:t>
      </w:r>
      <w:r>
        <w:rPr>
          <w:spacing w:val="-3"/>
        </w:rPr>
        <w:t> </w:t>
      </w:r>
      <w:r>
        <w:rPr/>
        <w:t>2004).</w:t>
      </w:r>
    </w:p>
    <w:p>
      <w:pPr>
        <w:pStyle w:val="BodyText"/>
        <w:spacing w:before="7"/>
        <w:rPr>
          <w:sz w:val="17"/>
        </w:rPr>
      </w:pPr>
    </w:p>
    <w:p>
      <w:pPr>
        <w:pStyle w:val="BodyText"/>
        <w:spacing w:line="360" w:lineRule="auto"/>
        <w:ind w:left="102" w:right="237"/>
        <w:jc w:val="both"/>
      </w:pPr>
      <w:r>
        <w:rPr/>
        <w:t>En el Derecho Romano, la equidad que deriva del término </w:t>
      </w:r>
      <w:r>
        <w:rPr>
          <w:i/>
        </w:rPr>
        <w:t>aequitas, </w:t>
      </w:r>
      <w:r>
        <w:rPr/>
        <w:t>que según Justiniano, es un criterio de templanza y benignidad en la aplicación del Derecho, como un </w:t>
      </w:r>
      <w:r>
        <w:rPr>
          <w:spacing w:val="56"/>
        </w:rPr>
        <w:t> </w:t>
      </w:r>
      <w:r>
        <w:rPr/>
        <w:t>concepto</w:t>
      </w:r>
    </w:p>
    <w:p>
      <w:pPr>
        <w:spacing w:after="0" w:line="360" w:lineRule="auto"/>
        <w:jc w:val="both"/>
        <w:sectPr>
          <w:pgSz w:w="12240" w:h="15840"/>
          <w:pgMar w:header="0" w:footer="993" w:top="1360" w:bottom="1200" w:left="1600" w:right="1460"/>
        </w:sectPr>
      </w:pPr>
    </w:p>
    <w:p>
      <w:pPr>
        <w:pStyle w:val="BodyText"/>
        <w:spacing w:line="360" w:lineRule="auto" w:before="54"/>
        <w:ind w:left="102" w:right="116"/>
        <w:jc w:val="both"/>
        <w:rPr>
          <w:sz w:val="24"/>
        </w:rPr>
      </w:pPr>
      <w:r>
        <w:rPr/>
        <w:t>opuesto al </w:t>
      </w:r>
      <w:r>
        <w:rPr>
          <w:i/>
        </w:rPr>
        <w:t>ius, </w:t>
      </w:r>
      <w:r>
        <w:rPr/>
        <w:t>derecho frío y rígido que no toma en cuenta todas las circunstancias del caso</w:t>
      </w:r>
      <w:r>
        <w:rPr>
          <w:spacing w:val="-3"/>
        </w:rPr>
        <w:t> </w:t>
      </w:r>
      <w:r>
        <w:rPr/>
        <w:t>concreto.</w:t>
      </w:r>
      <w:r>
        <w:rPr>
          <w:spacing w:val="-2"/>
        </w:rPr>
        <w:t> </w:t>
      </w:r>
      <w:r>
        <w:rPr/>
        <w:t>La</w:t>
      </w:r>
      <w:r>
        <w:rPr>
          <w:spacing w:val="-6"/>
        </w:rPr>
        <w:t> </w:t>
      </w:r>
      <w:r>
        <w:rPr/>
        <w:t>equidad</w:t>
      </w:r>
      <w:r>
        <w:rPr>
          <w:spacing w:val="-3"/>
        </w:rPr>
        <w:t> </w:t>
      </w:r>
      <w:r>
        <w:rPr/>
        <w:t>aparece</w:t>
      </w:r>
      <w:r>
        <w:rPr>
          <w:spacing w:val="-5"/>
        </w:rPr>
        <w:t> </w:t>
      </w:r>
      <w:r>
        <w:rPr/>
        <w:t>como</w:t>
      </w:r>
      <w:r>
        <w:rPr>
          <w:spacing w:val="-5"/>
        </w:rPr>
        <w:t> </w:t>
      </w:r>
      <w:r>
        <w:rPr/>
        <w:t>la</w:t>
      </w:r>
      <w:r>
        <w:rPr>
          <w:spacing w:val="-3"/>
        </w:rPr>
        <w:t> </w:t>
      </w:r>
      <w:r>
        <w:rPr/>
        <w:t>aplicación</w:t>
      </w:r>
      <w:r>
        <w:rPr>
          <w:spacing w:val="-3"/>
        </w:rPr>
        <w:t> </w:t>
      </w:r>
      <w:r>
        <w:rPr/>
        <w:t>prudente</w:t>
      </w:r>
      <w:r>
        <w:rPr>
          <w:spacing w:val="-5"/>
        </w:rPr>
        <w:t> </w:t>
      </w:r>
      <w:r>
        <w:rPr/>
        <w:t>de</w:t>
      </w:r>
      <w:r>
        <w:rPr>
          <w:spacing w:val="-3"/>
        </w:rPr>
        <w:t> </w:t>
      </w:r>
      <w:r>
        <w:rPr/>
        <w:t>las</w:t>
      </w:r>
      <w:r>
        <w:rPr>
          <w:spacing w:val="-5"/>
        </w:rPr>
        <w:t> </w:t>
      </w:r>
      <w:r>
        <w:rPr/>
        <w:t>normas</w:t>
      </w:r>
      <w:r>
        <w:rPr>
          <w:spacing w:val="-5"/>
        </w:rPr>
        <w:t> </w:t>
      </w:r>
      <w:r>
        <w:rPr/>
        <w:t>jurídicas</w:t>
      </w:r>
      <w:r>
        <w:rPr>
          <w:spacing w:val="-3"/>
        </w:rPr>
        <w:t> </w:t>
      </w:r>
      <w:r>
        <w:rPr/>
        <w:t>en el caso concreto (Ventura,</w:t>
      </w:r>
      <w:r>
        <w:rPr>
          <w:spacing w:val="-6"/>
        </w:rPr>
        <w:t> </w:t>
      </w:r>
      <w:r>
        <w:rPr/>
        <w:t>1982)</w:t>
      </w:r>
      <w:r>
        <w:rPr>
          <w:sz w:val="24"/>
        </w:rPr>
        <w:t>.</w:t>
      </w:r>
    </w:p>
    <w:p>
      <w:pPr>
        <w:pStyle w:val="BodyText"/>
        <w:spacing w:line="360" w:lineRule="auto" w:before="201"/>
        <w:ind w:left="102" w:right="120"/>
        <w:jc w:val="both"/>
      </w:pPr>
      <w:r>
        <w:rPr/>
        <w:t>En ese sentido la equidad constituye una medida para atender las circunstancias de desigualdad social, para lograr que todas las personas puedan gozar del derecho a la igualdad.</w:t>
      </w:r>
    </w:p>
    <w:p>
      <w:pPr>
        <w:pStyle w:val="BodyText"/>
        <w:spacing w:before="7"/>
        <w:rPr>
          <w:sz w:val="17"/>
        </w:rPr>
      </w:pPr>
    </w:p>
    <w:p>
      <w:pPr>
        <w:pStyle w:val="BodyText"/>
        <w:spacing w:line="360" w:lineRule="auto"/>
        <w:ind w:left="102" w:right="119"/>
        <w:jc w:val="both"/>
      </w:pPr>
      <w:r>
        <w:rPr/>
        <w:t>En el ámbito jurídico es importante aplicar el Derecho, considerando las condiciones de desigualdad y exclusión social en el caso concreto, es decir aplicar las normas jurídicas a partir de la equidad.</w:t>
      </w:r>
    </w:p>
    <w:p>
      <w:pPr>
        <w:spacing w:after="0" w:line="360" w:lineRule="auto"/>
        <w:jc w:val="both"/>
        <w:sectPr>
          <w:pgSz w:w="12240" w:h="15840"/>
          <w:pgMar w:header="0" w:footer="993" w:top="1360" w:bottom="1200" w:left="1600" w:right="1580"/>
        </w:sectPr>
      </w:pPr>
    </w:p>
    <w:p>
      <w:pPr>
        <w:pStyle w:val="Heading2"/>
        <w:numPr>
          <w:ilvl w:val="1"/>
          <w:numId w:val="7"/>
        </w:numPr>
        <w:tabs>
          <w:tab w:pos="707" w:val="left" w:leader="none"/>
        </w:tabs>
        <w:spacing w:line="240" w:lineRule="auto" w:before="32" w:after="0"/>
        <w:ind w:left="706" w:right="0" w:hanging="604"/>
        <w:jc w:val="both"/>
        <w:rPr>
          <w:color w:val="6F2F9F"/>
        </w:rPr>
      </w:pPr>
      <w:bookmarkStart w:name="_TOC_250006" w:id="5"/>
      <w:r>
        <w:rPr>
          <w:color w:val="6F2F9F"/>
        </w:rPr>
        <w:t>ACCIÓN</w:t>
      </w:r>
      <w:r>
        <w:rPr>
          <w:color w:val="6F2F9F"/>
          <w:spacing w:val="-14"/>
        </w:rPr>
        <w:t> </w:t>
      </w:r>
      <w:bookmarkEnd w:id="5"/>
      <w:r>
        <w:rPr>
          <w:color w:val="6F2F9F"/>
        </w:rPr>
        <w:t>AFIRMATIVA:</w:t>
      </w:r>
    </w:p>
    <w:p>
      <w:pPr>
        <w:pStyle w:val="BodyText"/>
        <w:spacing w:before="6"/>
        <w:rPr>
          <w:b/>
          <w:sz w:val="35"/>
        </w:rPr>
      </w:pPr>
    </w:p>
    <w:p>
      <w:pPr>
        <w:pStyle w:val="BodyText"/>
        <w:spacing w:line="360" w:lineRule="auto"/>
        <w:ind w:left="102" w:right="117"/>
        <w:jc w:val="both"/>
      </w:pPr>
      <w:r>
        <w:rPr/>
        <w:t>Para atender las condiciones sociales de desigualdad, se deben de dar ciertas consideraciones</w:t>
      </w:r>
      <w:r>
        <w:rPr>
          <w:spacing w:val="-8"/>
        </w:rPr>
        <w:t> </w:t>
      </w:r>
      <w:r>
        <w:rPr/>
        <w:t>especiales</w:t>
      </w:r>
      <w:r>
        <w:rPr>
          <w:spacing w:val="-8"/>
        </w:rPr>
        <w:t> </w:t>
      </w:r>
      <w:r>
        <w:rPr/>
        <w:t>a</w:t>
      </w:r>
      <w:r>
        <w:rPr>
          <w:spacing w:val="-10"/>
        </w:rPr>
        <w:t> </w:t>
      </w:r>
      <w:r>
        <w:rPr/>
        <w:t>fin</w:t>
      </w:r>
      <w:r>
        <w:rPr>
          <w:spacing w:val="-8"/>
        </w:rPr>
        <w:t> </w:t>
      </w:r>
      <w:r>
        <w:rPr/>
        <w:t>de</w:t>
      </w:r>
      <w:r>
        <w:rPr>
          <w:spacing w:val="-10"/>
        </w:rPr>
        <w:t> </w:t>
      </w:r>
      <w:r>
        <w:rPr/>
        <w:t>que</w:t>
      </w:r>
      <w:r>
        <w:rPr>
          <w:spacing w:val="-10"/>
        </w:rPr>
        <w:t> </w:t>
      </w:r>
      <w:r>
        <w:rPr/>
        <w:t>los</w:t>
      </w:r>
      <w:r>
        <w:rPr>
          <w:spacing w:val="-10"/>
        </w:rPr>
        <w:t> </w:t>
      </w:r>
      <w:r>
        <w:rPr/>
        <w:t>grupos</w:t>
      </w:r>
      <w:r>
        <w:rPr>
          <w:spacing w:val="-7"/>
        </w:rPr>
        <w:t> </w:t>
      </w:r>
      <w:r>
        <w:rPr/>
        <w:t>en</w:t>
      </w:r>
      <w:r>
        <w:rPr>
          <w:spacing w:val="-8"/>
        </w:rPr>
        <w:t> </w:t>
      </w:r>
      <w:r>
        <w:rPr/>
        <w:t>condiciones</w:t>
      </w:r>
      <w:r>
        <w:rPr>
          <w:spacing w:val="-8"/>
        </w:rPr>
        <w:t> </w:t>
      </w:r>
      <w:r>
        <w:rPr/>
        <w:t>de</w:t>
      </w:r>
      <w:r>
        <w:rPr>
          <w:spacing w:val="-8"/>
        </w:rPr>
        <w:t> </w:t>
      </w:r>
      <w:r>
        <w:rPr/>
        <w:t>desigualdad,</w:t>
      </w:r>
      <w:r>
        <w:rPr>
          <w:spacing w:val="-9"/>
        </w:rPr>
        <w:t> </w:t>
      </w:r>
      <w:r>
        <w:rPr/>
        <w:t>puedan tener</w:t>
      </w:r>
      <w:r>
        <w:rPr>
          <w:spacing w:val="-18"/>
        </w:rPr>
        <w:t> </w:t>
      </w:r>
      <w:r>
        <w:rPr/>
        <w:t>acceso</w:t>
      </w:r>
      <w:r>
        <w:rPr>
          <w:spacing w:val="-19"/>
        </w:rPr>
        <w:t> </w:t>
      </w:r>
      <w:r>
        <w:rPr/>
        <w:t>a</w:t>
      </w:r>
      <w:r>
        <w:rPr>
          <w:spacing w:val="-19"/>
        </w:rPr>
        <w:t> </w:t>
      </w:r>
      <w:r>
        <w:rPr/>
        <w:t>la</w:t>
      </w:r>
      <w:r>
        <w:rPr>
          <w:spacing w:val="-18"/>
        </w:rPr>
        <w:t> </w:t>
      </w:r>
      <w:r>
        <w:rPr/>
        <w:t>justicia</w:t>
      </w:r>
      <w:r>
        <w:rPr>
          <w:spacing w:val="-18"/>
        </w:rPr>
        <w:t> </w:t>
      </w:r>
      <w:r>
        <w:rPr/>
        <w:t>mediante</w:t>
      </w:r>
      <w:r>
        <w:rPr>
          <w:spacing w:val="-19"/>
        </w:rPr>
        <w:t> </w:t>
      </w:r>
      <w:r>
        <w:rPr/>
        <w:t>un</w:t>
      </w:r>
      <w:r>
        <w:rPr>
          <w:spacing w:val="-19"/>
        </w:rPr>
        <w:t> </w:t>
      </w:r>
      <w:r>
        <w:rPr/>
        <w:t>trato</w:t>
      </w:r>
      <w:r>
        <w:rPr>
          <w:spacing w:val="-19"/>
        </w:rPr>
        <w:t> </w:t>
      </w:r>
      <w:r>
        <w:rPr/>
        <w:t>igualitario,</w:t>
      </w:r>
      <w:r>
        <w:rPr>
          <w:spacing w:val="-15"/>
        </w:rPr>
        <w:t> </w:t>
      </w:r>
      <w:r>
        <w:rPr/>
        <w:t>a</w:t>
      </w:r>
      <w:r>
        <w:rPr>
          <w:spacing w:val="-19"/>
        </w:rPr>
        <w:t> </w:t>
      </w:r>
      <w:r>
        <w:rPr/>
        <w:t>estas</w:t>
      </w:r>
      <w:r>
        <w:rPr>
          <w:spacing w:val="-19"/>
        </w:rPr>
        <w:t> </w:t>
      </w:r>
      <w:r>
        <w:rPr/>
        <w:t>medidas</w:t>
      </w:r>
      <w:r>
        <w:rPr>
          <w:spacing w:val="-18"/>
        </w:rPr>
        <w:t> </w:t>
      </w:r>
      <w:r>
        <w:rPr/>
        <w:t>se</w:t>
      </w:r>
      <w:r>
        <w:rPr>
          <w:spacing w:val="-19"/>
        </w:rPr>
        <w:t> </w:t>
      </w:r>
      <w:r>
        <w:rPr/>
        <w:t>les</w:t>
      </w:r>
      <w:r>
        <w:rPr>
          <w:spacing w:val="-16"/>
        </w:rPr>
        <w:t> </w:t>
      </w:r>
      <w:r>
        <w:rPr/>
        <w:t>llama</w:t>
      </w:r>
      <w:r>
        <w:rPr>
          <w:spacing w:val="-18"/>
        </w:rPr>
        <w:t> </w:t>
      </w:r>
      <w:r>
        <w:rPr/>
        <w:t>acciones afirmativas.</w:t>
      </w:r>
    </w:p>
    <w:p>
      <w:pPr>
        <w:pStyle w:val="BodyText"/>
        <w:spacing w:before="7"/>
        <w:rPr>
          <w:sz w:val="17"/>
        </w:rPr>
      </w:pPr>
    </w:p>
    <w:p>
      <w:pPr>
        <w:spacing w:line="360" w:lineRule="auto" w:before="0"/>
        <w:ind w:left="668" w:right="682" w:firstLine="0"/>
        <w:jc w:val="both"/>
        <w:rPr>
          <w:sz w:val="20"/>
        </w:rPr>
      </w:pPr>
      <w:r>
        <w:rPr>
          <w:sz w:val="22"/>
        </w:rPr>
        <w:t>“</w:t>
      </w:r>
      <w:r>
        <w:rPr>
          <w:sz w:val="20"/>
        </w:rPr>
        <w:t>La Acción Afirmativa es un conjunto de medidas de carácter temporal encaminadas a acelerar la igualdad de hecho (…). El objetivo principal de estas medidas es lograr la igualdad</w:t>
      </w:r>
      <w:r>
        <w:rPr>
          <w:spacing w:val="-3"/>
          <w:sz w:val="20"/>
        </w:rPr>
        <w:t> </w:t>
      </w:r>
      <w:r>
        <w:rPr>
          <w:sz w:val="20"/>
        </w:rPr>
        <w:t>efectiva</w:t>
      </w:r>
      <w:r>
        <w:rPr>
          <w:spacing w:val="-1"/>
          <w:sz w:val="20"/>
        </w:rPr>
        <w:t> </w:t>
      </w:r>
      <w:r>
        <w:rPr>
          <w:sz w:val="20"/>
        </w:rPr>
        <w:t>y</w:t>
      </w:r>
      <w:r>
        <w:rPr>
          <w:spacing w:val="-9"/>
          <w:sz w:val="20"/>
        </w:rPr>
        <w:t> </w:t>
      </w:r>
      <w:r>
        <w:rPr>
          <w:sz w:val="20"/>
        </w:rPr>
        <w:t>corregir</w:t>
      </w:r>
      <w:r>
        <w:rPr>
          <w:spacing w:val="-2"/>
          <w:sz w:val="20"/>
        </w:rPr>
        <w:t> </w:t>
      </w:r>
      <w:r>
        <w:rPr>
          <w:sz w:val="20"/>
        </w:rPr>
        <w:t>la</w:t>
      </w:r>
      <w:r>
        <w:rPr>
          <w:spacing w:val="-3"/>
          <w:sz w:val="20"/>
        </w:rPr>
        <w:t> </w:t>
      </w:r>
      <w:r>
        <w:rPr>
          <w:sz w:val="20"/>
        </w:rPr>
        <w:t>distribución</w:t>
      </w:r>
      <w:r>
        <w:rPr>
          <w:spacing w:val="-6"/>
          <w:sz w:val="20"/>
        </w:rPr>
        <w:t> </w:t>
      </w:r>
      <w:r>
        <w:rPr>
          <w:sz w:val="20"/>
        </w:rPr>
        <w:t>desigual</w:t>
      </w:r>
      <w:r>
        <w:rPr>
          <w:spacing w:val="-6"/>
          <w:sz w:val="20"/>
        </w:rPr>
        <w:t> </w:t>
      </w:r>
      <w:r>
        <w:rPr>
          <w:sz w:val="20"/>
        </w:rPr>
        <w:t>de</w:t>
      </w:r>
      <w:r>
        <w:rPr>
          <w:spacing w:val="-3"/>
          <w:sz w:val="20"/>
        </w:rPr>
        <w:t> </w:t>
      </w:r>
      <w:r>
        <w:rPr>
          <w:sz w:val="20"/>
        </w:rPr>
        <w:t>oportunidades</w:t>
      </w:r>
      <w:r>
        <w:rPr>
          <w:spacing w:val="-2"/>
          <w:sz w:val="20"/>
        </w:rPr>
        <w:t> </w:t>
      </w:r>
      <w:r>
        <w:rPr>
          <w:sz w:val="20"/>
        </w:rPr>
        <w:t>y</w:t>
      </w:r>
      <w:r>
        <w:rPr>
          <w:spacing w:val="-9"/>
          <w:sz w:val="20"/>
        </w:rPr>
        <w:t> </w:t>
      </w:r>
      <w:r>
        <w:rPr>
          <w:sz w:val="20"/>
        </w:rPr>
        <w:t>servicios</w:t>
      </w:r>
      <w:r>
        <w:rPr>
          <w:spacing w:val="-2"/>
          <w:sz w:val="20"/>
        </w:rPr>
        <w:t> </w:t>
      </w:r>
      <w:r>
        <w:rPr>
          <w:sz w:val="20"/>
        </w:rPr>
        <w:t>en</w:t>
      </w:r>
      <w:r>
        <w:rPr>
          <w:spacing w:val="-6"/>
          <w:sz w:val="20"/>
        </w:rPr>
        <w:t> </w:t>
      </w:r>
      <w:r>
        <w:rPr>
          <w:sz w:val="20"/>
        </w:rPr>
        <w:t>una sociedad determinada. La idea de acción afirmativa tiene su origen en Estados Unidos como mecanismo independiente a combatir la marginación social y económica de las personas afrodescendientes en los ámbitos laborales y educativos. Posteriormente estas medidas se extendieron a las mujeres, minorías étnicas y personas con discapacidad, entre otros grupos afectados visiblemente por prácticas discriminatorias. Las características principales de las Acciones Afirmativas son: La temporalidad, una vez que la situación de subordinación social en la que se encuentra la población beneficiaria, las medidas deben cesar o suspenderse. Legitimidad, debe existir una discriminación verificada en la realidad y su adopción deberá ser compatible con el principio constitucional de igualdad vigente en el país. Proporcionalidad, la finalidad de las medidas deben ser proporcional a los medios a utilizar y con las consecuencias jurídicas de la diferenciación, la aplicación de estas medidas no debe perjudicar a terceros excluidos por trato preferente”. (Inmujeres, 2007:</w:t>
      </w:r>
      <w:r>
        <w:rPr>
          <w:spacing w:val="-14"/>
          <w:sz w:val="20"/>
        </w:rPr>
        <w:t> </w:t>
      </w:r>
      <w:r>
        <w:rPr>
          <w:sz w:val="20"/>
        </w:rPr>
        <w:t>13).</w:t>
      </w:r>
    </w:p>
    <w:p>
      <w:pPr>
        <w:pStyle w:val="BodyText"/>
        <w:spacing w:before="5"/>
        <w:rPr>
          <w:sz w:val="17"/>
        </w:rPr>
      </w:pPr>
    </w:p>
    <w:p>
      <w:pPr>
        <w:pStyle w:val="BodyText"/>
        <w:spacing w:line="360" w:lineRule="auto"/>
        <w:ind w:left="102" w:right="118"/>
        <w:jc w:val="both"/>
      </w:pPr>
      <w:r>
        <w:rPr/>
        <w:t>Al respeto, la Corte Interamericana de Derechos Humanos, a partir de las Opiniones Consultivas 4/84 y 18/03, establece, respectivamente:</w:t>
      </w:r>
    </w:p>
    <w:p>
      <w:pPr>
        <w:spacing w:after="0" w:line="360" w:lineRule="auto"/>
        <w:jc w:val="both"/>
        <w:sectPr>
          <w:pgSz w:w="12240" w:h="15840"/>
          <w:pgMar w:header="0" w:footer="993" w:top="1380" w:bottom="1200" w:left="1600" w:right="1580"/>
        </w:sectPr>
      </w:pPr>
    </w:p>
    <w:p>
      <w:pPr>
        <w:spacing w:line="360" w:lineRule="auto" w:before="53"/>
        <w:ind w:left="668" w:right="4089" w:firstLine="0"/>
        <w:jc w:val="both"/>
        <w:rPr>
          <w:sz w:val="20"/>
        </w:rPr>
      </w:pPr>
      <w:r>
        <w:rPr/>
        <w:pict>
          <v:group style="position:absolute;margin-left:364.799988pt;margin-top:3.48989pt;width:162.25pt;height:552.15pt;mso-position-horizontal-relative:page;mso-position-vertical-relative:paragraph;z-index:3088" coordorigin="7296,70" coordsize="3245,11043">
            <v:shape style="position:absolute;left:7296;top:70;width:3240;height:11042" type="#_x0000_t75" stroked="false">
              <v:imagedata r:id="rId61" o:title=""/>
            </v:shape>
            <v:shape style="position:absolute;left:7297;top:124;width:3241;height:3512" type="#_x0000_t202" filled="false" stroked="false">
              <v:textbox inset="0,0,0,0">
                <w:txbxContent>
                  <w:p>
                    <w:pPr>
                      <w:spacing w:line="288" w:lineRule="exact" w:before="0"/>
                      <w:ind w:left="0" w:right="0" w:firstLine="0"/>
                      <w:jc w:val="both"/>
                      <w:rPr>
                        <w:rFonts w:ascii="Cambria"/>
                        <w:sz w:val="32"/>
                      </w:rPr>
                    </w:pPr>
                    <w:r>
                      <w:rPr>
                        <w:rFonts w:ascii="Cambria"/>
                        <w:color w:val="6F2F9F"/>
                        <w:w w:val="95"/>
                        <w:sz w:val="32"/>
                      </w:rPr>
                      <w:t>La  Corte Interamericana</w:t>
                    </w:r>
                  </w:p>
                  <w:p>
                    <w:pPr>
                      <w:spacing w:line="254" w:lineRule="auto" w:before="23"/>
                      <w:ind w:left="0" w:right="0" w:firstLine="0"/>
                      <w:jc w:val="both"/>
                      <w:rPr>
                        <w:rFonts w:ascii="Cambria" w:hAnsi="Cambria"/>
                        <w:sz w:val="32"/>
                      </w:rPr>
                    </w:pPr>
                    <w:r>
                      <w:rPr>
                        <w:rFonts w:ascii="Cambria" w:hAnsi="Cambria"/>
                        <w:color w:val="6F2F9F"/>
                        <w:sz w:val="32"/>
                      </w:rPr>
                      <w:t>de Derechos Humanos, en su observación</w:t>
                    </w:r>
                    <w:r>
                      <w:rPr>
                        <w:rFonts w:ascii="Cambria" w:hAnsi="Cambria"/>
                        <w:color w:val="6F2F9F"/>
                        <w:spacing w:val="-47"/>
                        <w:sz w:val="32"/>
                      </w:rPr>
                      <w:t> </w:t>
                    </w:r>
                    <w:r>
                      <w:rPr>
                        <w:rFonts w:ascii="Cambria" w:hAnsi="Cambria"/>
                        <w:color w:val="6F2F9F"/>
                        <w:sz w:val="32"/>
                      </w:rPr>
                      <w:t>8/84, </w:t>
                    </w:r>
                    <w:r>
                      <w:rPr>
                        <w:rFonts w:ascii="Cambria" w:hAnsi="Cambria"/>
                        <w:color w:val="6F2F9F"/>
                        <w:w w:val="95"/>
                        <w:sz w:val="32"/>
                      </w:rPr>
                      <w:t>reconoce la existencia de </w:t>
                    </w:r>
                    <w:r>
                      <w:rPr>
                        <w:rFonts w:ascii="Cambria" w:hAnsi="Cambria"/>
                        <w:color w:val="6F2F9F"/>
                        <w:sz w:val="32"/>
                      </w:rPr>
                      <w:t>desigualdades de hecho que pueden traducirse en desigualdades de tratamiento</w:t>
                    </w:r>
                    <w:r>
                      <w:rPr>
                        <w:rFonts w:ascii="Cambria" w:hAnsi="Cambria"/>
                        <w:color w:val="6F2F9F"/>
                        <w:spacing w:val="-34"/>
                        <w:sz w:val="32"/>
                      </w:rPr>
                      <w:t> </w:t>
                    </w:r>
                    <w:r>
                      <w:rPr>
                        <w:rFonts w:ascii="Cambria" w:hAnsi="Cambria"/>
                        <w:color w:val="6F2F9F"/>
                        <w:sz w:val="32"/>
                      </w:rPr>
                      <w:t>jurídico,</w:t>
                    </w:r>
                    <w:r>
                      <w:rPr>
                        <w:rFonts w:ascii="Cambria" w:hAnsi="Cambria"/>
                        <w:color w:val="6F2F9F"/>
                        <w:spacing w:val="-34"/>
                        <w:sz w:val="32"/>
                      </w:rPr>
                      <w:t> </w:t>
                    </w:r>
                    <w:r>
                      <w:rPr>
                        <w:rFonts w:ascii="Cambria" w:hAnsi="Cambria"/>
                        <w:color w:val="6F2F9F"/>
                        <w:sz w:val="32"/>
                      </w:rPr>
                      <w:t>sin que se contravenga a</w:t>
                    </w:r>
                    <w:r>
                      <w:rPr>
                        <w:rFonts w:ascii="Cambria" w:hAnsi="Cambria"/>
                        <w:color w:val="6F2F9F"/>
                        <w:spacing w:val="49"/>
                        <w:sz w:val="32"/>
                      </w:rPr>
                      <w:t> </w:t>
                    </w:r>
                    <w:r>
                      <w:rPr>
                        <w:rFonts w:ascii="Cambria" w:hAnsi="Cambria"/>
                        <w:color w:val="6F2F9F"/>
                        <w:sz w:val="32"/>
                      </w:rPr>
                      <w:t>la</w:t>
                    </w:r>
                  </w:p>
                </w:txbxContent>
              </v:textbox>
              <w10:wrap type="none"/>
            </v:shape>
            <v:shape style="position:absolute;left:7297;top:3715;width:2322;height:720" type="#_x0000_t202" filled="false" stroked="false">
              <v:textbox inset="0,0,0,0">
                <w:txbxContent>
                  <w:p>
                    <w:pPr>
                      <w:spacing w:line="288" w:lineRule="exact" w:before="0"/>
                      <w:ind w:left="0" w:right="0" w:firstLine="0"/>
                      <w:jc w:val="left"/>
                      <w:rPr>
                        <w:rFonts w:ascii="Cambria"/>
                        <w:sz w:val="32"/>
                      </w:rPr>
                    </w:pPr>
                    <w:r>
                      <w:rPr>
                        <w:rFonts w:ascii="Cambria"/>
                        <w:color w:val="6F2F9F"/>
                        <w:sz w:val="32"/>
                      </w:rPr>
                      <w:t>justicia.  Es decir</w:t>
                    </w:r>
                  </w:p>
                  <w:p>
                    <w:pPr>
                      <w:spacing w:before="25"/>
                      <w:ind w:left="0" w:right="0" w:firstLine="0"/>
                      <w:jc w:val="left"/>
                      <w:rPr>
                        <w:rFonts w:ascii="Cambria"/>
                        <w:sz w:val="32"/>
                      </w:rPr>
                    </w:pPr>
                    <w:r>
                      <w:rPr>
                        <w:rFonts w:ascii="Cambria"/>
                        <w:color w:val="6F2F9F"/>
                        <w:sz w:val="32"/>
                      </w:rPr>
                      <w:t>partir</w:t>
                    </w:r>
                  </w:p>
                </w:txbxContent>
              </v:textbox>
              <w10:wrap type="none"/>
            </v:shape>
            <v:shape style="position:absolute;left:9020;top:4116;width:290;height:320" type="#_x0000_t202" filled="false" stroked="false">
              <v:textbox inset="0,0,0,0">
                <w:txbxContent>
                  <w:p>
                    <w:pPr>
                      <w:spacing w:line="288" w:lineRule="exact" w:before="0"/>
                      <w:ind w:left="0" w:right="-14" w:firstLine="0"/>
                      <w:jc w:val="left"/>
                      <w:rPr>
                        <w:rFonts w:ascii="Cambria"/>
                        <w:sz w:val="32"/>
                      </w:rPr>
                    </w:pPr>
                    <w:r>
                      <w:rPr>
                        <w:rFonts w:ascii="Cambria"/>
                        <w:color w:val="6F2F9F"/>
                        <w:w w:val="85"/>
                        <w:sz w:val="32"/>
                      </w:rPr>
                      <w:t>de</w:t>
                    </w:r>
                  </w:p>
                </w:txbxContent>
              </v:textbox>
              <w10:wrap type="none"/>
            </v:shape>
            <v:shape style="position:absolute;left:7297;top:4514;width:2146;height:320" type="#_x0000_t202" filled="false" stroked="false">
              <v:textbox inset="0,0,0,0">
                <w:txbxContent>
                  <w:p>
                    <w:pPr>
                      <w:spacing w:line="288" w:lineRule="exact" w:before="0"/>
                      <w:ind w:left="0" w:right="0" w:firstLine="0"/>
                      <w:jc w:val="left"/>
                      <w:rPr>
                        <w:rFonts w:ascii="Cambria" w:hAnsi="Cambria"/>
                        <w:sz w:val="32"/>
                      </w:rPr>
                    </w:pPr>
                    <w:r>
                      <w:rPr>
                        <w:rFonts w:ascii="Cambria" w:hAnsi="Cambria"/>
                        <w:color w:val="6F2F9F"/>
                        <w:w w:val="95"/>
                        <w:sz w:val="32"/>
                      </w:rPr>
                      <w:t>implementación</w:t>
                    </w:r>
                  </w:p>
                </w:txbxContent>
              </v:textbox>
              <w10:wrap type="none"/>
            </v:shape>
            <v:shape style="position:absolute;left:9758;top:3715;width:781;height:1119" type="#_x0000_t202" filled="false" stroked="false">
              <v:textbox inset="0,0,0,0">
                <w:txbxContent>
                  <w:p>
                    <w:pPr>
                      <w:spacing w:line="288" w:lineRule="exact" w:before="0"/>
                      <w:ind w:left="0" w:right="-13" w:firstLine="0"/>
                      <w:jc w:val="left"/>
                      <w:rPr>
                        <w:rFonts w:ascii="Cambria"/>
                        <w:sz w:val="32"/>
                      </w:rPr>
                    </w:pPr>
                    <w:r>
                      <w:rPr>
                        <w:rFonts w:ascii="Cambria"/>
                        <w:color w:val="6F2F9F"/>
                        <w:sz w:val="32"/>
                      </w:rPr>
                      <w:t>que a</w:t>
                    </w:r>
                  </w:p>
                  <w:p>
                    <w:pPr>
                      <w:spacing w:line="254" w:lineRule="auto" w:before="25"/>
                      <w:ind w:left="490" w:right="-13" w:firstLine="35"/>
                      <w:jc w:val="left"/>
                      <w:rPr>
                        <w:rFonts w:ascii="Cambria"/>
                        <w:sz w:val="32"/>
                      </w:rPr>
                    </w:pPr>
                    <w:r>
                      <w:rPr>
                        <w:rFonts w:ascii="Cambria"/>
                        <w:color w:val="6F2F9F"/>
                        <w:sz w:val="32"/>
                      </w:rPr>
                      <w:t>la </w:t>
                    </w:r>
                    <w:r>
                      <w:rPr>
                        <w:rFonts w:ascii="Cambria"/>
                        <w:color w:val="6F2F9F"/>
                        <w:w w:val="85"/>
                        <w:sz w:val="32"/>
                      </w:rPr>
                      <w:t>de</w:t>
                    </w:r>
                  </w:p>
                </w:txbxContent>
              </v:textbox>
              <w10:wrap type="none"/>
            </v:shape>
            <v:shape style="position:absolute;left:7297;top:4913;width:1376;height:1119" type="#_x0000_t202" filled="false" stroked="false">
              <v:textbox inset="0,0,0,0">
                <w:txbxContent>
                  <w:p>
                    <w:pPr>
                      <w:spacing w:line="288" w:lineRule="exact" w:before="0"/>
                      <w:ind w:left="0" w:right="-18" w:firstLine="0"/>
                      <w:jc w:val="left"/>
                      <w:rPr>
                        <w:rFonts w:ascii="Cambria"/>
                        <w:sz w:val="32"/>
                      </w:rPr>
                    </w:pPr>
                    <w:r>
                      <w:rPr>
                        <w:rFonts w:ascii="Cambria"/>
                        <w:color w:val="6F2F9F"/>
                        <w:sz w:val="32"/>
                      </w:rPr>
                      <w:t>acciones</w:t>
                    </w:r>
                  </w:p>
                  <w:p>
                    <w:pPr>
                      <w:spacing w:before="23"/>
                      <w:ind w:left="0" w:right="-18" w:firstLine="0"/>
                      <w:jc w:val="left"/>
                      <w:rPr>
                        <w:rFonts w:ascii="Cambria"/>
                        <w:sz w:val="32"/>
                      </w:rPr>
                    </w:pPr>
                    <w:r>
                      <w:rPr>
                        <w:rFonts w:ascii="Cambria"/>
                        <w:color w:val="6F2F9F"/>
                        <w:w w:val="95"/>
                        <w:sz w:val="32"/>
                      </w:rPr>
                      <w:t>tendientes</w:t>
                    </w:r>
                  </w:p>
                  <w:p>
                    <w:pPr>
                      <w:spacing w:before="26"/>
                      <w:ind w:left="0" w:right="-18" w:firstLine="0"/>
                      <w:jc w:val="left"/>
                      <w:rPr>
                        <w:rFonts w:ascii="Cambria"/>
                        <w:sz w:val="32"/>
                      </w:rPr>
                    </w:pPr>
                    <w:r>
                      <w:rPr>
                        <w:rFonts w:ascii="Cambria"/>
                        <w:color w:val="6F2F9F"/>
                        <w:sz w:val="32"/>
                      </w:rPr>
                      <w:t>grupos</w:t>
                    </w:r>
                  </w:p>
                </w:txbxContent>
              </v:textbox>
              <w10:wrap type="none"/>
            </v:shape>
            <v:shape style="position:absolute;left:8943;top:4913;width:1593;height:320" type="#_x0000_t202" filled="false" stroked="false">
              <v:textbox inset="0,0,0,0">
                <w:txbxContent>
                  <w:p>
                    <w:pPr>
                      <w:spacing w:line="288" w:lineRule="exact" w:before="0"/>
                      <w:ind w:left="0" w:right="0" w:firstLine="0"/>
                      <w:jc w:val="left"/>
                      <w:rPr>
                        <w:rFonts w:ascii="Cambria"/>
                        <w:sz w:val="32"/>
                      </w:rPr>
                    </w:pPr>
                    <w:r>
                      <w:rPr>
                        <w:rFonts w:ascii="Cambria"/>
                        <w:color w:val="6F2F9F"/>
                        <w:sz w:val="32"/>
                      </w:rPr>
                      <w:t>afirmativas</w:t>
                    </w:r>
                  </w:p>
                </w:txbxContent>
              </v:textbox>
              <w10:wrap type="none"/>
            </v:shape>
            <v:shape style="position:absolute;left:8958;top:5311;width:159;height:320" type="#_x0000_t202" filled="false" stroked="false">
              <v:textbox inset="0,0,0,0">
                <w:txbxContent>
                  <w:p>
                    <w:pPr>
                      <w:spacing w:line="289" w:lineRule="exact" w:before="0"/>
                      <w:ind w:left="0" w:right="0" w:firstLine="0"/>
                      <w:jc w:val="left"/>
                      <w:rPr>
                        <w:rFonts w:ascii="Cambria"/>
                        <w:sz w:val="32"/>
                      </w:rPr>
                    </w:pPr>
                    <w:r>
                      <w:rPr>
                        <w:rFonts w:ascii="Cambria"/>
                        <w:color w:val="6F2F9F"/>
                        <w:w w:val="101"/>
                        <w:sz w:val="32"/>
                      </w:rPr>
                      <w:t>a</w:t>
                    </w:r>
                  </w:p>
                </w:txbxContent>
              </v:textbox>
              <w10:wrap type="none"/>
            </v:shape>
            <v:shape style="position:absolute;left:9402;top:5311;width:485;height:320" type="#_x0000_t202" filled="false" stroked="false">
              <v:textbox inset="0,0,0,0">
                <w:txbxContent>
                  <w:p>
                    <w:pPr>
                      <w:spacing w:line="289" w:lineRule="exact" w:before="0"/>
                      <w:ind w:left="0" w:right="-18" w:firstLine="0"/>
                      <w:jc w:val="left"/>
                      <w:rPr>
                        <w:rFonts w:ascii="Cambria"/>
                        <w:sz w:val="32"/>
                      </w:rPr>
                    </w:pPr>
                    <w:r>
                      <w:rPr>
                        <w:rFonts w:ascii="Cambria"/>
                        <w:color w:val="6F2F9F"/>
                        <w:w w:val="95"/>
                        <w:sz w:val="32"/>
                      </w:rPr>
                      <w:t>que</w:t>
                    </w:r>
                  </w:p>
                </w:txbxContent>
              </v:textbox>
              <w10:wrap type="none"/>
            </v:shape>
            <v:shape style="position:absolute;left:8998;top:5712;width:482;height:320" type="#_x0000_t202" filled="false" stroked="false">
              <v:textbox inset="0,0,0,0">
                <w:txbxContent>
                  <w:p>
                    <w:pPr>
                      <w:spacing w:line="288" w:lineRule="exact" w:before="0"/>
                      <w:ind w:left="0" w:right="0" w:firstLine="0"/>
                      <w:jc w:val="left"/>
                      <w:rPr>
                        <w:rFonts w:ascii="Cambria"/>
                        <w:sz w:val="32"/>
                      </w:rPr>
                    </w:pPr>
                    <w:r>
                      <w:rPr>
                        <w:rFonts w:ascii="Cambria"/>
                        <w:color w:val="6F2F9F"/>
                        <w:w w:val="90"/>
                        <w:sz w:val="32"/>
                      </w:rPr>
                      <w:t>que</w:t>
                    </w:r>
                  </w:p>
                </w:txbxContent>
              </v:textbox>
              <w10:wrap type="none"/>
            </v:shape>
            <v:shape style="position:absolute;left:10171;top:5311;width:367;height:721" type="#_x0000_t202" filled="false" stroked="false">
              <v:textbox inset="0,0,0,0">
                <w:txbxContent>
                  <w:p>
                    <w:pPr>
                      <w:spacing w:line="289" w:lineRule="exact" w:before="0"/>
                      <w:ind w:left="-1" w:right="0" w:firstLine="0"/>
                      <w:jc w:val="center"/>
                      <w:rPr>
                        <w:rFonts w:ascii="Cambria"/>
                        <w:sz w:val="32"/>
                      </w:rPr>
                    </w:pPr>
                    <w:r>
                      <w:rPr>
                        <w:rFonts w:ascii="Cambria"/>
                        <w:color w:val="6F2F9F"/>
                        <w:spacing w:val="-5"/>
                        <w:w w:val="95"/>
                        <w:sz w:val="32"/>
                      </w:rPr>
                      <w:t>los</w:t>
                    </w:r>
                  </w:p>
                  <w:p>
                    <w:pPr>
                      <w:spacing w:before="26"/>
                      <w:ind w:left="112" w:right="0" w:firstLine="0"/>
                      <w:jc w:val="center"/>
                      <w:rPr>
                        <w:rFonts w:ascii="Cambria"/>
                        <w:sz w:val="32"/>
                      </w:rPr>
                    </w:pPr>
                    <w:r>
                      <w:rPr>
                        <w:rFonts w:ascii="Cambria"/>
                        <w:color w:val="6F2F9F"/>
                        <w:w w:val="85"/>
                        <w:sz w:val="32"/>
                      </w:rPr>
                      <w:t>se</w:t>
                    </w:r>
                  </w:p>
                </w:txbxContent>
              </v:textbox>
              <w10:wrap type="none"/>
            </v:shape>
            <v:shape style="position:absolute;left:7297;top:6111;width:3240;height:718" type="#_x0000_t202" filled="false" stroked="false">
              <v:textbox inset="0,0,0,0">
                <w:txbxContent>
                  <w:p>
                    <w:pPr>
                      <w:spacing w:line="288" w:lineRule="exact" w:before="0"/>
                      <w:ind w:left="0" w:right="-11" w:firstLine="0"/>
                      <w:jc w:val="left"/>
                      <w:rPr>
                        <w:rFonts w:ascii="Cambria" w:hAnsi="Cambria"/>
                        <w:sz w:val="32"/>
                      </w:rPr>
                    </w:pPr>
                    <w:r>
                      <w:rPr>
                        <w:rFonts w:ascii="Cambria" w:hAnsi="Cambria"/>
                        <w:color w:val="6F2F9F"/>
                        <w:sz w:val="32"/>
                      </w:rPr>
                      <w:t>encuentran en</w:t>
                    </w:r>
                    <w:r>
                      <w:rPr>
                        <w:rFonts w:ascii="Cambria" w:hAnsi="Cambria"/>
                        <w:color w:val="6F2F9F"/>
                        <w:spacing w:val="-54"/>
                        <w:sz w:val="32"/>
                      </w:rPr>
                      <w:t> </w:t>
                    </w:r>
                    <w:r>
                      <w:rPr>
                        <w:rFonts w:ascii="Cambria" w:hAnsi="Cambria"/>
                        <w:color w:val="6F2F9F"/>
                        <w:sz w:val="32"/>
                      </w:rPr>
                      <w:t>situación</w:t>
                    </w:r>
                  </w:p>
                  <w:p>
                    <w:pPr>
                      <w:spacing w:before="23"/>
                      <w:ind w:left="0" w:right="-11" w:firstLine="0"/>
                      <w:jc w:val="left"/>
                      <w:rPr>
                        <w:rFonts w:ascii="Cambria"/>
                        <w:sz w:val="32"/>
                      </w:rPr>
                    </w:pPr>
                    <w:r>
                      <w:rPr>
                        <w:rFonts w:ascii="Cambria"/>
                        <w:color w:val="6F2F9F"/>
                        <w:sz w:val="32"/>
                      </w:rPr>
                      <w:t>de  desigualdad, tengan</w:t>
                    </w:r>
                  </w:p>
                </w:txbxContent>
              </v:textbox>
              <w10:wrap type="none"/>
            </v:shape>
            <v:shape style="position:absolute;left:7297;top:6910;width:1367;height:718" type="#_x0000_t202" filled="false" stroked="false">
              <v:textbox inset="0,0,0,0">
                <w:txbxContent>
                  <w:p>
                    <w:pPr>
                      <w:spacing w:line="288" w:lineRule="exact" w:before="0"/>
                      <w:ind w:left="0" w:right="0" w:firstLine="0"/>
                      <w:jc w:val="left"/>
                      <w:rPr>
                        <w:rFonts w:ascii="Cambria"/>
                        <w:sz w:val="32"/>
                      </w:rPr>
                    </w:pPr>
                    <w:r>
                      <w:rPr>
                        <w:rFonts w:ascii="Cambria"/>
                        <w:color w:val="6F2F9F"/>
                        <w:w w:val="105"/>
                        <w:sz w:val="32"/>
                      </w:rPr>
                      <w:t>una</w:t>
                    </w:r>
                  </w:p>
                  <w:p>
                    <w:pPr>
                      <w:spacing w:before="23"/>
                      <w:ind w:left="0" w:right="0" w:firstLine="0"/>
                      <w:jc w:val="left"/>
                      <w:rPr>
                        <w:rFonts w:ascii="Cambria"/>
                        <w:sz w:val="32"/>
                      </w:rPr>
                    </w:pPr>
                    <w:r>
                      <w:rPr>
                        <w:rFonts w:ascii="Cambria"/>
                        <w:color w:val="6F2F9F"/>
                        <w:w w:val="95"/>
                        <w:sz w:val="32"/>
                      </w:rPr>
                      <w:t>equitativa</w:t>
                    </w:r>
                  </w:p>
                </w:txbxContent>
              </v:textbox>
              <w10:wrap type="none"/>
            </v:shape>
            <v:shape style="position:absolute;left:9193;top:6910;width:1344;height:320" type="#_x0000_t202" filled="false" stroked="false">
              <v:textbox inset="0,0,0,0">
                <w:txbxContent>
                  <w:p>
                    <w:pPr>
                      <w:spacing w:line="288" w:lineRule="exact" w:before="0"/>
                      <w:ind w:left="0" w:right="0" w:firstLine="0"/>
                      <w:jc w:val="left"/>
                      <w:rPr>
                        <w:rFonts w:ascii="Cambria" w:hAnsi="Cambria"/>
                        <w:sz w:val="32"/>
                      </w:rPr>
                    </w:pPr>
                    <w:r>
                      <w:rPr>
                        <w:rFonts w:ascii="Cambria" w:hAnsi="Cambria"/>
                        <w:color w:val="6F2F9F"/>
                        <w:w w:val="95"/>
                        <w:sz w:val="32"/>
                      </w:rPr>
                      <w:t>aplicación</w:t>
                    </w:r>
                  </w:p>
                </w:txbxContent>
              </v:textbox>
              <w10:wrap type="none"/>
            </v:shape>
            <v:shape style="position:absolute;left:9258;top:7308;width:290;height:320" type="#_x0000_t202" filled="false" stroked="false">
              <v:textbox inset="0,0,0,0">
                <w:txbxContent>
                  <w:p>
                    <w:pPr>
                      <w:spacing w:line="288" w:lineRule="exact" w:before="0"/>
                      <w:ind w:left="0" w:right="-14" w:firstLine="0"/>
                      <w:jc w:val="left"/>
                      <w:rPr>
                        <w:rFonts w:ascii="Cambria"/>
                        <w:sz w:val="32"/>
                      </w:rPr>
                    </w:pPr>
                    <w:r>
                      <w:rPr>
                        <w:rFonts w:ascii="Cambria"/>
                        <w:color w:val="6F2F9F"/>
                        <w:w w:val="85"/>
                        <w:sz w:val="32"/>
                      </w:rPr>
                      <w:t>de</w:t>
                    </w:r>
                  </w:p>
                </w:txbxContent>
              </v:textbox>
              <w10:wrap type="none"/>
            </v:shape>
            <v:shape style="position:absolute;left:10142;top:7308;width:393;height:320" type="#_x0000_t202" filled="false" stroked="false">
              <v:textbox inset="0,0,0,0">
                <w:txbxContent>
                  <w:p>
                    <w:pPr>
                      <w:spacing w:line="288" w:lineRule="exact" w:before="0"/>
                      <w:ind w:left="0" w:right="-18" w:firstLine="0"/>
                      <w:jc w:val="left"/>
                      <w:rPr>
                        <w:rFonts w:ascii="Cambria"/>
                        <w:sz w:val="32"/>
                      </w:rPr>
                    </w:pPr>
                    <w:r>
                      <w:rPr>
                        <w:rFonts w:ascii="Cambria"/>
                        <w:color w:val="6F2F9F"/>
                        <w:spacing w:val="-3"/>
                        <w:w w:val="105"/>
                        <w:sz w:val="32"/>
                      </w:rPr>
                      <w:t>las</w:t>
                    </w:r>
                  </w:p>
                </w:txbxContent>
              </v:textbox>
              <w10:wrap type="none"/>
            </v:shape>
            <v:shape style="position:absolute;left:7297;top:7707;width:3244;height:1119" type="#_x0000_t202" filled="false" stroked="false">
              <v:textbox inset="0,0,0,0">
                <w:txbxContent>
                  <w:p>
                    <w:pPr>
                      <w:spacing w:line="288" w:lineRule="exact" w:before="0"/>
                      <w:ind w:left="0" w:right="-11" w:firstLine="0"/>
                      <w:jc w:val="left"/>
                      <w:rPr>
                        <w:rFonts w:ascii="Cambria" w:hAnsi="Cambria"/>
                        <w:sz w:val="32"/>
                      </w:rPr>
                    </w:pPr>
                    <w:r>
                      <w:rPr>
                        <w:rFonts w:ascii="Cambria" w:hAnsi="Cambria"/>
                        <w:color w:val="6F2F9F"/>
                        <w:sz w:val="32"/>
                      </w:rPr>
                      <w:t>normas jurídicas, no  es</w:t>
                    </w:r>
                  </w:p>
                  <w:p>
                    <w:pPr>
                      <w:spacing w:before="23"/>
                      <w:ind w:left="0" w:right="-11" w:firstLine="0"/>
                      <w:jc w:val="left"/>
                      <w:rPr>
                        <w:rFonts w:ascii="Cambria"/>
                        <w:sz w:val="32"/>
                      </w:rPr>
                    </w:pPr>
                    <w:r>
                      <w:rPr>
                        <w:rFonts w:ascii="Cambria"/>
                        <w:color w:val="6F2F9F"/>
                        <w:sz w:val="32"/>
                      </w:rPr>
                      <w:t>contrario  a  la   justicia,</w:t>
                    </w:r>
                  </w:p>
                  <w:p>
                    <w:pPr>
                      <w:spacing w:before="26"/>
                      <w:ind w:left="0" w:right="-11" w:firstLine="0"/>
                      <w:jc w:val="left"/>
                      <w:rPr>
                        <w:rFonts w:ascii="Cambria" w:hAnsi="Cambria"/>
                        <w:sz w:val="32"/>
                      </w:rPr>
                    </w:pPr>
                    <w:r>
                      <w:rPr>
                        <w:rFonts w:ascii="Cambria" w:hAnsi="Cambria"/>
                        <w:color w:val="6F2F9F"/>
                        <w:sz w:val="32"/>
                      </w:rPr>
                      <w:t>sino que es un</w:t>
                    </w:r>
                    <w:r>
                      <w:rPr>
                        <w:rFonts w:ascii="Cambria" w:hAnsi="Cambria"/>
                        <w:color w:val="6F2F9F"/>
                        <w:spacing w:val="64"/>
                        <w:sz w:val="32"/>
                      </w:rPr>
                      <w:t> </w:t>
                    </w:r>
                    <w:r>
                      <w:rPr>
                        <w:rFonts w:ascii="Cambria" w:hAnsi="Cambria"/>
                        <w:color w:val="6F2F9F"/>
                        <w:sz w:val="32"/>
                      </w:rPr>
                      <w:t>vehículo</w:t>
                    </w:r>
                  </w:p>
                </w:txbxContent>
              </v:textbox>
              <w10:wrap type="none"/>
            </v:shape>
            <v:shape style="position:absolute;left:7297;top:8905;width:1078;height:716" type="#_x0000_t202" filled="false" stroked="false">
              <v:textbox inset="0,0,0,0">
                <w:txbxContent>
                  <w:p>
                    <w:pPr>
                      <w:spacing w:line="288" w:lineRule="exact" w:before="0"/>
                      <w:ind w:left="0" w:right="0" w:firstLine="0"/>
                      <w:jc w:val="left"/>
                      <w:rPr>
                        <w:rFonts w:ascii="Cambria"/>
                        <w:sz w:val="32"/>
                      </w:rPr>
                    </w:pPr>
                    <w:r>
                      <w:rPr>
                        <w:rFonts w:ascii="Cambria"/>
                        <w:color w:val="6F2F9F"/>
                        <w:sz w:val="32"/>
                      </w:rPr>
                      <w:t>para</w:t>
                    </w:r>
                  </w:p>
                  <w:p>
                    <w:pPr>
                      <w:spacing w:before="21"/>
                      <w:ind w:left="0" w:right="0" w:firstLine="0"/>
                      <w:jc w:val="left"/>
                      <w:rPr>
                        <w:rFonts w:ascii="Cambria"/>
                        <w:sz w:val="32"/>
                      </w:rPr>
                    </w:pPr>
                    <w:r>
                      <w:rPr>
                        <w:rFonts w:ascii="Cambria"/>
                        <w:color w:val="6F2F9F"/>
                        <w:sz w:val="32"/>
                      </w:rPr>
                      <w:t>justicia.</w:t>
                    </w:r>
                  </w:p>
                </w:txbxContent>
              </v:textbox>
              <w10:wrap type="none"/>
            </v:shape>
            <v:shape style="position:absolute;left:8482;top:8905;width:1192;height:320" type="#_x0000_t202" filled="false" stroked="false">
              <v:textbox inset="0,0,0,0">
                <w:txbxContent>
                  <w:p>
                    <w:pPr>
                      <w:spacing w:line="288" w:lineRule="exact" w:before="0"/>
                      <w:ind w:left="0" w:right="0" w:firstLine="0"/>
                      <w:jc w:val="left"/>
                      <w:rPr>
                        <w:rFonts w:ascii="Cambria"/>
                        <w:sz w:val="32"/>
                      </w:rPr>
                    </w:pPr>
                    <w:r>
                      <w:rPr>
                        <w:rFonts w:ascii="Cambria"/>
                        <w:color w:val="6F2F9F"/>
                        <w:sz w:val="32"/>
                      </w:rPr>
                      <w:t>alcanzar</w:t>
                    </w:r>
                  </w:p>
                </w:txbxContent>
              </v:textbox>
              <w10:wrap type="none"/>
            </v:shape>
            <v:shape style="position:absolute;left:10281;top:8905;width:255;height:320" type="#_x0000_t202" filled="false" stroked="false">
              <v:textbox inset="0,0,0,0">
                <w:txbxContent>
                  <w:p>
                    <w:pPr>
                      <w:spacing w:line="288" w:lineRule="exact" w:before="0"/>
                      <w:ind w:left="0" w:right="-15" w:firstLine="0"/>
                      <w:jc w:val="left"/>
                      <w:rPr>
                        <w:rFonts w:ascii="Cambria"/>
                        <w:sz w:val="32"/>
                      </w:rPr>
                    </w:pPr>
                    <w:r>
                      <w:rPr>
                        <w:rFonts w:ascii="Cambria"/>
                        <w:color w:val="6F2F9F"/>
                        <w:spacing w:val="-3"/>
                        <w:w w:val="105"/>
                        <w:sz w:val="32"/>
                      </w:rPr>
                      <w:t>la</w:t>
                    </w:r>
                  </w:p>
                </w:txbxContent>
              </v:textbox>
              <w10:wrap type="none"/>
            </v:shape>
            <w10:wrap type="none"/>
          </v:group>
        </w:pict>
      </w:r>
      <w:r>
        <w:rPr>
          <w:sz w:val="20"/>
        </w:rPr>
        <w:t>“Existen en efecto desigualdades de hecho que legítimamente pueden traducirse en desigualdades de tratamiento jurídico, sin que tales situaciones contraríen la justicia. Por el contrario pueden ser un vehículo para realizarla o</w:t>
      </w:r>
      <w:r>
        <w:rPr>
          <w:spacing w:val="-13"/>
          <w:sz w:val="20"/>
        </w:rPr>
        <w:t> </w:t>
      </w:r>
      <w:r>
        <w:rPr>
          <w:sz w:val="20"/>
        </w:rPr>
        <w:t>ara</w:t>
      </w:r>
      <w:r>
        <w:rPr>
          <w:spacing w:val="-12"/>
          <w:sz w:val="20"/>
        </w:rPr>
        <w:t> </w:t>
      </w:r>
      <w:r>
        <w:rPr>
          <w:sz w:val="20"/>
        </w:rPr>
        <w:t>proteger</w:t>
      </w:r>
      <w:r>
        <w:rPr>
          <w:spacing w:val="-12"/>
          <w:sz w:val="20"/>
        </w:rPr>
        <w:t> </w:t>
      </w:r>
      <w:r>
        <w:rPr>
          <w:sz w:val="20"/>
        </w:rPr>
        <w:t>a</w:t>
      </w:r>
      <w:r>
        <w:rPr>
          <w:spacing w:val="-10"/>
          <w:sz w:val="20"/>
        </w:rPr>
        <w:t> </w:t>
      </w:r>
      <w:r>
        <w:rPr>
          <w:sz w:val="20"/>
        </w:rPr>
        <w:t>los</w:t>
      </w:r>
      <w:r>
        <w:rPr>
          <w:spacing w:val="-12"/>
          <w:sz w:val="20"/>
        </w:rPr>
        <w:t> </w:t>
      </w:r>
      <w:r>
        <w:rPr>
          <w:sz w:val="20"/>
        </w:rPr>
        <w:t>que</w:t>
      </w:r>
      <w:r>
        <w:rPr>
          <w:spacing w:val="-13"/>
          <w:sz w:val="20"/>
        </w:rPr>
        <w:t> </w:t>
      </w:r>
      <w:r>
        <w:rPr>
          <w:sz w:val="20"/>
        </w:rPr>
        <w:t>aparezcan</w:t>
      </w:r>
      <w:r>
        <w:rPr>
          <w:spacing w:val="-13"/>
          <w:sz w:val="20"/>
        </w:rPr>
        <w:t> </w:t>
      </w:r>
      <w:r>
        <w:rPr>
          <w:sz w:val="20"/>
        </w:rPr>
        <w:t>jurídicamente como los débiles” (Corte Interamericana,</w:t>
      </w:r>
      <w:r>
        <w:rPr>
          <w:spacing w:val="-14"/>
          <w:sz w:val="20"/>
        </w:rPr>
        <w:t> </w:t>
      </w:r>
      <w:r>
        <w:rPr>
          <w:sz w:val="20"/>
        </w:rPr>
        <w:t>1984).</w:t>
      </w:r>
    </w:p>
    <w:p>
      <w:pPr>
        <w:pStyle w:val="BodyText"/>
        <w:spacing w:before="5"/>
        <w:rPr>
          <w:sz w:val="17"/>
        </w:rPr>
      </w:pPr>
    </w:p>
    <w:p>
      <w:pPr>
        <w:spacing w:line="360" w:lineRule="auto" w:before="0"/>
        <w:ind w:left="668" w:right="4089" w:firstLine="0"/>
        <w:jc w:val="both"/>
        <w:rPr>
          <w:sz w:val="20"/>
        </w:rPr>
      </w:pPr>
      <w:r>
        <w:rPr>
          <w:sz w:val="20"/>
        </w:rPr>
        <w:t>“… los Estados sólo podrán establecer distinciones objetivas y razonables, cuando estás se realicen con el debido respeto a los derechos humanos y de conformidad con el principio de la norma que mejor proteja a la persona humana” (Corte Interamericana, 2003).</w:t>
      </w:r>
    </w:p>
    <w:p>
      <w:pPr>
        <w:pStyle w:val="BodyText"/>
        <w:spacing w:before="5"/>
        <w:rPr>
          <w:sz w:val="17"/>
        </w:rPr>
      </w:pPr>
    </w:p>
    <w:p>
      <w:pPr>
        <w:pStyle w:val="BodyText"/>
        <w:spacing w:line="360" w:lineRule="auto"/>
        <w:ind w:left="102" w:right="4083"/>
        <w:jc w:val="both"/>
      </w:pPr>
      <w:r>
        <w:rPr/>
        <w:t>Es decir que el tratamiento jurídico de las desigualdades de hecho, a partir de la implementación de las acciones afirmativas, es una</w:t>
      </w:r>
      <w:r>
        <w:rPr>
          <w:spacing w:val="-8"/>
        </w:rPr>
        <w:t> </w:t>
      </w:r>
      <w:r>
        <w:rPr/>
        <w:t>vía</w:t>
      </w:r>
      <w:r>
        <w:rPr>
          <w:spacing w:val="-8"/>
        </w:rPr>
        <w:t> </w:t>
      </w:r>
      <w:r>
        <w:rPr/>
        <w:t>para</w:t>
      </w:r>
      <w:r>
        <w:rPr>
          <w:spacing w:val="-8"/>
        </w:rPr>
        <w:t> </w:t>
      </w:r>
      <w:r>
        <w:rPr/>
        <w:t>alcanzar</w:t>
      </w:r>
      <w:r>
        <w:rPr>
          <w:spacing w:val="-7"/>
        </w:rPr>
        <w:t> </w:t>
      </w:r>
      <w:r>
        <w:rPr/>
        <w:t>la</w:t>
      </w:r>
      <w:r>
        <w:rPr>
          <w:spacing w:val="-10"/>
        </w:rPr>
        <w:t> </w:t>
      </w:r>
      <w:r>
        <w:rPr/>
        <w:t>justicia.</w:t>
      </w:r>
      <w:r>
        <w:rPr>
          <w:spacing w:val="-7"/>
        </w:rPr>
        <w:t> </w:t>
      </w:r>
      <w:r>
        <w:rPr/>
        <w:t>Lo</w:t>
      </w:r>
      <w:r>
        <w:rPr>
          <w:spacing w:val="-10"/>
        </w:rPr>
        <w:t> </w:t>
      </w:r>
      <w:r>
        <w:rPr/>
        <w:t>cual</w:t>
      </w:r>
      <w:r>
        <w:rPr>
          <w:spacing w:val="-9"/>
        </w:rPr>
        <w:t> </w:t>
      </w:r>
      <w:r>
        <w:rPr/>
        <w:t>no</w:t>
      </w:r>
      <w:r>
        <w:rPr>
          <w:spacing w:val="-10"/>
        </w:rPr>
        <w:t> </w:t>
      </w:r>
      <w:r>
        <w:rPr/>
        <w:t>es</w:t>
      </w:r>
      <w:r>
        <w:rPr>
          <w:spacing w:val="-8"/>
        </w:rPr>
        <w:t> </w:t>
      </w:r>
      <w:r>
        <w:rPr/>
        <w:t>una opción, sino una obligación para el</w:t>
      </w:r>
      <w:r>
        <w:rPr>
          <w:spacing w:val="-11"/>
        </w:rPr>
        <w:t> </w:t>
      </w:r>
      <w:r>
        <w:rPr/>
        <w:t>Estado.</w:t>
      </w:r>
    </w:p>
    <w:p>
      <w:pPr>
        <w:pStyle w:val="BodyText"/>
        <w:spacing w:before="9"/>
        <w:rPr>
          <w:sz w:val="17"/>
        </w:rPr>
      </w:pPr>
    </w:p>
    <w:p>
      <w:pPr>
        <w:pStyle w:val="BodyText"/>
        <w:spacing w:line="360" w:lineRule="auto"/>
        <w:ind w:left="102" w:right="4082"/>
        <w:jc w:val="both"/>
      </w:pPr>
      <w:r>
        <w:rPr/>
        <w:t>En ese sentido, las mujeres se encuentran en un estado de desigualdad social, ya que derivado de los planteamientos androcéntricos, son los hombres quienes han tomado parte activa en la vida de las sociedades, siendo estos, los entes</w:t>
      </w:r>
      <w:r>
        <w:rPr>
          <w:spacing w:val="-32"/>
        </w:rPr>
        <w:t> </w:t>
      </w:r>
      <w:r>
        <w:rPr/>
        <w:t>de la actividad jurídica, económica, política y social, lo cual, trae como consecuencia la discriminación en contra de las mujeres, que se ve reflejada en distintas formas de exclusión y</w:t>
      </w:r>
      <w:r>
        <w:rPr>
          <w:spacing w:val="-15"/>
        </w:rPr>
        <w:t> </w:t>
      </w:r>
      <w:r>
        <w:rPr/>
        <w:t>violencia.</w:t>
      </w:r>
    </w:p>
    <w:p>
      <w:pPr>
        <w:pStyle w:val="BodyText"/>
        <w:spacing w:before="9"/>
        <w:rPr>
          <w:sz w:val="17"/>
        </w:rPr>
      </w:pPr>
    </w:p>
    <w:p>
      <w:pPr>
        <w:pStyle w:val="BodyText"/>
        <w:spacing w:line="360" w:lineRule="auto"/>
        <w:ind w:left="102" w:right="4085"/>
        <w:jc w:val="both"/>
      </w:pPr>
      <w:r>
        <w:rPr/>
        <w:pict>
          <v:shape style="position:absolute;margin-left:433.440033pt;margin-top:29.777859pt;width:93.5pt;height:102.75pt;mso-position-horizontal-relative:page;mso-position-vertical-relative:paragraph;z-index:3112" coordorigin="8669,596" coordsize="1870,2055" path="m10538,841l10527,826,9204,2252,10538,841m10538,711l10527,699,9017,2324,10538,711m10538,656l10527,656,9043,2236,9043,2251,8669,2650,8683,2650,10538,670,10527,670,9376,1896,10538,656m10538,596l10527,596,9324,1894,10538,596e" filled="true" fillcolor="#8496af" stroked="false">
            <v:path arrowok="t"/>
            <v:fill type="solid"/>
            <w10:wrap type="none"/>
          </v:shape>
        </w:pict>
      </w:r>
      <w:r>
        <w:rPr/>
        <w:t>Así las cosas, para que las mujeres puedan tener un tratamiento igualitario al momento en el que buscan acceso a la justicia, se deben adoptar medidas especiales, toda vez que son un grupo que sufre discriminación debido a los</w:t>
      </w:r>
      <w:r>
        <w:rPr>
          <w:spacing w:val="-24"/>
        </w:rPr>
        <w:t> </w:t>
      </w:r>
      <w:r>
        <w:rPr/>
        <w:t>estereotipos</w:t>
      </w:r>
    </w:p>
    <w:p>
      <w:pPr>
        <w:spacing w:after="0" w:line="360" w:lineRule="auto"/>
        <w:jc w:val="both"/>
        <w:sectPr>
          <w:pgSz w:w="12240" w:h="15840"/>
          <w:pgMar w:header="0" w:footer="993" w:top="1360" w:bottom="1200" w:left="1600" w:right="1580"/>
        </w:sectPr>
      </w:pPr>
    </w:p>
    <w:p>
      <w:pPr>
        <w:pStyle w:val="BodyText"/>
        <w:spacing w:line="362" w:lineRule="auto" w:before="54"/>
        <w:ind w:left="102" w:right="4299"/>
        <w:jc w:val="both"/>
      </w:pPr>
      <w:r>
        <w:rPr/>
        <w:pict>
          <v:group style="position:absolute;margin-left:432pt;margin-top:72pt;width:174pt;height:657.4pt;mso-position-horizontal-relative:page;mso-position-vertical-relative:page;z-index:3160" coordorigin="8640,1440" coordsize="3480,13148">
            <v:rect style="position:absolute;left:8640;top:1440;width:3480;height:13147" filled="true" fillcolor="#6f2f9f" stroked="false">
              <v:fill opacity="22873f" type="solid"/>
            </v:rect>
            <v:shape style="position:absolute;left:8717;top:1747;width:2220;height:732" type="#_x0000_t75" stroked="false">
              <v:imagedata r:id="rId62" o:title=""/>
            </v:shape>
            <v:shape style="position:absolute;left:8640;top:1440;width:3480;height:13148" type="#_x0000_t202" filled="false" stroked="false">
              <v:textbox inset="0,0,0,0">
                <w:txbxContent>
                  <w:p>
                    <w:pPr>
                      <w:spacing w:line="240" w:lineRule="auto" w:before="6"/>
                      <w:rPr>
                        <w:sz w:val="36"/>
                      </w:rPr>
                    </w:pPr>
                  </w:p>
                  <w:p>
                    <w:pPr>
                      <w:spacing w:before="0"/>
                      <w:ind w:left="505" w:right="749" w:firstLine="0"/>
                      <w:jc w:val="left"/>
                      <w:rPr>
                        <w:rFonts w:ascii="Calibri Light"/>
                        <w:b w:val="0"/>
                        <w:sz w:val="32"/>
                      </w:rPr>
                    </w:pPr>
                    <w:r>
                      <w:rPr>
                        <w:rFonts w:ascii="Calibri Light"/>
                        <w:b w:val="0"/>
                        <w:sz w:val="32"/>
                      </w:rPr>
                      <w:t>ACTIVIDAD</w:t>
                    </w:r>
                  </w:p>
                  <w:p>
                    <w:pPr>
                      <w:spacing w:line="278" w:lineRule="auto" w:before="59"/>
                      <w:ind w:left="289" w:right="749" w:firstLine="0"/>
                      <w:jc w:val="left"/>
                      <w:rPr>
                        <w:rFonts w:ascii="Calibri" w:hAnsi="Calibri"/>
                        <w:b/>
                        <w:sz w:val="22"/>
                      </w:rPr>
                    </w:pPr>
                    <w:r>
                      <w:rPr>
                        <w:rFonts w:ascii="Calibri" w:hAnsi="Calibri"/>
                        <w:b/>
                        <w:sz w:val="22"/>
                      </w:rPr>
                      <w:t>Test sobre estereotipos de género</w:t>
                    </w:r>
                  </w:p>
                  <w:p>
                    <w:pPr>
                      <w:spacing w:before="197"/>
                      <w:ind w:left="289" w:right="0" w:firstLine="0"/>
                      <w:jc w:val="both"/>
                      <w:rPr>
                        <w:rFonts w:ascii="Calibri" w:hAnsi="Calibri"/>
                        <w:b/>
                        <w:i/>
                        <w:sz w:val="22"/>
                      </w:rPr>
                    </w:pPr>
                    <w:r>
                      <w:rPr>
                        <w:rFonts w:ascii="Calibri" w:hAnsi="Calibri"/>
                        <w:b/>
                        <w:i/>
                        <w:sz w:val="22"/>
                      </w:rPr>
                      <w:t>Considero que…</w:t>
                    </w:r>
                  </w:p>
                  <w:p>
                    <w:pPr>
                      <w:spacing w:line="240" w:lineRule="auto" w:before="10"/>
                      <w:rPr>
                        <w:sz w:val="20"/>
                      </w:rPr>
                    </w:pPr>
                  </w:p>
                  <w:p>
                    <w:pPr>
                      <w:spacing w:line="276" w:lineRule="auto" w:before="0"/>
                      <w:ind w:left="289" w:right="307" w:firstLine="0"/>
                      <w:jc w:val="left"/>
                      <w:rPr>
                        <w:rFonts w:ascii="Calibri" w:hAnsi="Calibri"/>
                        <w:b/>
                        <w:sz w:val="20"/>
                      </w:rPr>
                    </w:pPr>
                    <w:r>
                      <w:rPr>
                        <w:rFonts w:ascii="Calibri" w:hAnsi="Calibri"/>
                        <w:b/>
                        <w:sz w:val="20"/>
                      </w:rPr>
                      <w:t>La manutención económica que por ley el hombre da a la mujer de la cual se divorcia, constituye una medida injusta, ya que mientras el marido trabajo, la esposa se la pasó en la casa.</w:t>
                    </w:r>
                  </w:p>
                  <w:p>
                    <w:pPr>
                      <w:spacing w:line="240" w:lineRule="auto" w:before="3"/>
                      <w:rPr>
                        <w:sz w:val="17"/>
                      </w:rPr>
                    </w:pPr>
                  </w:p>
                  <w:p>
                    <w:pPr>
                      <w:spacing w:before="0"/>
                      <w:ind w:left="289" w:right="0" w:firstLine="0"/>
                      <w:jc w:val="both"/>
                      <w:rPr>
                        <w:rFonts w:ascii="Calibri" w:hAnsi="Calibri"/>
                        <w:b/>
                        <w:sz w:val="20"/>
                      </w:rPr>
                    </w:pPr>
                    <w:r>
                      <w:rPr>
                        <w:rFonts w:ascii="Calibri" w:hAnsi="Calibri"/>
                        <w:b/>
                        <w:sz w:val="20"/>
                      </w:rPr>
                      <w:t>Sí             No</w:t>
                    </w:r>
                    <w:r>
                      <w:rPr>
                        <w:rFonts w:ascii="Calibri" w:hAnsi="Calibri"/>
                        <w:b/>
                        <w:sz w:val="20"/>
                        <w:u w:val="single"/>
                      </w:rPr>
                      <w:t>       </w:t>
                    </w:r>
                  </w:p>
                  <w:p>
                    <w:pPr>
                      <w:spacing w:line="240" w:lineRule="auto" w:before="5"/>
                      <w:rPr>
                        <w:sz w:val="20"/>
                      </w:rPr>
                    </w:pPr>
                  </w:p>
                  <w:p>
                    <w:pPr>
                      <w:spacing w:line="276" w:lineRule="auto" w:before="1"/>
                      <w:ind w:left="289" w:right="287" w:firstLine="0"/>
                      <w:jc w:val="both"/>
                      <w:rPr>
                        <w:rFonts w:ascii="Calibri"/>
                        <w:b/>
                        <w:sz w:val="20"/>
                      </w:rPr>
                    </w:pPr>
                    <w:r>
                      <w:rPr>
                        <w:rFonts w:ascii="Calibri"/>
                        <w:b/>
                        <w:sz w:val="20"/>
                      </w:rPr>
                      <w:t>Las mujeres que son golpeadas</w:t>
                    </w:r>
                    <w:r>
                      <w:rPr>
                        <w:rFonts w:ascii="Calibri"/>
                        <w:b/>
                        <w:spacing w:val="-15"/>
                        <w:sz w:val="20"/>
                      </w:rPr>
                      <w:t> </w:t>
                    </w:r>
                    <w:r>
                      <w:rPr>
                        <w:rFonts w:ascii="Calibri"/>
                        <w:b/>
                        <w:sz w:val="20"/>
                      </w:rPr>
                      <w:t>por sus</w:t>
                    </w:r>
                    <w:r>
                      <w:rPr>
                        <w:rFonts w:ascii="Calibri"/>
                        <w:b/>
                        <w:spacing w:val="-9"/>
                        <w:sz w:val="20"/>
                      </w:rPr>
                      <w:t> </w:t>
                    </w:r>
                    <w:r>
                      <w:rPr>
                        <w:rFonts w:ascii="Calibri"/>
                        <w:b/>
                        <w:sz w:val="20"/>
                      </w:rPr>
                      <w:t>parejas</w:t>
                    </w:r>
                    <w:r>
                      <w:rPr>
                        <w:rFonts w:ascii="Calibri"/>
                        <w:b/>
                        <w:spacing w:val="-9"/>
                        <w:sz w:val="20"/>
                      </w:rPr>
                      <w:t> </w:t>
                    </w:r>
                    <w:r>
                      <w:rPr>
                        <w:rFonts w:ascii="Calibri"/>
                        <w:b/>
                        <w:sz w:val="20"/>
                      </w:rPr>
                      <w:t>son</w:t>
                    </w:r>
                    <w:r>
                      <w:rPr>
                        <w:rFonts w:ascii="Calibri"/>
                        <w:b/>
                        <w:spacing w:val="-7"/>
                        <w:sz w:val="20"/>
                      </w:rPr>
                      <w:t> </w:t>
                    </w:r>
                    <w:r>
                      <w:rPr>
                        <w:rFonts w:ascii="Calibri"/>
                        <w:b/>
                        <w:sz w:val="20"/>
                      </w:rPr>
                      <w:t>responsables</w:t>
                    </w:r>
                    <w:r>
                      <w:rPr>
                        <w:rFonts w:ascii="Calibri"/>
                        <w:b/>
                        <w:spacing w:val="-9"/>
                        <w:sz w:val="20"/>
                      </w:rPr>
                      <w:t> </w:t>
                    </w:r>
                    <w:r>
                      <w:rPr>
                        <w:rFonts w:ascii="Calibri"/>
                        <w:b/>
                        <w:sz w:val="20"/>
                      </w:rPr>
                      <w:t>de</w:t>
                    </w:r>
                    <w:r>
                      <w:rPr>
                        <w:rFonts w:ascii="Calibri"/>
                        <w:b/>
                        <w:spacing w:val="-9"/>
                        <w:sz w:val="20"/>
                      </w:rPr>
                      <w:t> </w:t>
                    </w:r>
                    <w:r>
                      <w:rPr>
                        <w:rFonts w:ascii="Calibri"/>
                        <w:b/>
                        <w:sz w:val="20"/>
                      </w:rPr>
                      <w:t>los que les sucede, puesto que no denuncian a violencia y siguen viviendo con</w:t>
                    </w:r>
                    <w:r>
                      <w:rPr>
                        <w:rFonts w:ascii="Calibri"/>
                        <w:b/>
                        <w:spacing w:val="-9"/>
                        <w:sz w:val="20"/>
                      </w:rPr>
                      <w:t> </w:t>
                    </w:r>
                    <w:r>
                      <w:rPr>
                        <w:rFonts w:ascii="Calibri"/>
                        <w:b/>
                        <w:sz w:val="20"/>
                      </w:rPr>
                      <w:t>ellos.</w:t>
                    </w:r>
                  </w:p>
                  <w:p>
                    <w:pPr>
                      <w:spacing w:line="240" w:lineRule="auto" w:before="3"/>
                      <w:rPr>
                        <w:sz w:val="17"/>
                      </w:rPr>
                    </w:pPr>
                  </w:p>
                  <w:p>
                    <w:pPr>
                      <w:spacing w:before="0"/>
                      <w:ind w:left="289" w:right="0" w:firstLine="0"/>
                      <w:jc w:val="both"/>
                      <w:rPr>
                        <w:rFonts w:ascii="Calibri" w:hAnsi="Calibri"/>
                        <w:b/>
                        <w:sz w:val="20"/>
                      </w:rPr>
                    </w:pPr>
                    <w:r>
                      <w:rPr>
                        <w:rFonts w:ascii="Calibri" w:hAnsi="Calibri"/>
                        <w:b/>
                        <w:sz w:val="20"/>
                      </w:rPr>
                      <w:t>Sí             No</w:t>
                    </w:r>
                    <w:r>
                      <w:rPr>
                        <w:rFonts w:ascii="Calibri" w:hAnsi="Calibri"/>
                        <w:b/>
                        <w:sz w:val="20"/>
                        <w:u w:val="single"/>
                      </w:rPr>
                      <w:t>       </w:t>
                    </w:r>
                  </w:p>
                  <w:p>
                    <w:pPr>
                      <w:spacing w:line="240" w:lineRule="auto" w:before="3"/>
                      <w:rPr>
                        <w:sz w:val="20"/>
                      </w:rPr>
                    </w:pPr>
                  </w:p>
                  <w:p>
                    <w:pPr>
                      <w:spacing w:line="278" w:lineRule="auto" w:before="0"/>
                      <w:ind w:left="289" w:right="287" w:firstLine="0"/>
                      <w:jc w:val="both"/>
                      <w:rPr>
                        <w:rFonts w:ascii="Calibri" w:hAnsi="Calibri"/>
                        <w:b/>
                        <w:sz w:val="20"/>
                      </w:rPr>
                    </w:pPr>
                    <w:r>
                      <w:rPr>
                        <w:rFonts w:ascii="Calibri" w:hAnsi="Calibri"/>
                        <w:b/>
                        <w:sz w:val="20"/>
                      </w:rPr>
                      <w:t>Las mujeres son víctimas de violencia familiar por su lenguaje y vestimenta corporal.</w:t>
                    </w:r>
                  </w:p>
                  <w:p>
                    <w:pPr>
                      <w:spacing w:line="240" w:lineRule="auto" w:before="3"/>
                      <w:rPr>
                        <w:sz w:val="17"/>
                      </w:rPr>
                    </w:pPr>
                  </w:p>
                  <w:p>
                    <w:pPr>
                      <w:spacing w:before="0"/>
                      <w:ind w:left="289" w:right="0" w:firstLine="0"/>
                      <w:jc w:val="both"/>
                      <w:rPr>
                        <w:rFonts w:ascii="Calibri" w:hAnsi="Calibri"/>
                        <w:b/>
                        <w:sz w:val="20"/>
                      </w:rPr>
                    </w:pPr>
                    <w:r>
                      <w:rPr>
                        <w:rFonts w:ascii="Calibri" w:hAnsi="Calibri"/>
                        <w:b/>
                        <w:sz w:val="20"/>
                      </w:rPr>
                      <w:t>Sí          No</w:t>
                    </w:r>
                    <w:r>
                      <w:rPr>
                        <w:rFonts w:ascii="Calibri" w:hAnsi="Calibri"/>
                        <w:b/>
                        <w:sz w:val="20"/>
                        <w:u w:val="single"/>
                      </w:rPr>
                      <w:t>          </w:t>
                    </w:r>
                  </w:p>
                  <w:p>
                    <w:pPr>
                      <w:spacing w:line="240" w:lineRule="auto" w:before="3"/>
                      <w:rPr>
                        <w:sz w:val="20"/>
                      </w:rPr>
                    </w:pPr>
                  </w:p>
                  <w:p>
                    <w:pPr>
                      <w:spacing w:line="276" w:lineRule="auto" w:before="0"/>
                      <w:ind w:left="289" w:right="285" w:firstLine="0"/>
                      <w:jc w:val="both"/>
                      <w:rPr>
                        <w:rFonts w:ascii="Calibri" w:hAnsi="Calibri"/>
                        <w:b/>
                        <w:sz w:val="20"/>
                      </w:rPr>
                    </w:pPr>
                    <w:r>
                      <w:rPr>
                        <w:rFonts w:ascii="Calibri" w:hAnsi="Calibri"/>
                        <w:b/>
                        <w:sz w:val="20"/>
                      </w:rPr>
                      <w:t>Existen actividades laborales que son mejor desempeñadas por mujeres que por hombres, tal es el caso de aquellas que tienen que ver con cuestiones secretariales</w:t>
                    </w:r>
                  </w:p>
                  <w:p>
                    <w:pPr>
                      <w:spacing w:line="240" w:lineRule="auto" w:before="3"/>
                      <w:rPr>
                        <w:sz w:val="17"/>
                      </w:rPr>
                    </w:pPr>
                  </w:p>
                  <w:p>
                    <w:pPr>
                      <w:spacing w:before="0"/>
                      <w:ind w:left="289" w:right="0" w:firstLine="0"/>
                      <w:jc w:val="both"/>
                      <w:rPr>
                        <w:rFonts w:ascii="Calibri" w:hAnsi="Calibri"/>
                        <w:b/>
                        <w:sz w:val="20"/>
                      </w:rPr>
                    </w:pPr>
                    <w:r>
                      <w:rPr>
                        <w:rFonts w:ascii="Calibri" w:hAnsi="Calibri"/>
                        <w:b/>
                        <w:sz w:val="20"/>
                      </w:rPr>
                      <w:t>Sí         No</w:t>
                    </w:r>
                    <w:r>
                      <w:rPr>
                        <w:rFonts w:ascii="Calibri" w:hAnsi="Calibri"/>
                        <w:b/>
                        <w:sz w:val="20"/>
                        <w:u w:val="single"/>
                      </w:rPr>
                      <w:t>       </w:t>
                    </w:r>
                  </w:p>
                  <w:p>
                    <w:pPr>
                      <w:spacing w:line="240" w:lineRule="auto" w:before="3"/>
                      <w:rPr>
                        <w:sz w:val="20"/>
                      </w:rPr>
                    </w:pPr>
                  </w:p>
                  <w:p>
                    <w:pPr>
                      <w:spacing w:line="276" w:lineRule="auto" w:before="0"/>
                      <w:ind w:left="289" w:right="287" w:firstLine="0"/>
                      <w:jc w:val="both"/>
                      <w:rPr>
                        <w:rFonts w:ascii="Calibri"/>
                        <w:b/>
                        <w:sz w:val="22"/>
                      </w:rPr>
                    </w:pPr>
                    <w:r>
                      <w:rPr>
                        <w:rFonts w:ascii="Calibri"/>
                        <w:b/>
                        <w:sz w:val="20"/>
                      </w:rPr>
                      <w:t>Una mujer no debe trabajar si descuida su rol de madre y ama de cas</w:t>
                    </w:r>
                    <w:r>
                      <w:rPr>
                        <w:rFonts w:ascii="Calibri"/>
                        <w:b/>
                        <w:sz w:val="22"/>
                      </w:rPr>
                      <w:t>a.</w:t>
                    </w:r>
                  </w:p>
                  <w:p>
                    <w:pPr>
                      <w:spacing w:line="240" w:lineRule="auto" w:before="7"/>
                      <w:rPr>
                        <w:sz w:val="17"/>
                      </w:rPr>
                    </w:pPr>
                  </w:p>
                  <w:p>
                    <w:pPr>
                      <w:spacing w:before="0"/>
                      <w:ind w:left="289" w:right="0" w:firstLine="0"/>
                      <w:jc w:val="both"/>
                      <w:rPr>
                        <w:rFonts w:ascii="Calibri" w:hAnsi="Calibri"/>
                        <w:b/>
                        <w:sz w:val="20"/>
                      </w:rPr>
                    </w:pPr>
                    <w:r>
                      <w:rPr>
                        <w:rFonts w:ascii="Calibri" w:hAnsi="Calibri"/>
                        <w:b/>
                        <w:sz w:val="20"/>
                      </w:rPr>
                      <w:t>Sí         No</w:t>
                    </w:r>
                    <w:r>
                      <w:rPr>
                        <w:rFonts w:ascii="Calibri" w:hAnsi="Calibri"/>
                        <w:b/>
                        <w:sz w:val="20"/>
                        <w:u w:val="single"/>
                      </w:rPr>
                      <w:t>       </w:t>
                    </w:r>
                  </w:p>
                  <w:p>
                    <w:pPr>
                      <w:spacing w:line="240" w:lineRule="auto" w:before="5"/>
                      <w:rPr>
                        <w:sz w:val="20"/>
                      </w:rPr>
                    </w:pPr>
                  </w:p>
                  <w:p>
                    <w:pPr>
                      <w:spacing w:line="278" w:lineRule="auto" w:before="1"/>
                      <w:ind w:left="289" w:right="289" w:firstLine="0"/>
                      <w:jc w:val="both"/>
                      <w:rPr>
                        <w:rFonts w:ascii="Calibri" w:hAnsi="Calibri"/>
                        <w:b/>
                        <w:i/>
                        <w:sz w:val="20"/>
                      </w:rPr>
                    </w:pPr>
                    <w:r>
                      <w:rPr>
                        <w:rFonts w:ascii="Calibri" w:hAnsi="Calibri"/>
                        <w:b/>
                        <w:i/>
                        <w:sz w:val="20"/>
                      </w:rPr>
                      <w:t>Test tomado de la página </w:t>
                    </w:r>
                    <w:hyperlink r:id="rId63">
                      <w:r>
                        <w:rPr>
                          <w:rFonts w:ascii="Calibri" w:hAnsi="Calibri"/>
                          <w:b/>
                          <w:i/>
                          <w:sz w:val="20"/>
                        </w:rPr>
                        <w:t>www.equidad.scjn.gob</w:t>
                      </w:r>
                    </w:hyperlink>
                  </w:p>
                </w:txbxContent>
              </v:textbox>
              <w10:wrap type="none"/>
            </v:shape>
            <w10:wrap type="none"/>
          </v:group>
        </w:pict>
      </w:r>
      <w:r>
        <w:rPr/>
        <w:t>de género que los actores y las actoras intervinientes en la actividad judicial atribuyen a las mujeres.</w:t>
      </w:r>
    </w:p>
    <w:p>
      <w:pPr>
        <w:pStyle w:val="BodyText"/>
        <w:spacing w:before="4"/>
        <w:rPr>
          <w:sz w:val="17"/>
        </w:rPr>
      </w:pPr>
    </w:p>
    <w:p>
      <w:pPr>
        <w:spacing w:line="360" w:lineRule="auto" w:before="0"/>
        <w:ind w:left="668" w:right="4301" w:firstLine="0"/>
        <w:jc w:val="both"/>
        <w:rPr>
          <w:sz w:val="20"/>
        </w:rPr>
      </w:pPr>
      <w:r>
        <w:rPr>
          <w:sz w:val="20"/>
        </w:rPr>
        <w:t>“Un</w:t>
      </w:r>
      <w:r>
        <w:rPr>
          <w:spacing w:val="-8"/>
          <w:sz w:val="20"/>
        </w:rPr>
        <w:t> </w:t>
      </w:r>
      <w:r>
        <w:rPr>
          <w:sz w:val="20"/>
        </w:rPr>
        <w:t>estereotipo</w:t>
      </w:r>
      <w:r>
        <w:rPr>
          <w:spacing w:val="-8"/>
          <w:sz w:val="20"/>
        </w:rPr>
        <w:t> </w:t>
      </w:r>
      <w:r>
        <w:rPr>
          <w:sz w:val="20"/>
        </w:rPr>
        <w:t>es</w:t>
      </w:r>
      <w:r>
        <w:rPr>
          <w:spacing w:val="-7"/>
          <w:sz w:val="20"/>
        </w:rPr>
        <w:t> </w:t>
      </w:r>
      <w:r>
        <w:rPr>
          <w:sz w:val="20"/>
        </w:rPr>
        <w:t>una</w:t>
      </w:r>
      <w:r>
        <w:rPr>
          <w:spacing w:val="-8"/>
          <w:sz w:val="20"/>
        </w:rPr>
        <w:t> </w:t>
      </w:r>
      <w:r>
        <w:rPr>
          <w:sz w:val="20"/>
        </w:rPr>
        <w:t>percepción</w:t>
      </w:r>
      <w:r>
        <w:rPr>
          <w:spacing w:val="-8"/>
          <w:sz w:val="20"/>
        </w:rPr>
        <w:t> </w:t>
      </w:r>
      <w:r>
        <w:rPr>
          <w:sz w:val="20"/>
        </w:rPr>
        <w:t>surgida</w:t>
      </w:r>
      <w:r>
        <w:rPr>
          <w:spacing w:val="-5"/>
          <w:sz w:val="20"/>
        </w:rPr>
        <w:t> </w:t>
      </w:r>
      <w:r>
        <w:rPr>
          <w:sz w:val="20"/>
        </w:rPr>
        <w:t>a</w:t>
      </w:r>
      <w:r>
        <w:rPr>
          <w:spacing w:val="-6"/>
          <w:sz w:val="20"/>
        </w:rPr>
        <w:t> </w:t>
      </w:r>
      <w:r>
        <w:rPr>
          <w:sz w:val="20"/>
        </w:rPr>
        <w:t>partir</w:t>
      </w:r>
      <w:r>
        <w:rPr>
          <w:spacing w:val="-5"/>
          <w:sz w:val="20"/>
        </w:rPr>
        <w:t> </w:t>
      </w:r>
      <w:r>
        <w:rPr>
          <w:sz w:val="20"/>
        </w:rPr>
        <w:t>de</w:t>
      </w:r>
      <w:r>
        <w:rPr>
          <w:spacing w:val="-8"/>
          <w:sz w:val="20"/>
        </w:rPr>
        <w:t> </w:t>
      </w:r>
      <w:r>
        <w:rPr>
          <w:sz w:val="20"/>
        </w:rPr>
        <w:t>adscribir</w:t>
      </w:r>
      <w:r>
        <w:rPr>
          <w:spacing w:val="-7"/>
          <w:sz w:val="20"/>
        </w:rPr>
        <w:t> </w:t>
      </w:r>
      <w:r>
        <w:rPr>
          <w:sz w:val="20"/>
        </w:rPr>
        <w:t>a las personas ciertos atributos, características o roles, en razón de su aparente pertenencia a un determinado grupo social” (Cook, 2010, citada en SCJN,</w:t>
      </w:r>
      <w:r>
        <w:rPr>
          <w:spacing w:val="-13"/>
          <w:sz w:val="20"/>
        </w:rPr>
        <w:t> </w:t>
      </w:r>
      <w:r>
        <w:rPr>
          <w:sz w:val="20"/>
        </w:rPr>
        <w:t>2010).</w:t>
      </w:r>
    </w:p>
    <w:p>
      <w:pPr>
        <w:pStyle w:val="BodyText"/>
        <w:spacing w:before="5"/>
        <w:rPr>
          <w:sz w:val="17"/>
        </w:rPr>
      </w:pPr>
    </w:p>
    <w:p>
      <w:pPr>
        <w:pStyle w:val="BodyText"/>
        <w:spacing w:line="360" w:lineRule="auto"/>
        <w:ind w:left="102" w:right="4297"/>
        <w:jc w:val="both"/>
        <w:rPr>
          <w:sz w:val="24"/>
        </w:rPr>
      </w:pPr>
      <w:r>
        <w:rPr/>
        <w:t>Los estereotipos de género, están relacionados con las características</w:t>
      </w:r>
      <w:r>
        <w:rPr>
          <w:spacing w:val="-9"/>
        </w:rPr>
        <w:t> </w:t>
      </w:r>
      <w:r>
        <w:rPr/>
        <w:t>sociales</w:t>
      </w:r>
      <w:r>
        <w:rPr>
          <w:spacing w:val="-9"/>
        </w:rPr>
        <w:t> </w:t>
      </w:r>
      <w:r>
        <w:rPr/>
        <w:t>y</w:t>
      </w:r>
      <w:r>
        <w:rPr>
          <w:spacing w:val="-11"/>
        </w:rPr>
        <w:t> </w:t>
      </w:r>
      <w:r>
        <w:rPr/>
        <w:t>culturalmente</w:t>
      </w:r>
      <w:r>
        <w:rPr>
          <w:spacing w:val="-9"/>
        </w:rPr>
        <w:t> </w:t>
      </w:r>
      <w:r>
        <w:rPr/>
        <w:t>asignadas</w:t>
      </w:r>
      <w:r>
        <w:rPr>
          <w:spacing w:val="-11"/>
        </w:rPr>
        <w:t> </w:t>
      </w:r>
      <w:r>
        <w:rPr/>
        <w:t>a</w:t>
      </w:r>
      <w:r>
        <w:rPr>
          <w:spacing w:val="-9"/>
        </w:rPr>
        <w:t> </w:t>
      </w:r>
      <w:r>
        <w:rPr/>
        <w:t>mujeres</w:t>
      </w:r>
      <w:r>
        <w:rPr>
          <w:spacing w:val="-8"/>
        </w:rPr>
        <w:t> </w:t>
      </w:r>
      <w:r>
        <w:rPr/>
        <w:t>y</w:t>
      </w:r>
      <w:r>
        <w:rPr>
          <w:spacing w:val="-11"/>
        </w:rPr>
        <w:t> </w:t>
      </w:r>
      <w:r>
        <w:rPr/>
        <w:t>a hombres, a partir de las diferencias físicas basadas en su sexo, éstos estereotipos de género, afectan en mayor medida a las mujeres que a los hombres, pues socialmente se les han asignado roles secundarios, menos valorados e inferiores (Cook, 2010, citada en SCJN,</w:t>
      </w:r>
      <w:r>
        <w:rPr>
          <w:spacing w:val="-9"/>
        </w:rPr>
        <w:t> </w:t>
      </w:r>
      <w:r>
        <w:rPr/>
        <w:t>2010)</w:t>
      </w:r>
      <w:r>
        <w:rPr>
          <w:sz w:val="24"/>
        </w:rPr>
        <w:t>.</w:t>
      </w:r>
    </w:p>
    <w:p>
      <w:pPr>
        <w:pStyle w:val="BodyText"/>
        <w:spacing w:line="360" w:lineRule="auto" w:before="204"/>
        <w:ind w:left="102" w:right="4294"/>
        <w:jc w:val="both"/>
      </w:pPr>
      <w:r>
        <w:rPr/>
        <w:t>Estos estereotipos de género, constituyen un grave problema, sobre todo cuando se operan para ignorar necesidades, para restringir los derechos fundamentales y la subordinación de grupos sociales, esta situación constituye un problema mayor cuando se institucionaliza a partir del Derecho, reforzándolos y perpetuándolos,</w:t>
      </w:r>
      <w:r>
        <w:rPr>
          <w:spacing w:val="-17"/>
        </w:rPr>
        <w:t> </w:t>
      </w:r>
      <w:r>
        <w:rPr/>
        <w:t>dándoles</w:t>
      </w:r>
      <w:r>
        <w:rPr>
          <w:spacing w:val="-17"/>
        </w:rPr>
        <w:t> </w:t>
      </w:r>
      <w:r>
        <w:rPr/>
        <w:t>fuerza</w:t>
      </w:r>
      <w:r>
        <w:rPr>
          <w:spacing w:val="-15"/>
        </w:rPr>
        <w:t> </w:t>
      </w:r>
      <w:r>
        <w:rPr/>
        <w:t>y</w:t>
      </w:r>
      <w:r>
        <w:rPr>
          <w:spacing w:val="-17"/>
        </w:rPr>
        <w:t> </w:t>
      </w:r>
      <w:r>
        <w:rPr/>
        <w:t>autoridad</w:t>
      </w:r>
      <w:r>
        <w:rPr>
          <w:spacing w:val="-17"/>
        </w:rPr>
        <w:t> </w:t>
      </w:r>
      <w:r>
        <w:rPr/>
        <w:t>(SCJN,</w:t>
      </w:r>
      <w:r>
        <w:rPr>
          <w:spacing w:val="-14"/>
        </w:rPr>
        <w:t> </w:t>
      </w:r>
      <w:r>
        <w:rPr/>
        <w:t>2010).</w:t>
      </w:r>
      <w:r>
        <w:rPr>
          <w:spacing w:val="-17"/>
        </w:rPr>
        <w:t> </w:t>
      </w:r>
      <w:r>
        <w:rPr/>
        <w:t>Esto trae</w:t>
      </w:r>
      <w:r>
        <w:rPr>
          <w:spacing w:val="-15"/>
        </w:rPr>
        <w:t> </w:t>
      </w:r>
      <w:r>
        <w:rPr/>
        <w:t>como</w:t>
      </w:r>
      <w:r>
        <w:rPr>
          <w:spacing w:val="-15"/>
        </w:rPr>
        <w:t> </w:t>
      </w:r>
      <w:r>
        <w:rPr/>
        <w:t>consecuencia</w:t>
      </w:r>
      <w:r>
        <w:rPr>
          <w:spacing w:val="-15"/>
        </w:rPr>
        <w:t> </w:t>
      </w:r>
      <w:r>
        <w:rPr/>
        <w:t>que,</w:t>
      </w:r>
      <w:r>
        <w:rPr>
          <w:spacing w:val="-15"/>
        </w:rPr>
        <w:t> </w:t>
      </w:r>
      <w:r>
        <w:rPr/>
        <w:t>quienes</w:t>
      </w:r>
      <w:r>
        <w:rPr>
          <w:spacing w:val="-13"/>
        </w:rPr>
        <w:t> </w:t>
      </w:r>
      <w:r>
        <w:rPr/>
        <w:t>intervienen</w:t>
      </w:r>
      <w:r>
        <w:rPr>
          <w:spacing w:val="-14"/>
        </w:rPr>
        <w:t> </w:t>
      </w:r>
      <w:r>
        <w:rPr/>
        <w:t>en</w:t>
      </w:r>
      <w:r>
        <w:rPr>
          <w:spacing w:val="-14"/>
        </w:rPr>
        <w:t> </w:t>
      </w:r>
      <w:r>
        <w:rPr/>
        <w:t>la</w:t>
      </w:r>
      <w:r>
        <w:rPr>
          <w:spacing w:val="-13"/>
        </w:rPr>
        <w:t> </w:t>
      </w:r>
      <w:r>
        <w:rPr/>
        <w:t>actividad judicial, acepten los estereotipos de género como verdadero e inevitable, adecuando su labor a las demandas</w:t>
      </w:r>
      <w:r>
        <w:rPr>
          <w:spacing w:val="-17"/>
        </w:rPr>
        <w:t> </w:t>
      </w:r>
      <w:r>
        <w:rPr/>
        <w:t>sociales.</w:t>
      </w:r>
    </w:p>
    <w:p>
      <w:pPr>
        <w:pStyle w:val="BodyText"/>
        <w:spacing w:before="7"/>
        <w:rPr>
          <w:sz w:val="17"/>
        </w:rPr>
      </w:pPr>
    </w:p>
    <w:p>
      <w:pPr>
        <w:pStyle w:val="BodyText"/>
        <w:spacing w:line="360" w:lineRule="auto"/>
        <w:ind w:left="102" w:right="4295"/>
        <w:jc w:val="both"/>
      </w:pPr>
      <w:r>
        <w:rPr/>
        <w:t>En su Recomendación General Número 28, EL Comité de la Convención sobre la Eliminación de Todas las formas de Discriminación contra la Mujer, señala:</w:t>
      </w:r>
    </w:p>
    <w:p>
      <w:pPr>
        <w:pStyle w:val="BodyText"/>
        <w:spacing w:before="9"/>
        <w:rPr>
          <w:sz w:val="17"/>
        </w:rPr>
      </w:pPr>
    </w:p>
    <w:p>
      <w:pPr>
        <w:spacing w:line="360" w:lineRule="auto" w:before="0"/>
        <w:ind w:left="668" w:right="4298" w:firstLine="141"/>
        <w:jc w:val="both"/>
        <w:rPr>
          <w:sz w:val="20"/>
        </w:rPr>
      </w:pPr>
      <w:r>
        <w:rPr>
          <w:sz w:val="20"/>
        </w:rPr>
        <w:t>“La</w:t>
      </w:r>
      <w:r>
        <w:rPr>
          <w:spacing w:val="-11"/>
          <w:sz w:val="20"/>
        </w:rPr>
        <w:t> </w:t>
      </w:r>
      <w:r>
        <w:rPr>
          <w:sz w:val="20"/>
        </w:rPr>
        <w:t>discriminación</w:t>
      </w:r>
      <w:r>
        <w:rPr>
          <w:spacing w:val="-8"/>
          <w:sz w:val="20"/>
        </w:rPr>
        <w:t> </w:t>
      </w:r>
      <w:r>
        <w:rPr>
          <w:sz w:val="20"/>
        </w:rPr>
        <w:t>por</w:t>
      </w:r>
      <w:r>
        <w:rPr>
          <w:spacing w:val="-9"/>
          <w:sz w:val="20"/>
        </w:rPr>
        <w:t> </w:t>
      </w:r>
      <w:r>
        <w:rPr>
          <w:sz w:val="20"/>
        </w:rPr>
        <w:t>motivos</w:t>
      </w:r>
      <w:r>
        <w:rPr>
          <w:spacing w:val="-9"/>
          <w:sz w:val="20"/>
        </w:rPr>
        <w:t> </w:t>
      </w:r>
      <w:r>
        <w:rPr>
          <w:sz w:val="20"/>
        </w:rPr>
        <w:t>de</w:t>
      </w:r>
      <w:r>
        <w:rPr>
          <w:spacing w:val="-11"/>
          <w:sz w:val="20"/>
        </w:rPr>
        <w:t> </w:t>
      </w:r>
      <w:r>
        <w:rPr>
          <w:sz w:val="20"/>
        </w:rPr>
        <w:t>sexo</w:t>
      </w:r>
      <w:r>
        <w:rPr>
          <w:spacing w:val="-8"/>
          <w:sz w:val="20"/>
        </w:rPr>
        <w:t> </w:t>
      </w:r>
      <w:r>
        <w:rPr>
          <w:sz w:val="20"/>
        </w:rPr>
        <w:t>o</w:t>
      </w:r>
      <w:r>
        <w:rPr>
          <w:spacing w:val="-10"/>
          <w:sz w:val="20"/>
        </w:rPr>
        <w:t> </w:t>
      </w:r>
      <w:r>
        <w:rPr>
          <w:sz w:val="20"/>
        </w:rPr>
        <w:t>género</w:t>
      </w:r>
      <w:r>
        <w:rPr>
          <w:spacing w:val="-10"/>
          <w:sz w:val="20"/>
        </w:rPr>
        <w:t> </w:t>
      </w:r>
      <w:r>
        <w:rPr>
          <w:sz w:val="20"/>
        </w:rPr>
        <w:t>puede</w:t>
      </w:r>
      <w:r>
        <w:rPr>
          <w:spacing w:val="-10"/>
          <w:sz w:val="20"/>
        </w:rPr>
        <w:t> </w:t>
      </w:r>
      <w:r>
        <w:rPr>
          <w:sz w:val="20"/>
        </w:rPr>
        <w:t>afectar a las mujeres de algunos grupos en diferente medida o forma que a los hombres. Los Estados partes deben reconocer y prohibir en sus instrumentos jurídicos estas formas entrecruzadas de discriminación y su impacto negativo combinado en las mujeres afectadas. También deben aprobar</w:t>
      </w:r>
      <w:r>
        <w:rPr>
          <w:spacing w:val="-20"/>
          <w:sz w:val="20"/>
        </w:rPr>
        <w:t> </w:t>
      </w:r>
      <w:r>
        <w:rPr>
          <w:sz w:val="20"/>
        </w:rPr>
        <w:t>y poner  en  practica  políticas  y  programas  para  eliminar</w:t>
      </w:r>
      <w:r>
        <w:rPr>
          <w:spacing w:val="-5"/>
          <w:sz w:val="20"/>
        </w:rPr>
        <w:t> </w:t>
      </w:r>
      <w:r>
        <w:rPr>
          <w:sz w:val="20"/>
        </w:rPr>
        <w:t>estas</w:t>
      </w:r>
    </w:p>
    <w:p>
      <w:pPr>
        <w:spacing w:after="0" w:line="360" w:lineRule="auto"/>
        <w:jc w:val="both"/>
        <w:rPr>
          <w:sz w:val="20"/>
        </w:rPr>
        <w:sectPr>
          <w:pgSz w:w="12240" w:h="15840"/>
          <w:pgMar w:header="0" w:footer="993" w:top="1360" w:bottom="1180" w:left="1600" w:right="20"/>
        </w:sectPr>
      </w:pPr>
    </w:p>
    <w:p>
      <w:pPr>
        <w:spacing w:line="362" w:lineRule="auto" w:before="53"/>
        <w:ind w:left="668" w:right="4082" w:firstLine="0"/>
        <w:jc w:val="both"/>
        <w:rPr>
          <w:sz w:val="20"/>
        </w:rPr>
      </w:pPr>
      <w:r>
        <w:rPr/>
        <w:pict>
          <v:group style="position:absolute;margin-left:365.279999pt;margin-top:9.249886pt;width:150.4pt;height:418.95pt;mso-position-horizontal-relative:page;mso-position-vertical-relative:paragraph;z-index:3208" coordorigin="7306,185" coordsize="3008,8379">
            <v:shape style="position:absolute;left:7306;top:185;width:3007;height:8378" type="#_x0000_t75" stroked="false">
              <v:imagedata r:id="rId64" o:title=""/>
            </v:shape>
            <v:shape style="position:absolute;left:8642;top:5796;width:1649;height:1018" coordorigin="8642,5796" coordsize="1649,1018" path="m10291,5919l10281,5911,9115,6617,10291,5919m10291,5853l10281,5847,8950,6653,10291,5853m10291,5835l10281,5835,8642,6814,8655,6814,10291,5835m10291,5827l10281,5827,8971,6609,8971,6617,10291,5827m10291,5796l10281,5796,9218,6439,10291,5796e" filled="true" fillcolor="#8496af" stroked="false">
              <v:path arrowok="t"/>
              <v:fill type="solid"/>
            </v:shape>
            <v:shape style="position:absolute;left:7306;top:185;width:3008;height:8379" type="#_x0000_t202" filled="false" stroked="false">
              <v:textbox inset="0,0,0,0">
                <w:txbxContent>
                  <w:p>
                    <w:pPr>
                      <w:spacing w:line="343" w:lineRule="exact" w:before="0"/>
                      <w:ind w:left="1" w:right="1" w:firstLine="0"/>
                      <w:jc w:val="left"/>
                      <w:rPr>
                        <w:rFonts w:ascii="Cambria"/>
                        <w:sz w:val="32"/>
                      </w:rPr>
                    </w:pPr>
                    <w:r>
                      <w:rPr>
                        <w:rFonts w:ascii="Cambria"/>
                        <w:color w:val="6F2F9F"/>
                        <w:w w:val="95"/>
                        <w:sz w:val="32"/>
                      </w:rPr>
                      <w:t>Las mujeres</w:t>
                    </w:r>
                  </w:p>
                  <w:p>
                    <w:pPr>
                      <w:spacing w:line="292" w:lineRule="auto" w:before="83"/>
                      <w:ind w:left="1" w:right="1" w:firstLine="0"/>
                      <w:jc w:val="left"/>
                      <w:rPr>
                        <w:rFonts w:ascii="Cambria" w:hAnsi="Cambria"/>
                        <w:sz w:val="32"/>
                      </w:rPr>
                    </w:pPr>
                    <w:r>
                      <w:rPr>
                        <w:rFonts w:ascii="Cambria" w:hAnsi="Cambria"/>
                        <w:color w:val="6F2F9F"/>
                        <w:sz w:val="32"/>
                      </w:rPr>
                      <w:t>constituyen un grupo que se encuentra en estado</w:t>
                    </w:r>
                    <w:r>
                      <w:rPr>
                        <w:rFonts w:ascii="Cambria" w:hAnsi="Cambria"/>
                        <w:color w:val="6F2F9F"/>
                        <w:spacing w:val="-32"/>
                        <w:sz w:val="32"/>
                      </w:rPr>
                      <w:t> </w:t>
                    </w:r>
                    <w:r>
                      <w:rPr>
                        <w:rFonts w:ascii="Cambria" w:hAnsi="Cambria"/>
                        <w:color w:val="6F2F9F"/>
                        <w:sz w:val="32"/>
                      </w:rPr>
                      <w:t>de</w:t>
                    </w:r>
                    <w:r>
                      <w:rPr>
                        <w:rFonts w:ascii="Cambria" w:hAnsi="Cambria"/>
                        <w:color w:val="6F2F9F"/>
                        <w:spacing w:val="-32"/>
                        <w:sz w:val="32"/>
                      </w:rPr>
                      <w:t> </w:t>
                    </w:r>
                    <w:r>
                      <w:rPr>
                        <w:rFonts w:ascii="Cambria" w:hAnsi="Cambria"/>
                        <w:color w:val="6F2F9F"/>
                        <w:sz w:val="32"/>
                      </w:rPr>
                      <w:t>desigualdad con respecto de los </w:t>
                    </w:r>
                    <w:r>
                      <w:rPr>
                        <w:rFonts w:ascii="Cambria" w:hAnsi="Cambria"/>
                        <w:color w:val="6F2F9F"/>
                        <w:w w:val="95"/>
                        <w:sz w:val="32"/>
                      </w:rPr>
                      <w:t>varones, esto derivado </w:t>
                    </w:r>
                    <w:r>
                      <w:rPr>
                        <w:rFonts w:ascii="Cambria" w:hAnsi="Cambria"/>
                        <w:color w:val="6F2F9F"/>
                        <w:sz w:val="32"/>
                      </w:rPr>
                      <w:t>de la cultura patriarcal en la que el sujeto</w:t>
                    </w:r>
                    <w:r>
                      <w:rPr>
                        <w:rFonts w:ascii="Cambria" w:hAnsi="Cambria"/>
                        <w:color w:val="6F2F9F"/>
                        <w:spacing w:val="-30"/>
                        <w:sz w:val="32"/>
                      </w:rPr>
                      <w:t> </w:t>
                    </w:r>
                    <w:r>
                      <w:rPr>
                        <w:rFonts w:ascii="Cambria" w:hAnsi="Cambria"/>
                        <w:color w:val="6F2F9F"/>
                        <w:sz w:val="32"/>
                      </w:rPr>
                      <w:t>masculino</w:t>
                    </w:r>
                    <w:r>
                      <w:rPr>
                        <w:rFonts w:ascii="Cambria" w:hAnsi="Cambria"/>
                        <w:color w:val="6F2F9F"/>
                        <w:spacing w:val="-29"/>
                        <w:sz w:val="32"/>
                      </w:rPr>
                      <w:t> </w:t>
                    </w:r>
                    <w:r>
                      <w:rPr>
                        <w:rFonts w:ascii="Cambria" w:hAnsi="Cambria"/>
                        <w:color w:val="6F2F9F"/>
                        <w:sz w:val="32"/>
                      </w:rPr>
                      <w:t>se</w:t>
                    </w:r>
                    <w:r>
                      <w:rPr>
                        <w:rFonts w:ascii="Cambria" w:hAnsi="Cambria"/>
                        <w:color w:val="6F2F9F"/>
                        <w:spacing w:val="-29"/>
                        <w:sz w:val="32"/>
                      </w:rPr>
                      <w:t> </w:t>
                    </w:r>
                    <w:r>
                      <w:rPr>
                        <w:rFonts w:ascii="Cambria" w:hAnsi="Cambria"/>
                        <w:color w:val="6F2F9F"/>
                        <w:sz w:val="32"/>
                      </w:rPr>
                      <w:t>ha considerado como sujeto universal de la actividad jurídica, económica, política y social, lo que se traduce en discriminación en contra</w:t>
                    </w:r>
                    <w:r>
                      <w:rPr>
                        <w:rFonts w:ascii="Cambria" w:hAnsi="Cambria"/>
                        <w:color w:val="6F2F9F"/>
                        <w:spacing w:val="-42"/>
                        <w:sz w:val="32"/>
                      </w:rPr>
                      <w:t> </w:t>
                    </w:r>
                    <w:r>
                      <w:rPr>
                        <w:rFonts w:ascii="Cambria" w:hAnsi="Cambria"/>
                        <w:color w:val="6F2F9F"/>
                        <w:sz w:val="32"/>
                      </w:rPr>
                      <w:t>de</w:t>
                    </w:r>
                    <w:r>
                      <w:rPr>
                        <w:rFonts w:ascii="Cambria" w:hAnsi="Cambria"/>
                        <w:color w:val="6F2F9F"/>
                        <w:spacing w:val="-42"/>
                        <w:sz w:val="32"/>
                      </w:rPr>
                      <w:t> </w:t>
                    </w:r>
                    <w:r>
                      <w:rPr>
                        <w:rFonts w:ascii="Cambria" w:hAnsi="Cambria"/>
                        <w:color w:val="6F2F9F"/>
                        <w:sz w:val="32"/>
                      </w:rPr>
                      <w:t>las</w:t>
                    </w:r>
                    <w:r>
                      <w:rPr>
                        <w:rFonts w:ascii="Cambria" w:hAnsi="Cambria"/>
                        <w:color w:val="6F2F9F"/>
                        <w:spacing w:val="-41"/>
                        <w:sz w:val="32"/>
                      </w:rPr>
                      <w:t> </w:t>
                    </w:r>
                    <w:r>
                      <w:rPr>
                        <w:rFonts w:ascii="Cambria" w:hAnsi="Cambria"/>
                        <w:color w:val="6F2F9F"/>
                        <w:sz w:val="32"/>
                      </w:rPr>
                      <w:t>mujeres</w:t>
                    </w:r>
                  </w:p>
                </w:txbxContent>
              </v:textbox>
              <w10:wrap type="none"/>
            </v:shape>
            <w10:wrap type="none"/>
          </v:group>
        </w:pict>
      </w:r>
      <w:r>
        <w:rPr>
          <w:sz w:val="20"/>
        </w:rPr>
        <w:t>situaciones y, en particular cuando corresponda, adoptar medidas especiales de carácter temporal” (Comité CEDAW, 2010).</w:t>
      </w:r>
    </w:p>
    <w:p>
      <w:pPr>
        <w:pStyle w:val="BodyText"/>
        <w:spacing w:before="3"/>
        <w:rPr>
          <w:sz w:val="17"/>
        </w:rPr>
      </w:pPr>
    </w:p>
    <w:p>
      <w:pPr>
        <w:pStyle w:val="BodyText"/>
        <w:spacing w:line="360" w:lineRule="auto"/>
        <w:ind w:left="102" w:right="4075"/>
        <w:jc w:val="both"/>
      </w:pPr>
      <w:r>
        <w:rPr/>
        <w:t>La implementación de acciones afirmativas</w:t>
      </w:r>
      <w:r>
        <w:rPr>
          <w:spacing w:val="-23"/>
        </w:rPr>
        <w:t> </w:t>
      </w:r>
      <w:r>
        <w:rPr/>
        <w:t>dentro del sistema judicial, para la atención de las distintas</w:t>
      </w:r>
      <w:r>
        <w:rPr>
          <w:spacing w:val="-11"/>
        </w:rPr>
        <w:t> </w:t>
      </w:r>
      <w:r>
        <w:rPr/>
        <w:t>formas</w:t>
      </w:r>
      <w:r>
        <w:rPr>
          <w:spacing w:val="-9"/>
        </w:rPr>
        <w:t> </w:t>
      </w:r>
      <w:r>
        <w:rPr/>
        <w:t>de</w:t>
      </w:r>
      <w:r>
        <w:rPr>
          <w:spacing w:val="-11"/>
        </w:rPr>
        <w:t> </w:t>
      </w:r>
      <w:r>
        <w:rPr/>
        <w:t>discriminación</w:t>
      </w:r>
      <w:r>
        <w:rPr>
          <w:spacing w:val="-9"/>
        </w:rPr>
        <w:t> </w:t>
      </w:r>
      <w:r>
        <w:rPr/>
        <w:t>en</w:t>
      </w:r>
      <w:r>
        <w:rPr>
          <w:spacing w:val="-9"/>
        </w:rPr>
        <w:t> </w:t>
      </w:r>
      <w:r>
        <w:rPr/>
        <w:t>contra</w:t>
      </w:r>
      <w:r>
        <w:rPr>
          <w:spacing w:val="-11"/>
        </w:rPr>
        <w:t> </w:t>
      </w:r>
      <w:r>
        <w:rPr/>
        <w:t>de</w:t>
      </w:r>
      <w:r>
        <w:rPr>
          <w:spacing w:val="-9"/>
        </w:rPr>
        <w:t> </w:t>
      </w:r>
      <w:r>
        <w:rPr/>
        <w:t>las mujeres, constituye una forma de acercarse a la justicia, es decir que brindar un tratamiento diferenciado a las mujeres dentro de los procedimientos jurisdiccionales no contraviene a la justicia, sino que ayuda a</w:t>
      </w:r>
      <w:r>
        <w:rPr>
          <w:spacing w:val="-11"/>
        </w:rPr>
        <w:t> </w:t>
      </w:r>
      <w:r>
        <w:rPr/>
        <w:t>alcanzarla.</w:t>
      </w:r>
    </w:p>
    <w:p>
      <w:pPr>
        <w:pStyle w:val="BodyText"/>
        <w:spacing w:before="2"/>
        <w:rPr>
          <w:sz w:val="17"/>
        </w:rPr>
      </w:pPr>
    </w:p>
    <w:p>
      <w:pPr>
        <w:pStyle w:val="Heading2"/>
        <w:numPr>
          <w:ilvl w:val="1"/>
          <w:numId w:val="7"/>
        </w:numPr>
        <w:tabs>
          <w:tab w:pos="1271" w:val="left" w:leader="none"/>
        </w:tabs>
        <w:spacing w:line="360" w:lineRule="auto" w:before="1" w:after="0"/>
        <w:ind w:left="102" w:right="4078" w:firstLine="0"/>
        <w:jc w:val="both"/>
        <w:rPr>
          <w:color w:val="6F2F9F"/>
        </w:rPr>
      </w:pPr>
      <w:bookmarkStart w:name="_TOC_250005" w:id="6"/>
      <w:bookmarkEnd w:id="6"/>
      <w:r>
        <w:rPr>
          <w:color w:val="6F2F9F"/>
        </w:rPr>
        <w:t>PERSPECTIVA DE GÉNERO:</w:t>
      </w:r>
    </w:p>
    <w:p>
      <w:pPr>
        <w:pStyle w:val="BodyText"/>
        <w:spacing w:line="360" w:lineRule="auto" w:before="169"/>
        <w:ind w:left="102" w:right="4076"/>
        <w:jc w:val="both"/>
      </w:pPr>
      <w:r>
        <w:rPr/>
        <w:t>La perspectiva: Es una visión, o un punto de</w:t>
      </w:r>
      <w:r>
        <w:rPr>
          <w:spacing w:val="-38"/>
        </w:rPr>
        <w:t> </w:t>
      </w:r>
      <w:r>
        <w:rPr/>
        <w:t>vista, desde el cual se analiza un</w:t>
      </w:r>
      <w:r>
        <w:rPr>
          <w:spacing w:val="-7"/>
        </w:rPr>
        <w:t> </w:t>
      </w:r>
      <w:r>
        <w:rPr/>
        <w:t>asunto.</w:t>
      </w:r>
    </w:p>
    <w:p>
      <w:pPr>
        <w:pStyle w:val="BodyText"/>
        <w:spacing w:before="9"/>
        <w:rPr>
          <w:sz w:val="17"/>
        </w:rPr>
      </w:pPr>
    </w:p>
    <w:p>
      <w:pPr>
        <w:pStyle w:val="BodyText"/>
        <w:ind w:left="102"/>
        <w:jc w:val="both"/>
      </w:pPr>
      <w:r>
        <w:rPr/>
        <w:t>Género: La construcción social de los sexos</w:t>
      </w:r>
    </w:p>
    <w:p>
      <w:pPr>
        <w:pStyle w:val="BodyText"/>
        <w:spacing w:before="3"/>
        <w:rPr>
          <w:sz w:val="28"/>
        </w:rPr>
      </w:pPr>
    </w:p>
    <w:p>
      <w:pPr>
        <w:pStyle w:val="BodyText"/>
        <w:spacing w:line="360" w:lineRule="auto"/>
        <w:ind w:left="102" w:right="4075"/>
        <w:jc w:val="both"/>
      </w:pPr>
      <w:r>
        <w:rPr/>
        <w:t>La perspectiva de género, constituye una herramienta adecuada para visibilizar las circunstancias    de    discriminación    entre     los</w:t>
      </w:r>
    </w:p>
    <w:p>
      <w:pPr>
        <w:pStyle w:val="BodyText"/>
        <w:spacing w:line="360" w:lineRule="auto" w:before="4"/>
        <w:ind w:left="102" w:right="114"/>
        <w:jc w:val="both"/>
      </w:pPr>
      <w:r>
        <w:rPr/>
        <w:t>géneros, evidencia las relaciones de poder originadas por las diferencias de género. Es “el punto de vista mediante el cual se visualizan distintos fenómenos de la realidad, que tiene en cuenta las implicaciones y los efectos de las relaciones sociales de poder entre los géneros” (Serret, 2008: 15).</w:t>
      </w:r>
    </w:p>
    <w:p>
      <w:pPr>
        <w:pStyle w:val="BodyText"/>
        <w:spacing w:before="7"/>
        <w:rPr>
          <w:sz w:val="17"/>
        </w:rPr>
      </w:pPr>
    </w:p>
    <w:p>
      <w:pPr>
        <w:pStyle w:val="BodyText"/>
        <w:spacing w:line="360" w:lineRule="auto"/>
        <w:ind w:left="102" w:right="114"/>
        <w:jc w:val="both"/>
      </w:pPr>
      <w:r>
        <w:rPr/>
        <w:t>El Instituto Nacional de las Mujeres (2007: 104), señala que la perspectiva de género es: “una herramienta conceptual que busca mostrar que las diferencias entre mujeres y hombres se dan no sólo por su determinación biológica, sino también por las diferencias culturales asignadas a los humanos. El empleo de la perspectiva de género plantea l</w:t>
      </w:r>
      <w:r>
        <w:rPr>
          <w:sz w:val="24"/>
        </w:rPr>
        <w:t>a </w:t>
      </w:r>
      <w:r>
        <w:rPr/>
        <w:t>necesidad de solucionar los desequilibrios que existen entre mujeres y hombres”.</w:t>
      </w:r>
    </w:p>
    <w:p>
      <w:pPr>
        <w:spacing w:after="0" w:line="360" w:lineRule="auto"/>
        <w:jc w:val="both"/>
        <w:sectPr>
          <w:pgSz w:w="12240" w:h="15840"/>
          <w:pgMar w:header="0" w:footer="993" w:top="1360" w:bottom="1200" w:left="1600" w:right="1580"/>
        </w:sectPr>
      </w:pPr>
    </w:p>
    <w:p>
      <w:pPr>
        <w:pStyle w:val="BodyText"/>
        <w:spacing w:line="360" w:lineRule="auto" w:before="54"/>
        <w:ind w:left="302" w:right="238"/>
        <w:jc w:val="both"/>
      </w:pPr>
      <w:r>
        <w:rPr/>
        <w:t>En el contexto jurídico, este método de análisis deberá estar presente en los casos en los que se encuentren controvertidos los derechos de las mujeres, con el objeto de visibilizar aquellas circunstancias de discriminación y diferenciación de género, y a su vez se evite</w:t>
      </w:r>
      <w:r>
        <w:rPr>
          <w:spacing w:val="-27"/>
        </w:rPr>
        <w:t> </w:t>
      </w:r>
      <w:r>
        <w:rPr/>
        <w:t>la incorporación y reforzamiento de los prejuicios violatorios del principio de</w:t>
      </w:r>
      <w:r>
        <w:rPr>
          <w:spacing w:val="-25"/>
        </w:rPr>
        <w:t> </w:t>
      </w:r>
      <w:r>
        <w:rPr/>
        <w:t>igualdad.</w:t>
      </w:r>
    </w:p>
    <w:p>
      <w:pPr>
        <w:pStyle w:val="BodyText"/>
        <w:spacing w:before="7"/>
        <w:rPr>
          <w:sz w:val="17"/>
        </w:rPr>
      </w:pPr>
    </w:p>
    <w:p>
      <w:pPr>
        <w:pStyle w:val="BodyText"/>
        <w:spacing w:line="360" w:lineRule="auto"/>
        <w:ind w:left="302" w:right="237"/>
        <w:jc w:val="both"/>
      </w:pPr>
      <w:r>
        <w:rPr/>
        <w:t>En</w:t>
      </w:r>
      <w:r>
        <w:rPr>
          <w:spacing w:val="-3"/>
        </w:rPr>
        <w:t> </w:t>
      </w:r>
      <w:r>
        <w:rPr/>
        <w:t>ese</w:t>
      </w:r>
      <w:r>
        <w:rPr>
          <w:spacing w:val="-3"/>
        </w:rPr>
        <w:t> </w:t>
      </w:r>
      <w:r>
        <w:rPr/>
        <w:t>orden</w:t>
      </w:r>
      <w:r>
        <w:rPr>
          <w:spacing w:val="-6"/>
        </w:rPr>
        <w:t> </w:t>
      </w:r>
      <w:r>
        <w:rPr/>
        <w:t>de</w:t>
      </w:r>
      <w:r>
        <w:rPr>
          <w:spacing w:val="-3"/>
        </w:rPr>
        <w:t> </w:t>
      </w:r>
      <w:r>
        <w:rPr/>
        <w:t>ideas,</w:t>
      </w:r>
      <w:r>
        <w:rPr>
          <w:spacing w:val="-4"/>
        </w:rPr>
        <w:t> </w:t>
      </w:r>
      <w:r>
        <w:rPr/>
        <w:t>la</w:t>
      </w:r>
      <w:r>
        <w:rPr>
          <w:spacing w:val="-3"/>
        </w:rPr>
        <w:t> </w:t>
      </w:r>
      <w:r>
        <w:rPr/>
        <w:t>perspectiva</w:t>
      </w:r>
      <w:r>
        <w:rPr>
          <w:spacing w:val="-3"/>
        </w:rPr>
        <w:t> </w:t>
      </w:r>
      <w:r>
        <w:rPr/>
        <w:t>de</w:t>
      </w:r>
      <w:r>
        <w:rPr>
          <w:spacing w:val="-3"/>
        </w:rPr>
        <w:t> </w:t>
      </w:r>
      <w:r>
        <w:rPr/>
        <w:t>género</w:t>
      </w:r>
      <w:r>
        <w:rPr>
          <w:spacing w:val="-5"/>
        </w:rPr>
        <w:t> </w:t>
      </w:r>
      <w:r>
        <w:rPr/>
        <w:t>aparece</w:t>
      </w:r>
      <w:r>
        <w:rPr>
          <w:spacing w:val="-3"/>
        </w:rPr>
        <w:t> </w:t>
      </w:r>
      <w:r>
        <w:rPr/>
        <w:t>como</w:t>
      </w:r>
      <w:r>
        <w:rPr>
          <w:spacing w:val="-3"/>
        </w:rPr>
        <w:t> </w:t>
      </w:r>
      <w:r>
        <w:rPr/>
        <w:t>una</w:t>
      </w:r>
      <w:r>
        <w:rPr>
          <w:spacing w:val="-5"/>
        </w:rPr>
        <w:t> </w:t>
      </w:r>
      <w:r>
        <w:rPr/>
        <w:t>acción</w:t>
      </w:r>
      <w:r>
        <w:rPr>
          <w:spacing w:val="-3"/>
        </w:rPr>
        <w:t> </w:t>
      </w:r>
      <w:r>
        <w:rPr/>
        <w:t>afirmativa</w:t>
      </w:r>
      <w:r>
        <w:rPr>
          <w:spacing w:val="-3"/>
        </w:rPr>
        <w:t> </w:t>
      </w:r>
      <w:r>
        <w:rPr/>
        <w:t>en</w:t>
      </w:r>
      <w:r>
        <w:rPr>
          <w:spacing w:val="-3"/>
        </w:rPr>
        <w:t> </w:t>
      </w:r>
      <w:r>
        <w:rPr/>
        <w:t>la protección</w:t>
      </w:r>
      <w:r>
        <w:rPr>
          <w:spacing w:val="-8"/>
        </w:rPr>
        <w:t> </w:t>
      </w:r>
      <w:r>
        <w:rPr/>
        <w:t>de</w:t>
      </w:r>
      <w:r>
        <w:rPr>
          <w:spacing w:val="-10"/>
        </w:rPr>
        <w:t> </w:t>
      </w:r>
      <w:r>
        <w:rPr/>
        <w:t>los</w:t>
      </w:r>
      <w:r>
        <w:rPr>
          <w:spacing w:val="-8"/>
        </w:rPr>
        <w:t> </w:t>
      </w:r>
      <w:r>
        <w:rPr/>
        <w:t>derechos</w:t>
      </w:r>
      <w:r>
        <w:rPr>
          <w:spacing w:val="-8"/>
        </w:rPr>
        <w:t> </w:t>
      </w:r>
      <w:r>
        <w:rPr/>
        <w:t>humanos</w:t>
      </w:r>
      <w:r>
        <w:rPr>
          <w:spacing w:val="-10"/>
        </w:rPr>
        <w:t> </w:t>
      </w:r>
      <w:r>
        <w:rPr/>
        <w:t>de</w:t>
      </w:r>
      <w:r>
        <w:rPr>
          <w:spacing w:val="-8"/>
        </w:rPr>
        <w:t> </w:t>
      </w:r>
      <w:r>
        <w:rPr/>
        <w:t>las</w:t>
      </w:r>
      <w:r>
        <w:rPr>
          <w:spacing w:val="-10"/>
        </w:rPr>
        <w:t> </w:t>
      </w:r>
      <w:r>
        <w:rPr/>
        <w:t>mujeres</w:t>
      </w:r>
      <w:r>
        <w:rPr>
          <w:spacing w:val="-8"/>
        </w:rPr>
        <w:t> </w:t>
      </w:r>
      <w:r>
        <w:rPr/>
        <w:t>al</w:t>
      </w:r>
      <w:r>
        <w:rPr>
          <w:spacing w:val="-9"/>
        </w:rPr>
        <w:t> </w:t>
      </w:r>
      <w:r>
        <w:rPr/>
        <w:t>incorporarla</w:t>
      </w:r>
      <w:r>
        <w:rPr>
          <w:spacing w:val="-8"/>
        </w:rPr>
        <w:t> </w:t>
      </w:r>
      <w:r>
        <w:rPr/>
        <w:t>en</w:t>
      </w:r>
      <w:r>
        <w:rPr>
          <w:spacing w:val="-8"/>
        </w:rPr>
        <w:t> </w:t>
      </w:r>
      <w:r>
        <w:rPr/>
        <w:t>los</w:t>
      </w:r>
      <w:r>
        <w:rPr>
          <w:spacing w:val="-10"/>
        </w:rPr>
        <w:t> </w:t>
      </w:r>
      <w:r>
        <w:rPr/>
        <w:t>juicios</w:t>
      </w:r>
      <w:r>
        <w:rPr>
          <w:spacing w:val="-8"/>
        </w:rPr>
        <w:t> </w:t>
      </w:r>
      <w:r>
        <w:rPr/>
        <w:t>en</w:t>
      </w:r>
      <w:r>
        <w:rPr>
          <w:spacing w:val="-8"/>
        </w:rPr>
        <w:t> </w:t>
      </w:r>
      <w:r>
        <w:rPr/>
        <w:t>los</w:t>
      </w:r>
      <w:r>
        <w:rPr>
          <w:spacing w:val="-10"/>
        </w:rPr>
        <w:t> </w:t>
      </w:r>
      <w:r>
        <w:rPr/>
        <w:t>que se encuentran controvertidos derechos fundamentales de las mujeres, en la defensa y la labor</w:t>
      </w:r>
      <w:r>
        <w:rPr>
          <w:spacing w:val="-6"/>
        </w:rPr>
        <w:t> </w:t>
      </w:r>
      <w:r>
        <w:rPr/>
        <w:t>jurisdiccional.</w:t>
      </w:r>
    </w:p>
    <w:p>
      <w:pPr>
        <w:pStyle w:val="BodyText"/>
        <w:spacing w:before="3"/>
        <w:rPr>
          <w:sz w:val="17"/>
        </w:rPr>
      </w:pPr>
      <w:r>
        <w:rPr/>
        <w:pict>
          <v:group style="position:absolute;margin-left:75.120003pt;margin-top:11.874443pt;width:458.55pt;height:268.7pt;mso-position-horizontal-relative:page;mso-position-vertical-relative:paragraph;z-index:3256;mso-wrap-distance-left:0;mso-wrap-distance-right:0" coordorigin="1502,237" coordsize="9171,5374">
            <v:shape style="position:absolute;left:1502;top:237;width:9170;height:5374" type="#_x0000_t75" stroked="false">
              <v:imagedata r:id="rId66" o:title=""/>
            </v:shape>
            <v:shape style="position:absolute;left:4884;top:475;width:2662;height:785" type="#_x0000_t75" stroked="false">
              <v:imagedata r:id="rId67" o:title=""/>
            </v:shape>
            <v:shape style="position:absolute;left:2030;top:1214;width:446;height:557" type="#_x0000_t75" stroked="false">
              <v:imagedata r:id="rId68" o:title=""/>
            </v:shape>
            <v:shape style="position:absolute;left:2402;top:1245;width:7018;height:514" type="#_x0000_t75" stroked="false">
              <v:imagedata r:id="rId69" o:title=""/>
            </v:shape>
            <v:shape style="position:absolute;left:2030;top:1586;width:446;height:557" type="#_x0000_t75" stroked="false">
              <v:imagedata r:id="rId68" o:title=""/>
            </v:shape>
            <v:shape style="position:absolute;left:2402;top:1617;width:8086;height:514" type="#_x0000_t75" stroked="false">
              <v:imagedata r:id="rId70" o:title=""/>
            </v:shape>
            <v:shape style="position:absolute;left:2402;top:1975;width:7114;height:514" type="#_x0000_t75" stroked="false">
              <v:imagedata r:id="rId71" o:title=""/>
            </v:shape>
            <v:shape style="position:absolute;left:2030;top:2316;width:446;height:557" type="#_x0000_t75" stroked="false">
              <v:imagedata r:id="rId68" o:title=""/>
            </v:shape>
            <v:shape style="position:absolute;left:2402;top:2347;width:8086;height:514" type="#_x0000_t75" stroked="false">
              <v:imagedata r:id="rId72" o:title=""/>
            </v:shape>
            <v:shape style="position:absolute;left:2402;top:2705;width:4951;height:514" type="#_x0000_t75" stroked="false">
              <v:imagedata r:id="rId73" o:title=""/>
            </v:shape>
            <v:shape style="position:absolute;left:2030;top:3045;width:446;height:557" type="#_x0000_t75" stroked="false">
              <v:imagedata r:id="rId68" o:title=""/>
            </v:shape>
            <v:shape style="position:absolute;left:2402;top:3077;width:8086;height:514" type="#_x0000_t75" stroked="false">
              <v:imagedata r:id="rId74" o:title=""/>
            </v:shape>
            <v:shape style="position:absolute;left:2402;top:3434;width:8086;height:514" type="#_x0000_t75" stroked="false">
              <v:imagedata r:id="rId75" o:title=""/>
            </v:shape>
            <v:shape style="position:absolute;left:2402;top:3789;width:6377;height:514" type="#_x0000_t75" stroked="false">
              <v:imagedata r:id="rId76" o:title=""/>
            </v:shape>
            <v:shape style="position:absolute;left:2030;top:4133;width:446;height:557" type="#_x0000_t75" stroked="false">
              <v:imagedata r:id="rId68" o:title=""/>
            </v:shape>
            <v:shape style="position:absolute;left:2402;top:4164;width:8086;height:514" type="#_x0000_t75" stroked="false">
              <v:imagedata r:id="rId77" o:title=""/>
            </v:shape>
            <v:shape style="position:absolute;left:2402;top:4519;width:8086;height:514" type="#_x0000_t75" stroked="false">
              <v:imagedata r:id="rId78" o:title=""/>
            </v:shape>
            <v:shape style="position:absolute;left:2402;top:4877;width:4966;height:456" type="#_x0000_t75" stroked="false">
              <v:imagedata r:id="rId79" o:title=""/>
            </v:shape>
            <v:shape style="position:absolute;left:1502;top:237;width:9171;height:5374" type="#_x0000_t202" filled="false" stroked="false">
              <v:textbox inset="0,0,0,0">
                <w:txbxContent>
                  <w:p>
                    <w:pPr>
                      <w:spacing w:before="251"/>
                      <w:ind w:left="3627" w:right="3624" w:firstLine="0"/>
                      <w:jc w:val="center"/>
                      <w:rPr>
                        <w:rFonts w:ascii="Calibri"/>
                        <w:sz w:val="40"/>
                      </w:rPr>
                    </w:pPr>
                    <w:r>
                      <w:rPr>
                        <w:rFonts w:ascii="Calibri"/>
                        <w:sz w:val="40"/>
                      </w:rPr>
                      <w:t>RECUERDA:</w:t>
                    </w:r>
                  </w:p>
                  <w:p>
                    <w:pPr>
                      <w:numPr>
                        <w:ilvl w:val="0"/>
                        <w:numId w:val="8"/>
                      </w:numPr>
                      <w:tabs>
                        <w:tab w:pos="1049" w:val="left" w:leader="none"/>
                        <w:tab w:pos="1050" w:val="left" w:leader="none"/>
                      </w:tabs>
                      <w:spacing w:before="325"/>
                      <w:ind w:left="1049" w:right="0" w:hanging="360"/>
                      <w:jc w:val="left"/>
                      <w:rPr>
                        <w:sz w:val="24"/>
                      </w:rPr>
                    </w:pPr>
                    <w:r>
                      <w:rPr>
                        <w:sz w:val="24"/>
                      </w:rPr>
                      <w:t>La igualdad es tratar a todas las personas de la misma</w:t>
                    </w:r>
                    <w:r>
                      <w:rPr>
                        <w:spacing w:val="-22"/>
                        <w:sz w:val="24"/>
                      </w:rPr>
                      <w:t> </w:t>
                    </w:r>
                    <w:r>
                      <w:rPr>
                        <w:sz w:val="24"/>
                      </w:rPr>
                      <w:t>forma.</w:t>
                    </w:r>
                  </w:p>
                  <w:p>
                    <w:pPr>
                      <w:numPr>
                        <w:ilvl w:val="0"/>
                        <w:numId w:val="8"/>
                      </w:numPr>
                      <w:tabs>
                        <w:tab w:pos="1050" w:val="left" w:leader="none"/>
                      </w:tabs>
                      <w:spacing w:line="304" w:lineRule="auto" w:before="78"/>
                      <w:ind w:left="1049" w:right="330" w:hanging="360"/>
                      <w:jc w:val="both"/>
                      <w:rPr>
                        <w:sz w:val="24"/>
                      </w:rPr>
                    </w:pPr>
                    <w:r>
                      <w:rPr>
                        <w:sz w:val="24"/>
                      </w:rPr>
                      <w:t>La equidad es tomar en consideración las circunstancias de desigualdad de cada persona, es decir el trato igualitario en la</w:t>
                    </w:r>
                    <w:r>
                      <w:rPr>
                        <w:spacing w:val="-25"/>
                        <w:sz w:val="24"/>
                      </w:rPr>
                      <w:t> </w:t>
                    </w:r>
                    <w:r>
                      <w:rPr>
                        <w:sz w:val="24"/>
                      </w:rPr>
                      <w:t>desigualdad.</w:t>
                    </w:r>
                  </w:p>
                  <w:p>
                    <w:pPr>
                      <w:numPr>
                        <w:ilvl w:val="0"/>
                        <w:numId w:val="8"/>
                      </w:numPr>
                      <w:tabs>
                        <w:tab w:pos="1050" w:val="left" w:leader="none"/>
                      </w:tabs>
                      <w:spacing w:line="304" w:lineRule="auto" w:before="8"/>
                      <w:ind w:left="1049" w:right="331" w:hanging="360"/>
                      <w:jc w:val="both"/>
                      <w:rPr>
                        <w:sz w:val="24"/>
                      </w:rPr>
                    </w:pPr>
                    <w:r>
                      <w:rPr>
                        <w:sz w:val="24"/>
                      </w:rPr>
                      <w:t>Las acciones afirmativas son las medidas que se implementan para dar tratamiento a las desigualdades de</w:t>
                    </w:r>
                    <w:r>
                      <w:rPr>
                        <w:spacing w:val="-13"/>
                        <w:sz w:val="24"/>
                      </w:rPr>
                      <w:t> </w:t>
                    </w:r>
                    <w:r>
                      <w:rPr>
                        <w:sz w:val="24"/>
                      </w:rPr>
                      <w:t>hecho.</w:t>
                    </w:r>
                  </w:p>
                  <w:p>
                    <w:pPr>
                      <w:numPr>
                        <w:ilvl w:val="0"/>
                        <w:numId w:val="8"/>
                      </w:numPr>
                      <w:tabs>
                        <w:tab w:pos="1050" w:val="left" w:leader="none"/>
                      </w:tabs>
                      <w:spacing w:line="307" w:lineRule="auto" w:before="7"/>
                      <w:ind w:left="1049" w:right="329" w:hanging="360"/>
                      <w:jc w:val="both"/>
                      <w:rPr>
                        <w:sz w:val="24"/>
                      </w:rPr>
                    </w:pPr>
                    <w:r>
                      <w:rPr>
                        <w:sz w:val="24"/>
                      </w:rPr>
                      <w:t>La implementación de acciones afirmativas en el sistema judicial para el tratamiento jurídico de las desigualdades de hecho entre los hombres y las mujeres, constituye una vía para alcanzar la</w:t>
                    </w:r>
                    <w:r>
                      <w:rPr>
                        <w:spacing w:val="-17"/>
                        <w:sz w:val="24"/>
                      </w:rPr>
                      <w:t> </w:t>
                    </w:r>
                    <w:r>
                      <w:rPr>
                        <w:sz w:val="24"/>
                      </w:rPr>
                      <w:t>justicia.</w:t>
                    </w:r>
                  </w:p>
                  <w:p>
                    <w:pPr>
                      <w:numPr>
                        <w:ilvl w:val="0"/>
                        <w:numId w:val="8"/>
                      </w:numPr>
                      <w:tabs>
                        <w:tab w:pos="1050" w:val="left" w:leader="none"/>
                      </w:tabs>
                      <w:spacing w:line="307" w:lineRule="auto" w:before="7"/>
                      <w:ind w:left="1049" w:right="332" w:hanging="360"/>
                      <w:jc w:val="both"/>
                      <w:rPr>
                        <w:sz w:val="24"/>
                      </w:rPr>
                    </w:pPr>
                    <w:r>
                      <w:rPr>
                        <w:sz w:val="24"/>
                      </w:rPr>
                      <w:t>La incorporación de la perspectiva de género en la labor judicial, constituye una acción afirmativa para el tratamiento de las</w:t>
                    </w:r>
                    <w:r>
                      <w:rPr>
                        <w:spacing w:val="-42"/>
                        <w:sz w:val="24"/>
                      </w:rPr>
                      <w:t> </w:t>
                    </w:r>
                    <w:r>
                      <w:rPr>
                        <w:sz w:val="24"/>
                      </w:rPr>
                      <w:t>desigualdades de hecho entre los hombres y las</w:t>
                    </w:r>
                    <w:r>
                      <w:rPr>
                        <w:spacing w:val="-6"/>
                        <w:sz w:val="24"/>
                      </w:rPr>
                      <w:t> </w:t>
                    </w:r>
                    <w:r>
                      <w:rPr>
                        <w:sz w:val="24"/>
                      </w:rPr>
                      <w:t>mujeres.</w:t>
                    </w:r>
                  </w:p>
                </w:txbxContent>
              </v:textbox>
              <w10:wrap type="none"/>
            </v:shape>
            <w10:wrap type="topAndBottom"/>
          </v:group>
        </w:pict>
      </w:r>
    </w:p>
    <w:p>
      <w:pPr>
        <w:spacing w:after="0"/>
        <w:rPr>
          <w:sz w:val="17"/>
        </w:rPr>
        <w:sectPr>
          <w:footerReference w:type="default" r:id="rId65"/>
          <w:pgSz w:w="12240" w:h="15840"/>
          <w:pgMar w:footer="1002" w:header="0" w:top="1360" w:bottom="1200" w:left="1400" w:right="1460"/>
        </w:sectPr>
      </w:pPr>
    </w:p>
    <w:p>
      <w:pPr>
        <w:pStyle w:val="BodyText"/>
        <w:spacing w:before="4"/>
        <w:rPr>
          <w:rFonts w:ascii="Times New Roman"/>
          <w:sz w:val="17"/>
        </w:rPr>
      </w:pPr>
      <w:r>
        <w:rPr/>
        <w:pict>
          <v:group style="position:absolute;margin-left:84.580002pt;margin-top:162.940002pt;width:118pt;height:223.85pt;mso-position-horizontal-relative:page;mso-position-vertical-relative:page;z-index:3304" coordorigin="1692,3259" coordsize="2360,4477">
            <v:shape style="position:absolute;left:1702;top:3269;width:2340;height:2542" coordorigin="1702,3269" coordsize="2340,2542" path="m2872,3269l2800,3271,2730,3278,2661,3289,2594,3305,2528,3325,2463,3348,2401,3376,2340,3407,2281,3442,2224,3481,2170,3523,2118,3568,2068,3616,2021,3667,1977,3721,1935,3777,1897,3837,1861,3898,1829,3962,1800,4028,1775,4096,1753,4166,1735,4238,1720,4311,1710,4386,1704,4462,1702,4540,1704,4617,1710,4693,1720,4768,1735,4841,1753,4913,1775,4983,1800,5051,1829,5117,1861,5181,1897,5243,1935,5302,1977,5358,2021,5412,2068,5463,2118,5512,2170,5557,2224,5598,2281,5637,2340,5672,2401,5703,2463,5731,2528,5755,2594,5774,2661,5790,2730,5801,2800,5808,2872,5810,2943,5808,3013,5801,3082,5790,3149,5774,3215,5755,3280,5731,3343,5703,3403,5672,3462,5637,3519,5598,3573,5557,3625,5512,3675,5463,3722,5412,3766,5358,3808,5302,3846,5243,3882,5181,3914,5117,3943,5051,3968,4983,3990,4913,4008,4841,4023,4768,4033,4693,4039,4617,4042,4540,4039,4462,4033,4386,4023,4311,4008,4238,3990,4166,3968,4096,3943,4028,3914,3962,3882,3898,3846,3837,3808,3777,3766,3721,3722,3667,3675,3616,3625,3568,3573,3523,3519,3481,3462,3442,3403,3407,3343,3376,3280,3348,3215,3325,3149,3305,3082,3289,3013,3278,2943,3271,2872,3269xe" filled="true" fillcolor="#5b9bd4" stroked="false">
              <v:path arrowok="t"/>
              <v:fill type="solid"/>
            </v:shape>
            <v:shape style="position:absolute;left:1702;top:3269;width:2340;height:2542" coordorigin="1702,3269" coordsize="2340,2542" path="m1702,4540l1704,4462,1710,4386,1720,4311,1735,4238,1753,4166,1775,4096,1800,4028,1829,3962,1861,3898,1897,3837,1935,3777,1977,3721,2021,3667,2068,3616,2118,3568,2170,3523,2224,3481,2281,3442,2340,3407,2401,3376,2463,3348,2528,3325,2594,3305,2661,3289,2730,3278,2800,3271,2872,3269,2943,3271,3013,3278,3082,3289,3149,3305,3215,3325,3280,3348,3343,3376,3403,3407,3462,3442,3519,3481,3573,3523,3625,3568,3675,3616,3722,3667,3766,3721,3808,3777,3846,3837,3882,3898,3914,3962,3943,4028,3968,4096,3990,4166,4008,4238,4023,4311,4033,4386,4039,4462,4042,4540,4039,4617,4033,4693,4023,4768,4008,4841,3990,4913,3968,4983,3943,5051,3914,5117,3882,5181,3846,5243,3808,5302,3766,5358,3722,5412,3675,5463,3625,5512,3573,5557,3519,5598,3462,5637,3403,5672,3343,5703,3280,5731,3215,5755,3149,5774,3082,5790,3013,5801,2943,5808,2872,5810,2800,5808,2730,5801,2661,5790,2594,5774,2528,5755,2463,5731,2401,5703,2340,5672,2281,5637,2224,5598,2170,5557,2118,5512,2068,5463,2021,5412,1977,5358,1935,5302,1897,5243,1861,5181,1829,5117,1800,5051,1775,4983,1753,4913,1735,4841,1720,4768,1710,4693,1704,4617,1702,4540xe" filled="false" stroked="true" strokeweight=".96pt" strokecolor="#41709c">
              <v:path arrowok="t"/>
            </v:shape>
            <v:shape style="position:absolute;left:2767;top:5885;width:550;height:1841" coordorigin="2767,5885" coordsize="550,1841" path="m3179,6160l2905,6160,2905,7726,3179,7726,3179,6160xm3042,5885l2767,6160,3317,6160,3042,5885xe" filled="true" fillcolor="#5b9bd4" stroked="false">
              <v:path arrowok="t"/>
              <v:fill type="solid"/>
            </v:shape>
            <v:shape style="position:absolute;left:2767;top:5885;width:550;height:1841" coordorigin="2767,5885" coordsize="550,1841" path="m2767,6160l3042,5885,3317,6160,3179,6160,3179,7726,2905,7726,2905,6160,2767,6160xe" filled="false" stroked="true" strokeweight=".96pt" strokecolor="#41709c">
              <v:path arrowok="t"/>
            </v:shape>
            <v:shape style="position:absolute;left:1692;top:3259;width:2360;height:4476" type="#_x0000_t202" filled="false" stroked="false">
              <v:textbox inset="0,0,0,0">
                <w:txbxContent>
                  <w:p>
                    <w:pPr>
                      <w:spacing w:line="240" w:lineRule="auto" w:before="0"/>
                      <w:rPr>
                        <w:rFonts w:ascii="Times New Roman"/>
                        <w:sz w:val="22"/>
                      </w:rPr>
                    </w:pPr>
                  </w:p>
                  <w:p>
                    <w:pPr>
                      <w:spacing w:line="240" w:lineRule="auto" w:before="0"/>
                      <w:rPr>
                        <w:rFonts w:ascii="Times New Roman"/>
                        <w:sz w:val="18"/>
                      </w:rPr>
                    </w:pPr>
                  </w:p>
                  <w:p>
                    <w:pPr>
                      <w:spacing w:line="276" w:lineRule="auto" w:before="0"/>
                      <w:ind w:left="626" w:right="627" w:firstLine="2"/>
                      <w:jc w:val="center"/>
                      <w:rPr>
                        <w:rFonts w:ascii="Calibri" w:hAnsi="Calibri"/>
                        <w:b/>
                        <w:sz w:val="22"/>
                      </w:rPr>
                    </w:pPr>
                    <w:r>
                      <w:rPr>
                        <w:rFonts w:ascii="Calibri" w:hAnsi="Calibri"/>
                        <w:b/>
                        <w:sz w:val="22"/>
                      </w:rPr>
                      <w:t>IGUALDAD JURÍDICA ENTRE HOMBRES Y MUJERES</w:t>
                    </w:r>
                  </w:p>
                </w:txbxContent>
              </v:textbox>
              <w10:wrap type="none"/>
            </v:shape>
            <w10:wrap type="none"/>
          </v:group>
        </w:pict>
      </w:r>
      <w:r>
        <w:rPr/>
        <w:pict>
          <v:group style="position:absolute;margin-left:211.059998pt;margin-top:162.940002pt;width:267.05pt;height:140pt;mso-position-horizontal-relative:page;mso-position-vertical-relative:page;z-index:3352" coordorigin="4221,3259" coordsize="5341,2800">
            <v:shape style="position:absolute;left:4231;top:4121;width:2516;height:550" coordorigin="4231,4121" coordsize="2516,550" path="m6472,4121l6472,4258,4231,4258,4231,4533,6472,4533,6472,4670,6746,4396,6472,4121xe" filled="true" fillcolor="#5b9bd4" stroked="false">
              <v:path arrowok="t"/>
              <v:fill type="solid"/>
            </v:shape>
            <v:shape style="position:absolute;left:4231;top:4121;width:2516;height:550" coordorigin="4231,4121" coordsize="2516,550" path="m4231,4258l6472,4258,6472,4121,6746,4396,6472,4670,6472,4533,4231,4533,4231,4258xe" filled="false" stroked="true" strokeweight=".96pt" strokecolor="#41709c">
              <v:path arrowok="t"/>
            </v:shape>
            <v:shape style="position:absolute;left:6823;top:3269;width:2729;height:2780" coordorigin="6823,3269" coordsize="2729,2780" path="m8188,3269l8113,3271,8039,3277,7966,3287,7895,3301,7825,3318,7756,3340,7689,3364,7624,3392,7561,3424,7499,3459,7439,3496,7382,3537,7326,3580,7273,3627,7223,3676,7175,3727,7129,3781,7086,3838,7046,3896,7009,3957,6975,4020,6945,4085,6917,4151,6893,4219,6872,4289,6855,4360,6841,4433,6831,4507,6825,4582,6823,4658,6825,4735,6831,4810,6841,4884,6855,4956,6872,5028,6893,5098,6917,5166,6945,5232,6975,5297,7009,5360,7046,5420,7086,5479,7129,5535,7175,5589,7223,5641,7273,5690,7326,5736,7382,5780,7439,5821,7499,5858,7561,5893,7624,5924,7689,5952,7756,5977,7825,5998,7895,6016,7966,6030,8039,6040,8113,6046,8188,6048,8262,6046,8336,6040,8409,6030,8480,6016,8550,5998,8619,5977,8686,5952,8751,5924,8815,5893,8876,5858,8936,5821,8993,5780,9049,5736,9102,5690,9152,5641,9201,5589,9246,5535,9289,5479,9329,5420,9366,5360,9400,5297,9431,5232,9458,5166,9482,5098,9503,5028,9521,4956,9534,4884,9544,4810,9550,4735,9552,4658,9550,4582,9544,4507,9534,4433,9521,4360,9503,4289,9482,4219,9458,4151,9431,4085,9400,4020,9366,3957,9329,3896,9289,3838,9246,3781,9201,3727,9152,3676,9102,3627,9049,3580,8993,3537,8936,3496,8876,3459,8815,3424,8751,3392,8686,3364,8619,3340,8550,3318,8480,3301,8409,3287,8336,3277,8262,3271,8188,3269xe" filled="true" fillcolor="#5b9bd4" stroked="false">
              <v:path arrowok="t"/>
              <v:fill type="solid"/>
            </v:shape>
            <v:shape style="position:absolute;left:6823;top:3269;width:2729;height:2780" coordorigin="6823,3269" coordsize="2729,2780" path="m6823,4658l6825,4582,6831,4507,6841,4433,6855,4360,6872,4289,6893,4219,6917,4151,6945,4085,6975,4020,7009,3957,7046,3896,7086,3838,7129,3781,7175,3727,7223,3676,7273,3627,7326,3580,7382,3537,7439,3496,7499,3459,7561,3424,7624,3392,7689,3364,7756,3340,7825,3318,7895,3301,7966,3287,8039,3277,8113,3271,8188,3269,8262,3271,8336,3277,8409,3287,8480,3301,8550,3318,8619,3340,8686,3364,8751,3392,8815,3424,8876,3459,8936,3496,8993,3537,9049,3580,9102,3627,9152,3676,9201,3727,9246,3781,9289,3838,9329,3896,9366,3957,9400,4020,9431,4085,9458,4151,9482,4219,9503,4289,9521,4360,9534,4433,9544,4507,9550,4582,9552,4658,9550,4735,9544,4810,9534,4884,9521,4956,9503,5028,9482,5098,9458,5166,9431,5232,9400,5297,9366,5360,9329,5420,9289,5479,9246,5535,9201,5589,9152,5641,9102,5690,9049,5736,8993,5780,8936,5821,8876,5858,8815,5893,8751,5924,8686,5952,8619,5977,8550,5998,8480,6016,8409,6030,8336,6040,8262,6046,8188,6048,8113,6046,8039,6040,7966,6030,7895,6016,7825,5998,7756,5977,7689,5952,7624,5924,7561,5893,7499,5858,7439,5821,7382,5780,7326,5736,7273,5690,7223,5641,7175,5589,7129,5535,7086,5479,7046,5420,7009,5360,6975,5297,6945,5232,6917,5166,6893,5098,6872,5028,6855,4956,6841,4884,6831,4810,6825,4735,6823,4658xe" filled="false" stroked="true" strokeweight=".96pt" strokecolor="#41709c">
              <v:path arrowok="t"/>
            </v:shape>
            <v:shape style="position:absolute;left:4222;top:3259;width:5340;height:2799" type="#_x0000_t202" filled="false" stroked="false">
              <v:textbox inset="0,0,0,0">
                <w:txbxContent>
                  <w:p>
                    <w:pPr>
                      <w:spacing w:line="240" w:lineRule="auto" w:before="0"/>
                      <w:rPr>
                        <w:rFonts w:ascii="Times New Roman"/>
                        <w:sz w:val="22"/>
                      </w:rPr>
                    </w:pPr>
                  </w:p>
                  <w:p>
                    <w:pPr>
                      <w:spacing w:line="240" w:lineRule="auto" w:before="2"/>
                      <w:rPr>
                        <w:rFonts w:ascii="Times New Roman"/>
                        <w:sz w:val="21"/>
                      </w:rPr>
                    </w:pPr>
                  </w:p>
                  <w:p>
                    <w:pPr>
                      <w:spacing w:line="276" w:lineRule="auto" w:before="0"/>
                      <w:ind w:left="3227" w:right="631" w:hanging="3"/>
                      <w:jc w:val="center"/>
                      <w:rPr>
                        <w:rFonts w:ascii="Calibri" w:hAnsi="Calibri"/>
                        <w:b/>
                        <w:sz w:val="22"/>
                      </w:rPr>
                    </w:pPr>
                    <w:r>
                      <w:rPr>
                        <w:rFonts w:ascii="Calibri" w:hAnsi="Calibri"/>
                        <w:b/>
                        <w:sz w:val="22"/>
                      </w:rPr>
                      <w:t>CONSTRUCCIÓN SOCIAL DEL SEXO, ASIGNACIÓN DE ROLES DE GÉNERO</w:t>
                    </w:r>
                  </w:p>
                </w:txbxContent>
              </v:textbox>
              <w10:wrap type="none"/>
            </v:shape>
            <w10:wrap type="none"/>
          </v:group>
        </w:pict>
      </w:r>
      <w:r>
        <w:rPr/>
        <w:pict>
          <v:group style="position:absolute;margin-left:396.339996pt;margin-top:308.739990pt;width:35.450pt;height:102.4pt;mso-position-horizontal-relative:page;mso-position-vertical-relative:page;z-index:3376" coordorigin="7927,6175" coordsize="709,2048">
            <v:shape style="position:absolute;left:7937;top:6185;width:689;height:2028" coordorigin="7937,6185" coordsize="689,2028" path="m8626,7868l7937,7868,8281,8213,8626,7868xm8453,6185l8109,6185,8109,7868,8453,7868,8453,6185xe" filled="true" fillcolor="#5b9bd4" stroked="false">
              <v:path arrowok="t"/>
              <v:fill type="solid"/>
            </v:shape>
            <v:shape style="position:absolute;left:7937;top:6185;width:689;height:2028" coordorigin="7937,6185" coordsize="689,2028" path="m7937,7868l8109,7868,8109,6185,8453,6185,8453,7868,8626,7868,8281,8213,7937,7868xe" filled="false" stroked="true" strokeweight=".96pt" strokecolor="#41709c">
              <v:path arrowok="t"/>
            </v:shape>
            <w10:wrap type="none"/>
          </v:group>
        </w:pict>
      </w:r>
      <w:r>
        <w:rPr/>
        <w:pict>
          <v:group style="position:absolute;margin-left:362.019989pt;margin-top:424.059998pt;width:136.25pt;height:138.050pt;mso-position-horizontal-relative:page;mso-position-vertical-relative:page;z-index:3424" coordorigin="7240,8481" coordsize="2725,2761">
            <v:shape style="position:absolute;left:7250;top:8491;width:2705;height:2741" coordorigin="7250,8491" coordsize="2705,2741" path="m8603,8491l8529,8493,8455,8499,8383,8509,8313,8523,8243,8540,8175,8561,8109,8585,8044,8613,7981,8644,7920,8678,7861,8715,7804,8756,7749,8799,7697,8844,7646,8893,7599,8943,7554,8997,7511,9052,7472,9110,7435,9170,7401,9232,7371,9296,7343,9361,7319,9428,7299,9497,7282,9568,7268,9639,7258,9712,7252,9786,7250,9862,7252,9937,7258,10011,7268,10084,7282,10156,7299,10226,7319,10295,7343,10362,7371,10428,7401,10491,7435,10553,7472,10613,7511,10671,7554,10726,7599,10780,7646,10831,7697,10879,7749,10925,7804,10968,7861,11008,7920,11045,7981,11079,8044,11110,8109,11138,8175,11162,8243,11183,8313,11200,8383,11214,8455,11224,8529,11230,8603,11232,8677,11230,8750,11224,8822,11214,8893,11200,8962,11183,9030,11162,9097,11138,9161,11110,9224,11079,9285,11045,9345,11008,9402,10968,9456,10925,9509,10879,9559,10831,9607,10780,9652,10726,9694,10671,9734,10613,9771,10553,9804,10491,9835,10428,9862,10362,9886,10295,9907,10226,9924,10156,9938,10084,9947,10011,9953,9937,9955,9862,9953,9786,9947,9712,9938,9639,9924,9568,9907,9497,9886,9428,9862,9361,9835,9296,9804,9232,9771,9170,9734,9110,9694,9052,9652,8997,9607,8943,9559,8893,9509,8844,9456,8799,9402,8756,9345,8715,9285,8678,9224,8644,9161,8613,9097,8585,9030,8561,8962,8540,8893,8523,8822,8509,8750,8499,8677,8493,8603,8491xe" filled="true" fillcolor="#5b9bd4" stroked="false">
              <v:path arrowok="t"/>
              <v:fill type="solid"/>
            </v:shape>
            <v:shape style="position:absolute;left:7250;top:8491;width:2705;height:2741" coordorigin="7250,8491" coordsize="2705,2741" path="m7250,9862l7252,9786,7258,9712,7268,9639,7282,9568,7299,9497,7319,9428,7343,9361,7371,9296,7401,9232,7435,9170,7472,9110,7511,9052,7554,8997,7599,8943,7646,8893,7697,8844,7749,8799,7804,8756,7861,8715,7920,8678,7981,8644,8044,8613,8109,8585,8175,8561,8243,8540,8313,8523,8383,8509,8455,8499,8529,8493,8603,8491,8677,8493,8750,8499,8822,8509,8893,8523,8962,8540,9030,8561,9097,8585,9161,8613,9224,8644,9285,8678,9345,8715,9402,8756,9456,8799,9509,8844,9559,8893,9607,8943,9652,8997,9694,9052,9734,9110,9771,9170,9804,9232,9835,9296,9862,9361,9886,9428,9907,9497,9924,9568,9938,9639,9947,9712,9953,9786,9955,9862,9953,9937,9947,10011,9938,10084,9924,10156,9907,10226,9886,10295,9862,10362,9835,10428,9804,10491,9771,10553,9734,10613,9694,10671,9652,10726,9607,10780,9559,10831,9509,10879,9456,10925,9402,10968,9345,11008,9285,11045,9224,11079,9161,11110,9097,11138,9030,11162,8962,11183,8893,11200,8822,11214,8750,11224,8677,11230,8603,11232,8529,11230,8455,11224,8383,11214,8313,11200,8243,11183,8175,11162,8109,11138,8044,11110,7981,11079,7920,11045,7861,11008,7804,10968,7749,10925,7697,10879,7646,10831,7599,10780,7554,10726,7511,10671,7472,10613,7435,10553,7401,10491,7371,10428,7343,10362,7319,10295,7299,10226,7282,10156,7268,10084,7258,10011,7252,9937,7250,9862xe" filled="false" stroked="true" strokeweight=".96pt" strokecolor="#41709c">
              <v:path arrowok="t"/>
            </v:shape>
            <v:shape style="position:absolute;left:7241;top:8482;width:2724;height:2760" type="#_x0000_t202" filled="false" stroked="false">
              <v:textbox inset="0,0,0,0">
                <w:txbxContent>
                  <w:p>
                    <w:pPr>
                      <w:spacing w:line="240" w:lineRule="auto" w:before="0"/>
                      <w:rPr>
                        <w:rFonts w:ascii="Times New Roman"/>
                        <w:sz w:val="22"/>
                      </w:rPr>
                    </w:pPr>
                  </w:p>
                  <w:p>
                    <w:pPr>
                      <w:spacing w:line="240" w:lineRule="auto" w:before="0"/>
                      <w:rPr>
                        <w:rFonts w:ascii="Times New Roman"/>
                        <w:sz w:val="22"/>
                      </w:rPr>
                    </w:pPr>
                  </w:p>
                  <w:p>
                    <w:pPr>
                      <w:spacing w:line="276" w:lineRule="auto" w:before="154"/>
                      <w:ind w:left="567" w:right="564" w:hanging="4"/>
                      <w:jc w:val="center"/>
                      <w:rPr>
                        <w:rFonts w:ascii="Calibri"/>
                        <w:b/>
                        <w:sz w:val="22"/>
                      </w:rPr>
                    </w:pPr>
                    <w:r>
                      <w:rPr>
                        <w:rFonts w:ascii="Calibri"/>
                        <w:b/>
                        <w:sz w:val="22"/>
                      </w:rPr>
                      <w:t>DESIGUALDADES DE HECHO ENTRE HOMBRES Y MUJERES</w:t>
                    </w:r>
                  </w:p>
                </w:txbxContent>
              </v:textbox>
              <w10:wrap type="none"/>
            </v:shape>
            <w10:wrap type="none"/>
          </v:group>
        </w:pict>
      </w:r>
      <w:r>
        <w:rPr/>
        <w:pict>
          <v:group style="position:absolute;margin-left:88.419998pt;margin-top:392.140015pt;width:267.650pt;height:229.5pt;mso-position-horizontal-relative:page;mso-position-vertical-relative:page;z-index:3472" coordorigin="1768,7843" coordsize="5353,4590">
            <v:shape style="position:absolute;left:4946;top:9230;width:2165;height:737" coordorigin="4946,9230" coordsize="2165,737" path="m5315,9230l4946,9599,5315,9967,5315,9783,7111,9783,7111,9415,5315,9415,5315,9230xe" filled="true" fillcolor="#5b9bd4" stroked="false">
              <v:path arrowok="t"/>
              <v:fill type="solid"/>
            </v:shape>
            <v:shape style="position:absolute;left:4946;top:9230;width:2165;height:737" coordorigin="4946,9230" coordsize="2165,737" path="m4946,9599l5315,9230,5315,9415,7111,9415,7111,9783,5315,9783,5315,9967,4946,9599xe" filled="false" stroked="true" strokeweight=".96pt" strokecolor="#41709c">
              <v:path arrowok="t"/>
            </v:shape>
            <v:shape style="position:absolute;left:1778;top:7853;width:3130;height:4570" coordorigin="1778,7853" coordsize="3130,4570" path="m3343,7853l3282,7855,3221,7860,3161,7868,3101,7880,3042,7895,2984,7913,2927,7934,2871,7959,2815,7986,2761,8016,2707,8049,2655,8085,2604,8124,2553,8165,2504,8209,2456,8255,2410,8304,2365,8355,2321,8408,2278,8464,2237,8522,2197,8582,2159,8644,2122,8709,2087,8775,2054,8843,2022,8913,1992,8984,1964,9058,1937,9133,1913,9209,1890,9288,1870,9367,1851,9448,1834,9530,1820,9614,1807,9698,1797,9784,1789,9871,1783,9959,1780,10048,1778,10138,1780,10227,1783,10316,1789,10404,1797,10491,1807,10577,1820,10661,1834,10745,1851,10827,1870,10908,1890,10988,1913,11066,1937,11142,1964,11217,1992,11291,2022,11362,2054,11432,2087,11500,2122,11567,2159,11631,2197,11693,2237,11753,2278,11811,2321,11867,2365,11920,2410,11972,2456,12020,2504,12067,2553,12110,2604,12152,2655,12190,2707,12226,2761,12259,2815,12289,2871,12316,2927,12341,2984,12362,3042,12380,3101,12395,3161,12407,3221,12416,3282,12421,3343,12422,3405,12421,3465,12416,3526,12407,3585,12395,3644,12380,3702,12362,3759,12341,3816,12316,3871,12289,3925,12259,3979,12226,4031,12190,4083,12152,4133,12110,4182,12067,4230,12020,4277,11972,4322,11920,4366,11867,4408,11811,4450,11753,4489,11693,4528,11631,4564,11567,4599,11500,4633,11432,4664,11362,4694,11291,4723,11217,4749,11142,4773,11066,4796,10988,4817,10908,4835,10827,4852,10745,4867,10661,4879,10577,4889,10491,4897,10404,4903,10316,4907,10227,4908,10138,4907,10048,4903,9959,4897,9871,4889,9784,4879,9698,4867,9614,4852,9530,4835,9448,4817,9367,4796,9288,4773,9209,4749,9133,4723,9058,4694,8984,4664,8913,4633,8843,4599,8775,4564,8709,4528,8644,4489,8582,4450,8522,4408,8464,4366,8408,4322,8355,4277,8304,4230,8255,4182,8209,4133,8165,4083,8124,4031,8085,3979,8049,3925,8016,3871,7986,3816,7959,3759,7934,3702,7913,3644,7895,3585,7880,3526,7868,3465,7860,3405,7855,3343,7853xe" filled="true" fillcolor="#5b9bd4" stroked="false">
              <v:path arrowok="t"/>
              <v:fill type="solid"/>
            </v:shape>
            <v:shape style="position:absolute;left:1778;top:7853;width:3130;height:4570" coordorigin="1778,7853" coordsize="3130,4570" path="m1778,10138l1780,10048,1783,9959,1789,9871,1797,9784,1807,9698,1820,9614,1834,9530,1851,9448,1870,9367,1890,9288,1913,9209,1937,9133,1964,9058,1992,8984,2022,8913,2054,8843,2087,8775,2122,8709,2159,8644,2197,8582,2237,8522,2278,8464,2321,8408,2365,8355,2410,8304,2456,8255,2504,8209,2553,8165,2604,8124,2655,8085,2707,8049,2761,8016,2815,7986,2871,7959,2927,7934,2984,7913,3042,7895,3101,7880,3161,7868,3221,7860,3282,7855,3343,7853,3405,7855,3465,7860,3526,7868,3585,7880,3644,7895,3702,7913,3759,7934,3816,7959,3871,7986,3925,8016,3979,8049,4031,8085,4083,8124,4133,8165,4182,8209,4230,8255,4277,8304,4322,8355,4366,8408,4408,8464,4450,8522,4489,8582,4528,8644,4564,8709,4599,8775,4633,8843,4664,8913,4694,8984,4723,9058,4749,9133,4773,9209,4796,9288,4817,9367,4835,9448,4852,9530,4867,9614,4879,9698,4889,9784,4897,9871,4903,9959,4907,10048,4908,10138,4907,10227,4903,10316,4897,10404,4889,10491,4879,10577,4867,10661,4852,10745,4835,10827,4817,10908,4796,10988,4773,11066,4749,11142,4723,11217,4694,11291,4664,11362,4633,11432,4599,11500,4564,11567,4528,11631,4489,11693,4450,11753,4408,11811,4366,11867,4322,11920,4277,11972,4230,12020,4182,12067,4133,12110,4083,12152,4031,12190,3979,12226,3925,12259,3871,12289,3816,12316,3759,12341,3702,12362,3644,12380,3585,12395,3526,12407,3465,12416,3405,12421,3343,12422,3282,12421,3221,12416,3161,12407,3101,12395,3042,12380,2984,12362,2927,12341,2871,12316,2815,12289,2761,12259,2707,12226,2655,12190,2604,12152,2553,12110,2504,12067,2456,12020,2410,11972,2365,11920,2321,11867,2278,11811,2237,11753,2197,11693,2159,11631,2122,11567,2087,11500,2054,11432,2022,11362,1992,11291,1964,11217,1937,11142,1913,11066,1890,10988,1870,10908,1851,10827,1834,10745,1820,10661,1807,10577,1797,10491,1789,10404,1783,10316,1780,10227,1778,10138xe" filled="false" stroked="true" strokeweight=".96pt" strokecolor="#41709c">
              <v:path arrowok="t"/>
            </v:shape>
            <v:shape style="position:absolute;left:1769;top:7843;width:5352;height:4589" type="#_x0000_t202" filled="false" stroked="false">
              <v:textbox inset="0,0,0,0">
                <w:txbxContent>
                  <w:p>
                    <w:pPr>
                      <w:spacing w:line="240" w:lineRule="auto" w:before="0"/>
                      <w:rPr>
                        <w:rFonts w:ascii="Times New Roman"/>
                        <w:sz w:val="22"/>
                      </w:rPr>
                    </w:pPr>
                  </w:p>
                  <w:p>
                    <w:pPr>
                      <w:spacing w:line="240" w:lineRule="auto" w:before="0"/>
                      <w:rPr>
                        <w:rFonts w:ascii="Times New Roman"/>
                        <w:sz w:val="22"/>
                      </w:rPr>
                    </w:pPr>
                  </w:p>
                  <w:p>
                    <w:pPr>
                      <w:spacing w:line="240" w:lineRule="auto" w:before="8"/>
                      <w:rPr>
                        <w:rFonts w:ascii="Times New Roman"/>
                        <w:sz w:val="25"/>
                      </w:rPr>
                    </w:pPr>
                  </w:p>
                  <w:p>
                    <w:pPr>
                      <w:spacing w:line="276" w:lineRule="auto" w:before="1"/>
                      <w:ind w:left="655" w:right="2856" w:hanging="4"/>
                      <w:jc w:val="center"/>
                      <w:rPr>
                        <w:rFonts w:ascii="Calibri" w:hAnsi="Calibri"/>
                        <w:b/>
                        <w:sz w:val="22"/>
                      </w:rPr>
                    </w:pPr>
                    <w:r>
                      <w:rPr>
                        <w:rFonts w:ascii="Calibri" w:hAnsi="Calibri"/>
                        <w:b/>
                        <w:sz w:val="22"/>
                      </w:rPr>
                      <w:t>IMPLEMENTACIÓN DE ACCIONES AFIRMATIVAS PARA EL TRATAMIENTO JURÍDICO DE LAS DESIGUALDADES DE HECHO ENTRE HOMBRES Y MUJERES</w:t>
                    </w:r>
                  </w:p>
                </w:txbxContent>
              </v:textbox>
              <w10:wrap type="none"/>
            </v:shape>
            <w10:wrap type="none"/>
          </v:group>
        </w:pict>
      </w:r>
    </w:p>
    <w:p>
      <w:pPr>
        <w:spacing w:after="0"/>
        <w:rPr>
          <w:rFonts w:ascii="Times New Roman"/>
          <w:sz w:val="17"/>
        </w:rPr>
        <w:sectPr>
          <w:footerReference w:type="default" r:id="rId80"/>
          <w:pgSz w:w="12240" w:h="15840"/>
          <w:pgMar w:footer="911" w:header="0" w:top="1500" w:bottom="1100" w:left="1580" w:right="1580"/>
          <w:pgNumType w:start="71"/>
        </w:sectPr>
      </w:pPr>
    </w:p>
    <w:p>
      <w:pPr>
        <w:pStyle w:val="Heading2"/>
        <w:numPr>
          <w:ilvl w:val="1"/>
          <w:numId w:val="7"/>
        </w:numPr>
        <w:tabs>
          <w:tab w:pos="702" w:val="left" w:leader="none"/>
        </w:tabs>
        <w:spacing w:line="362" w:lineRule="auto" w:before="30" w:after="0"/>
        <w:ind w:left="102" w:right="5796" w:firstLine="0"/>
        <w:jc w:val="left"/>
        <w:rPr>
          <w:color w:val="6F2F9F"/>
        </w:rPr>
      </w:pPr>
      <w:r>
        <w:rPr/>
        <w:pict>
          <v:group style="position:absolute;margin-left:372.119995pt;margin-top:1.923784pt;width:154.2pt;height:556.6pt;mso-position-horizontal-relative:page;mso-position-vertical-relative:paragraph;z-index:3520" coordorigin="7442,38" coordsize="3084,11132">
            <v:shape style="position:absolute;left:7442;top:38;width:3084;height:11038" type="#_x0000_t75" stroked="false">
              <v:imagedata r:id="rId81" o:title=""/>
            </v:shape>
            <v:shape style="position:absolute;left:7442;top:38;width:3084;height:11132" type="#_x0000_t202" filled="false" stroked="false">
              <v:textbox inset="0,0,0,0">
                <w:txbxContent>
                  <w:p>
                    <w:pPr>
                      <w:spacing w:line="343" w:lineRule="exact" w:before="0"/>
                      <w:ind w:left="1" w:right="-6" w:firstLine="0"/>
                      <w:jc w:val="left"/>
                      <w:rPr>
                        <w:rFonts w:ascii="Cambria"/>
                        <w:sz w:val="32"/>
                      </w:rPr>
                    </w:pPr>
                    <w:r>
                      <w:rPr>
                        <w:rFonts w:ascii="Cambria"/>
                        <w:color w:val="6F2F9F"/>
                        <w:sz w:val="32"/>
                      </w:rPr>
                      <w:t>El control de</w:t>
                    </w:r>
                  </w:p>
                  <w:p>
                    <w:pPr>
                      <w:spacing w:line="292" w:lineRule="auto" w:before="83"/>
                      <w:ind w:left="1" w:right="-6" w:firstLine="0"/>
                      <w:jc w:val="left"/>
                      <w:rPr>
                        <w:rFonts w:ascii="Cambria" w:hAnsi="Cambria"/>
                        <w:sz w:val="32"/>
                      </w:rPr>
                    </w:pPr>
                    <w:r>
                      <w:rPr>
                        <w:rFonts w:ascii="Cambria" w:hAnsi="Cambria"/>
                        <w:color w:val="6F2F9F"/>
                        <w:sz w:val="32"/>
                      </w:rPr>
                      <w:t>convencionalidad es</w:t>
                    </w:r>
                    <w:r>
                      <w:rPr>
                        <w:rFonts w:ascii="Cambria" w:hAnsi="Cambria"/>
                        <w:color w:val="6F2F9F"/>
                        <w:spacing w:val="-51"/>
                        <w:sz w:val="32"/>
                      </w:rPr>
                      <w:t> </w:t>
                    </w:r>
                    <w:r>
                      <w:rPr>
                        <w:rFonts w:ascii="Cambria" w:hAnsi="Cambria"/>
                        <w:color w:val="6F2F9F"/>
                        <w:sz w:val="32"/>
                      </w:rPr>
                      <w:t>la forma de garantizar a la ciudadanía que el </w:t>
                    </w:r>
                    <w:r>
                      <w:rPr>
                        <w:rFonts w:ascii="Cambria" w:hAnsi="Cambria"/>
                        <w:color w:val="6F2F9F"/>
                        <w:w w:val="95"/>
                        <w:sz w:val="32"/>
                      </w:rPr>
                      <w:t>poder judicial</w:t>
                    </w:r>
                    <w:r>
                      <w:rPr>
                        <w:rFonts w:ascii="Cambria" w:hAnsi="Cambria"/>
                        <w:color w:val="6F2F9F"/>
                        <w:spacing w:val="-54"/>
                        <w:w w:val="95"/>
                        <w:sz w:val="32"/>
                      </w:rPr>
                      <w:t> </w:t>
                    </w:r>
                    <w:r>
                      <w:rPr>
                        <w:rFonts w:ascii="Cambria" w:hAnsi="Cambria"/>
                        <w:color w:val="6F2F9F"/>
                        <w:w w:val="95"/>
                        <w:sz w:val="32"/>
                      </w:rPr>
                      <w:t>respetará </w:t>
                    </w:r>
                    <w:r>
                      <w:rPr>
                        <w:rFonts w:ascii="Cambria" w:hAnsi="Cambria"/>
                        <w:color w:val="6F2F9F"/>
                        <w:sz w:val="32"/>
                      </w:rPr>
                      <w:t>los derechos humanos en los instrumentos internacionales de los </w:t>
                    </w:r>
                    <w:r>
                      <w:rPr>
                        <w:rFonts w:ascii="Cambria" w:hAnsi="Cambria"/>
                        <w:color w:val="6F2F9F"/>
                        <w:w w:val="95"/>
                        <w:sz w:val="32"/>
                      </w:rPr>
                      <w:t>que estado mexicano es </w:t>
                    </w:r>
                    <w:r>
                      <w:rPr>
                        <w:rFonts w:ascii="Cambria" w:hAnsi="Cambria"/>
                        <w:color w:val="6F2F9F"/>
                        <w:sz w:val="32"/>
                      </w:rPr>
                      <w:t>parte, atendiendo a la norma más favorable.</w:t>
                    </w:r>
                  </w:p>
                  <w:p>
                    <w:pPr>
                      <w:spacing w:line="292" w:lineRule="auto" w:before="202"/>
                      <w:ind w:left="1" w:right="79" w:firstLine="0"/>
                      <w:jc w:val="left"/>
                      <w:rPr>
                        <w:rFonts w:ascii="Cambria"/>
                        <w:sz w:val="32"/>
                      </w:rPr>
                    </w:pPr>
                    <w:r>
                      <w:rPr>
                        <w:rFonts w:ascii="Cambria"/>
                        <w:color w:val="6F2F9F"/>
                        <w:sz w:val="32"/>
                      </w:rPr>
                      <w:t>En ese sentido el control de convencionalidad, es una herramienta para garantizar el cumplimiento de los </w:t>
                    </w:r>
                    <w:r>
                      <w:rPr>
                        <w:rFonts w:ascii="Cambria"/>
                        <w:color w:val="6F2F9F"/>
                        <w:w w:val="95"/>
                        <w:sz w:val="32"/>
                      </w:rPr>
                      <w:t>derechos humanos de </w:t>
                    </w:r>
                    <w:r>
                      <w:rPr>
                        <w:rFonts w:ascii="Cambria"/>
                        <w:color w:val="6F2F9F"/>
                        <w:sz w:val="32"/>
                      </w:rPr>
                      <w:t>las mujeres contendidos en los instrumentos internacionales, por </w:t>
                    </w:r>
                    <w:r>
                      <w:rPr>
                        <w:rFonts w:ascii="Cambria"/>
                        <w:color w:val="6F2F9F"/>
                        <w:w w:val="95"/>
                        <w:sz w:val="32"/>
                      </w:rPr>
                      <w:t>parte de la autoridad</w:t>
                    </w:r>
                  </w:p>
                  <w:p>
                    <w:pPr>
                      <w:spacing w:before="3"/>
                      <w:ind w:left="1" w:right="-6" w:firstLine="0"/>
                      <w:jc w:val="left"/>
                      <w:rPr>
                        <w:rFonts w:ascii="Cambria"/>
                        <w:sz w:val="32"/>
                      </w:rPr>
                    </w:pPr>
                    <w:r>
                      <w:rPr>
                        <w:rFonts w:ascii="Cambria"/>
                        <w:color w:val="6F2F9F"/>
                        <w:sz w:val="32"/>
                      </w:rPr>
                      <w:t>jurisdiccional.</w:t>
                    </w:r>
                  </w:p>
                </w:txbxContent>
              </v:textbox>
              <w10:wrap type="none"/>
            </v:shape>
            <w10:wrap type="none"/>
          </v:group>
        </w:pict>
      </w:r>
      <w:bookmarkStart w:name="_TOC_250004" w:id="7"/>
      <w:r>
        <w:rPr>
          <w:color w:val="6F2F9F"/>
        </w:rPr>
        <w:t>Control de </w:t>
      </w:r>
      <w:bookmarkEnd w:id="7"/>
      <w:r>
        <w:rPr>
          <w:color w:val="6F2F9F"/>
          <w:w w:val="95"/>
        </w:rPr>
        <w:t>convencionalidad:</w:t>
      </w:r>
    </w:p>
    <w:p>
      <w:pPr>
        <w:pStyle w:val="BodyText"/>
        <w:spacing w:line="360" w:lineRule="auto" w:before="203"/>
        <w:ind w:left="102" w:right="3939"/>
        <w:jc w:val="both"/>
      </w:pPr>
      <w:r>
        <w:rPr/>
        <w:t>El control de convencionalidad es una herramienta que nos ayuda en la protección de los derechos de las mujeres, toda vez que la incorporación de la perspectiva de género en el que hacer judicial, encuentra su sustento principalmente en los Instrumentos Internacionales. Es así que, el control de convencionalidad resulta relevante porque permite la protección de los derechos humanos de las mujeres al procurar la aplicación de los Instrumentos Internacionales.</w:t>
      </w:r>
    </w:p>
    <w:p>
      <w:pPr>
        <w:pStyle w:val="BodyText"/>
        <w:spacing w:before="9"/>
        <w:rPr>
          <w:sz w:val="17"/>
        </w:rPr>
      </w:pPr>
    </w:p>
    <w:p>
      <w:pPr>
        <w:pStyle w:val="BodyText"/>
        <w:spacing w:line="360" w:lineRule="auto"/>
        <w:ind w:left="102" w:right="3940"/>
        <w:jc w:val="both"/>
      </w:pPr>
      <w:r>
        <w:rPr/>
        <w:t>El control de convencionalidad es una expresión o vertiente de la recepción nacional, sistemática y organizada del orden jurídico convencional internacional (o supranacional). Constituye un dato relevante para la construcción y consolidación    de</w:t>
      </w:r>
    </w:p>
    <w:p>
      <w:pPr>
        <w:pStyle w:val="BodyText"/>
        <w:spacing w:line="360" w:lineRule="auto" w:before="3"/>
        <w:ind w:left="102" w:right="3939"/>
        <w:jc w:val="both"/>
      </w:pPr>
      <w:r>
        <w:rPr/>
        <w:t>ese sistema y ese orden, que en definitiva se traducen</w:t>
      </w:r>
      <w:r>
        <w:rPr>
          <w:spacing w:val="-15"/>
        </w:rPr>
        <w:t> </w:t>
      </w:r>
      <w:r>
        <w:rPr/>
        <w:t>en</w:t>
      </w:r>
      <w:r>
        <w:rPr>
          <w:spacing w:val="-13"/>
        </w:rPr>
        <w:t> </w:t>
      </w:r>
      <w:r>
        <w:rPr/>
        <w:t>el</w:t>
      </w:r>
      <w:r>
        <w:rPr>
          <w:spacing w:val="-16"/>
        </w:rPr>
        <w:t> </w:t>
      </w:r>
      <w:r>
        <w:rPr/>
        <w:t>mejor</w:t>
      </w:r>
      <w:r>
        <w:rPr>
          <w:spacing w:val="-14"/>
        </w:rPr>
        <w:t> </w:t>
      </w:r>
      <w:r>
        <w:rPr/>
        <w:t>imperio</w:t>
      </w:r>
      <w:r>
        <w:rPr>
          <w:spacing w:val="-13"/>
        </w:rPr>
        <w:t> </w:t>
      </w:r>
      <w:r>
        <w:rPr/>
        <w:t>del</w:t>
      </w:r>
      <w:r>
        <w:rPr>
          <w:spacing w:val="-13"/>
        </w:rPr>
        <w:t> </w:t>
      </w:r>
      <w:r>
        <w:rPr/>
        <w:t>Estado</w:t>
      </w:r>
      <w:r>
        <w:rPr>
          <w:spacing w:val="-15"/>
        </w:rPr>
        <w:t> </w:t>
      </w:r>
      <w:r>
        <w:rPr/>
        <w:t>de</w:t>
      </w:r>
      <w:r>
        <w:rPr>
          <w:spacing w:val="-15"/>
        </w:rPr>
        <w:t> </w:t>
      </w:r>
      <w:r>
        <w:rPr/>
        <w:t>derecho, la vigencia de los derechos y la armonización del ordenamiento regional interamericano, con vistas a la</w:t>
      </w:r>
      <w:r>
        <w:rPr>
          <w:spacing w:val="-8"/>
        </w:rPr>
        <w:t> </w:t>
      </w:r>
      <w:r>
        <w:rPr/>
        <w:t>formación</w:t>
      </w:r>
      <w:r>
        <w:rPr>
          <w:spacing w:val="-8"/>
        </w:rPr>
        <w:t> </w:t>
      </w:r>
      <w:r>
        <w:rPr/>
        <w:t>de</w:t>
      </w:r>
      <w:r>
        <w:rPr>
          <w:spacing w:val="-8"/>
        </w:rPr>
        <w:t> </w:t>
      </w:r>
      <w:r>
        <w:rPr/>
        <w:t>un</w:t>
      </w:r>
      <w:r>
        <w:rPr>
          <w:spacing w:val="-7"/>
        </w:rPr>
        <w:t> </w:t>
      </w:r>
      <w:r>
        <w:rPr>
          <w:i/>
        </w:rPr>
        <w:t>ius</w:t>
      </w:r>
      <w:r>
        <w:rPr>
          <w:i/>
          <w:spacing w:val="-8"/>
        </w:rPr>
        <w:t> </w:t>
      </w:r>
      <w:r>
        <w:rPr>
          <w:i/>
        </w:rPr>
        <w:t>commune</w:t>
      </w:r>
      <w:r>
        <w:rPr>
          <w:i/>
          <w:spacing w:val="-7"/>
        </w:rPr>
        <w:t> </w:t>
      </w:r>
      <w:r>
        <w:rPr/>
        <w:t>del</w:t>
      </w:r>
      <w:r>
        <w:rPr>
          <w:spacing w:val="-11"/>
        </w:rPr>
        <w:t> </w:t>
      </w:r>
      <w:r>
        <w:rPr/>
        <w:t>mismo</w:t>
      </w:r>
      <w:r>
        <w:rPr>
          <w:spacing w:val="-8"/>
        </w:rPr>
        <w:t> </w:t>
      </w:r>
      <w:r>
        <w:rPr/>
        <w:t>alcance geográfico-jurídico (García, 2011:</w:t>
      </w:r>
      <w:r>
        <w:rPr>
          <w:spacing w:val="-12"/>
        </w:rPr>
        <w:t> </w:t>
      </w:r>
      <w:r>
        <w:rPr/>
        <w:t>127).</w:t>
      </w:r>
    </w:p>
    <w:p>
      <w:pPr>
        <w:pStyle w:val="BodyText"/>
        <w:spacing w:before="7"/>
        <w:rPr>
          <w:sz w:val="17"/>
        </w:rPr>
      </w:pPr>
    </w:p>
    <w:p>
      <w:pPr>
        <w:spacing w:line="360" w:lineRule="auto" w:before="0"/>
        <w:ind w:left="102" w:right="3938" w:firstLine="0"/>
        <w:jc w:val="both"/>
        <w:rPr>
          <w:sz w:val="22"/>
        </w:rPr>
      </w:pPr>
      <w:r>
        <w:rPr/>
        <w:pict>
          <v:shape style="position:absolute;margin-left:436.680023pt;margin-top:68.417862pt;width:89.65pt;height:103.7pt;mso-position-horizontal-relative:page;mso-position-vertical-relative:paragraph;z-index:3544" coordorigin="8734,1368" coordsize="1793,2074" path="m10526,1614l10515,1599,9247,3039,10526,1614m10526,1484l10515,1472,9065,3111,10526,1484m10526,1443l10515,1443,8734,3442,8747,3442,10526,1443m10526,1428l10515,1428,9091,3023,9091,3039,10526,1428m10526,1368l10515,1368,9360,2676,10526,1368e" filled="true" fillcolor="#8496af" stroked="false">
            <v:path arrowok="t"/>
            <v:fill type="solid"/>
            <w10:wrap type="none"/>
          </v:shape>
        </w:pict>
      </w:r>
      <w:r>
        <w:rPr>
          <w:sz w:val="22"/>
        </w:rPr>
        <w:t>Miguel Carbonell (2012: 146), apunta que el control de convencionalidad debe de entenderse como “</w:t>
      </w:r>
      <w:r>
        <w:rPr>
          <w:i/>
          <w:sz w:val="22"/>
        </w:rPr>
        <w:t>una herramienta que permite a los jueces </w:t>
      </w:r>
      <w:r>
        <w:rPr>
          <w:i/>
          <w:sz w:val="22"/>
        </w:rPr>
        <w:t>contrastar normas generales internas frente a las normas del sistema convencional internacional”</w:t>
      </w:r>
      <w:r>
        <w:rPr>
          <w:sz w:val="22"/>
        </w:rPr>
        <w:t>.</w:t>
      </w:r>
    </w:p>
    <w:p>
      <w:pPr>
        <w:pStyle w:val="BodyText"/>
        <w:spacing w:line="360" w:lineRule="auto" w:before="3"/>
        <w:ind w:left="102" w:right="3941"/>
        <w:jc w:val="both"/>
      </w:pPr>
      <w:r>
        <w:rPr/>
        <w:t>El control de convencionalidad es la forma de garantizar a la ciudadanía, que el Poder Judicial utilizará  las  normas  interamericanas  en</w:t>
      </w:r>
      <w:r>
        <w:rPr>
          <w:spacing w:val="57"/>
        </w:rPr>
        <w:t> </w:t>
      </w:r>
      <w:r>
        <w:rPr/>
        <w:t>armonía</w:t>
      </w:r>
    </w:p>
    <w:p>
      <w:pPr>
        <w:spacing w:after="0" w:line="360" w:lineRule="auto"/>
        <w:jc w:val="both"/>
        <w:sectPr>
          <w:pgSz w:w="12240" w:h="15840"/>
          <w:pgMar w:header="0" w:footer="911" w:top="1380" w:bottom="1100" w:left="1600" w:right="1580"/>
        </w:sectPr>
      </w:pPr>
    </w:p>
    <w:p>
      <w:pPr>
        <w:pStyle w:val="BodyText"/>
        <w:spacing w:line="362" w:lineRule="auto" w:before="54"/>
        <w:ind w:left="102" w:right="169"/>
        <w:jc w:val="both"/>
      </w:pPr>
      <w:r>
        <w:rPr/>
        <w:t>con la legislación nacional. Para ello aplicará la legislación conforme y escogerá aquella interpretación que es más favorable (Equis Justicia para las Mujeres, 2015).</w:t>
      </w:r>
    </w:p>
    <w:p>
      <w:pPr>
        <w:pStyle w:val="BodyText"/>
        <w:spacing w:before="4"/>
        <w:rPr>
          <w:sz w:val="17"/>
        </w:rPr>
      </w:pPr>
    </w:p>
    <w:p>
      <w:pPr>
        <w:pStyle w:val="BodyText"/>
        <w:spacing w:line="360" w:lineRule="auto"/>
        <w:ind w:left="102" w:right="165"/>
        <w:jc w:val="both"/>
      </w:pPr>
      <w:r>
        <w:rPr/>
        <w:t>El Control de convencionalidad tiene su fundamento internacional en la Convención Americana sobre Derechos Humanos y a nivel nacional en la reforma constitucional de 2011 y la interpretación de la Suprema Corte de Justicia de la Nación respecto al caso Radilla Pacheco contra México, estableciendo la armonización de las normas internas</w:t>
      </w:r>
      <w:r>
        <w:rPr>
          <w:spacing w:val="-37"/>
        </w:rPr>
        <w:t> </w:t>
      </w:r>
      <w:r>
        <w:rPr/>
        <w:t>con los</w:t>
      </w:r>
      <w:r>
        <w:rPr>
          <w:spacing w:val="-11"/>
        </w:rPr>
        <w:t> </w:t>
      </w:r>
      <w:r>
        <w:rPr/>
        <w:t>derechos</w:t>
      </w:r>
      <w:r>
        <w:rPr>
          <w:spacing w:val="-14"/>
        </w:rPr>
        <w:t> </w:t>
      </w:r>
      <w:r>
        <w:rPr/>
        <w:t>humanos,</w:t>
      </w:r>
      <w:r>
        <w:rPr>
          <w:spacing w:val="-12"/>
        </w:rPr>
        <w:t> </w:t>
      </w:r>
      <w:r>
        <w:rPr/>
        <w:t>las</w:t>
      </w:r>
      <w:r>
        <w:rPr>
          <w:spacing w:val="-11"/>
        </w:rPr>
        <w:t> </w:t>
      </w:r>
      <w:r>
        <w:rPr/>
        <w:t>normas</w:t>
      </w:r>
      <w:r>
        <w:rPr>
          <w:spacing w:val="-11"/>
        </w:rPr>
        <w:t> </w:t>
      </w:r>
      <w:r>
        <w:rPr/>
        <w:t>de</w:t>
      </w:r>
      <w:r>
        <w:rPr>
          <w:spacing w:val="-14"/>
        </w:rPr>
        <w:t> </w:t>
      </w:r>
      <w:r>
        <w:rPr/>
        <w:t>interpretación</w:t>
      </w:r>
      <w:r>
        <w:rPr>
          <w:spacing w:val="-11"/>
        </w:rPr>
        <w:t> </w:t>
      </w:r>
      <w:r>
        <w:rPr/>
        <w:t>conforme,</w:t>
      </w:r>
      <w:r>
        <w:rPr>
          <w:spacing w:val="-10"/>
        </w:rPr>
        <w:t> </w:t>
      </w:r>
      <w:r>
        <w:rPr/>
        <w:t>el</w:t>
      </w:r>
      <w:r>
        <w:rPr>
          <w:spacing w:val="-12"/>
        </w:rPr>
        <w:t> </w:t>
      </w:r>
      <w:r>
        <w:rPr/>
        <w:t>principio</w:t>
      </w:r>
      <w:r>
        <w:rPr>
          <w:spacing w:val="-13"/>
        </w:rPr>
        <w:t> </w:t>
      </w:r>
      <w:r>
        <w:rPr/>
        <w:t>pro</w:t>
      </w:r>
      <w:r>
        <w:rPr>
          <w:spacing w:val="-11"/>
        </w:rPr>
        <w:t> </w:t>
      </w:r>
      <w:r>
        <w:rPr/>
        <w:t>persona,</w:t>
      </w:r>
      <w:r>
        <w:rPr>
          <w:spacing w:val="-13"/>
        </w:rPr>
        <w:t> </w:t>
      </w:r>
      <w:r>
        <w:rPr/>
        <w:t>los niveles de obligación estatal de promover, respetar, proteger y garantizar los derechos humanos, y la vinculación de la jurisprudencia de la Corte Interamericana de Derechos Humanos (Equis Justicia para las Mujeres,</w:t>
      </w:r>
      <w:r>
        <w:rPr>
          <w:spacing w:val="-13"/>
        </w:rPr>
        <w:t> </w:t>
      </w:r>
      <w:r>
        <w:rPr/>
        <w:t>2015).</w:t>
      </w:r>
    </w:p>
    <w:p>
      <w:pPr>
        <w:pStyle w:val="BodyText"/>
        <w:spacing w:before="7"/>
        <w:rPr>
          <w:sz w:val="17"/>
        </w:rPr>
      </w:pPr>
    </w:p>
    <w:p>
      <w:pPr>
        <w:pStyle w:val="BodyText"/>
        <w:spacing w:line="360" w:lineRule="auto"/>
        <w:ind w:left="102" w:right="113"/>
        <w:jc w:val="both"/>
      </w:pPr>
      <w:r>
        <w:rPr/>
        <w:t>El control difuso de convencionalidad, es aquel que debe de realizarse por los jueces y órganos de administración pública nacionales o domésticos de los estados, que han suscrito o se han adherido a la CADH y con mayor intensidad los que han aceptado la jurisdicción de la Corte IDH (Ferrer 2012, citado en Carbonell, 2012). En ese sentido el control difuso es un mecanismo de protección de los derechos humanos, que es aplicado por</w:t>
      </w:r>
      <w:r>
        <w:rPr>
          <w:spacing w:val="-3"/>
        </w:rPr>
        <w:t> </w:t>
      </w:r>
      <w:r>
        <w:rPr/>
        <w:t>los</w:t>
      </w:r>
      <w:r>
        <w:rPr>
          <w:spacing w:val="-6"/>
        </w:rPr>
        <w:t> </w:t>
      </w:r>
      <w:r>
        <w:rPr/>
        <w:t>órganos</w:t>
      </w:r>
      <w:r>
        <w:rPr>
          <w:spacing w:val="-6"/>
        </w:rPr>
        <w:t> </w:t>
      </w:r>
      <w:r>
        <w:rPr/>
        <w:t>jurisdiccionales</w:t>
      </w:r>
      <w:r>
        <w:rPr>
          <w:spacing w:val="-4"/>
        </w:rPr>
        <w:t> </w:t>
      </w:r>
      <w:r>
        <w:rPr/>
        <w:t>y</w:t>
      </w:r>
      <w:r>
        <w:rPr>
          <w:spacing w:val="-6"/>
        </w:rPr>
        <w:t> </w:t>
      </w:r>
      <w:r>
        <w:rPr/>
        <w:t>autoridades</w:t>
      </w:r>
      <w:r>
        <w:rPr>
          <w:spacing w:val="-4"/>
        </w:rPr>
        <w:t> </w:t>
      </w:r>
      <w:r>
        <w:rPr/>
        <w:t>públicas</w:t>
      </w:r>
      <w:r>
        <w:rPr>
          <w:spacing w:val="-4"/>
        </w:rPr>
        <w:t> </w:t>
      </w:r>
      <w:r>
        <w:rPr/>
        <w:t>de</w:t>
      </w:r>
      <w:r>
        <w:rPr>
          <w:spacing w:val="-4"/>
        </w:rPr>
        <w:t> </w:t>
      </w:r>
      <w:r>
        <w:rPr/>
        <w:t>un</w:t>
      </w:r>
      <w:r>
        <w:rPr>
          <w:spacing w:val="-7"/>
        </w:rPr>
        <w:t> </w:t>
      </w:r>
      <w:r>
        <w:rPr/>
        <w:t>estado</w:t>
      </w:r>
      <w:r>
        <w:rPr>
          <w:spacing w:val="-4"/>
        </w:rPr>
        <w:t> </w:t>
      </w:r>
      <w:r>
        <w:rPr/>
        <w:t>en</w:t>
      </w:r>
      <w:r>
        <w:rPr>
          <w:spacing w:val="-9"/>
        </w:rPr>
        <w:t> </w:t>
      </w:r>
      <w:r>
        <w:rPr/>
        <w:t>todos</w:t>
      </w:r>
      <w:r>
        <w:rPr>
          <w:spacing w:val="-4"/>
        </w:rPr>
        <w:t> </w:t>
      </w:r>
      <w:r>
        <w:rPr/>
        <w:t>sus</w:t>
      </w:r>
      <w:r>
        <w:rPr>
          <w:spacing w:val="-6"/>
        </w:rPr>
        <w:t> </w:t>
      </w:r>
      <w:r>
        <w:rPr/>
        <w:t>niveles</w:t>
      </w:r>
      <w:r>
        <w:rPr>
          <w:spacing w:val="-4"/>
        </w:rPr>
        <w:t> </w:t>
      </w:r>
      <w:r>
        <w:rPr/>
        <w:t>y con independencia de jerarquía, grado, cuantía y materia, siempre que éste, sea parte de la CADH y haya reconocido la competencia de la Corte IDH. Consiste en llevar a cabo un ejercicio de compatibilidad entre los actos o leyes internas, con las contenidas en la Constitución, en la convención de referencia y sus protocolos, así como con la jurisprudencia que la corte de mérito emita. Para aplicar la norma que más beneficie al gobernado y si esto no fuera posible, inaplicar la norma que se considere que vaya en contra de la Ley Suprema y los instrumentos internacionales</w:t>
      </w:r>
      <w:r>
        <w:rPr>
          <w:spacing w:val="-15"/>
        </w:rPr>
        <w:t> </w:t>
      </w:r>
      <w:r>
        <w:rPr/>
        <w:t>señalados.</w:t>
      </w:r>
    </w:p>
    <w:p>
      <w:pPr>
        <w:pStyle w:val="BodyText"/>
      </w:pPr>
    </w:p>
    <w:p>
      <w:pPr>
        <w:pStyle w:val="BodyText"/>
        <w:spacing w:line="360" w:lineRule="auto" w:before="163"/>
        <w:ind w:left="102" w:right="166"/>
        <w:jc w:val="both"/>
      </w:pPr>
      <w:r>
        <w:rPr/>
        <w:t>Es así que, las autoridades jurisdiccionales se encuentran obligadas a vigilar la estricta observancia de los Instrumentos Internacionales, para el caso de los derechos humanos de las mujeres indiciadas, los jueces y las juezas deberán vigilar en todo momento la estricta</w:t>
      </w:r>
      <w:r>
        <w:rPr>
          <w:spacing w:val="-9"/>
        </w:rPr>
        <w:t> </w:t>
      </w:r>
      <w:r>
        <w:rPr/>
        <w:t>aplicación</w:t>
      </w:r>
      <w:r>
        <w:rPr>
          <w:spacing w:val="-9"/>
        </w:rPr>
        <w:t> </w:t>
      </w:r>
      <w:r>
        <w:rPr/>
        <w:t>de</w:t>
      </w:r>
      <w:r>
        <w:rPr>
          <w:spacing w:val="-9"/>
        </w:rPr>
        <w:t> </w:t>
      </w:r>
      <w:r>
        <w:rPr/>
        <w:t>Instrumentos</w:t>
      </w:r>
      <w:r>
        <w:rPr>
          <w:spacing w:val="-9"/>
        </w:rPr>
        <w:t> </w:t>
      </w:r>
      <w:r>
        <w:rPr/>
        <w:t>como</w:t>
      </w:r>
      <w:r>
        <w:rPr>
          <w:spacing w:val="-9"/>
        </w:rPr>
        <w:t> </w:t>
      </w:r>
      <w:r>
        <w:rPr/>
        <w:t>la</w:t>
      </w:r>
      <w:r>
        <w:rPr>
          <w:spacing w:val="-9"/>
        </w:rPr>
        <w:t> </w:t>
      </w:r>
      <w:r>
        <w:rPr/>
        <w:t>CEDAW,</w:t>
      </w:r>
      <w:r>
        <w:rPr>
          <w:spacing w:val="-12"/>
        </w:rPr>
        <w:t> </w:t>
      </w:r>
      <w:r>
        <w:rPr/>
        <w:t>La</w:t>
      </w:r>
      <w:r>
        <w:rPr>
          <w:spacing w:val="-9"/>
        </w:rPr>
        <w:t> </w:t>
      </w:r>
      <w:r>
        <w:rPr/>
        <w:t>Convención</w:t>
      </w:r>
      <w:r>
        <w:rPr>
          <w:spacing w:val="-9"/>
        </w:rPr>
        <w:t> </w:t>
      </w:r>
      <w:r>
        <w:rPr/>
        <w:t>Belém</w:t>
      </w:r>
      <w:r>
        <w:rPr>
          <w:spacing w:val="-8"/>
        </w:rPr>
        <w:t> </w:t>
      </w:r>
      <w:r>
        <w:rPr/>
        <w:t>Do</w:t>
      </w:r>
      <w:r>
        <w:rPr>
          <w:spacing w:val="-9"/>
        </w:rPr>
        <w:t> </w:t>
      </w:r>
      <w:r>
        <w:rPr/>
        <w:t>Pará,</w:t>
      </w:r>
      <w:r>
        <w:rPr>
          <w:spacing w:val="-8"/>
        </w:rPr>
        <w:t> </w:t>
      </w:r>
      <w:r>
        <w:rPr/>
        <w:t>entre otros, a fin de garantizar la protección de los derechos humanos de las</w:t>
      </w:r>
      <w:r>
        <w:rPr>
          <w:spacing w:val="-23"/>
        </w:rPr>
        <w:t> </w:t>
      </w:r>
      <w:r>
        <w:rPr/>
        <w:t>mujeres.</w:t>
      </w:r>
    </w:p>
    <w:p>
      <w:pPr>
        <w:pStyle w:val="BodyText"/>
        <w:spacing w:before="7"/>
        <w:rPr>
          <w:sz w:val="17"/>
        </w:rPr>
      </w:pPr>
    </w:p>
    <w:p>
      <w:pPr>
        <w:pStyle w:val="BodyText"/>
        <w:spacing w:line="360" w:lineRule="auto"/>
        <w:ind w:left="102" w:right="166"/>
        <w:jc w:val="both"/>
      </w:pPr>
      <w:r>
        <w:rPr/>
        <w:t>En ese sentido, las autoridades jurisdiccionales deberán vigilar el cumplimiento de los derechos</w:t>
      </w:r>
      <w:r>
        <w:rPr>
          <w:spacing w:val="-10"/>
        </w:rPr>
        <w:t> </w:t>
      </w:r>
      <w:r>
        <w:rPr/>
        <w:t>humanos</w:t>
      </w:r>
      <w:r>
        <w:rPr>
          <w:spacing w:val="-10"/>
        </w:rPr>
        <w:t> </w:t>
      </w:r>
      <w:r>
        <w:rPr/>
        <w:t>de</w:t>
      </w:r>
      <w:r>
        <w:rPr>
          <w:spacing w:val="-8"/>
        </w:rPr>
        <w:t> </w:t>
      </w:r>
      <w:r>
        <w:rPr/>
        <w:t>las</w:t>
      </w:r>
      <w:r>
        <w:rPr>
          <w:spacing w:val="-10"/>
        </w:rPr>
        <w:t> </w:t>
      </w:r>
      <w:r>
        <w:rPr/>
        <w:t>mujeres,</w:t>
      </w:r>
      <w:r>
        <w:rPr>
          <w:spacing w:val="-7"/>
        </w:rPr>
        <w:t> </w:t>
      </w:r>
      <w:r>
        <w:rPr/>
        <w:t>al</w:t>
      </w:r>
      <w:r>
        <w:rPr>
          <w:spacing w:val="-11"/>
        </w:rPr>
        <w:t> </w:t>
      </w:r>
      <w:r>
        <w:rPr/>
        <w:t>aplicar</w:t>
      </w:r>
      <w:r>
        <w:rPr>
          <w:spacing w:val="-9"/>
        </w:rPr>
        <w:t> </w:t>
      </w:r>
      <w:r>
        <w:rPr/>
        <w:t>las</w:t>
      </w:r>
      <w:r>
        <w:rPr>
          <w:spacing w:val="-10"/>
        </w:rPr>
        <w:t> </w:t>
      </w:r>
      <w:r>
        <w:rPr/>
        <w:t>normas</w:t>
      </w:r>
      <w:r>
        <w:rPr>
          <w:spacing w:val="-13"/>
        </w:rPr>
        <w:t> </w:t>
      </w:r>
      <w:r>
        <w:rPr/>
        <w:t>que</w:t>
      </w:r>
      <w:r>
        <w:rPr>
          <w:spacing w:val="-10"/>
        </w:rPr>
        <w:t> </w:t>
      </w:r>
      <w:r>
        <w:rPr/>
        <w:t>protejan</w:t>
      </w:r>
      <w:r>
        <w:rPr>
          <w:spacing w:val="-10"/>
        </w:rPr>
        <w:t> </w:t>
      </w:r>
      <w:r>
        <w:rPr/>
        <w:t>de</w:t>
      </w:r>
      <w:r>
        <w:rPr>
          <w:spacing w:val="-13"/>
        </w:rPr>
        <w:t> </w:t>
      </w:r>
      <w:r>
        <w:rPr/>
        <w:t>forma</w:t>
      </w:r>
      <w:r>
        <w:rPr>
          <w:spacing w:val="-13"/>
        </w:rPr>
        <w:t> </w:t>
      </w:r>
      <w:r>
        <w:rPr/>
        <w:t>más</w:t>
      </w:r>
      <w:r>
        <w:rPr>
          <w:spacing w:val="-10"/>
        </w:rPr>
        <w:t> </w:t>
      </w:r>
      <w:r>
        <w:rPr/>
        <w:t>amplia a las mujeres en el sistema de justicia penal, tal es el caso de las medidas alternas a  </w:t>
      </w:r>
      <w:r>
        <w:rPr>
          <w:spacing w:val="19"/>
        </w:rPr>
        <w:t> </w:t>
      </w:r>
      <w:r>
        <w:rPr/>
        <w:t>las</w:t>
      </w:r>
    </w:p>
    <w:p>
      <w:pPr>
        <w:spacing w:after="0" w:line="360" w:lineRule="auto"/>
        <w:jc w:val="both"/>
        <w:sectPr>
          <w:pgSz w:w="12240" w:h="15840"/>
          <w:pgMar w:header="0" w:footer="911" w:top="1360" w:bottom="1200" w:left="1600" w:right="1580"/>
        </w:sectPr>
      </w:pPr>
    </w:p>
    <w:p>
      <w:pPr>
        <w:pStyle w:val="BodyText"/>
        <w:spacing w:line="360" w:lineRule="auto" w:before="54"/>
        <w:ind w:left="222" w:right="266"/>
        <w:jc w:val="both"/>
      </w:pPr>
      <w:r>
        <w:rPr/>
        <w:t>privación</w:t>
      </w:r>
      <w:r>
        <w:rPr>
          <w:spacing w:val="-7"/>
        </w:rPr>
        <w:t> </w:t>
      </w:r>
      <w:r>
        <w:rPr/>
        <w:t>de</w:t>
      </w:r>
      <w:r>
        <w:rPr>
          <w:spacing w:val="-7"/>
        </w:rPr>
        <w:t> </w:t>
      </w:r>
      <w:r>
        <w:rPr/>
        <w:t>la</w:t>
      </w:r>
      <w:r>
        <w:rPr>
          <w:spacing w:val="-9"/>
        </w:rPr>
        <w:t> </w:t>
      </w:r>
      <w:r>
        <w:rPr/>
        <w:t>libertad,</w:t>
      </w:r>
      <w:r>
        <w:rPr>
          <w:spacing w:val="-7"/>
        </w:rPr>
        <w:t> </w:t>
      </w:r>
      <w:r>
        <w:rPr/>
        <w:t>son</w:t>
      </w:r>
      <w:r>
        <w:rPr>
          <w:spacing w:val="-7"/>
        </w:rPr>
        <w:t> </w:t>
      </w:r>
      <w:r>
        <w:rPr/>
        <w:t>normas</w:t>
      </w:r>
      <w:r>
        <w:rPr>
          <w:spacing w:val="-11"/>
        </w:rPr>
        <w:t> </w:t>
      </w:r>
      <w:r>
        <w:rPr/>
        <w:t>que</w:t>
      </w:r>
      <w:r>
        <w:rPr>
          <w:spacing w:val="-9"/>
        </w:rPr>
        <w:t> </w:t>
      </w:r>
      <w:r>
        <w:rPr/>
        <w:t>protegen</w:t>
      </w:r>
      <w:r>
        <w:rPr>
          <w:spacing w:val="-11"/>
        </w:rPr>
        <w:t> </w:t>
      </w:r>
      <w:r>
        <w:rPr/>
        <w:t>en</w:t>
      </w:r>
      <w:r>
        <w:rPr>
          <w:spacing w:val="-9"/>
        </w:rPr>
        <w:t> </w:t>
      </w:r>
      <w:r>
        <w:rPr/>
        <w:t>mayor</w:t>
      </w:r>
      <w:r>
        <w:rPr>
          <w:spacing w:val="-8"/>
        </w:rPr>
        <w:t> </w:t>
      </w:r>
      <w:r>
        <w:rPr/>
        <w:t>medida</w:t>
      </w:r>
      <w:r>
        <w:rPr>
          <w:spacing w:val="-9"/>
        </w:rPr>
        <w:t> </w:t>
      </w:r>
      <w:r>
        <w:rPr/>
        <w:t>los</w:t>
      </w:r>
      <w:r>
        <w:rPr>
          <w:spacing w:val="-9"/>
        </w:rPr>
        <w:t> </w:t>
      </w:r>
      <w:r>
        <w:rPr/>
        <w:t>derechos</w:t>
      </w:r>
      <w:r>
        <w:rPr>
          <w:spacing w:val="-6"/>
        </w:rPr>
        <w:t> </w:t>
      </w:r>
      <w:r>
        <w:rPr/>
        <w:t>humanos de</w:t>
      </w:r>
      <w:r>
        <w:rPr>
          <w:spacing w:val="-8"/>
        </w:rPr>
        <w:t> </w:t>
      </w:r>
      <w:r>
        <w:rPr/>
        <w:t>las</w:t>
      </w:r>
      <w:r>
        <w:rPr>
          <w:spacing w:val="-10"/>
        </w:rPr>
        <w:t> </w:t>
      </w:r>
      <w:r>
        <w:rPr/>
        <w:t>mujeres</w:t>
      </w:r>
      <w:r>
        <w:rPr>
          <w:spacing w:val="-10"/>
        </w:rPr>
        <w:t> </w:t>
      </w:r>
      <w:r>
        <w:rPr/>
        <w:t>procesadas,</w:t>
      </w:r>
      <w:r>
        <w:rPr>
          <w:spacing w:val="-7"/>
        </w:rPr>
        <w:t> </w:t>
      </w:r>
      <w:r>
        <w:rPr/>
        <w:t>y</w:t>
      </w:r>
      <w:r>
        <w:rPr>
          <w:spacing w:val="-12"/>
        </w:rPr>
        <w:t> </w:t>
      </w:r>
      <w:r>
        <w:rPr/>
        <w:t>que</w:t>
      </w:r>
      <w:r>
        <w:rPr>
          <w:spacing w:val="-10"/>
        </w:rPr>
        <w:t> </w:t>
      </w:r>
      <w:r>
        <w:rPr/>
        <w:t>a</w:t>
      </w:r>
      <w:r>
        <w:rPr>
          <w:spacing w:val="-10"/>
        </w:rPr>
        <w:t> </w:t>
      </w:r>
      <w:r>
        <w:rPr/>
        <w:t>partir</w:t>
      </w:r>
      <w:r>
        <w:rPr>
          <w:spacing w:val="-9"/>
        </w:rPr>
        <w:t> </w:t>
      </w:r>
      <w:r>
        <w:rPr/>
        <w:t>del</w:t>
      </w:r>
      <w:r>
        <w:rPr>
          <w:spacing w:val="-9"/>
        </w:rPr>
        <w:t> </w:t>
      </w:r>
      <w:r>
        <w:rPr/>
        <w:t>control</w:t>
      </w:r>
      <w:r>
        <w:rPr>
          <w:spacing w:val="-9"/>
        </w:rPr>
        <w:t> </w:t>
      </w:r>
      <w:r>
        <w:rPr/>
        <w:t>difuso</w:t>
      </w:r>
      <w:r>
        <w:rPr>
          <w:spacing w:val="-10"/>
        </w:rPr>
        <w:t> </w:t>
      </w:r>
      <w:r>
        <w:rPr/>
        <w:t>deben</w:t>
      </w:r>
      <w:r>
        <w:rPr>
          <w:spacing w:val="-10"/>
        </w:rPr>
        <w:t> </w:t>
      </w:r>
      <w:r>
        <w:rPr/>
        <w:t>prevalecer</w:t>
      </w:r>
      <w:r>
        <w:rPr>
          <w:spacing w:val="-7"/>
        </w:rPr>
        <w:t> </w:t>
      </w:r>
      <w:r>
        <w:rPr/>
        <w:t>en</w:t>
      </w:r>
      <w:r>
        <w:rPr>
          <w:spacing w:val="-10"/>
        </w:rPr>
        <w:t> </w:t>
      </w:r>
      <w:r>
        <w:rPr/>
        <w:t>el</w:t>
      </w:r>
      <w:r>
        <w:rPr>
          <w:spacing w:val="-9"/>
        </w:rPr>
        <w:t> </w:t>
      </w:r>
      <w:r>
        <w:rPr/>
        <w:t>proceso penal.</w:t>
      </w:r>
    </w:p>
    <w:p>
      <w:pPr>
        <w:pStyle w:val="BodyText"/>
        <w:spacing w:before="7"/>
        <w:rPr>
          <w:sz w:val="17"/>
        </w:rPr>
      </w:pPr>
    </w:p>
    <w:p>
      <w:pPr>
        <w:pStyle w:val="BodyText"/>
        <w:spacing w:line="360" w:lineRule="auto"/>
        <w:ind w:left="222" w:right="265"/>
        <w:jc w:val="both"/>
        <w:rPr>
          <w:sz w:val="24"/>
        </w:rPr>
      </w:pPr>
      <w:r>
        <w:rPr/>
        <w:t>La</w:t>
      </w:r>
      <w:r>
        <w:rPr>
          <w:spacing w:val="-6"/>
        </w:rPr>
        <w:t> </w:t>
      </w:r>
      <w:r>
        <w:rPr/>
        <w:t>herramienta</w:t>
      </w:r>
      <w:r>
        <w:rPr>
          <w:spacing w:val="-5"/>
        </w:rPr>
        <w:t> </w:t>
      </w:r>
      <w:r>
        <w:rPr/>
        <w:t>presentada</w:t>
      </w:r>
      <w:r>
        <w:rPr>
          <w:spacing w:val="-6"/>
        </w:rPr>
        <w:t> </w:t>
      </w:r>
      <w:r>
        <w:rPr/>
        <w:t>por</w:t>
      </w:r>
      <w:r>
        <w:rPr>
          <w:spacing w:val="-4"/>
        </w:rPr>
        <w:t> </w:t>
      </w:r>
      <w:r>
        <w:rPr/>
        <w:t>la</w:t>
      </w:r>
      <w:r>
        <w:rPr>
          <w:spacing w:val="-5"/>
        </w:rPr>
        <w:t> </w:t>
      </w:r>
      <w:r>
        <w:rPr/>
        <w:t>“Red</w:t>
      </w:r>
      <w:r>
        <w:rPr>
          <w:spacing w:val="-6"/>
        </w:rPr>
        <w:t> </w:t>
      </w:r>
      <w:r>
        <w:rPr/>
        <w:t>Mexicana</w:t>
      </w:r>
      <w:r>
        <w:rPr>
          <w:spacing w:val="-5"/>
        </w:rPr>
        <w:t> </w:t>
      </w:r>
      <w:r>
        <w:rPr/>
        <w:t>de</w:t>
      </w:r>
      <w:r>
        <w:rPr>
          <w:spacing w:val="-6"/>
        </w:rPr>
        <w:t> </w:t>
      </w:r>
      <w:r>
        <w:rPr/>
        <w:t>Jueces</w:t>
      </w:r>
      <w:r>
        <w:rPr>
          <w:spacing w:val="-5"/>
        </w:rPr>
        <w:t> </w:t>
      </w:r>
      <w:r>
        <w:rPr/>
        <w:t>y</w:t>
      </w:r>
      <w:r>
        <w:rPr>
          <w:spacing w:val="-7"/>
        </w:rPr>
        <w:t> </w:t>
      </w:r>
      <w:r>
        <w:rPr/>
        <w:t>Juezas</w:t>
      </w:r>
      <w:r>
        <w:rPr>
          <w:spacing w:val="-5"/>
        </w:rPr>
        <w:t> </w:t>
      </w:r>
      <w:r>
        <w:rPr/>
        <w:t>por</w:t>
      </w:r>
      <w:r>
        <w:rPr>
          <w:spacing w:val="-4"/>
        </w:rPr>
        <w:t> </w:t>
      </w:r>
      <w:r>
        <w:rPr/>
        <w:t>la</w:t>
      </w:r>
      <w:r>
        <w:rPr>
          <w:spacing w:val="-5"/>
        </w:rPr>
        <w:t> </w:t>
      </w:r>
      <w:r>
        <w:rPr/>
        <w:t>Impartición</w:t>
      </w:r>
      <w:r>
        <w:rPr>
          <w:spacing w:val="-6"/>
        </w:rPr>
        <w:t> </w:t>
      </w:r>
      <w:r>
        <w:rPr/>
        <w:t>de Justicia</w:t>
      </w:r>
      <w:r>
        <w:rPr>
          <w:spacing w:val="-4"/>
        </w:rPr>
        <w:t> </w:t>
      </w:r>
      <w:r>
        <w:rPr/>
        <w:t>con</w:t>
      </w:r>
      <w:r>
        <w:rPr>
          <w:spacing w:val="-6"/>
        </w:rPr>
        <w:t> </w:t>
      </w:r>
      <w:r>
        <w:rPr/>
        <w:t>Perspectiva</w:t>
      </w:r>
      <w:r>
        <w:rPr>
          <w:spacing w:val="-5"/>
        </w:rPr>
        <w:t> </w:t>
      </w:r>
      <w:r>
        <w:rPr/>
        <w:t>de</w:t>
      </w:r>
      <w:r>
        <w:rPr>
          <w:spacing w:val="-6"/>
        </w:rPr>
        <w:t> </w:t>
      </w:r>
      <w:r>
        <w:rPr/>
        <w:t>Género”</w:t>
      </w:r>
      <w:r>
        <w:rPr>
          <w:spacing w:val="-3"/>
        </w:rPr>
        <w:t> </w:t>
      </w:r>
      <w:r>
        <w:rPr/>
        <w:t>y</w:t>
      </w:r>
      <w:r>
        <w:rPr>
          <w:spacing w:val="-5"/>
        </w:rPr>
        <w:t> </w:t>
      </w:r>
      <w:r>
        <w:rPr/>
        <w:t>Equis</w:t>
      </w:r>
      <w:r>
        <w:rPr>
          <w:spacing w:val="-5"/>
        </w:rPr>
        <w:t> </w:t>
      </w:r>
      <w:r>
        <w:rPr/>
        <w:t>Justicia</w:t>
      </w:r>
      <w:r>
        <w:rPr>
          <w:spacing w:val="-4"/>
        </w:rPr>
        <w:t> </w:t>
      </w:r>
      <w:r>
        <w:rPr/>
        <w:t>para</w:t>
      </w:r>
      <w:r>
        <w:rPr>
          <w:spacing w:val="-5"/>
        </w:rPr>
        <w:t> </w:t>
      </w:r>
      <w:r>
        <w:rPr/>
        <w:t>las</w:t>
      </w:r>
      <w:r>
        <w:rPr>
          <w:spacing w:val="-5"/>
        </w:rPr>
        <w:t> </w:t>
      </w:r>
      <w:r>
        <w:rPr/>
        <w:t>Mujeres</w:t>
      </w:r>
      <w:r>
        <w:rPr>
          <w:spacing w:val="-5"/>
        </w:rPr>
        <w:t> </w:t>
      </w:r>
      <w:r>
        <w:rPr/>
        <w:t>(2015)</w:t>
      </w:r>
      <w:r>
        <w:rPr>
          <w:spacing w:val="-5"/>
        </w:rPr>
        <w:t> </w:t>
      </w:r>
      <w:r>
        <w:rPr/>
        <w:t>que</w:t>
      </w:r>
      <w:r>
        <w:rPr>
          <w:spacing w:val="-8"/>
        </w:rPr>
        <w:t> </w:t>
      </w:r>
      <w:r>
        <w:rPr/>
        <w:t>favorece la</w:t>
      </w:r>
      <w:r>
        <w:rPr>
          <w:spacing w:val="-4"/>
        </w:rPr>
        <w:t> </w:t>
      </w:r>
      <w:r>
        <w:rPr/>
        <w:t>compresión</w:t>
      </w:r>
      <w:r>
        <w:rPr>
          <w:spacing w:val="-4"/>
        </w:rPr>
        <w:t> </w:t>
      </w:r>
      <w:r>
        <w:rPr/>
        <w:t>de</w:t>
      </w:r>
      <w:r>
        <w:rPr>
          <w:spacing w:val="-4"/>
        </w:rPr>
        <w:t> </w:t>
      </w:r>
      <w:r>
        <w:rPr/>
        <w:t>los</w:t>
      </w:r>
      <w:r>
        <w:rPr>
          <w:spacing w:val="-6"/>
        </w:rPr>
        <w:t> </w:t>
      </w:r>
      <w:r>
        <w:rPr/>
        <w:t>cambios</w:t>
      </w:r>
      <w:r>
        <w:rPr>
          <w:spacing w:val="-4"/>
        </w:rPr>
        <w:t> </w:t>
      </w:r>
      <w:r>
        <w:rPr/>
        <w:t>legales</w:t>
      </w:r>
      <w:r>
        <w:rPr>
          <w:spacing w:val="-4"/>
        </w:rPr>
        <w:t> </w:t>
      </w:r>
      <w:r>
        <w:rPr/>
        <w:t>en</w:t>
      </w:r>
      <w:r>
        <w:rPr>
          <w:spacing w:val="-7"/>
        </w:rPr>
        <w:t> </w:t>
      </w:r>
      <w:r>
        <w:rPr/>
        <w:t>relación</w:t>
      </w:r>
      <w:r>
        <w:rPr>
          <w:spacing w:val="-4"/>
        </w:rPr>
        <w:t> </w:t>
      </w:r>
      <w:r>
        <w:rPr/>
        <w:t>al</w:t>
      </w:r>
      <w:r>
        <w:rPr>
          <w:spacing w:val="-5"/>
        </w:rPr>
        <w:t> </w:t>
      </w:r>
      <w:r>
        <w:rPr/>
        <w:t>control</w:t>
      </w:r>
      <w:r>
        <w:rPr>
          <w:spacing w:val="-5"/>
        </w:rPr>
        <w:t> </w:t>
      </w:r>
      <w:r>
        <w:rPr/>
        <w:t>de</w:t>
      </w:r>
      <w:r>
        <w:rPr>
          <w:spacing w:val="-4"/>
        </w:rPr>
        <w:t> </w:t>
      </w:r>
      <w:r>
        <w:rPr/>
        <w:t>constitucionalidad</w:t>
      </w:r>
      <w:r>
        <w:rPr>
          <w:spacing w:val="-4"/>
        </w:rPr>
        <w:t> </w:t>
      </w:r>
      <w:r>
        <w:rPr/>
        <w:t>así</w:t>
      </w:r>
      <w:r>
        <w:rPr>
          <w:spacing w:val="-7"/>
        </w:rPr>
        <w:t> </w:t>
      </w:r>
      <w:r>
        <w:rPr/>
        <w:t>como su necesaria aplicación en la impartición de</w:t>
      </w:r>
      <w:r>
        <w:rPr>
          <w:spacing w:val="-17"/>
        </w:rPr>
        <w:t> </w:t>
      </w:r>
      <w:r>
        <w:rPr/>
        <w:t>justicia</w:t>
      </w:r>
      <w:r>
        <w:rPr>
          <w:color w:val="666666"/>
          <w:sz w:val="24"/>
        </w:rPr>
        <w:t>.</w:t>
      </w:r>
    </w:p>
    <w:p>
      <w:pPr>
        <w:pStyle w:val="BodyText"/>
        <w:spacing w:line="360" w:lineRule="auto" w:before="204"/>
        <w:ind w:left="222" w:right="265"/>
        <w:jc w:val="both"/>
      </w:pPr>
      <w:r>
        <w:rPr/>
        <w:t>La</w:t>
      </w:r>
      <w:r>
        <w:rPr>
          <w:spacing w:val="-15"/>
        </w:rPr>
        <w:t> </w:t>
      </w:r>
      <w:r>
        <w:rPr/>
        <w:t>cual</w:t>
      </w:r>
      <w:r>
        <w:rPr>
          <w:spacing w:val="-16"/>
        </w:rPr>
        <w:t> </w:t>
      </w:r>
      <w:r>
        <w:rPr/>
        <w:t>establece</w:t>
      </w:r>
      <w:r>
        <w:rPr>
          <w:spacing w:val="-18"/>
        </w:rPr>
        <w:t> </w:t>
      </w:r>
      <w:r>
        <w:rPr/>
        <w:t>que</w:t>
      </w:r>
      <w:r>
        <w:rPr>
          <w:spacing w:val="-15"/>
        </w:rPr>
        <w:t> </w:t>
      </w:r>
      <w:r>
        <w:rPr/>
        <w:t>para</w:t>
      </w:r>
      <w:r>
        <w:rPr>
          <w:spacing w:val="-15"/>
        </w:rPr>
        <w:t> </w:t>
      </w:r>
      <w:r>
        <w:rPr/>
        <w:t>aplicar</w:t>
      </w:r>
      <w:r>
        <w:rPr>
          <w:spacing w:val="-14"/>
        </w:rPr>
        <w:t> </w:t>
      </w:r>
      <w:r>
        <w:rPr/>
        <w:t>el</w:t>
      </w:r>
      <w:r>
        <w:rPr>
          <w:spacing w:val="-16"/>
        </w:rPr>
        <w:t> </w:t>
      </w:r>
      <w:r>
        <w:rPr/>
        <w:t>control</w:t>
      </w:r>
      <w:r>
        <w:rPr>
          <w:spacing w:val="-16"/>
        </w:rPr>
        <w:t> </w:t>
      </w:r>
      <w:r>
        <w:rPr/>
        <w:t>difuso</w:t>
      </w:r>
      <w:r>
        <w:rPr>
          <w:spacing w:val="-18"/>
        </w:rPr>
        <w:t> </w:t>
      </w:r>
      <w:r>
        <w:rPr/>
        <w:t>de</w:t>
      </w:r>
      <w:r>
        <w:rPr>
          <w:spacing w:val="-15"/>
        </w:rPr>
        <w:t> </w:t>
      </w:r>
      <w:r>
        <w:rPr/>
        <w:t>convencionalidad,</w:t>
      </w:r>
      <w:r>
        <w:rPr>
          <w:spacing w:val="-14"/>
        </w:rPr>
        <w:t> </w:t>
      </w:r>
      <w:r>
        <w:rPr/>
        <w:t>se</w:t>
      </w:r>
      <w:r>
        <w:rPr>
          <w:spacing w:val="-15"/>
        </w:rPr>
        <w:t> </w:t>
      </w:r>
      <w:r>
        <w:rPr/>
        <w:t>deben</w:t>
      </w:r>
      <w:r>
        <w:rPr>
          <w:spacing w:val="-15"/>
        </w:rPr>
        <w:t> </w:t>
      </w:r>
      <w:r>
        <w:rPr/>
        <w:t>de</w:t>
      </w:r>
      <w:r>
        <w:rPr>
          <w:spacing w:val="-15"/>
        </w:rPr>
        <w:t> </w:t>
      </w:r>
      <w:r>
        <w:rPr/>
        <w:t>tomar en cuenta los siguientes</w:t>
      </w:r>
      <w:r>
        <w:rPr>
          <w:spacing w:val="-6"/>
        </w:rPr>
        <w:t> </w:t>
      </w:r>
      <w:r>
        <w:rPr/>
        <w:t>pasos:</w:t>
      </w:r>
    </w:p>
    <w:p>
      <w:pPr>
        <w:pStyle w:val="BodyText"/>
        <w:spacing w:before="5"/>
        <w:rPr>
          <w:sz w:val="11"/>
        </w:rPr>
      </w:pPr>
    </w:p>
    <w:p>
      <w:pPr>
        <w:pStyle w:val="ListParagraph"/>
        <w:numPr>
          <w:ilvl w:val="2"/>
          <w:numId w:val="7"/>
        </w:numPr>
        <w:tabs>
          <w:tab w:pos="942" w:val="left" w:leader="none"/>
        </w:tabs>
        <w:spacing w:line="360" w:lineRule="auto" w:before="73" w:after="0"/>
        <w:ind w:left="942" w:right="262" w:hanging="360"/>
        <w:jc w:val="both"/>
        <w:rPr>
          <w:sz w:val="22"/>
        </w:rPr>
      </w:pPr>
      <w:r>
        <w:rPr>
          <w:sz w:val="22"/>
          <w:shd w:fill="FFFF00" w:color="auto" w:val="clear"/>
        </w:rPr>
        <w:t>Identificar</w:t>
      </w:r>
      <w:r>
        <w:rPr>
          <w:spacing w:val="-4"/>
          <w:sz w:val="22"/>
          <w:shd w:fill="FFFF00" w:color="auto" w:val="clear"/>
        </w:rPr>
        <w:t> </w:t>
      </w:r>
      <w:r>
        <w:rPr>
          <w:sz w:val="22"/>
          <w:shd w:fill="FFFF00" w:color="auto" w:val="clear"/>
        </w:rPr>
        <w:t>los</w:t>
      </w:r>
      <w:r>
        <w:rPr>
          <w:spacing w:val="-5"/>
          <w:sz w:val="22"/>
          <w:shd w:fill="FFFF00" w:color="auto" w:val="clear"/>
        </w:rPr>
        <w:t> </w:t>
      </w:r>
      <w:r>
        <w:rPr>
          <w:sz w:val="22"/>
          <w:shd w:fill="FFFF00" w:color="auto" w:val="clear"/>
        </w:rPr>
        <w:t>derechos</w:t>
      </w:r>
      <w:r>
        <w:rPr>
          <w:spacing w:val="-5"/>
          <w:sz w:val="22"/>
          <w:shd w:fill="FFFF00" w:color="auto" w:val="clear"/>
        </w:rPr>
        <w:t> </w:t>
      </w:r>
      <w:r>
        <w:rPr>
          <w:sz w:val="22"/>
          <w:shd w:fill="FFFF00" w:color="auto" w:val="clear"/>
        </w:rPr>
        <w:t>humanos</w:t>
      </w:r>
      <w:r>
        <w:rPr>
          <w:spacing w:val="-6"/>
          <w:sz w:val="22"/>
          <w:shd w:fill="FFFF00" w:color="auto" w:val="clear"/>
        </w:rPr>
        <w:t> </w:t>
      </w:r>
      <w:r>
        <w:rPr>
          <w:sz w:val="22"/>
          <w:shd w:fill="FFFF00" w:color="auto" w:val="clear"/>
        </w:rPr>
        <w:t>involucrados</w:t>
      </w:r>
      <w:r>
        <w:rPr>
          <w:spacing w:val="-6"/>
          <w:sz w:val="22"/>
          <w:shd w:fill="FFFF00" w:color="auto" w:val="clear"/>
        </w:rPr>
        <w:t> </w:t>
      </w:r>
      <w:r>
        <w:rPr>
          <w:sz w:val="22"/>
          <w:shd w:fill="FFFF00" w:color="auto" w:val="clear"/>
        </w:rPr>
        <w:t>en</w:t>
      </w:r>
      <w:r>
        <w:rPr>
          <w:spacing w:val="-8"/>
          <w:sz w:val="22"/>
          <w:shd w:fill="FFFF00" w:color="auto" w:val="clear"/>
        </w:rPr>
        <w:t> </w:t>
      </w:r>
      <w:r>
        <w:rPr>
          <w:sz w:val="22"/>
          <w:shd w:fill="FFFF00" w:color="auto" w:val="clear"/>
        </w:rPr>
        <w:t>el</w:t>
      </w:r>
      <w:r>
        <w:rPr>
          <w:spacing w:val="-6"/>
          <w:sz w:val="22"/>
          <w:shd w:fill="FFFF00" w:color="auto" w:val="clear"/>
        </w:rPr>
        <w:t> </w:t>
      </w:r>
      <w:r>
        <w:rPr>
          <w:sz w:val="22"/>
          <w:shd w:fill="FFFF00" w:color="auto" w:val="clear"/>
        </w:rPr>
        <w:t>caso</w:t>
      </w:r>
      <w:r>
        <w:rPr>
          <w:spacing w:val="-6"/>
          <w:sz w:val="22"/>
          <w:shd w:fill="FFFF00" w:color="auto" w:val="clear"/>
        </w:rPr>
        <w:t> </w:t>
      </w:r>
      <w:r>
        <w:rPr>
          <w:sz w:val="22"/>
          <w:shd w:fill="FFFF00" w:color="auto" w:val="clear"/>
        </w:rPr>
        <w:t>concreto,</w:t>
      </w:r>
      <w:r>
        <w:rPr>
          <w:spacing w:val="-1"/>
          <w:sz w:val="22"/>
          <w:shd w:fill="FFFF00" w:color="auto" w:val="clear"/>
        </w:rPr>
        <w:t> </w:t>
      </w:r>
      <w:r>
        <w:rPr>
          <w:sz w:val="22"/>
        </w:rPr>
        <w:t>para</w:t>
      </w:r>
      <w:r>
        <w:rPr>
          <w:spacing w:val="-8"/>
          <w:sz w:val="22"/>
        </w:rPr>
        <w:t> </w:t>
      </w:r>
      <w:r>
        <w:rPr>
          <w:sz w:val="22"/>
        </w:rPr>
        <w:t>el</w:t>
      </w:r>
      <w:r>
        <w:rPr>
          <w:spacing w:val="-9"/>
          <w:sz w:val="22"/>
        </w:rPr>
        <w:t> </w:t>
      </w:r>
      <w:r>
        <w:rPr>
          <w:sz w:val="22"/>
        </w:rPr>
        <w:t>caso</w:t>
      </w:r>
      <w:r>
        <w:rPr>
          <w:spacing w:val="-6"/>
          <w:sz w:val="22"/>
        </w:rPr>
        <w:t> </w:t>
      </w:r>
      <w:r>
        <w:rPr>
          <w:sz w:val="22"/>
        </w:rPr>
        <w:t>de las mujeres indiciadas los derechos humanos involucrados que se encuentran son el acceso a la justicia y la igualdad, además de los que se encuentren inmersos en el caso en</w:t>
      </w:r>
      <w:r>
        <w:rPr>
          <w:spacing w:val="-4"/>
          <w:sz w:val="22"/>
        </w:rPr>
        <w:t> </w:t>
      </w:r>
      <w:r>
        <w:rPr>
          <w:sz w:val="22"/>
        </w:rPr>
        <w:t>particular.</w:t>
      </w:r>
    </w:p>
    <w:p>
      <w:pPr>
        <w:pStyle w:val="ListParagraph"/>
        <w:numPr>
          <w:ilvl w:val="2"/>
          <w:numId w:val="7"/>
        </w:numPr>
        <w:tabs>
          <w:tab w:pos="942" w:val="left" w:leader="none"/>
        </w:tabs>
        <w:spacing w:line="360" w:lineRule="auto" w:before="3" w:after="0"/>
        <w:ind w:left="942" w:right="263" w:hanging="360"/>
        <w:jc w:val="both"/>
        <w:rPr>
          <w:sz w:val="22"/>
        </w:rPr>
      </w:pPr>
      <w:r>
        <w:rPr>
          <w:sz w:val="22"/>
          <w:shd w:fill="FFFF00" w:color="auto" w:val="clear"/>
        </w:rPr>
        <w:t>Determinar el parámetro de control de constitucionalidad, es decir ubicar la </w:t>
      </w:r>
      <w:r>
        <w:rPr>
          <w:sz w:val="22"/>
          <w:shd w:fill="FFFF00" w:color="auto" w:val="clear"/>
        </w:rPr>
        <w:t>normativa</w:t>
      </w:r>
      <w:r>
        <w:rPr>
          <w:spacing w:val="-13"/>
          <w:sz w:val="22"/>
          <w:shd w:fill="FFFF00" w:color="auto" w:val="clear"/>
        </w:rPr>
        <w:t> </w:t>
      </w:r>
      <w:r>
        <w:rPr>
          <w:sz w:val="22"/>
          <w:shd w:fill="FFFF00" w:color="auto" w:val="clear"/>
        </w:rPr>
        <w:t>nacional</w:t>
      </w:r>
      <w:r>
        <w:rPr>
          <w:spacing w:val="-14"/>
          <w:sz w:val="22"/>
          <w:shd w:fill="FFFF00" w:color="auto" w:val="clear"/>
        </w:rPr>
        <w:t> </w:t>
      </w:r>
      <w:r>
        <w:rPr>
          <w:sz w:val="22"/>
          <w:shd w:fill="FFFF00" w:color="auto" w:val="clear"/>
        </w:rPr>
        <w:t>con</w:t>
      </w:r>
      <w:r>
        <w:rPr>
          <w:spacing w:val="-13"/>
          <w:sz w:val="22"/>
          <w:shd w:fill="FFFF00" w:color="auto" w:val="clear"/>
        </w:rPr>
        <w:t> </w:t>
      </w:r>
      <w:r>
        <w:rPr>
          <w:sz w:val="22"/>
          <w:shd w:fill="FFFF00" w:color="auto" w:val="clear"/>
        </w:rPr>
        <w:t>el</w:t>
      </w:r>
      <w:r>
        <w:rPr>
          <w:spacing w:val="-14"/>
          <w:sz w:val="22"/>
          <w:shd w:fill="FFFF00" w:color="auto" w:val="clear"/>
        </w:rPr>
        <w:t> </w:t>
      </w:r>
      <w:r>
        <w:rPr>
          <w:sz w:val="22"/>
          <w:shd w:fill="FFFF00" w:color="auto" w:val="clear"/>
        </w:rPr>
        <w:t>internacional</w:t>
      </w:r>
      <w:r>
        <w:rPr>
          <w:spacing w:val="-14"/>
          <w:sz w:val="22"/>
          <w:shd w:fill="FFFF00" w:color="auto" w:val="clear"/>
        </w:rPr>
        <w:t> </w:t>
      </w:r>
      <w:r>
        <w:rPr>
          <w:sz w:val="22"/>
          <w:shd w:fill="FFFF00" w:color="auto" w:val="clear"/>
        </w:rPr>
        <w:t>aplicable</w:t>
      </w:r>
      <w:r>
        <w:rPr>
          <w:spacing w:val="-13"/>
          <w:sz w:val="22"/>
          <w:shd w:fill="FFFF00" w:color="auto" w:val="clear"/>
        </w:rPr>
        <w:t> </w:t>
      </w:r>
      <w:r>
        <w:rPr>
          <w:sz w:val="22"/>
          <w:shd w:fill="FFFF00" w:color="auto" w:val="clear"/>
        </w:rPr>
        <w:t>al</w:t>
      </w:r>
      <w:r>
        <w:rPr>
          <w:spacing w:val="-14"/>
          <w:sz w:val="22"/>
          <w:shd w:fill="FFFF00" w:color="auto" w:val="clear"/>
        </w:rPr>
        <w:t> </w:t>
      </w:r>
      <w:r>
        <w:rPr>
          <w:sz w:val="22"/>
          <w:shd w:fill="FFFF00" w:color="auto" w:val="clear"/>
        </w:rPr>
        <w:t>caso.</w:t>
      </w:r>
      <w:r>
        <w:rPr>
          <w:spacing w:val="-10"/>
          <w:sz w:val="22"/>
          <w:shd w:fill="FFFF00" w:color="auto" w:val="clear"/>
        </w:rPr>
        <w:t> </w:t>
      </w:r>
      <w:r>
        <w:rPr>
          <w:sz w:val="22"/>
        </w:rPr>
        <w:t>Para</w:t>
      </w:r>
      <w:r>
        <w:rPr>
          <w:spacing w:val="-13"/>
          <w:sz w:val="22"/>
        </w:rPr>
        <w:t> </w:t>
      </w:r>
      <w:r>
        <w:rPr>
          <w:sz w:val="22"/>
        </w:rPr>
        <w:t>el</w:t>
      </w:r>
      <w:r>
        <w:rPr>
          <w:spacing w:val="-14"/>
          <w:sz w:val="22"/>
        </w:rPr>
        <w:t> </w:t>
      </w:r>
      <w:r>
        <w:rPr>
          <w:sz w:val="22"/>
        </w:rPr>
        <w:t>caso</w:t>
      </w:r>
      <w:r>
        <w:rPr>
          <w:spacing w:val="-13"/>
          <w:sz w:val="22"/>
        </w:rPr>
        <w:t> </w:t>
      </w:r>
      <w:r>
        <w:rPr>
          <w:sz w:val="22"/>
        </w:rPr>
        <w:t>de</w:t>
      </w:r>
      <w:r>
        <w:rPr>
          <w:spacing w:val="-13"/>
          <w:sz w:val="22"/>
        </w:rPr>
        <w:t> </w:t>
      </w:r>
      <w:r>
        <w:rPr>
          <w:sz w:val="22"/>
        </w:rPr>
        <w:t>la</w:t>
      </w:r>
      <w:r>
        <w:rPr>
          <w:spacing w:val="-15"/>
          <w:sz w:val="22"/>
        </w:rPr>
        <w:t> </w:t>
      </w:r>
      <w:r>
        <w:rPr>
          <w:sz w:val="22"/>
        </w:rPr>
        <w:t>defensa de las mujeres es importante tomar en consideración la legislación local como la Constitución,</w:t>
      </w:r>
      <w:r>
        <w:rPr>
          <w:spacing w:val="-7"/>
          <w:sz w:val="22"/>
        </w:rPr>
        <w:t> </w:t>
      </w:r>
      <w:r>
        <w:rPr>
          <w:sz w:val="22"/>
        </w:rPr>
        <w:t>Código</w:t>
      </w:r>
      <w:r>
        <w:rPr>
          <w:spacing w:val="-6"/>
          <w:sz w:val="22"/>
        </w:rPr>
        <w:t> </w:t>
      </w:r>
      <w:r>
        <w:rPr>
          <w:sz w:val="22"/>
        </w:rPr>
        <w:t>Penal</w:t>
      </w:r>
      <w:r>
        <w:rPr>
          <w:spacing w:val="-7"/>
          <w:sz w:val="22"/>
        </w:rPr>
        <w:t> </w:t>
      </w:r>
      <w:r>
        <w:rPr>
          <w:sz w:val="22"/>
        </w:rPr>
        <w:t>y</w:t>
      </w:r>
      <w:r>
        <w:rPr>
          <w:spacing w:val="-8"/>
          <w:sz w:val="22"/>
        </w:rPr>
        <w:t> </w:t>
      </w:r>
      <w:r>
        <w:rPr>
          <w:sz w:val="22"/>
        </w:rPr>
        <w:t>Código</w:t>
      </w:r>
      <w:r>
        <w:rPr>
          <w:spacing w:val="-6"/>
          <w:sz w:val="22"/>
        </w:rPr>
        <w:t> </w:t>
      </w:r>
      <w:r>
        <w:rPr>
          <w:sz w:val="22"/>
        </w:rPr>
        <w:t>Nacional</w:t>
      </w:r>
      <w:r>
        <w:rPr>
          <w:spacing w:val="-7"/>
          <w:sz w:val="22"/>
        </w:rPr>
        <w:t> </w:t>
      </w:r>
      <w:r>
        <w:rPr>
          <w:sz w:val="22"/>
        </w:rPr>
        <w:t>de</w:t>
      </w:r>
      <w:r>
        <w:rPr>
          <w:spacing w:val="-9"/>
          <w:sz w:val="22"/>
        </w:rPr>
        <w:t> </w:t>
      </w:r>
      <w:r>
        <w:rPr>
          <w:sz w:val="22"/>
        </w:rPr>
        <w:t>Procedimientos</w:t>
      </w:r>
      <w:r>
        <w:rPr>
          <w:spacing w:val="-6"/>
          <w:sz w:val="22"/>
        </w:rPr>
        <w:t> </w:t>
      </w:r>
      <w:r>
        <w:rPr>
          <w:sz w:val="22"/>
        </w:rPr>
        <w:t>Penales,</w:t>
      </w:r>
      <w:r>
        <w:rPr>
          <w:spacing w:val="-5"/>
          <w:sz w:val="22"/>
        </w:rPr>
        <w:t> </w:t>
      </w:r>
      <w:r>
        <w:rPr>
          <w:sz w:val="22"/>
        </w:rPr>
        <w:t>y</w:t>
      </w:r>
      <w:r>
        <w:rPr>
          <w:spacing w:val="-8"/>
          <w:sz w:val="22"/>
        </w:rPr>
        <w:t> </w:t>
      </w:r>
      <w:r>
        <w:rPr>
          <w:sz w:val="22"/>
        </w:rPr>
        <w:t>la</w:t>
      </w:r>
      <w:r>
        <w:rPr>
          <w:spacing w:val="-6"/>
          <w:sz w:val="22"/>
        </w:rPr>
        <w:t> </w:t>
      </w:r>
      <w:r>
        <w:rPr>
          <w:sz w:val="22"/>
        </w:rPr>
        <w:t>Ley General de Acceso de las Mujeres a una Vida Libre de Violencia, así como la </w:t>
      </w:r>
      <w:r>
        <w:rPr>
          <w:spacing w:val="-3"/>
          <w:sz w:val="22"/>
        </w:rPr>
        <w:t>CEDAW </w:t>
      </w:r>
      <w:r>
        <w:rPr>
          <w:sz w:val="22"/>
        </w:rPr>
        <w:t>y la Convención Belém do Pará, las reglas de Bangkok, y demás relativos al caso</w:t>
      </w:r>
      <w:r>
        <w:rPr>
          <w:spacing w:val="-6"/>
          <w:sz w:val="22"/>
        </w:rPr>
        <w:t> </w:t>
      </w:r>
      <w:r>
        <w:rPr>
          <w:sz w:val="22"/>
        </w:rPr>
        <w:t>particular.</w:t>
      </w:r>
    </w:p>
    <w:p>
      <w:pPr>
        <w:pStyle w:val="ListParagraph"/>
        <w:numPr>
          <w:ilvl w:val="2"/>
          <w:numId w:val="7"/>
        </w:numPr>
        <w:tabs>
          <w:tab w:pos="942" w:val="left" w:leader="none"/>
        </w:tabs>
        <w:spacing w:line="360" w:lineRule="auto" w:before="3" w:after="0"/>
        <w:ind w:left="942" w:right="263" w:hanging="360"/>
        <w:jc w:val="both"/>
        <w:rPr>
          <w:sz w:val="22"/>
        </w:rPr>
      </w:pPr>
      <w:r>
        <w:rPr>
          <w:sz w:val="22"/>
          <w:shd w:fill="FFFF00" w:color="auto" w:val="clear"/>
        </w:rPr>
        <w:t>Utilizar las herramientas de interpretación conforme y el principio pro persona</w:t>
      </w:r>
      <w:r>
        <w:rPr>
          <w:sz w:val="22"/>
        </w:rPr>
        <w:t>, es decir, aplicar la norma más favorable para la persona, para el caso de las mujeres indiciadas, es claro que una de las normas más favorable para estas serían las normas de Bangkok, y las medidas alternas a la</w:t>
      </w:r>
      <w:r>
        <w:rPr>
          <w:spacing w:val="-19"/>
          <w:sz w:val="22"/>
        </w:rPr>
        <w:t> </w:t>
      </w:r>
      <w:r>
        <w:rPr>
          <w:sz w:val="22"/>
        </w:rPr>
        <w:t>prisión.</w:t>
      </w:r>
    </w:p>
    <w:p>
      <w:pPr>
        <w:pStyle w:val="BodyText"/>
        <w:spacing w:before="3"/>
        <w:rPr>
          <w:sz w:val="11"/>
        </w:rPr>
      </w:pPr>
      <w:r>
        <w:rPr/>
        <w:pict>
          <v:group style="position:absolute;margin-left:79.559998pt;margin-top:8.464408pt;width:452.65pt;height:179.2pt;mso-position-horizontal-relative:page;mso-position-vertical-relative:paragraph;z-index:3616;mso-wrap-distance-left:0;mso-wrap-distance-right:0" coordorigin="1591,169" coordsize="9053,3584">
            <v:shape style="position:absolute;left:1591;top:169;width:9053;height:3583" type="#_x0000_t75" stroked="false">
              <v:imagedata r:id="rId83" o:title=""/>
            </v:shape>
            <v:shape style="position:absolute;left:1992;top:467;width:8246;height:3034" type="#_x0000_t202" filled="false" stroked="false">
              <v:textbox inset="0,0,0,0">
                <w:txbxContent>
                  <w:p>
                    <w:pPr>
                      <w:spacing w:line="286" w:lineRule="exact" w:before="0"/>
                      <w:ind w:left="0" w:right="2" w:firstLine="0"/>
                      <w:jc w:val="center"/>
                      <w:rPr>
                        <w:rFonts w:ascii="Calibri"/>
                        <w:b/>
                        <w:sz w:val="28"/>
                      </w:rPr>
                    </w:pPr>
                    <w:r>
                      <w:rPr>
                        <w:rFonts w:ascii="Calibri"/>
                        <w:b/>
                        <w:sz w:val="28"/>
                      </w:rPr>
                      <w:t>La labor de los defensores y las defensoras, es vigilar el</w:t>
                    </w:r>
                    <w:r>
                      <w:rPr>
                        <w:rFonts w:ascii="Calibri"/>
                        <w:b/>
                        <w:spacing w:val="-24"/>
                        <w:sz w:val="28"/>
                      </w:rPr>
                      <w:t> </w:t>
                    </w:r>
                    <w:r>
                      <w:rPr>
                        <w:rFonts w:ascii="Calibri"/>
                        <w:b/>
                        <w:sz w:val="28"/>
                      </w:rPr>
                      <w:t>estricto</w:t>
                    </w:r>
                  </w:p>
                  <w:p>
                    <w:pPr>
                      <w:spacing w:line="276" w:lineRule="auto" w:before="49"/>
                      <w:ind w:left="0" w:right="0" w:firstLine="0"/>
                      <w:jc w:val="center"/>
                      <w:rPr>
                        <w:rFonts w:ascii="Calibri" w:hAnsi="Calibri"/>
                        <w:b/>
                        <w:sz w:val="28"/>
                      </w:rPr>
                    </w:pPr>
                    <w:r>
                      <w:rPr>
                        <w:rFonts w:ascii="Calibri" w:hAnsi="Calibri"/>
                        <w:b/>
                        <w:sz w:val="28"/>
                      </w:rPr>
                      <w:t>cumplimiento de los derechos humanos de las mujeres consagrados en los instrumentos internacionales suscritos por el Estado Mexicano, por parte de las autoridades jurisdiccionales. Lo cual podemos hacerlo, exigiendo a quienes se encargan de impartir justicia, la aplicación del control de convencionalidad, haciendo valer los instrumentos internacionales que han de ser aplicados, al proteger en mayor</w:t>
                    </w:r>
                  </w:p>
                  <w:p>
                    <w:pPr>
                      <w:spacing w:line="337" w:lineRule="exact" w:before="3"/>
                      <w:ind w:left="455" w:right="451" w:firstLine="0"/>
                      <w:jc w:val="center"/>
                      <w:rPr>
                        <w:rFonts w:ascii="Calibri"/>
                        <w:b/>
                        <w:sz w:val="28"/>
                      </w:rPr>
                    </w:pPr>
                    <w:r>
                      <w:rPr>
                        <w:rFonts w:ascii="Calibri"/>
                        <w:b/>
                        <w:sz w:val="28"/>
                      </w:rPr>
                      <w:t>amplitud los derechos humanos de las mujeres.</w:t>
                    </w:r>
                  </w:p>
                </w:txbxContent>
              </v:textbox>
              <w10:wrap type="none"/>
            </v:shape>
            <v:shape style="position:absolute;left:10317;top:3486;width:226;height:221" type="#_x0000_t202" filled="false" stroked="false">
              <v:textbox inset="0,0,0,0">
                <w:txbxContent>
                  <w:p>
                    <w:pPr>
                      <w:spacing w:line="221" w:lineRule="exact" w:before="0"/>
                      <w:ind w:left="0" w:right="-17" w:firstLine="0"/>
                      <w:jc w:val="left"/>
                      <w:rPr>
                        <w:rFonts w:ascii="Calibri"/>
                        <w:sz w:val="22"/>
                      </w:rPr>
                    </w:pPr>
                    <w:r>
                      <w:rPr>
                        <w:rFonts w:ascii="Calibri"/>
                        <w:sz w:val="22"/>
                      </w:rPr>
                      <w:t>74</w:t>
                    </w:r>
                  </w:p>
                </w:txbxContent>
              </v:textbox>
              <w10:wrap type="none"/>
            </v:shape>
            <w10:wrap type="topAndBottom"/>
          </v:group>
        </w:pict>
      </w:r>
    </w:p>
    <w:p>
      <w:pPr>
        <w:spacing w:after="0"/>
        <w:rPr>
          <w:sz w:val="11"/>
        </w:rPr>
        <w:sectPr>
          <w:footerReference w:type="default" r:id="rId82"/>
          <w:pgSz w:w="12240" w:h="15840"/>
          <w:pgMar w:footer="0" w:header="0" w:top="1360" w:bottom="280" w:left="1480" w:right="1480"/>
        </w:sectPr>
      </w:pPr>
    </w:p>
    <w:p>
      <w:pPr>
        <w:pStyle w:val="BodyText"/>
        <w:rPr>
          <w:sz w:val="20"/>
        </w:rPr>
      </w:pPr>
    </w:p>
    <w:p>
      <w:pPr>
        <w:pStyle w:val="BodyText"/>
        <w:spacing w:before="2"/>
        <w:rPr>
          <w:sz w:val="20"/>
        </w:rPr>
      </w:pPr>
    </w:p>
    <w:p>
      <w:pPr>
        <w:pStyle w:val="Heading3"/>
        <w:ind w:left="3209"/>
      </w:pPr>
      <w:r>
        <w:rPr/>
        <w:t>CONTROL DE CONVENCIONALIDAD</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20"/>
        </w:rPr>
      </w:pPr>
      <w:r>
        <w:rPr/>
        <w:drawing>
          <wp:anchor distT="0" distB="0" distL="0" distR="0" allowOverlap="1" layoutInCell="1" locked="0" behindDoc="0" simplePos="0" relativeHeight="3640">
            <wp:simplePos x="0" y="0"/>
            <wp:positionH relativeFrom="page">
              <wp:posOffset>143255</wp:posOffset>
            </wp:positionH>
            <wp:positionV relativeFrom="paragraph">
              <wp:posOffset>175682</wp:posOffset>
            </wp:positionV>
            <wp:extent cx="7427356" cy="6544341"/>
            <wp:effectExtent l="0" t="0" r="0" b="0"/>
            <wp:wrapTopAndBottom/>
            <wp:docPr id="13" name="image60.jpeg" descr=""/>
            <wp:cNvGraphicFramePr>
              <a:graphicFrameLocks noChangeAspect="1"/>
            </wp:cNvGraphicFramePr>
            <a:graphic>
              <a:graphicData uri="http://schemas.openxmlformats.org/drawingml/2006/picture">
                <pic:pic>
                  <pic:nvPicPr>
                    <pic:cNvPr id="14" name="image60.jpeg"/>
                    <pic:cNvPicPr/>
                  </pic:nvPicPr>
                  <pic:blipFill>
                    <a:blip r:embed="rId85" cstate="print"/>
                    <a:stretch>
                      <a:fillRect/>
                    </a:stretch>
                  </pic:blipFill>
                  <pic:spPr>
                    <a:xfrm>
                      <a:off x="0" y="0"/>
                      <a:ext cx="7427356" cy="6544341"/>
                    </a:xfrm>
                    <a:prstGeom prst="rect">
                      <a:avLst/>
                    </a:prstGeom>
                  </pic:spPr>
                </pic:pic>
              </a:graphicData>
            </a:graphic>
          </wp:anchor>
        </w:drawing>
      </w:r>
    </w:p>
    <w:p>
      <w:pPr>
        <w:pStyle w:val="BodyText"/>
        <w:rPr>
          <w:b/>
          <w:sz w:val="20"/>
        </w:rPr>
      </w:pPr>
    </w:p>
    <w:p>
      <w:pPr>
        <w:pStyle w:val="BodyText"/>
        <w:rPr>
          <w:b/>
          <w:sz w:val="20"/>
        </w:rPr>
      </w:pPr>
    </w:p>
    <w:p>
      <w:pPr>
        <w:pStyle w:val="BodyText"/>
        <w:spacing w:before="6"/>
        <w:rPr>
          <w:b/>
          <w:sz w:val="18"/>
        </w:rPr>
      </w:pPr>
    </w:p>
    <w:p>
      <w:pPr>
        <w:pStyle w:val="BodyText"/>
        <w:ind w:right="1515"/>
        <w:jc w:val="right"/>
        <w:rPr>
          <w:rFonts w:ascii="Calibri"/>
        </w:rPr>
      </w:pPr>
      <w:r>
        <w:rPr>
          <w:rFonts w:ascii="Calibri"/>
        </w:rPr>
        <w:t>75</w:t>
      </w:r>
    </w:p>
    <w:p>
      <w:pPr>
        <w:spacing w:after="0"/>
        <w:jc w:val="right"/>
        <w:rPr>
          <w:rFonts w:ascii="Calibri"/>
        </w:rPr>
        <w:sectPr>
          <w:footerReference w:type="default" r:id="rId84"/>
          <w:pgSz w:w="12240" w:h="15840"/>
          <w:pgMar w:footer="0" w:header="0" w:top="1500" w:bottom="280" w:left="120" w:right="180"/>
        </w:sectPr>
      </w:pPr>
    </w:p>
    <w:p>
      <w:pPr>
        <w:pStyle w:val="BodyText"/>
        <w:ind w:right="-14"/>
        <w:rPr>
          <w:rFonts w:ascii="Calibri"/>
          <w:sz w:val="20"/>
        </w:rPr>
      </w:pPr>
      <w:r>
        <w:rPr/>
        <w:pict>
          <v:shape style="position:absolute;margin-left:0pt;margin-top:.4799pt;width:612pt;height:790.1pt;mso-position-horizontal-relative:page;mso-position-vertical-relative:page;z-index:-97816" type="#_x0000_t202" filled="false" stroked="false">
            <v:textbox inset="0,0,0,0">
              <w:txbxContent>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spacing w:before="8"/>
                    <w:rPr>
                      <w:rFonts w:ascii="Calibri"/>
                      <w:sz w:val="28"/>
                    </w:rPr>
                  </w:pPr>
                </w:p>
                <w:p>
                  <w:pPr>
                    <w:pStyle w:val="BodyText"/>
                    <w:spacing w:before="1"/>
                    <w:ind w:right="1695"/>
                    <w:jc w:val="right"/>
                    <w:rPr>
                      <w:rFonts w:ascii="Calibri"/>
                    </w:rPr>
                  </w:pPr>
                  <w:r>
                    <w:rPr>
                      <w:rFonts w:ascii="Calibri"/>
                    </w:rPr>
                    <w:t>76</w:t>
                  </w:r>
                </w:p>
              </w:txbxContent>
            </v:textbox>
            <w10:wrap type="none"/>
          </v:shape>
        </w:pict>
      </w:r>
      <w:r>
        <w:rPr>
          <w:rFonts w:ascii="Calibri"/>
          <w:sz w:val="20"/>
        </w:rPr>
        <w:drawing>
          <wp:inline distT="0" distB="0" distL="0" distR="0">
            <wp:extent cx="7755873" cy="10012680"/>
            <wp:effectExtent l="0" t="0" r="0" b="0"/>
            <wp:docPr id="15" name="image61.jpeg" descr=""/>
            <wp:cNvGraphicFramePr>
              <a:graphicFrameLocks noChangeAspect="1"/>
            </wp:cNvGraphicFramePr>
            <a:graphic>
              <a:graphicData uri="http://schemas.openxmlformats.org/drawingml/2006/picture">
                <pic:pic>
                  <pic:nvPicPr>
                    <pic:cNvPr id="16" name="image61.jpeg"/>
                    <pic:cNvPicPr/>
                  </pic:nvPicPr>
                  <pic:blipFill>
                    <a:blip r:embed="rId87" cstate="print"/>
                    <a:stretch>
                      <a:fillRect/>
                    </a:stretch>
                  </pic:blipFill>
                  <pic:spPr>
                    <a:xfrm>
                      <a:off x="0" y="0"/>
                      <a:ext cx="7755873" cy="10012680"/>
                    </a:xfrm>
                    <a:prstGeom prst="rect">
                      <a:avLst/>
                    </a:prstGeom>
                  </pic:spPr>
                </pic:pic>
              </a:graphicData>
            </a:graphic>
          </wp:inline>
        </w:drawing>
      </w:r>
      <w:r>
        <w:rPr>
          <w:rFonts w:ascii="Calibri"/>
          <w:sz w:val="20"/>
        </w:rPr>
      </w:r>
    </w:p>
    <w:p>
      <w:pPr>
        <w:spacing w:after="0"/>
        <w:rPr>
          <w:rFonts w:ascii="Calibri"/>
          <w:sz w:val="20"/>
        </w:rPr>
        <w:sectPr>
          <w:footerReference w:type="default" r:id="rId86"/>
          <w:pgSz w:w="12240" w:h="15840"/>
          <w:pgMar w:footer="0" w:header="0" w:top="0" w:bottom="0" w:left="0" w:right="0"/>
        </w:sectPr>
      </w:pPr>
    </w:p>
    <w:p>
      <w:pPr>
        <w:pStyle w:val="BodyText"/>
        <w:rPr>
          <w:rFonts w:ascii="Calibri"/>
          <w:sz w:val="20"/>
        </w:rPr>
      </w:pPr>
      <w:r>
        <w:rPr/>
        <w:pict>
          <v:group style="position:absolute;margin-left:-.5pt;margin-top:100.900002pt;width:611.35pt;height:127.85pt;mso-position-horizontal-relative:page;mso-position-vertical-relative:page;z-index:3760" coordorigin="-10,2018" coordsize="12227,2557">
            <v:rect style="position:absolute;left:0;top:2028;width:12206;height:2537" filled="true" fillcolor="#6f2f9f" stroked="false">
              <v:fill type="solid"/>
            </v:rect>
            <v:shape style="position:absolute;left:8086;top:3158;width:1620;height:1325" type="#_x0000_t75" stroked="false">
              <v:imagedata r:id="rId89" o:title=""/>
            </v:shape>
            <v:shape style="position:absolute;left:0;top:2028;width:12207;height:2537" type="#_x0000_t202" filled="false" stroked="true" strokeweight=".96pt" strokecolor="#ec7c30">
              <v:textbox inset="0,0,0,0">
                <w:txbxContent>
                  <w:p>
                    <w:pPr>
                      <w:spacing w:line="1035" w:lineRule="exact" w:before="0"/>
                      <w:ind w:left="1104" w:right="532" w:firstLine="0"/>
                      <w:jc w:val="left"/>
                      <w:rPr>
                        <w:rFonts w:ascii="Aharoni" w:hAnsi="Aharoni"/>
                        <w:b/>
                        <w:sz w:val="96"/>
                      </w:rPr>
                    </w:pPr>
                    <w:r>
                      <w:rPr>
                        <w:rFonts w:ascii="Aharoni" w:hAnsi="Aharoni"/>
                        <w:b/>
                        <w:color w:val="FFFFFF"/>
                        <w:sz w:val="96"/>
                      </w:rPr>
                      <w:t>CAP</w:t>
                    </w:r>
                    <w:r>
                      <w:rPr>
                        <w:rFonts w:ascii="Cambria" w:hAnsi="Cambria"/>
                        <w:b/>
                        <w:color w:val="FFFFFF"/>
                        <w:sz w:val="96"/>
                      </w:rPr>
                      <w:t>Í </w:t>
                    </w:r>
                    <w:r>
                      <w:rPr>
                        <w:rFonts w:ascii="Aharoni" w:hAnsi="Aharoni"/>
                        <w:b/>
                        <w:color w:val="FFFFFF"/>
                        <w:sz w:val="96"/>
                      </w:rPr>
                      <w:t>TULO</w:t>
                    </w:r>
                    <w:r>
                      <w:rPr>
                        <w:rFonts w:ascii="Aharoni" w:hAnsi="Aharoni"/>
                        <w:b/>
                        <w:color w:val="FFFFFF"/>
                        <w:spacing w:val="-69"/>
                        <w:sz w:val="96"/>
                      </w:rPr>
                      <w:t> </w:t>
                    </w:r>
                    <w:r>
                      <w:rPr>
                        <w:rFonts w:ascii="Aharoni" w:hAnsi="Aharoni"/>
                        <w:b/>
                        <w:color w:val="FFFFFF"/>
                        <w:sz w:val="96"/>
                      </w:rPr>
                      <w:t>2:</w:t>
                    </w:r>
                  </w:p>
                  <w:p>
                    <w:pPr>
                      <w:spacing w:before="148"/>
                      <w:ind w:left="410" w:right="532" w:firstLine="0"/>
                      <w:jc w:val="left"/>
                      <w:rPr>
                        <w:rFonts w:ascii="Aharoni" w:hAnsi="Aharoni"/>
                        <w:b/>
                        <w:sz w:val="96"/>
                      </w:rPr>
                    </w:pPr>
                    <w:r>
                      <w:rPr>
                        <w:rFonts w:ascii="Aharoni" w:hAnsi="Aharoni"/>
                        <w:b/>
                        <w:color w:val="FFFFFF"/>
                        <w:sz w:val="96"/>
                      </w:rPr>
                      <w:t>TEOR</w:t>
                    </w:r>
                    <w:r>
                      <w:rPr>
                        <w:rFonts w:ascii="Cambria" w:hAnsi="Cambria"/>
                        <w:b/>
                        <w:color w:val="FFFFFF"/>
                        <w:sz w:val="96"/>
                      </w:rPr>
                      <w:t>Í </w:t>
                    </w:r>
                    <w:r>
                      <w:rPr>
                        <w:rFonts w:ascii="Aharoni" w:hAnsi="Aharoni"/>
                        <w:b/>
                        <w:color w:val="FFFFFF"/>
                        <w:sz w:val="96"/>
                      </w:rPr>
                      <w:t>A DEL</w:t>
                    </w:r>
                    <w:r>
                      <w:rPr>
                        <w:rFonts w:ascii="Aharoni" w:hAnsi="Aharoni"/>
                        <w:b/>
                        <w:color w:val="FFFFFF"/>
                        <w:spacing w:val="-72"/>
                        <w:sz w:val="96"/>
                      </w:rPr>
                      <w:t> </w:t>
                    </w:r>
                    <w:r>
                      <w:rPr>
                        <w:rFonts w:ascii="Aharoni" w:hAnsi="Aharoni"/>
                        <w:b/>
                        <w:color w:val="FFFFFF"/>
                        <w:sz w:val="96"/>
                      </w:rPr>
                      <w:t>CASO</w:t>
                    </w:r>
                  </w:p>
                </w:txbxContent>
              </v:textbox>
              <w10:wrap type="none"/>
            </v:shape>
            <w10:wrap type="none"/>
          </v:group>
        </w:pic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20"/>
        </w:rPr>
      </w:pPr>
    </w:p>
    <w:p>
      <w:pPr>
        <w:pStyle w:val="BodyText"/>
        <w:spacing w:line="360" w:lineRule="auto" w:before="72"/>
        <w:ind w:left="1702" w:right="1745" w:firstLine="1415"/>
        <w:jc w:val="both"/>
      </w:pPr>
      <w:r>
        <w:rPr/>
        <w:drawing>
          <wp:anchor distT="0" distB="0" distL="0" distR="0" allowOverlap="1" layoutInCell="1" locked="0" behindDoc="1" simplePos="0" relativeHeight="268337687">
            <wp:simplePos x="0" y="0"/>
            <wp:positionH relativeFrom="page">
              <wp:posOffset>1080516</wp:posOffset>
            </wp:positionH>
            <wp:positionV relativeFrom="paragraph">
              <wp:posOffset>-1820571</wp:posOffset>
            </wp:positionV>
            <wp:extent cx="1772412" cy="2845308"/>
            <wp:effectExtent l="0" t="0" r="0" b="0"/>
            <wp:wrapNone/>
            <wp:docPr id="17" name="image39.jpeg" descr=""/>
            <wp:cNvGraphicFramePr>
              <a:graphicFrameLocks noChangeAspect="1"/>
            </wp:cNvGraphicFramePr>
            <a:graphic>
              <a:graphicData uri="http://schemas.openxmlformats.org/drawingml/2006/picture">
                <pic:pic>
                  <pic:nvPicPr>
                    <pic:cNvPr id="18" name="image39.jpeg"/>
                    <pic:cNvPicPr/>
                  </pic:nvPicPr>
                  <pic:blipFill>
                    <a:blip r:embed="rId59" cstate="print"/>
                    <a:stretch>
                      <a:fillRect/>
                    </a:stretch>
                  </pic:blipFill>
                  <pic:spPr>
                    <a:xfrm>
                      <a:off x="0" y="0"/>
                      <a:ext cx="1772412" cy="2845308"/>
                    </a:xfrm>
                    <a:prstGeom prst="rect">
                      <a:avLst/>
                    </a:prstGeom>
                  </pic:spPr>
                </pic:pic>
              </a:graphicData>
            </a:graphic>
          </wp:anchor>
        </w:drawing>
      </w:r>
      <w:r>
        <w:rPr/>
        <w:t>En el presente capítulo analizaremos la Teoría del Caso, iniciando con una definición de dicha teoría, estableciendo los principales elementos para su elaboración y resaltando su importancia en la defensa penal, constituyéndola como a herramienta que guía la defensa penal, dándole sentido y significado a los hechos, las normas y el</w:t>
      </w:r>
      <w:r>
        <w:rPr>
          <w:spacing w:val="-26"/>
        </w:rPr>
        <w:t> </w:t>
      </w:r>
      <w:r>
        <w:rPr/>
        <w:t>material probatorio.</w:t>
      </w:r>
    </w:p>
    <w:p>
      <w:pPr>
        <w:pStyle w:val="BodyText"/>
        <w:rPr>
          <w:sz w:val="20"/>
        </w:rPr>
      </w:pPr>
    </w:p>
    <w:p>
      <w:pPr>
        <w:pStyle w:val="BodyText"/>
        <w:spacing w:before="1"/>
        <w:rPr>
          <w:sz w:val="16"/>
        </w:rPr>
      </w:pPr>
      <w:r>
        <w:rPr/>
        <w:pict>
          <v:shape style="position:absolute;margin-left:84.480003pt;margin-top:11.725393pt;width:440.2pt;height:113.3pt;mso-position-horizontal-relative:page;mso-position-vertical-relative:paragraph;z-index:3688;mso-wrap-distance-left:0;mso-wrap-distance-right:0" type="#_x0000_t202" filled="false" stroked="true" strokeweight=".96pt" strokecolor="#9e3186">
            <v:textbox inset="0,0,0,0">
              <w:txbxContent>
                <w:p>
                  <w:pPr>
                    <w:spacing w:line="360" w:lineRule="auto" w:before="72"/>
                    <w:ind w:left="144" w:right="193" w:firstLine="0"/>
                    <w:jc w:val="both"/>
                    <w:rPr>
                      <w:sz w:val="24"/>
                    </w:rPr>
                  </w:pPr>
                  <w:r>
                    <w:rPr>
                      <w:sz w:val="24"/>
                      <w:u w:val="single"/>
                    </w:rPr>
                    <w:t>Objetivo</w:t>
                  </w:r>
                  <w:r>
                    <w:rPr>
                      <w:sz w:val="24"/>
                    </w:rPr>
                    <w:t>: Al finalizar éste capítulo los y las estudiantes de la presente guía, conocerán y obtendrán una definición propia de los que es la Teoría del Caso, distinguirán los elementos para la elaboración de la Teoría del Caso, y reconocerán su importancia en la defensa penal, a fin de brindar una defensa técnica.</w:t>
                  </w:r>
                </w:p>
              </w:txbxContent>
            </v:textbox>
            <w10:wrap type="topAndBottom"/>
          </v:shape>
        </w:pict>
      </w:r>
    </w:p>
    <w:p>
      <w:pPr>
        <w:spacing w:after="0"/>
        <w:rPr>
          <w:sz w:val="16"/>
        </w:rPr>
        <w:sectPr>
          <w:footerReference w:type="default" r:id="rId88"/>
          <w:pgSz w:w="12240" w:h="15840"/>
          <w:pgMar w:footer="1002" w:header="0" w:top="1500" w:bottom="1200" w:left="0" w:right="0"/>
          <w:pgNumType w:start="77"/>
        </w:sectPr>
      </w:pPr>
    </w:p>
    <w:p>
      <w:pPr>
        <w:pStyle w:val="BodyText"/>
        <w:spacing w:line="362" w:lineRule="auto" w:before="54"/>
        <w:ind w:left="102" w:right="96"/>
      </w:pPr>
      <w:r>
        <w:rPr/>
        <w:pict>
          <v:group style="position:absolute;margin-left:369.720001pt;margin-top:22.357851pt;width:156.2pt;height:437.9pt;mso-position-horizontal-relative:page;mso-position-vertical-relative:paragraph;z-index:-97432" coordorigin="7394,447" coordsize="3124,8758">
            <v:shape style="position:absolute;left:7394;top:447;width:3122;height:8758" type="#_x0000_t75" stroked="false">
              <v:imagedata r:id="rId90" o:title=""/>
            </v:shape>
            <v:shape style="position:absolute;left:7396;top:507;width:3120;height:809" type="#_x0000_t202" filled="false" stroked="false">
              <v:textbox inset="0,0,0,0">
                <w:txbxContent>
                  <w:p>
                    <w:pPr>
                      <w:spacing w:line="325" w:lineRule="exact" w:before="0"/>
                      <w:ind w:left="0" w:right="0" w:firstLine="0"/>
                      <w:jc w:val="left"/>
                      <w:rPr>
                        <w:rFonts w:ascii="Cambria" w:hAnsi="Cambria"/>
                        <w:sz w:val="36"/>
                      </w:rPr>
                    </w:pPr>
                    <w:r>
                      <w:rPr>
                        <w:rFonts w:ascii="Cambria" w:hAnsi="Cambria"/>
                        <w:color w:val="6F2F9F"/>
                        <w:w w:val="105"/>
                        <w:sz w:val="36"/>
                      </w:rPr>
                      <w:t>La utilización de  la</w:t>
                    </w:r>
                  </w:p>
                  <w:p>
                    <w:pPr>
                      <w:tabs>
                        <w:tab w:pos="1151" w:val="left" w:leader="none"/>
                        <w:tab w:pos="1827" w:val="left" w:leader="none"/>
                      </w:tabs>
                      <w:spacing w:before="26"/>
                      <w:ind w:left="0" w:right="0" w:firstLine="0"/>
                      <w:jc w:val="left"/>
                      <w:rPr>
                        <w:rFonts w:ascii="Cambria" w:hAnsi="Cambria"/>
                        <w:sz w:val="36"/>
                      </w:rPr>
                    </w:pPr>
                    <w:r>
                      <w:rPr>
                        <w:rFonts w:ascii="Cambria" w:hAnsi="Cambria"/>
                        <w:color w:val="6F2F9F"/>
                        <w:sz w:val="36"/>
                      </w:rPr>
                      <w:t>Teoría</w:t>
                      <w:tab/>
                      <w:t>del</w:t>
                      <w:tab/>
                      <w:t>Caso</w:t>
                    </w:r>
                  </w:p>
                </w:txbxContent>
              </v:textbox>
              <w10:wrap type="none"/>
            </v:shape>
            <v:shape style="position:absolute;left:7396;top:1405;width:2641;height:812" type="#_x0000_t202" filled="false" stroked="false">
              <v:textbox inset="0,0,0,0">
                <w:txbxContent>
                  <w:p>
                    <w:pPr>
                      <w:tabs>
                        <w:tab w:pos="1393" w:val="left" w:leader="none"/>
                      </w:tabs>
                      <w:spacing w:line="325" w:lineRule="exact" w:before="0"/>
                      <w:ind w:left="0" w:right="0" w:firstLine="0"/>
                      <w:jc w:val="left"/>
                      <w:rPr>
                        <w:rFonts w:ascii="Cambria"/>
                        <w:sz w:val="36"/>
                      </w:rPr>
                    </w:pPr>
                    <w:r>
                      <w:rPr>
                        <w:rFonts w:ascii="Cambria"/>
                        <w:color w:val="6F2F9F"/>
                        <w:sz w:val="36"/>
                      </w:rPr>
                      <w:t>nuestra</w:t>
                      <w:tab/>
                    </w:r>
                    <w:r>
                      <w:rPr>
                        <w:rFonts w:ascii="Cambria"/>
                        <w:color w:val="6F2F9F"/>
                        <w:spacing w:val="-1"/>
                        <w:w w:val="95"/>
                        <w:sz w:val="36"/>
                      </w:rPr>
                      <w:t>defensa,</w:t>
                    </w:r>
                  </w:p>
                  <w:p>
                    <w:pPr>
                      <w:spacing w:before="29"/>
                      <w:ind w:left="0" w:right="0" w:firstLine="0"/>
                      <w:jc w:val="left"/>
                      <w:rPr>
                        <w:rFonts w:ascii="Cambria"/>
                        <w:sz w:val="36"/>
                      </w:rPr>
                    </w:pPr>
                    <w:r>
                      <w:rPr>
                        <w:rFonts w:ascii="Cambria"/>
                        <w:color w:val="6F2F9F"/>
                        <w:sz w:val="36"/>
                      </w:rPr>
                      <w:t>da</w:t>
                    </w:r>
                  </w:p>
                </w:txbxContent>
              </v:textbox>
              <w10:wrap type="none"/>
            </v:shape>
            <v:shape style="position:absolute;left:8104;top:1856;width:239;height:360" type="#_x0000_t202" filled="false" stroked="false">
              <v:textbox inset="0,0,0,0">
                <w:txbxContent>
                  <w:p>
                    <w:pPr>
                      <w:spacing w:line="325" w:lineRule="exact" w:before="0"/>
                      <w:ind w:left="0" w:right="-14" w:firstLine="0"/>
                      <w:jc w:val="left"/>
                      <w:rPr>
                        <w:rFonts w:ascii="Cambria"/>
                        <w:sz w:val="36"/>
                      </w:rPr>
                    </w:pPr>
                    <w:r>
                      <w:rPr>
                        <w:rFonts w:ascii="Cambria"/>
                        <w:color w:val="6F2F9F"/>
                        <w:w w:val="85"/>
                        <w:sz w:val="36"/>
                      </w:rPr>
                      <w:t>el</w:t>
                    </w:r>
                  </w:p>
                </w:txbxContent>
              </v:textbox>
              <w10:wrap type="none"/>
            </v:shape>
            <v:shape style="position:absolute;left:8677;top:1856;width:1179;height:360" type="#_x0000_t202" filled="false" stroked="false">
              <v:textbox inset="0,0,0,0">
                <w:txbxContent>
                  <w:p>
                    <w:pPr>
                      <w:spacing w:line="325" w:lineRule="exact" w:before="0"/>
                      <w:ind w:left="0" w:right="0" w:firstLine="0"/>
                      <w:jc w:val="left"/>
                      <w:rPr>
                        <w:rFonts w:ascii="Cambria" w:hAnsi="Cambria"/>
                        <w:sz w:val="36"/>
                      </w:rPr>
                    </w:pPr>
                    <w:r>
                      <w:rPr>
                        <w:rFonts w:ascii="Cambria" w:hAnsi="Cambria"/>
                        <w:color w:val="6F2F9F"/>
                        <w:w w:val="90"/>
                        <w:sz w:val="36"/>
                      </w:rPr>
                      <w:t>carácter</w:t>
                    </w:r>
                  </w:p>
                </w:txbxContent>
              </v:textbox>
              <w10:wrap type="none"/>
            </v:shape>
            <v:shape style="position:absolute;left:7396;top:2305;width:2527;height:810" type="#_x0000_t202" filled="false" stroked="false">
              <v:textbox inset="0,0,0,0">
                <w:txbxContent>
                  <w:p>
                    <w:pPr>
                      <w:spacing w:line="325" w:lineRule="exact" w:before="0"/>
                      <w:ind w:left="0" w:right="0" w:firstLine="0"/>
                      <w:jc w:val="left"/>
                      <w:rPr>
                        <w:rFonts w:ascii="Cambria"/>
                        <w:sz w:val="36"/>
                      </w:rPr>
                    </w:pPr>
                    <w:r>
                      <w:rPr>
                        <w:rFonts w:ascii="Cambria"/>
                        <w:color w:val="6F2F9F"/>
                        <w:sz w:val="36"/>
                      </w:rPr>
                      <w:t>tecnicidad,</w:t>
                    </w:r>
                  </w:p>
                  <w:p>
                    <w:pPr>
                      <w:tabs>
                        <w:tab w:pos="1437" w:val="left" w:leader="none"/>
                      </w:tabs>
                      <w:spacing w:before="27"/>
                      <w:ind w:left="0" w:right="0" w:firstLine="0"/>
                      <w:jc w:val="left"/>
                      <w:rPr>
                        <w:rFonts w:ascii="Cambria"/>
                        <w:sz w:val="36"/>
                      </w:rPr>
                    </w:pPr>
                    <w:r>
                      <w:rPr>
                        <w:rFonts w:ascii="Cambria"/>
                        <w:color w:val="6F2F9F"/>
                        <w:sz w:val="36"/>
                      </w:rPr>
                      <w:t>otorgar</w:t>
                      <w:tab/>
                    </w:r>
                    <w:r>
                      <w:rPr>
                        <w:rFonts w:ascii="Cambria"/>
                        <w:color w:val="6F2F9F"/>
                        <w:spacing w:val="-2"/>
                        <w:w w:val="95"/>
                        <w:sz w:val="36"/>
                      </w:rPr>
                      <w:t>sentido</w:t>
                    </w:r>
                  </w:p>
                </w:txbxContent>
              </v:textbox>
              <w10:wrap type="none"/>
            </v:shape>
            <v:shape style="position:absolute;left:7396;top:3203;width:2309;height:360" type="#_x0000_t202" filled="false" stroked="false">
              <v:textbox inset="0,0,0,0">
                <w:txbxContent>
                  <w:p>
                    <w:pPr>
                      <w:tabs>
                        <w:tab w:pos="2130" w:val="left" w:leader="none"/>
                      </w:tabs>
                      <w:spacing w:line="325" w:lineRule="exact" w:before="0"/>
                      <w:ind w:left="0" w:right="0" w:firstLine="0"/>
                      <w:jc w:val="left"/>
                      <w:rPr>
                        <w:rFonts w:ascii="Cambria"/>
                        <w:sz w:val="36"/>
                      </w:rPr>
                    </w:pPr>
                    <w:r>
                      <w:rPr>
                        <w:rFonts w:ascii="Cambria"/>
                        <w:color w:val="6F2F9F"/>
                        <w:w w:val="105"/>
                        <w:sz w:val="36"/>
                      </w:rPr>
                      <w:t>significado</w:t>
                      <w:tab/>
                    </w:r>
                    <w:r>
                      <w:rPr>
                        <w:rFonts w:ascii="Cambria"/>
                        <w:color w:val="6F2F9F"/>
                        <w:sz w:val="36"/>
                      </w:rPr>
                      <w:t>a</w:t>
                    </w:r>
                  </w:p>
                </w:txbxContent>
              </v:textbox>
              <w10:wrap type="none"/>
            </v:shape>
            <v:shape style="position:absolute;left:10104;top:956;width:414;height:2607" type="#_x0000_t202" filled="false" stroked="false">
              <v:textbox inset="0,0,0,0">
                <w:txbxContent>
                  <w:p>
                    <w:pPr>
                      <w:spacing w:line="325" w:lineRule="exact" w:before="0"/>
                      <w:ind w:left="172" w:right="-1" w:hanging="116"/>
                      <w:jc w:val="left"/>
                      <w:rPr>
                        <w:rFonts w:ascii="Cambria"/>
                        <w:sz w:val="36"/>
                      </w:rPr>
                    </w:pPr>
                    <w:r>
                      <w:rPr>
                        <w:rFonts w:ascii="Cambria"/>
                        <w:color w:val="6F2F9F"/>
                        <w:w w:val="90"/>
                        <w:sz w:val="36"/>
                      </w:rPr>
                      <w:t>en</w:t>
                    </w:r>
                  </w:p>
                  <w:p>
                    <w:pPr>
                      <w:spacing w:line="256" w:lineRule="auto" w:before="26"/>
                      <w:ind w:left="0" w:right="0" w:firstLine="172"/>
                      <w:jc w:val="both"/>
                      <w:rPr>
                        <w:rFonts w:ascii="Cambria"/>
                        <w:sz w:val="36"/>
                      </w:rPr>
                    </w:pPr>
                    <w:r>
                      <w:rPr>
                        <w:rFonts w:ascii="Cambria"/>
                        <w:color w:val="6F2F9F"/>
                        <w:w w:val="85"/>
                        <w:sz w:val="36"/>
                      </w:rPr>
                      <w:t>le </w:t>
                    </w:r>
                    <w:r>
                      <w:rPr>
                        <w:rFonts w:ascii="Cambria"/>
                        <w:color w:val="6F2F9F"/>
                        <w:sz w:val="36"/>
                      </w:rPr>
                      <w:t>de </w:t>
                    </w:r>
                    <w:r>
                      <w:rPr>
                        <w:rFonts w:ascii="Cambria"/>
                        <w:color w:val="6F2F9F"/>
                        <w:w w:val="105"/>
                        <w:sz w:val="36"/>
                      </w:rPr>
                      <w:t>al y </w:t>
                    </w:r>
                    <w:r>
                      <w:rPr>
                        <w:rFonts w:ascii="Cambria"/>
                        <w:color w:val="6F2F9F"/>
                        <w:w w:val="90"/>
                        <w:sz w:val="36"/>
                      </w:rPr>
                      <w:t>los</w:t>
                    </w:r>
                  </w:p>
                </w:txbxContent>
              </v:textbox>
              <w10:wrap type="none"/>
            </v:shape>
            <v:shape style="position:absolute;left:7396;top:3652;width:3122;height:3502" type="#_x0000_t202" filled="false" stroked="false">
              <v:textbox inset="0,0,0,0">
                <w:txbxContent>
                  <w:p>
                    <w:pPr>
                      <w:spacing w:line="325" w:lineRule="exact" w:before="0"/>
                      <w:ind w:left="0" w:right="-6" w:firstLine="0"/>
                      <w:jc w:val="left"/>
                      <w:rPr>
                        <w:rFonts w:ascii="Cambria"/>
                        <w:sz w:val="36"/>
                      </w:rPr>
                    </w:pPr>
                    <w:r>
                      <w:rPr>
                        <w:rFonts w:ascii="Cambria"/>
                        <w:color w:val="6F2F9F"/>
                        <w:sz w:val="36"/>
                      </w:rPr>
                      <w:t>hechos,</w:t>
                    </w:r>
                    <w:r>
                      <w:rPr>
                        <w:rFonts w:ascii="Cambria"/>
                        <w:color w:val="6F2F9F"/>
                        <w:spacing w:val="-21"/>
                        <w:sz w:val="36"/>
                      </w:rPr>
                      <w:t> </w:t>
                    </w:r>
                    <w:r>
                      <w:rPr>
                        <w:rFonts w:ascii="Cambria"/>
                        <w:color w:val="6F2F9F"/>
                        <w:sz w:val="36"/>
                      </w:rPr>
                      <w:t>las</w:t>
                    </w:r>
                    <w:r>
                      <w:rPr>
                        <w:rFonts w:ascii="Cambria"/>
                        <w:color w:val="6F2F9F"/>
                        <w:spacing w:val="-20"/>
                        <w:sz w:val="36"/>
                      </w:rPr>
                      <w:t> </w:t>
                    </w:r>
                    <w:r>
                      <w:rPr>
                        <w:rFonts w:ascii="Cambria"/>
                        <w:color w:val="6F2F9F"/>
                        <w:sz w:val="36"/>
                      </w:rPr>
                      <w:t>normas</w:t>
                    </w:r>
                    <w:r>
                      <w:rPr>
                        <w:rFonts w:ascii="Cambria"/>
                        <w:color w:val="6F2F9F"/>
                        <w:spacing w:val="-21"/>
                        <w:sz w:val="36"/>
                      </w:rPr>
                      <w:t> </w:t>
                    </w:r>
                    <w:r>
                      <w:rPr>
                        <w:rFonts w:ascii="Cambria"/>
                        <w:color w:val="6F2F9F"/>
                        <w:sz w:val="36"/>
                      </w:rPr>
                      <w:t>y</w:t>
                    </w:r>
                  </w:p>
                  <w:p>
                    <w:pPr>
                      <w:tabs>
                        <w:tab w:pos="1847" w:val="left" w:leader="none"/>
                      </w:tabs>
                      <w:spacing w:before="26"/>
                      <w:ind w:left="0" w:right="0" w:firstLine="0"/>
                      <w:jc w:val="left"/>
                      <w:rPr>
                        <w:rFonts w:ascii="Cambria"/>
                        <w:sz w:val="36"/>
                      </w:rPr>
                    </w:pPr>
                    <w:r>
                      <w:rPr>
                        <w:rFonts w:ascii="Cambria"/>
                        <w:color w:val="6F2F9F"/>
                        <w:sz w:val="36"/>
                      </w:rPr>
                      <w:t>el</w:t>
                      <w:tab/>
                    </w:r>
                    <w:r>
                      <w:rPr>
                        <w:rFonts w:ascii="Cambria"/>
                        <w:color w:val="6F2F9F"/>
                        <w:w w:val="95"/>
                        <w:sz w:val="36"/>
                      </w:rPr>
                      <w:t>material</w:t>
                    </w:r>
                  </w:p>
                  <w:p>
                    <w:pPr>
                      <w:tabs>
                        <w:tab w:pos="1455" w:val="left" w:leader="none"/>
                        <w:tab w:pos="1842" w:val="left" w:leader="none"/>
                        <w:tab w:pos="2766" w:val="left" w:leader="none"/>
                      </w:tabs>
                      <w:spacing w:line="254" w:lineRule="auto" w:before="26"/>
                      <w:ind w:left="0" w:right="0" w:firstLine="0"/>
                      <w:jc w:val="left"/>
                      <w:rPr>
                        <w:rFonts w:ascii="Cambria"/>
                        <w:sz w:val="36"/>
                      </w:rPr>
                    </w:pPr>
                    <w:r>
                      <w:rPr>
                        <w:rFonts w:ascii="Cambria"/>
                        <w:color w:val="6F2F9F"/>
                        <w:w w:val="95"/>
                        <w:sz w:val="36"/>
                      </w:rPr>
                      <w:t>probatorio,</w:t>
                      <w:tab/>
                      <w:tab/>
                    </w:r>
                    <w:r>
                      <w:rPr>
                        <w:rFonts w:ascii="Cambria"/>
                        <w:color w:val="6F2F9F"/>
                        <w:w w:val="90"/>
                        <w:sz w:val="36"/>
                      </w:rPr>
                      <w:t>en </w:t>
                    </w:r>
                    <w:r>
                      <w:rPr>
                        <w:rFonts w:ascii="Cambria"/>
                        <w:color w:val="6F2F9F"/>
                        <w:sz w:val="36"/>
                      </w:rPr>
                      <w:t>consecuencia </w:t>
                    </w:r>
                    <w:r>
                      <w:rPr>
                        <w:rFonts w:ascii="Cambria"/>
                        <w:color w:val="6F2F9F"/>
                        <w:w w:val="95"/>
                        <w:sz w:val="36"/>
                      </w:rPr>
                      <w:t>podemos</w:t>
                      <w:tab/>
                    </w:r>
                    <w:r>
                      <w:rPr>
                        <w:rFonts w:ascii="Cambria"/>
                        <w:color w:val="6F2F9F"/>
                        <w:spacing w:val="-1"/>
                        <w:sz w:val="36"/>
                      </w:rPr>
                      <w:t>garantizar </w:t>
                    </w:r>
                    <w:r>
                      <w:rPr>
                        <w:rFonts w:ascii="Cambria"/>
                        <w:color w:val="6F2F9F"/>
                        <w:sz w:val="36"/>
                      </w:rPr>
                      <w:t>a</w:t>
                      <w:tab/>
                      <w:tab/>
                    </w:r>
                    <w:r>
                      <w:rPr>
                        <w:rFonts w:ascii="Cambria"/>
                        <w:color w:val="6F2F9F"/>
                        <w:w w:val="90"/>
                        <w:sz w:val="36"/>
                      </w:rPr>
                      <w:t>nuestros</w:t>
                    </w:r>
                  </w:p>
                  <w:p>
                    <w:pPr>
                      <w:tabs>
                        <w:tab w:pos="930" w:val="left" w:leader="none"/>
                        <w:tab w:pos="2262" w:val="left" w:leader="none"/>
                      </w:tabs>
                      <w:spacing w:line="254" w:lineRule="auto" w:before="1"/>
                      <w:ind w:left="0" w:right="0" w:firstLine="0"/>
                      <w:jc w:val="left"/>
                      <w:rPr>
                        <w:rFonts w:ascii="Cambria"/>
                        <w:sz w:val="36"/>
                      </w:rPr>
                    </w:pPr>
                    <w:r>
                      <w:rPr>
                        <w:rFonts w:ascii="Cambria"/>
                        <w:color w:val="6F2F9F"/>
                        <w:w w:val="90"/>
                        <w:sz w:val="36"/>
                      </w:rPr>
                      <w:t>defendidos el derecho </w:t>
                    </w:r>
                    <w:r>
                      <w:rPr>
                        <w:rFonts w:ascii="Cambria"/>
                        <w:color w:val="6F2F9F"/>
                        <w:sz w:val="36"/>
                      </w:rPr>
                      <w:t>que</w:t>
                      <w:tab/>
                      <w:t>tienen</w:t>
                      <w:tab/>
                      <w:t>a</w:t>
                    </w:r>
                  </w:p>
                </w:txbxContent>
              </v:textbox>
              <w10:wrap type="none"/>
            </v:shape>
            <v:shape style="position:absolute;left:7396;top:7243;width:2557;height:360" type="#_x0000_t202" filled="false" stroked="false">
              <v:textbox inset="0,0,0,0">
                <w:txbxContent>
                  <w:p>
                    <w:pPr>
                      <w:tabs>
                        <w:tab w:pos="1489" w:val="left" w:leader="none"/>
                      </w:tabs>
                      <w:spacing w:line="325" w:lineRule="exact" w:before="0"/>
                      <w:ind w:left="0" w:right="0" w:firstLine="0"/>
                      <w:jc w:val="left"/>
                      <w:rPr>
                        <w:rFonts w:ascii="Cambria" w:hAnsi="Cambria"/>
                        <w:sz w:val="36"/>
                      </w:rPr>
                    </w:pPr>
                    <w:r>
                      <w:rPr>
                        <w:rFonts w:ascii="Cambria" w:hAnsi="Cambria"/>
                        <w:color w:val="6F2F9F"/>
                        <w:sz w:val="36"/>
                      </w:rPr>
                      <w:t>defensa</w:t>
                      <w:tab/>
                    </w:r>
                    <w:r>
                      <w:rPr>
                        <w:rFonts w:ascii="Cambria" w:hAnsi="Cambria"/>
                        <w:color w:val="6F2F9F"/>
                        <w:w w:val="95"/>
                        <w:sz w:val="36"/>
                      </w:rPr>
                      <w:t>técnica</w:t>
                    </w:r>
                  </w:p>
                </w:txbxContent>
              </v:textbox>
              <w10:wrap type="none"/>
            </v:shape>
            <v:shape style="position:absolute;left:10226;top:6794;width:291;height:809" type="#_x0000_t202" filled="false" stroked="false">
              <v:textbox inset="0,0,0,0">
                <w:txbxContent>
                  <w:p>
                    <w:pPr>
                      <w:spacing w:line="325" w:lineRule="exact" w:before="0"/>
                      <w:ind w:left="60" w:right="-16" w:hanging="61"/>
                      <w:jc w:val="left"/>
                      <w:rPr>
                        <w:rFonts w:ascii="Cambria"/>
                        <w:sz w:val="36"/>
                      </w:rPr>
                    </w:pPr>
                    <w:r>
                      <w:rPr>
                        <w:rFonts w:ascii="Cambria"/>
                        <w:color w:val="6F2F9F"/>
                        <w:w w:val="105"/>
                        <w:sz w:val="36"/>
                      </w:rPr>
                      <w:t>la</w:t>
                    </w:r>
                  </w:p>
                  <w:p>
                    <w:pPr>
                      <w:spacing w:before="26"/>
                      <w:ind w:left="60" w:right="0" w:firstLine="0"/>
                      <w:jc w:val="left"/>
                      <w:rPr>
                        <w:rFonts w:ascii="Cambria"/>
                        <w:sz w:val="36"/>
                      </w:rPr>
                    </w:pPr>
                    <w:r>
                      <w:rPr>
                        <w:rFonts w:ascii="Cambria"/>
                        <w:color w:val="6F2F9F"/>
                        <w:w w:val="126"/>
                        <w:sz w:val="36"/>
                      </w:rPr>
                      <w:t>y</w:t>
                    </w:r>
                  </w:p>
                </w:txbxContent>
              </v:textbox>
              <w10:wrap type="none"/>
            </v:shape>
            <v:shape style="position:absolute;left:7396;top:7691;width:1499;height:360" type="#_x0000_t202" filled="false" stroked="false">
              <v:textbox inset="0,0,0,0">
                <w:txbxContent>
                  <w:p>
                    <w:pPr>
                      <w:spacing w:line="325" w:lineRule="exact" w:before="0"/>
                      <w:ind w:left="0" w:right="0" w:firstLine="0"/>
                      <w:jc w:val="left"/>
                      <w:rPr>
                        <w:rFonts w:ascii="Cambria"/>
                        <w:sz w:val="36"/>
                      </w:rPr>
                    </w:pPr>
                    <w:r>
                      <w:rPr>
                        <w:rFonts w:ascii="Cambria"/>
                        <w:color w:val="6F2F9F"/>
                        <w:w w:val="95"/>
                        <w:sz w:val="36"/>
                      </w:rPr>
                      <w:t>adecuada.</w:t>
                    </w:r>
                  </w:p>
                </w:txbxContent>
              </v:textbox>
              <w10:wrap type="none"/>
            </v:shape>
            <w10:wrap type="none"/>
          </v:group>
        </w:pict>
      </w:r>
      <w:r>
        <w:rPr/>
        <w:t>Para los efectos de la presente guía, es fundamental conocer lo referente a la Teoría del Caso, ya que de esta depende el éxito o fracaso de</w:t>
      </w:r>
    </w:p>
    <w:p>
      <w:pPr>
        <w:pStyle w:val="BodyText"/>
        <w:spacing w:line="360" w:lineRule="auto" w:before="1"/>
        <w:ind w:left="102" w:right="3986"/>
        <w:jc w:val="both"/>
      </w:pPr>
      <w:r>
        <w:rPr/>
        <w:t>la defensa. Es así que, para elaborar una defensa con</w:t>
      </w:r>
      <w:r>
        <w:rPr>
          <w:spacing w:val="-8"/>
        </w:rPr>
        <w:t> </w:t>
      </w:r>
      <w:r>
        <w:rPr/>
        <w:t>perspectiva</w:t>
      </w:r>
      <w:r>
        <w:rPr>
          <w:spacing w:val="-8"/>
        </w:rPr>
        <w:t> </w:t>
      </w:r>
      <w:r>
        <w:rPr/>
        <w:t>de</w:t>
      </w:r>
      <w:r>
        <w:rPr>
          <w:spacing w:val="-13"/>
        </w:rPr>
        <w:t> </w:t>
      </w:r>
      <w:r>
        <w:rPr/>
        <w:t>género,</w:t>
      </w:r>
      <w:r>
        <w:rPr>
          <w:spacing w:val="-7"/>
        </w:rPr>
        <w:t> </w:t>
      </w:r>
      <w:r>
        <w:rPr/>
        <w:t>la</w:t>
      </w:r>
      <w:r>
        <w:rPr>
          <w:spacing w:val="-13"/>
        </w:rPr>
        <w:t> </w:t>
      </w:r>
      <w:r>
        <w:rPr/>
        <w:t>Teoría</w:t>
      </w:r>
      <w:r>
        <w:rPr>
          <w:spacing w:val="-8"/>
        </w:rPr>
        <w:t> </w:t>
      </w:r>
      <w:r>
        <w:rPr/>
        <w:t>del</w:t>
      </w:r>
      <w:r>
        <w:rPr>
          <w:spacing w:val="-9"/>
        </w:rPr>
        <w:t> </w:t>
      </w:r>
      <w:r>
        <w:rPr/>
        <w:t>Caso</w:t>
      </w:r>
      <w:r>
        <w:rPr>
          <w:spacing w:val="-10"/>
        </w:rPr>
        <w:t> </w:t>
      </w:r>
      <w:r>
        <w:rPr/>
        <w:t>es</w:t>
      </w:r>
      <w:r>
        <w:rPr>
          <w:spacing w:val="-10"/>
        </w:rPr>
        <w:t> </w:t>
      </w:r>
      <w:r>
        <w:rPr/>
        <w:t>la herramienta efectiva para incorporar los elementos derivados de la construcción social del sexo, y hacerlos valer en nuestra</w:t>
      </w:r>
      <w:r>
        <w:rPr>
          <w:spacing w:val="-4"/>
        </w:rPr>
        <w:t> </w:t>
      </w:r>
      <w:r>
        <w:rPr/>
        <w:t>defensa</w:t>
      </w:r>
    </w:p>
    <w:p>
      <w:pPr>
        <w:pStyle w:val="BodyText"/>
        <w:spacing w:before="8"/>
        <w:rPr>
          <w:sz w:val="17"/>
        </w:rPr>
      </w:pPr>
    </w:p>
    <w:p>
      <w:pPr>
        <w:pStyle w:val="Heading2"/>
        <w:numPr>
          <w:ilvl w:val="1"/>
          <w:numId w:val="9"/>
        </w:numPr>
        <w:tabs>
          <w:tab w:pos="702" w:val="left" w:leader="none"/>
        </w:tabs>
        <w:spacing w:line="240" w:lineRule="auto" w:before="0" w:after="0"/>
        <w:ind w:left="701" w:right="0" w:hanging="599"/>
        <w:jc w:val="both"/>
      </w:pPr>
      <w:bookmarkStart w:name="_TOC_250003" w:id="8"/>
      <w:r>
        <w:rPr>
          <w:color w:val="6F2F9F"/>
        </w:rPr>
        <w:t>La Teoría del</w:t>
      </w:r>
      <w:r>
        <w:rPr>
          <w:color w:val="6F2F9F"/>
          <w:spacing w:val="-2"/>
        </w:rPr>
        <w:t> </w:t>
      </w:r>
      <w:bookmarkEnd w:id="8"/>
      <w:r>
        <w:rPr>
          <w:color w:val="6F2F9F"/>
        </w:rPr>
        <w:t>Caso:</w:t>
      </w:r>
    </w:p>
    <w:p>
      <w:pPr>
        <w:pStyle w:val="BodyText"/>
        <w:spacing w:before="6"/>
        <w:rPr>
          <w:b/>
          <w:sz w:val="35"/>
        </w:rPr>
      </w:pPr>
    </w:p>
    <w:p>
      <w:pPr>
        <w:pStyle w:val="BodyText"/>
        <w:spacing w:line="360" w:lineRule="auto"/>
        <w:ind w:left="102" w:right="3987"/>
        <w:jc w:val="both"/>
      </w:pPr>
      <w:r>
        <w:rPr/>
        <w:t>Es</w:t>
      </w:r>
      <w:r>
        <w:rPr>
          <w:spacing w:val="-5"/>
        </w:rPr>
        <w:t> </w:t>
      </w:r>
      <w:r>
        <w:rPr/>
        <w:t>el</w:t>
      </w:r>
      <w:r>
        <w:rPr>
          <w:spacing w:val="-6"/>
        </w:rPr>
        <w:t> </w:t>
      </w:r>
      <w:r>
        <w:rPr/>
        <w:t>planteamiento</w:t>
      </w:r>
      <w:r>
        <w:rPr>
          <w:spacing w:val="-8"/>
        </w:rPr>
        <w:t> </w:t>
      </w:r>
      <w:r>
        <w:rPr/>
        <w:t>metodológico</w:t>
      </w:r>
      <w:r>
        <w:rPr>
          <w:spacing w:val="-8"/>
        </w:rPr>
        <w:t> </w:t>
      </w:r>
      <w:r>
        <w:rPr/>
        <w:t>que</w:t>
      </w:r>
      <w:r>
        <w:rPr>
          <w:spacing w:val="-8"/>
        </w:rPr>
        <w:t> </w:t>
      </w:r>
      <w:r>
        <w:rPr/>
        <w:t>cada</w:t>
      </w:r>
      <w:r>
        <w:rPr>
          <w:spacing w:val="-8"/>
        </w:rPr>
        <w:t> </w:t>
      </w:r>
      <w:r>
        <w:rPr/>
        <w:t>una</w:t>
      </w:r>
      <w:r>
        <w:rPr>
          <w:spacing w:val="-8"/>
        </w:rPr>
        <w:t> </w:t>
      </w:r>
      <w:r>
        <w:rPr/>
        <w:t>de las partes debe realizar desde el primer momento que han tomado conocimiento de los hechos, con la</w:t>
      </w:r>
      <w:r>
        <w:rPr>
          <w:spacing w:val="-11"/>
        </w:rPr>
        <w:t> </w:t>
      </w:r>
      <w:r>
        <w:rPr/>
        <w:t>finalidad</w:t>
      </w:r>
      <w:r>
        <w:rPr>
          <w:spacing w:val="-9"/>
        </w:rPr>
        <w:t> </w:t>
      </w:r>
      <w:r>
        <w:rPr/>
        <w:t>de</w:t>
      </w:r>
      <w:r>
        <w:rPr>
          <w:spacing w:val="-11"/>
        </w:rPr>
        <w:t> </w:t>
      </w:r>
      <w:r>
        <w:rPr/>
        <w:t>dotar</w:t>
      </w:r>
      <w:r>
        <w:rPr>
          <w:spacing w:val="-10"/>
        </w:rPr>
        <w:t> </w:t>
      </w:r>
      <w:r>
        <w:rPr/>
        <w:t>de</w:t>
      </w:r>
      <w:r>
        <w:rPr>
          <w:spacing w:val="-9"/>
        </w:rPr>
        <w:t> </w:t>
      </w:r>
      <w:r>
        <w:rPr/>
        <w:t>un</w:t>
      </w:r>
      <w:r>
        <w:rPr>
          <w:spacing w:val="-9"/>
        </w:rPr>
        <w:t> </w:t>
      </w:r>
      <w:r>
        <w:rPr/>
        <w:t>solo</w:t>
      </w:r>
      <w:r>
        <w:rPr>
          <w:spacing w:val="-11"/>
        </w:rPr>
        <w:t> </w:t>
      </w:r>
      <w:r>
        <w:rPr/>
        <w:t>sentido</w:t>
      </w:r>
      <w:r>
        <w:rPr>
          <w:spacing w:val="-11"/>
        </w:rPr>
        <w:t> </w:t>
      </w:r>
      <w:r>
        <w:rPr/>
        <w:t>y</w:t>
      </w:r>
      <w:r>
        <w:rPr>
          <w:spacing w:val="-11"/>
        </w:rPr>
        <w:t> </w:t>
      </w:r>
      <w:r>
        <w:rPr/>
        <w:t>significado u orientación a los hechos, normas jurídicas, así como el material probatorio. Es un método que permite darle un solo sentido o significado a los hechos, normas y material probatorio en todas las etapas del procedimiento. (Benavente, 2014a:</w:t>
      </w:r>
      <w:r>
        <w:rPr>
          <w:spacing w:val="-10"/>
        </w:rPr>
        <w:t> </w:t>
      </w:r>
      <w:r>
        <w:rPr/>
        <w:t>27).</w:t>
      </w:r>
    </w:p>
    <w:p>
      <w:pPr>
        <w:pStyle w:val="BodyText"/>
        <w:spacing w:before="9"/>
        <w:rPr>
          <w:sz w:val="17"/>
        </w:rPr>
      </w:pPr>
    </w:p>
    <w:p>
      <w:pPr>
        <w:pStyle w:val="BodyText"/>
        <w:spacing w:line="360" w:lineRule="auto"/>
        <w:ind w:left="102" w:right="3985"/>
        <w:jc w:val="both"/>
      </w:pPr>
      <w:r>
        <w:rPr/>
        <w:pict>
          <v:shape style="position:absolute;margin-left:435.000031pt;margin-top:98.327858pt;width:90.85pt;height:82.35pt;mso-position-horizontal-relative:page;mso-position-vertical-relative:paragraph;z-index:4072" coordorigin="8700,1967" coordsize="1817,1647" path="m10517,2164l10506,2151,9221,3294,10517,2164m10517,2058l10506,2048,9038,3349,10517,2058m10517,2027l10506,2027,8700,3613,8714,3613,10517,2027m10517,2015l10506,2015,9062,3281,9062,3294,10517,2015m10517,1967l10506,1967,9336,3006,10517,1967e" filled="true" fillcolor="#8496af" stroked="false">
            <v:path arrowok="t"/>
            <v:fill type="solid"/>
            <w10:wrap type="none"/>
          </v:shape>
        </w:pict>
      </w:r>
      <w:r>
        <w:rPr/>
        <w:t>La teoría del caso es una herramienta metodológica por excelencia, que tienen las partes para poder construir, recolectar, depurar y exponer su</w:t>
      </w:r>
      <w:r>
        <w:rPr>
          <w:spacing w:val="-16"/>
        </w:rPr>
        <w:t> </w:t>
      </w:r>
      <w:r>
        <w:rPr/>
        <w:t>posición</w:t>
      </w:r>
      <w:r>
        <w:rPr>
          <w:spacing w:val="-16"/>
        </w:rPr>
        <w:t> </w:t>
      </w:r>
      <w:r>
        <w:rPr/>
        <w:t>estratégica</w:t>
      </w:r>
      <w:r>
        <w:rPr>
          <w:spacing w:val="-18"/>
        </w:rPr>
        <w:t> </w:t>
      </w:r>
      <w:r>
        <w:rPr/>
        <w:t>frente</w:t>
      </w:r>
      <w:r>
        <w:rPr>
          <w:spacing w:val="-16"/>
        </w:rPr>
        <w:t> </w:t>
      </w:r>
      <w:r>
        <w:rPr/>
        <w:t>a</w:t>
      </w:r>
      <w:r>
        <w:rPr>
          <w:spacing w:val="-16"/>
        </w:rPr>
        <w:t> </w:t>
      </w:r>
      <w:r>
        <w:rPr/>
        <w:t>los</w:t>
      </w:r>
      <w:r>
        <w:rPr>
          <w:spacing w:val="-16"/>
        </w:rPr>
        <w:t> </w:t>
      </w:r>
      <w:r>
        <w:rPr/>
        <w:t>hechos</w:t>
      </w:r>
      <w:r>
        <w:rPr>
          <w:spacing w:val="-18"/>
        </w:rPr>
        <w:t> </w:t>
      </w:r>
      <w:r>
        <w:rPr/>
        <w:t>materias del</w:t>
      </w:r>
      <w:r>
        <w:rPr>
          <w:spacing w:val="-11"/>
        </w:rPr>
        <w:t> </w:t>
      </w:r>
      <w:r>
        <w:rPr/>
        <w:t>proceso,</w:t>
      </w:r>
      <w:r>
        <w:rPr>
          <w:spacing w:val="-12"/>
        </w:rPr>
        <w:t> </w:t>
      </w:r>
      <w:r>
        <w:rPr/>
        <w:t>y</w:t>
      </w:r>
      <w:r>
        <w:rPr>
          <w:spacing w:val="-12"/>
        </w:rPr>
        <w:t> </w:t>
      </w:r>
      <w:r>
        <w:rPr/>
        <w:t>por</w:t>
      </w:r>
      <w:r>
        <w:rPr>
          <w:spacing w:val="-11"/>
        </w:rPr>
        <w:t> </w:t>
      </w:r>
      <w:r>
        <w:rPr/>
        <w:t>otro</w:t>
      </w:r>
      <w:r>
        <w:rPr>
          <w:spacing w:val="-13"/>
        </w:rPr>
        <w:t> </w:t>
      </w:r>
      <w:r>
        <w:rPr/>
        <w:t>lado</w:t>
      </w:r>
      <w:r>
        <w:rPr>
          <w:spacing w:val="-10"/>
        </w:rPr>
        <w:t> </w:t>
      </w:r>
      <w:r>
        <w:rPr/>
        <w:t>es</w:t>
      </w:r>
      <w:r>
        <w:rPr>
          <w:spacing w:val="-13"/>
        </w:rPr>
        <w:t> </w:t>
      </w:r>
      <w:r>
        <w:rPr/>
        <w:t>un</w:t>
      </w:r>
      <w:r>
        <w:rPr>
          <w:spacing w:val="-13"/>
        </w:rPr>
        <w:t> </w:t>
      </w:r>
      <w:r>
        <w:rPr/>
        <w:t>sistema</w:t>
      </w:r>
      <w:r>
        <w:rPr>
          <w:spacing w:val="-12"/>
        </w:rPr>
        <w:t> </w:t>
      </w:r>
      <w:r>
        <w:rPr/>
        <w:t>o</w:t>
      </w:r>
      <w:r>
        <w:rPr>
          <w:spacing w:val="-13"/>
        </w:rPr>
        <w:t> </w:t>
      </w:r>
      <w:r>
        <w:rPr/>
        <w:t>aparato conceptual que permite la articulación de tres niveles</w:t>
      </w:r>
      <w:r>
        <w:rPr>
          <w:spacing w:val="-6"/>
        </w:rPr>
        <w:t> </w:t>
      </w:r>
      <w:r>
        <w:rPr/>
        <w:t>de</w:t>
      </w:r>
      <w:r>
        <w:rPr>
          <w:spacing w:val="-7"/>
        </w:rPr>
        <w:t> </w:t>
      </w:r>
      <w:r>
        <w:rPr/>
        <w:t>análisis,</w:t>
      </w:r>
      <w:r>
        <w:rPr>
          <w:spacing w:val="-8"/>
        </w:rPr>
        <w:t> </w:t>
      </w:r>
      <w:r>
        <w:rPr/>
        <w:t>fáctico,</w:t>
      </w:r>
      <w:r>
        <w:rPr>
          <w:spacing w:val="-8"/>
        </w:rPr>
        <w:t> </w:t>
      </w:r>
      <w:r>
        <w:rPr/>
        <w:t>jurídico</w:t>
      </w:r>
      <w:r>
        <w:rPr>
          <w:spacing w:val="-6"/>
        </w:rPr>
        <w:t> </w:t>
      </w:r>
      <w:r>
        <w:rPr/>
        <w:t>y</w:t>
      </w:r>
      <w:r>
        <w:rPr>
          <w:spacing w:val="-8"/>
        </w:rPr>
        <w:t> </w:t>
      </w:r>
      <w:r>
        <w:rPr/>
        <w:t>probatorio,</w:t>
      </w:r>
      <w:r>
        <w:rPr>
          <w:spacing w:val="-8"/>
        </w:rPr>
        <w:t> </w:t>
      </w:r>
      <w:r>
        <w:rPr/>
        <w:t>los cuales no solamente benefician a las partes sino también al juez, dado que se le brinda una carga informativa  tal,  que  le  permitirá  contar  con  </w:t>
      </w:r>
      <w:r>
        <w:rPr>
          <w:spacing w:val="16"/>
        </w:rPr>
        <w:t> </w:t>
      </w:r>
      <w:r>
        <w:rPr/>
        <w:t>los</w:t>
      </w:r>
    </w:p>
    <w:p>
      <w:pPr>
        <w:pStyle w:val="BodyText"/>
        <w:spacing w:before="3"/>
        <w:ind w:left="102"/>
        <w:jc w:val="both"/>
      </w:pPr>
      <w:r>
        <w:rPr/>
        <w:t>elementos de juicio para resolver el conflicto de interés jurídico (Benavente, 2014b: 213)</w:t>
      </w:r>
    </w:p>
    <w:p>
      <w:pPr>
        <w:pStyle w:val="BodyText"/>
        <w:spacing w:before="3"/>
        <w:rPr>
          <w:sz w:val="28"/>
        </w:rPr>
      </w:pPr>
    </w:p>
    <w:p>
      <w:pPr>
        <w:pStyle w:val="BodyText"/>
        <w:spacing w:line="362" w:lineRule="auto" w:before="1"/>
        <w:ind w:left="102" w:right="96"/>
      </w:pPr>
      <w:r>
        <w:rPr/>
        <w:t>Baytelman</w:t>
      </w:r>
      <w:r>
        <w:rPr>
          <w:spacing w:val="-15"/>
        </w:rPr>
        <w:t> </w:t>
      </w:r>
      <w:r>
        <w:rPr/>
        <w:t>y</w:t>
      </w:r>
      <w:r>
        <w:rPr>
          <w:spacing w:val="-17"/>
        </w:rPr>
        <w:t> </w:t>
      </w:r>
      <w:r>
        <w:rPr/>
        <w:t>Duce</w:t>
      </w:r>
      <w:r>
        <w:rPr>
          <w:spacing w:val="-18"/>
        </w:rPr>
        <w:t> </w:t>
      </w:r>
      <w:r>
        <w:rPr/>
        <w:t>(2010:</w:t>
      </w:r>
      <w:r>
        <w:rPr>
          <w:spacing w:val="-16"/>
        </w:rPr>
        <w:t> </w:t>
      </w:r>
      <w:r>
        <w:rPr/>
        <w:t>50),</w:t>
      </w:r>
      <w:r>
        <w:rPr>
          <w:spacing w:val="-16"/>
        </w:rPr>
        <w:t> </w:t>
      </w:r>
      <w:r>
        <w:rPr/>
        <w:t>señalan</w:t>
      </w:r>
      <w:r>
        <w:rPr>
          <w:spacing w:val="-18"/>
        </w:rPr>
        <w:t> </w:t>
      </w:r>
      <w:r>
        <w:rPr/>
        <w:t>que</w:t>
      </w:r>
      <w:r>
        <w:rPr>
          <w:spacing w:val="-18"/>
        </w:rPr>
        <w:t> </w:t>
      </w:r>
      <w:r>
        <w:rPr/>
        <w:t>la</w:t>
      </w:r>
      <w:r>
        <w:rPr>
          <w:spacing w:val="-17"/>
        </w:rPr>
        <w:t> </w:t>
      </w:r>
      <w:r>
        <w:rPr/>
        <w:t>teoría</w:t>
      </w:r>
      <w:r>
        <w:rPr>
          <w:spacing w:val="-15"/>
        </w:rPr>
        <w:t> </w:t>
      </w:r>
      <w:r>
        <w:rPr/>
        <w:t>del</w:t>
      </w:r>
      <w:r>
        <w:rPr>
          <w:spacing w:val="-16"/>
        </w:rPr>
        <w:t> </w:t>
      </w:r>
      <w:r>
        <w:rPr/>
        <w:t>caso,</w:t>
      </w:r>
      <w:r>
        <w:rPr>
          <w:spacing w:val="-16"/>
        </w:rPr>
        <w:t> </w:t>
      </w:r>
      <w:r>
        <w:rPr/>
        <w:t>es</w:t>
      </w:r>
      <w:r>
        <w:rPr>
          <w:spacing w:val="-18"/>
        </w:rPr>
        <w:t> </w:t>
      </w:r>
      <w:r>
        <w:rPr/>
        <w:t>la</w:t>
      </w:r>
      <w:r>
        <w:rPr>
          <w:spacing w:val="-15"/>
        </w:rPr>
        <w:t> </w:t>
      </w:r>
      <w:r>
        <w:rPr/>
        <w:t>idea</w:t>
      </w:r>
      <w:r>
        <w:rPr>
          <w:spacing w:val="-15"/>
        </w:rPr>
        <w:t> </w:t>
      </w:r>
      <w:r>
        <w:rPr/>
        <w:t>básica</w:t>
      </w:r>
      <w:r>
        <w:rPr>
          <w:spacing w:val="-15"/>
        </w:rPr>
        <w:t> </w:t>
      </w:r>
      <w:r>
        <w:rPr/>
        <w:t>y</w:t>
      </w:r>
      <w:r>
        <w:rPr>
          <w:spacing w:val="-17"/>
        </w:rPr>
        <w:t> </w:t>
      </w:r>
      <w:r>
        <w:rPr/>
        <w:t>subyacente de toda nuestra presentación en juicio, que no sólo explica la teoría legal y los hechos </w:t>
      </w:r>
      <w:r>
        <w:rPr>
          <w:spacing w:val="6"/>
        </w:rPr>
        <w:t> </w:t>
      </w:r>
      <w:r>
        <w:rPr/>
        <w:t>de</w:t>
      </w:r>
    </w:p>
    <w:p>
      <w:pPr>
        <w:spacing w:after="0" w:line="362" w:lineRule="auto"/>
        <w:sectPr>
          <w:pgSz w:w="12240" w:h="15840"/>
          <w:pgMar w:header="0" w:footer="1002" w:top="1360" w:bottom="1200" w:left="1600" w:right="1580"/>
        </w:sectPr>
      </w:pPr>
    </w:p>
    <w:p>
      <w:pPr>
        <w:pStyle w:val="BodyText"/>
        <w:spacing w:line="362" w:lineRule="auto" w:before="54"/>
        <w:ind w:left="102" w:right="164"/>
        <w:jc w:val="both"/>
      </w:pPr>
      <w:r>
        <w:rPr/>
        <w:t>la causa, sino que vincula la evidencia que es posible, dentro de un todo coherente y creíble.</w:t>
      </w:r>
    </w:p>
    <w:p>
      <w:pPr>
        <w:pStyle w:val="BodyText"/>
        <w:spacing w:before="4"/>
        <w:rPr>
          <w:sz w:val="17"/>
        </w:rPr>
      </w:pPr>
    </w:p>
    <w:p>
      <w:pPr>
        <w:pStyle w:val="BodyText"/>
        <w:spacing w:line="360" w:lineRule="auto"/>
        <w:ind w:left="102" w:right="165"/>
        <w:jc w:val="both"/>
      </w:pPr>
      <w:r>
        <w:rPr/>
        <w:t>La teoría del caso es pues, la estrategia del litigio cuyo objetivo es persuadir al órgano jurisdiccional sobre el caso en particular, debidamente fundada, con la finalidad de lograr un pronunciamiento a favor, construyendo los hechos de manera creíble, con un fuerte sustento</w:t>
      </w:r>
      <w:r>
        <w:rPr>
          <w:spacing w:val="-5"/>
        </w:rPr>
        <w:t> </w:t>
      </w:r>
      <w:r>
        <w:rPr/>
        <w:t>jurídico</w:t>
      </w:r>
      <w:r>
        <w:rPr>
          <w:spacing w:val="-3"/>
        </w:rPr>
        <w:t> </w:t>
      </w:r>
      <w:r>
        <w:rPr/>
        <w:t>y</w:t>
      </w:r>
      <w:r>
        <w:rPr>
          <w:spacing w:val="-5"/>
        </w:rPr>
        <w:t> </w:t>
      </w:r>
      <w:r>
        <w:rPr/>
        <w:t>probatorio.</w:t>
      </w:r>
      <w:r>
        <w:rPr>
          <w:spacing w:val="-2"/>
        </w:rPr>
        <w:t> </w:t>
      </w:r>
      <w:r>
        <w:rPr/>
        <w:t>Es</w:t>
      </w:r>
      <w:r>
        <w:rPr>
          <w:spacing w:val="-3"/>
        </w:rPr>
        <w:t> </w:t>
      </w:r>
      <w:r>
        <w:rPr/>
        <w:t>decir,</w:t>
      </w:r>
      <w:r>
        <w:rPr>
          <w:spacing w:val="-2"/>
        </w:rPr>
        <w:t> </w:t>
      </w:r>
      <w:r>
        <w:rPr/>
        <w:t>la</w:t>
      </w:r>
      <w:r>
        <w:rPr>
          <w:spacing w:val="-5"/>
        </w:rPr>
        <w:t> </w:t>
      </w:r>
      <w:r>
        <w:rPr/>
        <w:t>teoría</w:t>
      </w:r>
      <w:r>
        <w:rPr>
          <w:spacing w:val="-3"/>
        </w:rPr>
        <w:t> </w:t>
      </w:r>
      <w:r>
        <w:rPr/>
        <w:t>del</w:t>
      </w:r>
      <w:r>
        <w:rPr>
          <w:spacing w:val="-4"/>
        </w:rPr>
        <w:t> </w:t>
      </w:r>
      <w:r>
        <w:rPr/>
        <w:t>caso</w:t>
      </w:r>
      <w:r>
        <w:rPr>
          <w:spacing w:val="-3"/>
        </w:rPr>
        <w:t> </w:t>
      </w:r>
      <w:r>
        <w:rPr/>
        <w:t>es</w:t>
      </w:r>
      <w:r>
        <w:rPr>
          <w:spacing w:val="-3"/>
        </w:rPr>
        <w:t> </w:t>
      </w:r>
      <w:r>
        <w:rPr/>
        <w:t>la</w:t>
      </w:r>
      <w:r>
        <w:rPr>
          <w:spacing w:val="-3"/>
        </w:rPr>
        <w:t> </w:t>
      </w:r>
      <w:r>
        <w:rPr/>
        <w:t>espina</w:t>
      </w:r>
      <w:r>
        <w:rPr>
          <w:spacing w:val="-3"/>
        </w:rPr>
        <w:t> </w:t>
      </w:r>
      <w:r>
        <w:rPr/>
        <w:t>dorsal</w:t>
      </w:r>
      <w:r>
        <w:rPr>
          <w:spacing w:val="-4"/>
        </w:rPr>
        <w:t> </w:t>
      </w:r>
      <w:r>
        <w:rPr/>
        <w:t>del</w:t>
      </w:r>
      <w:r>
        <w:rPr>
          <w:spacing w:val="-4"/>
        </w:rPr>
        <w:t> </w:t>
      </w:r>
      <w:r>
        <w:rPr/>
        <w:t>asunto</w:t>
      </w:r>
      <w:r>
        <w:rPr>
          <w:spacing w:val="-2"/>
        </w:rPr>
        <w:t> </w:t>
      </w:r>
      <w:r>
        <w:rPr/>
        <w:t>en controversia, ya sea de la parte acusadora o la defensa, por lo que, de la adecuada elaboración de la Teoría del Caso, depende el éxito del</w:t>
      </w:r>
      <w:r>
        <w:rPr>
          <w:spacing w:val="-13"/>
        </w:rPr>
        <w:t> </w:t>
      </w:r>
      <w:r>
        <w:rPr/>
        <w:t>asunto.</w:t>
      </w:r>
    </w:p>
    <w:p>
      <w:pPr>
        <w:pStyle w:val="BodyText"/>
      </w:pPr>
    </w:p>
    <w:p>
      <w:pPr>
        <w:pStyle w:val="BodyText"/>
      </w:pPr>
    </w:p>
    <w:p>
      <w:pPr>
        <w:pStyle w:val="BodyText"/>
        <w:spacing w:before="10"/>
        <w:rPr>
          <w:sz w:val="26"/>
        </w:rPr>
      </w:pPr>
    </w:p>
    <w:p>
      <w:pPr>
        <w:pStyle w:val="Heading2"/>
        <w:numPr>
          <w:ilvl w:val="1"/>
          <w:numId w:val="9"/>
        </w:numPr>
        <w:tabs>
          <w:tab w:pos="702" w:val="left" w:leader="none"/>
        </w:tabs>
        <w:spacing w:line="240" w:lineRule="auto" w:before="0" w:after="0"/>
        <w:ind w:left="701" w:right="0" w:hanging="599"/>
        <w:jc w:val="both"/>
      </w:pPr>
      <w:bookmarkStart w:name="_TOC_250002" w:id="9"/>
      <w:r>
        <w:rPr>
          <w:color w:val="6F2F9F"/>
        </w:rPr>
        <w:t>Características de la Teoría del</w:t>
      </w:r>
      <w:r>
        <w:rPr>
          <w:color w:val="6F2F9F"/>
          <w:spacing w:val="-6"/>
        </w:rPr>
        <w:t> </w:t>
      </w:r>
      <w:bookmarkEnd w:id="9"/>
      <w:r>
        <w:rPr>
          <w:color w:val="6F2F9F"/>
        </w:rPr>
        <w:t>Caso:</w:t>
      </w:r>
    </w:p>
    <w:p>
      <w:pPr>
        <w:pStyle w:val="BodyText"/>
        <w:spacing w:before="6"/>
        <w:rPr>
          <w:b/>
          <w:sz w:val="35"/>
        </w:rPr>
      </w:pPr>
    </w:p>
    <w:p>
      <w:pPr>
        <w:pStyle w:val="BodyText"/>
        <w:spacing w:line="357" w:lineRule="auto"/>
        <w:ind w:left="102" w:right="168"/>
        <w:jc w:val="both"/>
      </w:pPr>
      <w:r>
        <w:rPr/>
        <w:t>Una teoría del caso debe contar con las siguientes características, mismas que deben tomarse muy en cuenta al momento de su elaboración:</w:t>
      </w:r>
    </w:p>
    <w:p>
      <w:pPr>
        <w:pStyle w:val="ListParagraph"/>
        <w:numPr>
          <w:ilvl w:val="2"/>
          <w:numId w:val="9"/>
        </w:numPr>
        <w:tabs>
          <w:tab w:pos="822" w:val="left" w:leader="none"/>
        </w:tabs>
        <w:spacing w:line="360" w:lineRule="auto" w:before="169" w:after="0"/>
        <w:ind w:left="822" w:right="170" w:hanging="360"/>
        <w:jc w:val="both"/>
        <w:rPr>
          <w:sz w:val="22"/>
        </w:rPr>
      </w:pPr>
      <w:r>
        <w:rPr>
          <w:sz w:val="22"/>
        </w:rPr>
        <w:t>Veracidad: Es importante que la manera en que se estructure la teoría del caso, sea apegada a la realidad, evitar que se esté narrado una historia irreal, que será difícil de</w:t>
      </w:r>
      <w:r>
        <w:rPr>
          <w:spacing w:val="-3"/>
          <w:sz w:val="22"/>
        </w:rPr>
        <w:t> </w:t>
      </w:r>
      <w:r>
        <w:rPr>
          <w:sz w:val="22"/>
        </w:rPr>
        <w:t>probar.</w:t>
      </w:r>
    </w:p>
    <w:p>
      <w:pPr>
        <w:pStyle w:val="ListParagraph"/>
        <w:numPr>
          <w:ilvl w:val="2"/>
          <w:numId w:val="9"/>
        </w:numPr>
        <w:tabs>
          <w:tab w:pos="822" w:val="left" w:leader="none"/>
        </w:tabs>
        <w:spacing w:line="360" w:lineRule="auto" w:before="3" w:after="0"/>
        <w:ind w:left="822" w:right="169" w:hanging="360"/>
        <w:jc w:val="both"/>
        <w:rPr>
          <w:sz w:val="22"/>
        </w:rPr>
      </w:pPr>
      <w:r>
        <w:rPr>
          <w:sz w:val="22"/>
        </w:rPr>
        <w:t>Debe de ser creíble: Generar convicción al juez a partir de la teoría del caso planteada.</w:t>
      </w:r>
    </w:p>
    <w:p>
      <w:pPr>
        <w:pStyle w:val="ListParagraph"/>
        <w:numPr>
          <w:ilvl w:val="2"/>
          <w:numId w:val="9"/>
        </w:numPr>
        <w:tabs>
          <w:tab w:pos="822" w:val="left" w:leader="none"/>
        </w:tabs>
        <w:spacing w:line="360" w:lineRule="auto" w:before="3" w:after="0"/>
        <w:ind w:left="822" w:right="166" w:hanging="360"/>
        <w:jc w:val="both"/>
        <w:rPr>
          <w:sz w:val="22"/>
        </w:rPr>
      </w:pPr>
      <w:r>
        <w:rPr>
          <w:sz w:val="22"/>
        </w:rPr>
        <w:t>Debe de ser simple: Que permita explicar todos y cada uno de los hechos que se encuentran controvertidos en el proceso, los elementos que acreditan dichos hechos y la normatividad aplicable. (Benavente, 2014 a:</w:t>
      </w:r>
      <w:r>
        <w:rPr>
          <w:spacing w:val="-13"/>
          <w:sz w:val="22"/>
        </w:rPr>
        <w:t> </w:t>
      </w:r>
      <w:r>
        <w:rPr>
          <w:sz w:val="22"/>
        </w:rPr>
        <w:t>28)</w:t>
      </w:r>
    </w:p>
    <w:p>
      <w:pPr>
        <w:pStyle w:val="Heading2"/>
        <w:numPr>
          <w:ilvl w:val="1"/>
          <w:numId w:val="9"/>
        </w:numPr>
        <w:tabs>
          <w:tab w:pos="702" w:val="left" w:leader="none"/>
        </w:tabs>
        <w:spacing w:line="240" w:lineRule="auto" w:before="160" w:after="0"/>
        <w:ind w:left="701" w:right="0" w:hanging="599"/>
        <w:jc w:val="both"/>
      </w:pPr>
      <w:bookmarkStart w:name="_TOC_250001" w:id="10"/>
      <w:r>
        <w:rPr>
          <w:color w:val="6F2F9F"/>
        </w:rPr>
        <w:t>Elementos de la Teoría del</w:t>
      </w:r>
      <w:r>
        <w:rPr>
          <w:color w:val="6F2F9F"/>
          <w:spacing w:val="-4"/>
        </w:rPr>
        <w:t> </w:t>
      </w:r>
      <w:bookmarkEnd w:id="10"/>
      <w:r>
        <w:rPr>
          <w:color w:val="6F2F9F"/>
        </w:rPr>
        <w:t>Caso:</w:t>
      </w:r>
    </w:p>
    <w:p>
      <w:pPr>
        <w:pStyle w:val="BodyText"/>
        <w:spacing w:before="4"/>
        <w:rPr>
          <w:b/>
          <w:sz w:val="32"/>
        </w:rPr>
      </w:pPr>
    </w:p>
    <w:p>
      <w:pPr>
        <w:pStyle w:val="BodyText"/>
        <w:spacing w:line="360" w:lineRule="auto"/>
        <w:ind w:left="102" w:right="164"/>
        <w:jc w:val="both"/>
      </w:pPr>
      <w:r>
        <w:rPr/>
        <w:t>La</w:t>
      </w:r>
      <w:r>
        <w:rPr>
          <w:spacing w:val="-3"/>
        </w:rPr>
        <w:t> </w:t>
      </w:r>
      <w:r>
        <w:rPr/>
        <w:t>teoría</w:t>
      </w:r>
      <w:r>
        <w:rPr>
          <w:spacing w:val="-3"/>
        </w:rPr>
        <w:t> </w:t>
      </w:r>
      <w:r>
        <w:rPr/>
        <w:t>del</w:t>
      </w:r>
      <w:r>
        <w:rPr>
          <w:spacing w:val="-4"/>
        </w:rPr>
        <w:t> </w:t>
      </w:r>
      <w:r>
        <w:rPr/>
        <w:t>caso,</w:t>
      </w:r>
      <w:r>
        <w:rPr>
          <w:spacing w:val="-4"/>
        </w:rPr>
        <w:t> </w:t>
      </w:r>
      <w:r>
        <w:rPr/>
        <w:t>cuenta</w:t>
      </w:r>
      <w:r>
        <w:rPr>
          <w:spacing w:val="-3"/>
        </w:rPr>
        <w:t> </w:t>
      </w:r>
      <w:r>
        <w:rPr/>
        <w:t>con</w:t>
      </w:r>
      <w:r>
        <w:rPr>
          <w:spacing w:val="-6"/>
        </w:rPr>
        <w:t> </w:t>
      </w:r>
      <w:r>
        <w:rPr/>
        <w:t>tres</w:t>
      </w:r>
      <w:r>
        <w:rPr>
          <w:spacing w:val="-5"/>
        </w:rPr>
        <w:t> </w:t>
      </w:r>
      <w:r>
        <w:rPr/>
        <w:t>elementos</w:t>
      </w:r>
      <w:r>
        <w:rPr>
          <w:spacing w:val="-3"/>
        </w:rPr>
        <w:t> </w:t>
      </w:r>
      <w:r>
        <w:rPr/>
        <w:t>esenciales</w:t>
      </w:r>
      <w:r>
        <w:rPr>
          <w:spacing w:val="-3"/>
        </w:rPr>
        <w:t> </w:t>
      </w:r>
      <w:r>
        <w:rPr/>
        <w:t>que</w:t>
      </w:r>
      <w:r>
        <w:rPr>
          <w:spacing w:val="-6"/>
        </w:rPr>
        <w:t> </w:t>
      </w:r>
      <w:r>
        <w:rPr/>
        <w:t>deben</w:t>
      </w:r>
      <w:r>
        <w:rPr>
          <w:spacing w:val="-5"/>
        </w:rPr>
        <w:t> </w:t>
      </w:r>
      <w:r>
        <w:rPr/>
        <w:t>estar</w:t>
      </w:r>
      <w:r>
        <w:rPr>
          <w:spacing w:val="-7"/>
        </w:rPr>
        <w:t> </w:t>
      </w:r>
      <w:r>
        <w:rPr/>
        <w:t>presentes</w:t>
      </w:r>
      <w:r>
        <w:rPr>
          <w:spacing w:val="-5"/>
        </w:rPr>
        <w:t> </w:t>
      </w:r>
      <w:r>
        <w:rPr/>
        <w:t>en</w:t>
      </w:r>
      <w:r>
        <w:rPr>
          <w:spacing w:val="-6"/>
        </w:rPr>
        <w:t> </w:t>
      </w:r>
      <w:r>
        <w:rPr/>
        <w:t>su estructuración, son elementos concatenados entre sí, sin que pueda prescindir el uno del otro.</w:t>
      </w:r>
    </w:p>
    <w:p>
      <w:pPr>
        <w:spacing w:after="0" w:line="360" w:lineRule="auto"/>
        <w:jc w:val="both"/>
        <w:sectPr>
          <w:pgSz w:w="12240" w:h="15840"/>
          <w:pgMar w:header="0" w:footer="1002" w:top="1360" w:bottom="1200" w:left="1600" w:right="1580"/>
        </w:sectPr>
      </w:pPr>
    </w:p>
    <w:p>
      <w:pPr>
        <w:pStyle w:val="BodyText"/>
        <w:ind w:left="1968"/>
        <w:rPr>
          <w:sz w:val="20"/>
        </w:rPr>
      </w:pPr>
      <w:r>
        <w:rPr>
          <w:sz w:val="20"/>
        </w:rPr>
        <w:pict>
          <v:group style="width:220.8pt;height:208.35pt;mso-position-horizontal-relative:char;mso-position-vertical-relative:line" coordorigin="0,0" coordsize="4416,4167">
            <v:shape style="position:absolute;left:922;top:0;width:2570;height:2568" type="#_x0000_t75" stroked="false">
              <v:imagedata r:id="rId92" o:title=""/>
            </v:shape>
            <v:shape style="position:absolute;left:1846;top:1598;width:2570;height:2568" type="#_x0000_t75" stroked="false">
              <v:imagedata r:id="rId93" o:title=""/>
            </v:shape>
            <v:shape style="position:absolute;left:0;top:1598;width:2570;height:2568" type="#_x0000_t75" stroked="false">
              <v:imagedata r:id="rId94" o:title=""/>
            </v:shape>
            <v:shape style="position:absolute;left:1563;top:765;width:1290;height:545" type="#_x0000_t202" filled="false" stroked="false">
              <v:textbox inset="0,0,0,0">
                <w:txbxContent>
                  <w:p>
                    <w:pPr>
                      <w:spacing w:line="248" w:lineRule="exact" w:before="0"/>
                      <w:ind w:left="8" w:right="8" w:firstLine="0"/>
                      <w:jc w:val="center"/>
                      <w:rPr>
                        <w:rFonts w:ascii="Calibri"/>
                        <w:sz w:val="26"/>
                      </w:rPr>
                    </w:pPr>
                    <w:r>
                      <w:rPr>
                        <w:rFonts w:ascii="Calibri"/>
                        <w:w w:val="95"/>
                        <w:sz w:val="26"/>
                      </w:rPr>
                      <w:t>ELEMENTOS</w:t>
                    </w:r>
                  </w:p>
                  <w:p>
                    <w:pPr>
                      <w:spacing w:line="296" w:lineRule="exact" w:before="0"/>
                      <w:ind w:left="8" w:right="8" w:firstLine="0"/>
                      <w:jc w:val="center"/>
                      <w:rPr>
                        <w:rFonts w:ascii="Calibri" w:hAnsi="Calibri"/>
                        <w:sz w:val="26"/>
                      </w:rPr>
                    </w:pPr>
                    <w:r>
                      <w:rPr>
                        <w:rFonts w:ascii="Calibri" w:hAnsi="Calibri"/>
                        <w:sz w:val="26"/>
                      </w:rPr>
                      <w:t>FÁCTICOS</w:t>
                    </w:r>
                  </w:p>
                </w:txbxContent>
              </v:textbox>
              <w10:wrap type="none"/>
            </v:shape>
            <v:shape style="position:absolute;left:262;top:2705;width:1506;height:545" type="#_x0000_t202" filled="false" stroked="false">
              <v:textbox inset="0,0,0,0">
                <w:txbxContent>
                  <w:p>
                    <w:pPr>
                      <w:spacing w:line="248" w:lineRule="exact" w:before="0"/>
                      <w:ind w:left="19" w:right="20" w:firstLine="0"/>
                      <w:jc w:val="center"/>
                      <w:rPr>
                        <w:rFonts w:ascii="Calibri"/>
                        <w:sz w:val="26"/>
                      </w:rPr>
                    </w:pPr>
                    <w:r>
                      <w:rPr>
                        <w:rFonts w:ascii="Calibri"/>
                        <w:sz w:val="26"/>
                      </w:rPr>
                      <w:t>ELEMENTOS</w:t>
                    </w:r>
                  </w:p>
                  <w:p>
                    <w:pPr>
                      <w:spacing w:line="296" w:lineRule="exact" w:before="0"/>
                      <w:ind w:left="19" w:right="20" w:firstLine="0"/>
                      <w:jc w:val="center"/>
                      <w:rPr>
                        <w:rFonts w:ascii="Calibri"/>
                        <w:sz w:val="26"/>
                      </w:rPr>
                    </w:pPr>
                    <w:r>
                      <w:rPr>
                        <w:rFonts w:ascii="Calibri"/>
                        <w:spacing w:val="-3"/>
                        <w:w w:val="95"/>
                        <w:sz w:val="26"/>
                      </w:rPr>
                      <w:t>PROBATORIOS</w:t>
                    </w:r>
                  </w:p>
                </w:txbxContent>
              </v:textbox>
              <w10:wrap type="none"/>
            </v:shape>
            <v:shape style="position:absolute;left:2757;top:2705;width:1290;height:545" type="#_x0000_t202" filled="false" stroked="false">
              <v:textbox inset="0,0,0,0">
                <w:txbxContent>
                  <w:p>
                    <w:pPr>
                      <w:spacing w:line="248" w:lineRule="exact" w:before="0"/>
                      <w:ind w:left="91" w:right="0" w:hanging="92"/>
                      <w:jc w:val="left"/>
                      <w:rPr>
                        <w:rFonts w:ascii="Calibri"/>
                        <w:sz w:val="26"/>
                      </w:rPr>
                    </w:pPr>
                    <w:r>
                      <w:rPr>
                        <w:rFonts w:ascii="Calibri"/>
                        <w:w w:val="95"/>
                        <w:sz w:val="26"/>
                      </w:rPr>
                      <w:t>ELEMENTOS</w:t>
                    </w:r>
                  </w:p>
                  <w:p>
                    <w:pPr>
                      <w:spacing w:line="296" w:lineRule="exact" w:before="0"/>
                      <w:ind w:left="91" w:right="0" w:firstLine="0"/>
                      <w:jc w:val="left"/>
                      <w:rPr>
                        <w:rFonts w:ascii="Calibri" w:hAnsi="Calibri"/>
                        <w:sz w:val="26"/>
                      </w:rPr>
                    </w:pPr>
                    <w:r>
                      <w:rPr>
                        <w:rFonts w:ascii="Calibri" w:hAnsi="Calibri"/>
                        <w:sz w:val="26"/>
                      </w:rPr>
                      <w:t>JURÍDICOS</w:t>
                    </w:r>
                  </w:p>
                </w:txbxContent>
              </v:textbox>
              <w10:wrap type="none"/>
            </v:shape>
          </v:group>
        </w:pict>
      </w:r>
      <w:r>
        <w:rPr>
          <w:sz w:val="20"/>
        </w:rPr>
      </w:r>
    </w:p>
    <w:p>
      <w:pPr>
        <w:pStyle w:val="BodyText"/>
        <w:spacing w:before="2"/>
        <w:rPr>
          <w:sz w:val="29"/>
        </w:rPr>
      </w:pPr>
    </w:p>
    <w:p>
      <w:pPr>
        <w:pStyle w:val="ListParagraph"/>
        <w:numPr>
          <w:ilvl w:val="0"/>
          <w:numId w:val="10"/>
        </w:numPr>
        <w:tabs>
          <w:tab w:pos="809" w:val="left" w:leader="none"/>
          <w:tab w:pos="810" w:val="left" w:leader="none"/>
        </w:tabs>
        <w:spacing w:line="357" w:lineRule="auto" w:before="60" w:after="0"/>
        <w:ind w:left="102" w:right="117" w:firstLine="0"/>
        <w:jc w:val="both"/>
        <w:rPr>
          <w:sz w:val="22"/>
        </w:rPr>
      </w:pPr>
      <w:r>
        <w:rPr>
          <w:sz w:val="22"/>
          <w:shd w:fill="FFFF00" w:color="auto" w:val="clear"/>
        </w:rPr>
        <w:t>Elementos</w:t>
      </w:r>
      <w:r>
        <w:rPr>
          <w:spacing w:val="-10"/>
          <w:sz w:val="22"/>
          <w:shd w:fill="FFFF00" w:color="auto" w:val="clear"/>
        </w:rPr>
        <w:t> </w:t>
      </w:r>
      <w:r>
        <w:rPr>
          <w:sz w:val="22"/>
          <w:shd w:fill="FFFF00" w:color="auto" w:val="clear"/>
        </w:rPr>
        <w:t>fácticos:</w:t>
      </w:r>
      <w:r>
        <w:rPr>
          <w:spacing w:val="-5"/>
          <w:sz w:val="22"/>
          <w:shd w:fill="FFFF00" w:color="auto" w:val="clear"/>
        </w:rPr>
        <w:t> </w:t>
      </w:r>
      <w:r>
        <w:rPr>
          <w:sz w:val="22"/>
        </w:rPr>
        <w:t>Reconstrucción</w:t>
      </w:r>
      <w:r>
        <w:rPr>
          <w:spacing w:val="-6"/>
          <w:sz w:val="22"/>
        </w:rPr>
        <w:t> </w:t>
      </w:r>
      <w:r>
        <w:rPr>
          <w:sz w:val="22"/>
        </w:rPr>
        <w:t>de</w:t>
      </w:r>
      <w:r>
        <w:rPr>
          <w:spacing w:val="-8"/>
          <w:sz w:val="22"/>
        </w:rPr>
        <w:t> </w:t>
      </w:r>
      <w:r>
        <w:rPr>
          <w:sz w:val="22"/>
        </w:rPr>
        <w:t>los</w:t>
      </w:r>
      <w:r>
        <w:rPr>
          <w:spacing w:val="-5"/>
          <w:sz w:val="22"/>
        </w:rPr>
        <w:t> </w:t>
      </w:r>
      <w:r>
        <w:rPr>
          <w:sz w:val="22"/>
        </w:rPr>
        <w:t>hechos</w:t>
      </w:r>
      <w:r>
        <w:rPr>
          <w:spacing w:val="-7"/>
          <w:sz w:val="22"/>
        </w:rPr>
        <w:t> </w:t>
      </w:r>
      <w:r>
        <w:rPr>
          <w:sz w:val="22"/>
        </w:rPr>
        <w:t>que</w:t>
      </w:r>
      <w:r>
        <w:rPr>
          <w:spacing w:val="-8"/>
          <w:sz w:val="22"/>
        </w:rPr>
        <w:t> </w:t>
      </w:r>
      <w:r>
        <w:rPr>
          <w:sz w:val="22"/>
        </w:rPr>
        <w:t>el</w:t>
      </w:r>
      <w:r>
        <w:rPr>
          <w:spacing w:val="-6"/>
          <w:sz w:val="22"/>
        </w:rPr>
        <w:t> </w:t>
      </w:r>
      <w:r>
        <w:rPr>
          <w:sz w:val="22"/>
        </w:rPr>
        <w:t>interesado</w:t>
      </w:r>
      <w:r>
        <w:rPr>
          <w:spacing w:val="-8"/>
          <w:sz w:val="22"/>
        </w:rPr>
        <w:t> </w:t>
      </w:r>
      <w:r>
        <w:rPr>
          <w:sz w:val="22"/>
        </w:rPr>
        <w:t>le</w:t>
      </w:r>
      <w:r>
        <w:rPr>
          <w:spacing w:val="-5"/>
          <w:sz w:val="22"/>
        </w:rPr>
        <w:t> </w:t>
      </w:r>
      <w:r>
        <w:rPr>
          <w:sz w:val="22"/>
        </w:rPr>
        <w:t>ha</w:t>
      </w:r>
      <w:r>
        <w:rPr>
          <w:spacing w:val="-10"/>
          <w:sz w:val="22"/>
        </w:rPr>
        <w:t> </w:t>
      </w:r>
      <w:r>
        <w:rPr>
          <w:sz w:val="22"/>
        </w:rPr>
        <w:t>narrado</w:t>
      </w:r>
      <w:r>
        <w:rPr>
          <w:spacing w:val="-10"/>
          <w:sz w:val="22"/>
        </w:rPr>
        <w:t> </w:t>
      </w:r>
      <w:r>
        <w:rPr>
          <w:sz w:val="22"/>
        </w:rPr>
        <w:t>a la/el profesional de Derecho, los cuales son obtenidos a partir de la noticia criminal y posteriormente de las entrevistas y la documentación probatoria. Elaboración de proposiciones fácticas que permitan, por un lado, conocer a detalle, el suceso materia de imputación</w:t>
      </w:r>
      <w:r>
        <w:rPr>
          <w:spacing w:val="-4"/>
          <w:sz w:val="22"/>
        </w:rPr>
        <w:t> </w:t>
      </w:r>
      <w:r>
        <w:rPr>
          <w:sz w:val="22"/>
        </w:rPr>
        <w:t>penal,</w:t>
      </w:r>
      <w:r>
        <w:rPr>
          <w:spacing w:val="-5"/>
          <w:sz w:val="22"/>
        </w:rPr>
        <w:t> </w:t>
      </w:r>
      <w:r>
        <w:rPr>
          <w:sz w:val="22"/>
        </w:rPr>
        <w:t>y</w:t>
      </w:r>
      <w:r>
        <w:rPr>
          <w:spacing w:val="-6"/>
          <w:sz w:val="22"/>
        </w:rPr>
        <w:t> </w:t>
      </w:r>
      <w:r>
        <w:rPr>
          <w:sz w:val="22"/>
        </w:rPr>
        <w:t>por</w:t>
      </w:r>
      <w:r>
        <w:rPr>
          <w:spacing w:val="-5"/>
          <w:sz w:val="22"/>
        </w:rPr>
        <w:t> </w:t>
      </w:r>
      <w:r>
        <w:rPr>
          <w:sz w:val="22"/>
        </w:rPr>
        <w:t>otro</w:t>
      </w:r>
      <w:r>
        <w:rPr>
          <w:spacing w:val="-6"/>
          <w:sz w:val="22"/>
        </w:rPr>
        <w:t> </w:t>
      </w:r>
      <w:r>
        <w:rPr>
          <w:sz w:val="22"/>
        </w:rPr>
        <w:t>lado,</w:t>
      </w:r>
      <w:r>
        <w:rPr>
          <w:spacing w:val="-3"/>
          <w:sz w:val="22"/>
        </w:rPr>
        <w:t> </w:t>
      </w:r>
      <w:r>
        <w:rPr>
          <w:sz w:val="22"/>
        </w:rPr>
        <w:t>identificar</w:t>
      </w:r>
      <w:r>
        <w:rPr>
          <w:spacing w:val="-3"/>
          <w:sz w:val="22"/>
        </w:rPr>
        <w:t> </w:t>
      </w:r>
      <w:r>
        <w:rPr>
          <w:sz w:val="22"/>
        </w:rPr>
        <w:t>los</w:t>
      </w:r>
      <w:r>
        <w:rPr>
          <w:spacing w:val="-6"/>
          <w:sz w:val="22"/>
        </w:rPr>
        <w:t> </w:t>
      </w:r>
      <w:r>
        <w:rPr>
          <w:sz w:val="22"/>
        </w:rPr>
        <w:t>hechos</w:t>
      </w:r>
      <w:r>
        <w:rPr>
          <w:spacing w:val="-4"/>
          <w:sz w:val="22"/>
        </w:rPr>
        <w:t> </w:t>
      </w:r>
      <w:r>
        <w:rPr>
          <w:sz w:val="22"/>
        </w:rPr>
        <w:t>relevantes</w:t>
      </w:r>
      <w:r>
        <w:rPr>
          <w:spacing w:val="-6"/>
          <w:sz w:val="22"/>
        </w:rPr>
        <w:t> </w:t>
      </w:r>
      <w:r>
        <w:rPr>
          <w:sz w:val="22"/>
        </w:rPr>
        <w:t>que</w:t>
      </w:r>
      <w:r>
        <w:rPr>
          <w:spacing w:val="-7"/>
          <w:sz w:val="22"/>
        </w:rPr>
        <w:t> </w:t>
      </w:r>
      <w:r>
        <w:rPr>
          <w:sz w:val="22"/>
        </w:rPr>
        <w:t>permitan</w:t>
      </w:r>
      <w:r>
        <w:rPr>
          <w:spacing w:val="-4"/>
          <w:sz w:val="22"/>
        </w:rPr>
        <w:t> </w:t>
      </w:r>
      <w:r>
        <w:rPr>
          <w:sz w:val="22"/>
        </w:rPr>
        <w:t>establecer la responsabilidad o no del imputado (Benavente, 2014a:</w:t>
      </w:r>
      <w:r>
        <w:rPr>
          <w:spacing w:val="-17"/>
          <w:sz w:val="22"/>
        </w:rPr>
        <w:t> </w:t>
      </w:r>
      <w:r>
        <w:rPr>
          <w:sz w:val="22"/>
        </w:rPr>
        <w:t>35).</w:t>
      </w:r>
    </w:p>
    <w:p>
      <w:pPr>
        <w:pStyle w:val="BodyText"/>
      </w:pPr>
    </w:p>
    <w:p>
      <w:pPr>
        <w:pStyle w:val="BodyText"/>
        <w:spacing w:line="360" w:lineRule="auto" w:before="132"/>
        <w:ind w:left="102" w:right="117"/>
        <w:jc w:val="both"/>
      </w:pPr>
      <w:r>
        <w:rPr/>
        <w:t>Las proposiciones fácticas, so un elemento legal, que nos permitirá definir, cuales son los hechos que se pretenden acreditar, y establecer cuáles son la pruebas necesarias para acreditar</w:t>
      </w:r>
      <w:r>
        <w:rPr>
          <w:spacing w:val="-6"/>
        </w:rPr>
        <w:t> </w:t>
      </w:r>
      <w:r>
        <w:rPr/>
        <w:t>dichos</w:t>
      </w:r>
      <w:r>
        <w:rPr>
          <w:spacing w:val="-6"/>
        </w:rPr>
        <w:t> </w:t>
      </w:r>
      <w:r>
        <w:rPr/>
        <w:t>elementos</w:t>
      </w:r>
      <w:r>
        <w:rPr>
          <w:spacing w:val="-6"/>
        </w:rPr>
        <w:t> </w:t>
      </w:r>
      <w:r>
        <w:rPr/>
        <w:t>fácticos.</w:t>
      </w:r>
      <w:r>
        <w:rPr>
          <w:spacing w:val="-3"/>
        </w:rPr>
        <w:t> </w:t>
      </w:r>
      <w:r>
        <w:rPr/>
        <w:t>Son</w:t>
      </w:r>
      <w:r>
        <w:rPr>
          <w:spacing w:val="-7"/>
        </w:rPr>
        <w:t> </w:t>
      </w:r>
      <w:r>
        <w:rPr/>
        <w:t>la</w:t>
      </w:r>
      <w:r>
        <w:rPr>
          <w:spacing w:val="-4"/>
        </w:rPr>
        <w:t> </w:t>
      </w:r>
      <w:r>
        <w:rPr/>
        <w:t>base</w:t>
      </w:r>
      <w:r>
        <w:rPr>
          <w:spacing w:val="-9"/>
        </w:rPr>
        <w:t> </w:t>
      </w:r>
      <w:r>
        <w:rPr/>
        <w:t>de</w:t>
      </w:r>
      <w:r>
        <w:rPr>
          <w:spacing w:val="-4"/>
        </w:rPr>
        <w:t> </w:t>
      </w:r>
      <w:r>
        <w:rPr/>
        <w:t>la</w:t>
      </w:r>
      <w:r>
        <w:rPr>
          <w:spacing w:val="-4"/>
        </w:rPr>
        <w:t> </w:t>
      </w:r>
      <w:r>
        <w:rPr/>
        <w:t>acusación</w:t>
      </w:r>
      <w:r>
        <w:rPr>
          <w:spacing w:val="-4"/>
        </w:rPr>
        <w:t> </w:t>
      </w:r>
      <w:r>
        <w:rPr/>
        <w:t>o</w:t>
      </w:r>
      <w:r>
        <w:rPr>
          <w:spacing w:val="-6"/>
        </w:rPr>
        <w:t> </w:t>
      </w:r>
      <w:r>
        <w:rPr/>
        <w:t>la</w:t>
      </w:r>
      <w:r>
        <w:rPr>
          <w:spacing w:val="-4"/>
        </w:rPr>
        <w:t> </w:t>
      </w:r>
      <w:r>
        <w:rPr/>
        <w:t>defensa,</w:t>
      </w:r>
      <w:r>
        <w:rPr>
          <w:spacing w:val="-3"/>
        </w:rPr>
        <w:t> </w:t>
      </w:r>
      <w:r>
        <w:rPr/>
        <w:t>es</w:t>
      </w:r>
      <w:r>
        <w:rPr>
          <w:spacing w:val="-4"/>
        </w:rPr>
        <w:t> </w:t>
      </w:r>
      <w:r>
        <w:rPr/>
        <w:t>decir</w:t>
      </w:r>
      <w:r>
        <w:rPr>
          <w:spacing w:val="-3"/>
        </w:rPr>
        <w:t> </w:t>
      </w:r>
      <w:r>
        <w:rPr/>
        <w:t>son la base para la construcción de nuestra teoría del</w:t>
      </w:r>
      <w:r>
        <w:rPr>
          <w:spacing w:val="-14"/>
        </w:rPr>
        <w:t> </w:t>
      </w:r>
      <w:r>
        <w:rPr/>
        <w:t>caso.</w:t>
      </w:r>
    </w:p>
    <w:p>
      <w:pPr>
        <w:pStyle w:val="BodyText"/>
        <w:rPr>
          <w:sz w:val="28"/>
        </w:rPr>
      </w:pPr>
    </w:p>
    <w:p>
      <w:pPr>
        <w:pStyle w:val="ListParagraph"/>
        <w:numPr>
          <w:ilvl w:val="0"/>
          <w:numId w:val="10"/>
        </w:numPr>
        <w:tabs>
          <w:tab w:pos="809" w:val="left" w:leader="none"/>
          <w:tab w:pos="810" w:val="left" w:leader="none"/>
        </w:tabs>
        <w:spacing w:line="357" w:lineRule="auto" w:before="60" w:after="0"/>
        <w:ind w:left="102" w:right="118" w:firstLine="0"/>
        <w:jc w:val="both"/>
        <w:rPr>
          <w:sz w:val="22"/>
        </w:rPr>
      </w:pPr>
      <w:r>
        <w:rPr>
          <w:sz w:val="22"/>
          <w:shd w:fill="FFFF00" w:color="auto" w:val="clear"/>
        </w:rPr>
        <w:t>Elementos jurídicos: </w:t>
      </w:r>
      <w:r>
        <w:rPr>
          <w:sz w:val="22"/>
        </w:rPr>
        <w:t>Según Hesbert Benavente (2014: 37), el nivel de análisis jurídico consiste en dos fases, la primera tiene como objetivo, determinar la ley penal aplicable y por otro, la teoría jurídica (teoría del delito) que va a ser empleada en el caso, desde la perspectiva de Benavente, las consideraciones jurídicas del a teoría del caso, se conforman con las leyes penales, tanto sustantivas como procedimentales, así como la Teoría del Delito con la que analizara conducta</w:t>
      </w:r>
      <w:r>
        <w:rPr>
          <w:spacing w:val="-21"/>
          <w:sz w:val="22"/>
        </w:rPr>
        <w:t> </w:t>
      </w:r>
      <w:r>
        <w:rPr>
          <w:sz w:val="22"/>
        </w:rPr>
        <w:t>delictiva.</w:t>
      </w:r>
    </w:p>
    <w:p>
      <w:pPr>
        <w:pStyle w:val="BodyText"/>
        <w:spacing w:before="5"/>
        <w:rPr>
          <w:sz w:val="28"/>
        </w:rPr>
      </w:pPr>
    </w:p>
    <w:p>
      <w:pPr>
        <w:pStyle w:val="ListParagraph"/>
        <w:numPr>
          <w:ilvl w:val="0"/>
          <w:numId w:val="10"/>
        </w:numPr>
        <w:tabs>
          <w:tab w:pos="809" w:val="left" w:leader="none"/>
          <w:tab w:pos="810" w:val="left" w:leader="none"/>
        </w:tabs>
        <w:spacing w:line="350" w:lineRule="auto" w:before="60" w:after="0"/>
        <w:ind w:left="102" w:right="119" w:firstLine="0"/>
        <w:jc w:val="left"/>
        <w:rPr>
          <w:sz w:val="22"/>
        </w:rPr>
      </w:pPr>
      <w:r>
        <w:rPr>
          <w:sz w:val="22"/>
          <w:shd w:fill="FFFF00" w:color="auto" w:val="clear"/>
        </w:rPr>
        <w:t>Elementos probatorios: </w:t>
      </w:r>
      <w:r>
        <w:rPr>
          <w:sz w:val="22"/>
        </w:rPr>
        <w:t>Son las evidencias o material probatorio que corroboren la existencia de aquellas proposiciones fácticas que configuran o descartan los elementos</w:t>
      </w:r>
      <w:r>
        <w:rPr>
          <w:spacing w:val="-30"/>
          <w:sz w:val="22"/>
        </w:rPr>
        <w:t> </w:t>
      </w:r>
      <w:r>
        <w:rPr>
          <w:sz w:val="22"/>
        </w:rPr>
        <w:t>de</w:t>
      </w:r>
    </w:p>
    <w:p>
      <w:pPr>
        <w:spacing w:after="0" w:line="350" w:lineRule="auto"/>
        <w:jc w:val="left"/>
        <w:rPr>
          <w:sz w:val="22"/>
        </w:rPr>
        <w:sectPr>
          <w:footerReference w:type="default" r:id="rId91"/>
          <w:pgSz w:w="12240" w:h="15840"/>
          <w:pgMar w:footer="1002" w:header="0" w:top="1500" w:bottom="1200" w:left="1600" w:right="1580"/>
        </w:sectPr>
      </w:pPr>
    </w:p>
    <w:p>
      <w:pPr>
        <w:pStyle w:val="BodyText"/>
        <w:spacing w:line="362" w:lineRule="auto" w:before="54"/>
        <w:ind w:left="102" w:right="116"/>
        <w:jc w:val="both"/>
      </w:pPr>
      <w:r>
        <w:rPr/>
        <w:t>la</w:t>
      </w:r>
      <w:r>
        <w:rPr>
          <w:spacing w:val="-16"/>
        </w:rPr>
        <w:t> </w:t>
      </w:r>
      <w:r>
        <w:rPr/>
        <w:t>teoría</w:t>
      </w:r>
      <w:r>
        <w:rPr>
          <w:spacing w:val="-16"/>
        </w:rPr>
        <w:t> </w:t>
      </w:r>
      <w:r>
        <w:rPr/>
        <w:t>del</w:t>
      </w:r>
      <w:r>
        <w:rPr>
          <w:spacing w:val="-17"/>
        </w:rPr>
        <w:t> </w:t>
      </w:r>
      <w:r>
        <w:rPr/>
        <w:t>delito</w:t>
      </w:r>
      <w:r>
        <w:rPr>
          <w:spacing w:val="-16"/>
        </w:rPr>
        <w:t> </w:t>
      </w:r>
      <w:r>
        <w:rPr/>
        <w:t>seleccionada,</w:t>
      </w:r>
      <w:r>
        <w:rPr>
          <w:spacing w:val="-17"/>
        </w:rPr>
        <w:t> </w:t>
      </w:r>
      <w:r>
        <w:rPr/>
        <w:t>respaldan</w:t>
      </w:r>
      <w:r>
        <w:rPr>
          <w:spacing w:val="-16"/>
        </w:rPr>
        <w:t> </w:t>
      </w:r>
      <w:r>
        <w:rPr/>
        <w:t>la</w:t>
      </w:r>
      <w:r>
        <w:rPr>
          <w:spacing w:val="-16"/>
        </w:rPr>
        <w:t> </w:t>
      </w:r>
      <w:r>
        <w:rPr/>
        <w:t>hipótesis</w:t>
      </w:r>
      <w:r>
        <w:rPr>
          <w:spacing w:val="-18"/>
        </w:rPr>
        <w:t> </w:t>
      </w:r>
      <w:r>
        <w:rPr/>
        <w:t>fáctica</w:t>
      </w:r>
      <w:r>
        <w:rPr>
          <w:spacing w:val="-16"/>
        </w:rPr>
        <w:t> </w:t>
      </w:r>
      <w:r>
        <w:rPr/>
        <w:t>y</w:t>
      </w:r>
      <w:r>
        <w:rPr>
          <w:spacing w:val="-18"/>
        </w:rPr>
        <w:t> </w:t>
      </w:r>
      <w:r>
        <w:rPr/>
        <w:t>jurídica</w:t>
      </w:r>
      <w:r>
        <w:rPr>
          <w:spacing w:val="-16"/>
        </w:rPr>
        <w:t> </w:t>
      </w:r>
      <w:r>
        <w:rPr/>
        <w:t>que</w:t>
      </w:r>
      <w:r>
        <w:rPr>
          <w:spacing w:val="-19"/>
        </w:rPr>
        <w:t> </w:t>
      </w:r>
      <w:r>
        <w:rPr/>
        <w:t>se</w:t>
      </w:r>
      <w:r>
        <w:rPr>
          <w:spacing w:val="-16"/>
        </w:rPr>
        <w:t> </w:t>
      </w:r>
      <w:r>
        <w:rPr/>
        <w:t>ha</w:t>
      </w:r>
      <w:r>
        <w:rPr>
          <w:spacing w:val="-19"/>
        </w:rPr>
        <w:t> </w:t>
      </w:r>
      <w:r>
        <w:rPr/>
        <w:t>formulado (Benavente, 2014a:</w:t>
      </w:r>
      <w:r>
        <w:rPr>
          <w:spacing w:val="-5"/>
        </w:rPr>
        <w:t> </w:t>
      </w:r>
      <w:r>
        <w:rPr/>
        <w:t>44).</w:t>
      </w:r>
    </w:p>
    <w:p>
      <w:pPr>
        <w:pStyle w:val="BodyText"/>
      </w:pPr>
    </w:p>
    <w:p>
      <w:pPr>
        <w:pStyle w:val="BodyText"/>
        <w:spacing w:line="360" w:lineRule="auto" w:before="127"/>
        <w:ind w:left="102" w:right="121"/>
        <w:jc w:val="both"/>
      </w:pPr>
      <w:r>
        <w:rPr/>
        <w:t>Los elementos probatorios, es el ramal de evidencia que permitirá acreditar las proposiciones fácticas, y la estructura de nuestra teoría del caso, los cuales se pueden obtener de fuentes personales, documentales y materiales.</w:t>
      </w:r>
    </w:p>
    <w:p>
      <w:pPr>
        <w:pStyle w:val="BodyText"/>
      </w:pPr>
    </w:p>
    <w:p>
      <w:pPr>
        <w:pStyle w:val="BodyText"/>
        <w:spacing w:line="360" w:lineRule="auto" w:before="130"/>
        <w:ind w:left="102" w:right="120"/>
        <w:jc w:val="both"/>
      </w:pPr>
      <w:r>
        <w:rPr/>
        <w:t>Benavente señala que existen dos tipos de prueba, primero, la evidencia directa, que estable la existencia del hecho de forma inmediata, y segundo, la evidencia indirecta que hace referencia a otra prueba (Benavente, 2014a: 45).</w:t>
      </w:r>
    </w:p>
    <w:p>
      <w:pPr>
        <w:pStyle w:val="BodyText"/>
        <w:spacing w:before="9"/>
        <w:rPr>
          <w:sz w:val="17"/>
        </w:rPr>
      </w:pPr>
    </w:p>
    <w:p>
      <w:pPr>
        <w:pStyle w:val="BodyText"/>
        <w:spacing w:line="360" w:lineRule="auto"/>
        <w:ind w:left="102" w:right="166"/>
        <w:jc w:val="both"/>
      </w:pPr>
      <w:r>
        <w:rPr/>
        <w:t>Implementar la Teoría del Caso en nuestra defensa, le da el carácter de tecnicidad a nuestra</w:t>
      </w:r>
      <w:r>
        <w:rPr>
          <w:spacing w:val="-9"/>
        </w:rPr>
        <w:t> </w:t>
      </w:r>
      <w:r>
        <w:rPr/>
        <w:t>defensa,</w:t>
      </w:r>
      <w:r>
        <w:rPr>
          <w:spacing w:val="-8"/>
        </w:rPr>
        <w:t> </w:t>
      </w:r>
      <w:r>
        <w:rPr/>
        <w:t>ya</w:t>
      </w:r>
      <w:r>
        <w:rPr>
          <w:spacing w:val="-9"/>
        </w:rPr>
        <w:t> </w:t>
      </w:r>
      <w:r>
        <w:rPr/>
        <w:t>que</w:t>
      </w:r>
      <w:r>
        <w:rPr>
          <w:spacing w:val="-11"/>
        </w:rPr>
        <w:t> </w:t>
      </w:r>
      <w:r>
        <w:rPr/>
        <w:t>nos</w:t>
      </w:r>
      <w:r>
        <w:rPr>
          <w:spacing w:val="-6"/>
        </w:rPr>
        <w:t> </w:t>
      </w:r>
      <w:r>
        <w:rPr/>
        <w:t>permite</w:t>
      </w:r>
      <w:r>
        <w:rPr>
          <w:spacing w:val="-9"/>
        </w:rPr>
        <w:t> </w:t>
      </w:r>
      <w:r>
        <w:rPr/>
        <w:t>otorgar</w:t>
      </w:r>
      <w:r>
        <w:rPr>
          <w:spacing w:val="-8"/>
        </w:rPr>
        <w:t> </w:t>
      </w:r>
      <w:r>
        <w:rPr/>
        <w:t>sentido</w:t>
      </w:r>
      <w:r>
        <w:rPr>
          <w:spacing w:val="-7"/>
        </w:rPr>
        <w:t> </w:t>
      </w:r>
      <w:r>
        <w:rPr/>
        <w:t>y</w:t>
      </w:r>
      <w:r>
        <w:rPr>
          <w:spacing w:val="-8"/>
        </w:rPr>
        <w:t> </w:t>
      </w:r>
      <w:r>
        <w:rPr/>
        <w:t>significado</w:t>
      </w:r>
      <w:r>
        <w:rPr>
          <w:spacing w:val="-9"/>
        </w:rPr>
        <w:t> </w:t>
      </w:r>
      <w:r>
        <w:rPr/>
        <w:t>a</w:t>
      </w:r>
      <w:r>
        <w:rPr>
          <w:spacing w:val="-6"/>
        </w:rPr>
        <w:t> </w:t>
      </w:r>
      <w:r>
        <w:rPr/>
        <w:t>los</w:t>
      </w:r>
      <w:r>
        <w:rPr>
          <w:spacing w:val="-9"/>
        </w:rPr>
        <w:t> </w:t>
      </w:r>
      <w:r>
        <w:rPr/>
        <w:t>hechos,</w:t>
      </w:r>
      <w:r>
        <w:rPr>
          <w:spacing w:val="-7"/>
        </w:rPr>
        <w:t> </w:t>
      </w:r>
      <w:r>
        <w:rPr/>
        <w:t>las</w:t>
      </w:r>
      <w:r>
        <w:rPr>
          <w:spacing w:val="-6"/>
        </w:rPr>
        <w:t> </w:t>
      </w:r>
      <w:r>
        <w:rPr/>
        <w:t>normas y el material probatorio, y en consecuencia nuestra defensa cumplirá con las exigencias del nuevo procedimiento</w:t>
      </w:r>
      <w:r>
        <w:rPr>
          <w:spacing w:val="-8"/>
        </w:rPr>
        <w:t> </w:t>
      </w:r>
      <w:r>
        <w:rPr/>
        <w:t>penal.</w:t>
      </w:r>
    </w:p>
    <w:p>
      <w:pPr>
        <w:spacing w:after="0" w:line="360" w:lineRule="auto"/>
        <w:jc w:val="both"/>
        <w:sectPr>
          <w:footerReference w:type="default" r:id="rId95"/>
          <w:pgSz w:w="12240" w:h="15840"/>
          <w:pgMar w:footer="1002" w:header="0" w:top="1360" w:bottom="1200" w:left="1600" w:right="1580"/>
        </w:sectPr>
      </w:pPr>
    </w:p>
    <w:p>
      <w:pPr>
        <w:pStyle w:val="BodyText"/>
        <w:ind w:right="-24"/>
        <w:rPr>
          <w:sz w:val="20"/>
        </w:rPr>
      </w:pPr>
      <w:r>
        <w:rPr/>
        <w:pict>
          <v:shape style="position:absolute;margin-left:0pt;margin-top:75.959778pt;width:612pt;height:715.6pt;mso-position-horizontal-relative:page;mso-position-vertical-relative:page;z-index:-97288"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72"/>
                    <w:ind w:right="1695"/>
                    <w:jc w:val="right"/>
                    <w:rPr>
                      <w:rFonts w:ascii="Calibri"/>
                    </w:rPr>
                  </w:pPr>
                  <w:r>
                    <w:rPr>
                      <w:rFonts w:ascii="Calibri"/>
                    </w:rPr>
                    <w:t>82</w:t>
                  </w:r>
                </w:p>
              </w:txbxContent>
            </v:textbox>
            <w10:wrap type="none"/>
          </v:shape>
        </w:pict>
      </w:r>
      <w:r>
        <w:rPr>
          <w:sz w:val="20"/>
        </w:rPr>
        <w:drawing>
          <wp:inline distT="0" distB="0" distL="0" distR="0">
            <wp:extent cx="7761971" cy="9075420"/>
            <wp:effectExtent l="0" t="0" r="0" b="0"/>
            <wp:docPr id="19" name="image67.jpeg" descr=""/>
            <wp:cNvGraphicFramePr>
              <a:graphicFrameLocks noChangeAspect="1"/>
            </wp:cNvGraphicFramePr>
            <a:graphic>
              <a:graphicData uri="http://schemas.openxmlformats.org/drawingml/2006/picture">
                <pic:pic>
                  <pic:nvPicPr>
                    <pic:cNvPr id="20" name="image67.jpeg"/>
                    <pic:cNvPicPr/>
                  </pic:nvPicPr>
                  <pic:blipFill>
                    <a:blip r:embed="rId97" cstate="print"/>
                    <a:stretch>
                      <a:fillRect/>
                    </a:stretch>
                  </pic:blipFill>
                  <pic:spPr>
                    <a:xfrm>
                      <a:off x="0" y="0"/>
                      <a:ext cx="7761971" cy="9075420"/>
                    </a:xfrm>
                    <a:prstGeom prst="rect">
                      <a:avLst/>
                    </a:prstGeom>
                  </pic:spPr>
                </pic:pic>
              </a:graphicData>
            </a:graphic>
          </wp:inline>
        </w:drawing>
      </w:r>
      <w:r>
        <w:rPr>
          <w:sz w:val="20"/>
        </w:rPr>
      </w:r>
    </w:p>
    <w:p>
      <w:pPr>
        <w:spacing w:after="0"/>
        <w:rPr>
          <w:sz w:val="20"/>
        </w:rPr>
        <w:sectPr>
          <w:footerReference w:type="default" r:id="rId96"/>
          <w:pgSz w:w="12240" w:h="15840"/>
          <w:pgMar w:footer="0" w:header="0" w:top="1500" w:bottom="0" w:left="0" w:right="0"/>
        </w:sectPr>
      </w:pPr>
    </w:p>
    <w:p>
      <w:pPr>
        <w:pStyle w:val="BodyText"/>
        <w:rPr>
          <w:sz w:val="20"/>
        </w:rPr>
      </w:pPr>
      <w:r>
        <w:rPr/>
        <w:pict>
          <v:group style="position:absolute;margin-left:-.5pt;margin-top:104.5pt;width:611.35pt;height:200.6pt;mso-position-horizontal-relative:page;mso-position-vertical-relative:page;z-index:4288" coordorigin="-10,2090" coordsize="12227,4012">
            <v:rect style="position:absolute;left:0;top:2100;width:12206;height:3991" filled="true" fillcolor="#6f2f9f" stroked="false">
              <v:fill type="solid"/>
            </v:rect>
            <v:shape style="position:absolute;left:11086;top:4334;width:1111;height:1673" type="#_x0000_t75" stroked="false">
              <v:imagedata r:id="rId99" o:title=""/>
            </v:shape>
            <v:shape style="position:absolute;left:0;top:2100;width:12207;height:3992" type="#_x0000_t202" filled="false" stroked="true" strokeweight=".96pt" strokecolor="#ec7c30">
              <v:textbox inset="0,0,0,0">
                <w:txbxContent>
                  <w:p>
                    <w:pPr>
                      <w:spacing w:line="1033" w:lineRule="exact" w:before="0"/>
                      <w:ind w:left="1104" w:right="532" w:firstLine="0"/>
                      <w:jc w:val="left"/>
                      <w:rPr>
                        <w:rFonts w:ascii="Aharoni" w:hAnsi="Aharoni"/>
                        <w:b/>
                        <w:sz w:val="96"/>
                      </w:rPr>
                    </w:pPr>
                    <w:r>
                      <w:rPr>
                        <w:rFonts w:ascii="Aharoni" w:hAnsi="Aharoni"/>
                        <w:b/>
                        <w:color w:val="FFFFFF"/>
                        <w:sz w:val="96"/>
                      </w:rPr>
                      <w:t>CAP</w:t>
                    </w:r>
                    <w:r>
                      <w:rPr>
                        <w:rFonts w:ascii="Cambria" w:hAnsi="Cambria"/>
                        <w:b/>
                        <w:color w:val="FFFFFF"/>
                        <w:sz w:val="96"/>
                      </w:rPr>
                      <w:t>Í </w:t>
                    </w:r>
                    <w:r>
                      <w:rPr>
                        <w:rFonts w:ascii="Aharoni" w:hAnsi="Aharoni"/>
                        <w:b/>
                        <w:color w:val="FFFFFF"/>
                        <w:sz w:val="96"/>
                      </w:rPr>
                      <w:t>TULO</w:t>
                    </w:r>
                    <w:r>
                      <w:rPr>
                        <w:rFonts w:ascii="Aharoni" w:hAnsi="Aharoni"/>
                        <w:b/>
                        <w:color w:val="FFFFFF"/>
                        <w:spacing w:val="-69"/>
                        <w:sz w:val="96"/>
                      </w:rPr>
                      <w:t> </w:t>
                    </w:r>
                    <w:r>
                      <w:rPr>
                        <w:rFonts w:ascii="Aharoni" w:hAnsi="Aharoni"/>
                        <w:b/>
                        <w:color w:val="FFFFFF"/>
                        <w:sz w:val="96"/>
                      </w:rPr>
                      <w:t>3:</w:t>
                    </w:r>
                  </w:p>
                  <w:p>
                    <w:pPr>
                      <w:spacing w:line="1106" w:lineRule="exact" w:before="175"/>
                      <w:ind w:left="143" w:right="532" w:firstLine="266"/>
                      <w:jc w:val="left"/>
                      <w:rPr>
                        <w:rFonts w:ascii="Aharoni" w:hAnsi="Aharoni"/>
                        <w:b/>
                        <w:sz w:val="96"/>
                      </w:rPr>
                    </w:pPr>
                    <w:r>
                      <w:rPr>
                        <w:rFonts w:ascii="Aharoni" w:hAnsi="Aharoni"/>
                        <w:b/>
                        <w:color w:val="FFFFFF"/>
                        <w:sz w:val="96"/>
                      </w:rPr>
                      <w:t>TEOR</w:t>
                    </w:r>
                    <w:r>
                      <w:rPr>
                        <w:rFonts w:ascii="Cambria" w:hAnsi="Cambria"/>
                        <w:b/>
                        <w:color w:val="FFFFFF"/>
                        <w:sz w:val="96"/>
                      </w:rPr>
                      <w:t>Í </w:t>
                    </w:r>
                    <w:r>
                      <w:rPr>
                        <w:rFonts w:ascii="Aharoni" w:hAnsi="Aharoni"/>
                        <w:b/>
                        <w:color w:val="FFFFFF"/>
                        <w:sz w:val="96"/>
                      </w:rPr>
                      <w:t>A DEL CASO CON PERSPECTIVA DE G</w:t>
                    </w:r>
                    <w:r>
                      <w:rPr>
                        <w:rFonts w:ascii="Cambria" w:hAnsi="Cambria"/>
                        <w:b/>
                        <w:color w:val="FFFFFF"/>
                        <w:sz w:val="96"/>
                      </w:rPr>
                      <w:t>É</w:t>
                    </w:r>
                    <w:r>
                      <w:rPr>
                        <w:rFonts w:ascii="Aharoni" w:hAnsi="Aharoni"/>
                        <w:b/>
                        <w:color w:val="FFFFFF"/>
                        <w:sz w:val="96"/>
                      </w:rPr>
                      <w:t>NERO</w:t>
                    </w:r>
                  </w:p>
                </w:txbxContent>
              </v:textbox>
              <w10:wrap type="non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p>
    <w:p>
      <w:pPr>
        <w:pStyle w:val="BodyText"/>
        <w:spacing w:line="360" w:lineRule="auto"/>
        <w:ind w:left="1702" w:right="1747" w:firstLine="707"/>
        <w:jc w:val="both"/>
      </w:pPr>
      <w:r>
        <w:rPr/>
        <w:drawing>
          <wp:anchor distT="0" distB="0" distL="0" distR="0" allowOverlap="1" layoutInCell="1" locked="0" behindDoc="1" simplePos="0" relativeHeight="268338215">
            <wp:simplePos x="0" y="0"/>
            <wp:positionH relativeFrom="page">
              <wp:posOffset>1080516</wp:posOffset>
            </wp:positionH>
            <wp:positionV relativeFrom="paragraph">
              <wp:posOffset>-781204</wp:posOffset>
            </wp:positionV>
            <wp:extent cx="1025652" cy="2368296"/>
            <wp:effectExtent l="0" t="0" r="0" b="0"/>
            <wp:wrapNone/>
            <wp:docPr id="21" name="image39.jpeg" descr=""/>
            <wp:cNvGraphicFramePr>
              <a:graphicFrameLocks noChangeAspect="1"/>
            </wp:cNvGraphicFramePr>
            <a:graphic>
              <a:graphicData uri="http://schemas.openxmlformats.org/drawingml/2006/picture">
                <pic:pic>
                  <pic:nvPicPr>
                    <pic:cNvPr id="22" name="image39.jpeg"/>
                    <pic:cNvPicPr/>
                  </pic:nvPicPr>
                  <pic:blipFill>
                    <a:blip r:embed="rId59" cstate="print"/>
                    <a:stretch>
                      <a:fillRect/>
                    </a:stretch>
                  </pic:blipFill>
                  <pic:spPr>
                    <a:xfrm>
                      <a:off x="0" y="0"/>
                      <a:ext cx="1025652" cy="2368296"/>
                    </a:xfrm>
                    <a:prstGeom prst="rect">
                      <a:avLst/>
                    </a:prstGeom>
                  </pic:spPr>
                </pic:pic>
              </a:graphicData>
            </a:graphic>
          </wp:anchor>
        </w:drawing>
      </w:r>
      <w:r>
        <w:rPr/>
        <w:t>En este apartado, analizaremos la importancia de incorporar la perspectiva de género en nuestra Teoría del Caso, al momento de defender en materia penal a mujeres indiciadas, con la finalidad de garantizarles una defensa técnica adecuada, que tome en consideración aquellas circunstancias de discriminación, derivadas de la construcción social de los sexos, a fin de que se garantice la protección de los derechos humanos de las mujeres indiciadas dentro de los procedimientos penales a los que son sujetas.</w:t>
      </w:r>
    </w:p>
    <w:p>
      <w:pPr>
        <w:pStyle w:val="BodyText"/>
        <w:spacing w:before="7"/>
        <w:rPr>
          <w:sz w:val="17"/>
        </w:rPr>
      </w:pPr>
    </w:p>
    <w:p>
      <w:pPr>
        <w:pStyle w:val="BodyText"/>
        <w:spacing w:line="360" w:lineRule="auto"/>
        <w:ind w:left="1702" w:right="1744"/>
        <w:jc w:val="both"/>
      </w:pPr>
      <w:r>
        <w:rPr/>
        <w:t>Los</w:t>
      </w:r>
      <w:r>
        <w:rPr>
          <w:spacing w:val="-11"/>
        </w:rPr>
        <w:t> </w:t>
      </w:r>
      <w:r>
        <w:rPr/>
        <w:t>planteamientos</w:t>
      </w:r>
      <w:r>
        <w:rPr>
          <w:spacing w:val="-16"/>
        </w:rPr>
        <w:t> </w:t>
      </w:r>
      <w:r>
        <w:rPr/>
        <w:t>realizados</w:t>
      </w:r>
      <w:r>
        <w:rPr>
          <w:spacing w:val="-11"/>
        </w:rPr>
        <w:t> </w:t>
      </w:r>
      <w:r>
        <w:rPr/>
        <w:t>en</w:t>
      </w:r>
      <w:r>
        <w:rPr>
          <w:spacing w:val="-11"/>
        </w:rPr>
        <w:t> </w:t>
      </w:r>
      <w:r>
        <w:rPr/>
        <w:t>el</w:t>
      </w:r>
      <w:r>
        <w:rPr>
          <w:spacing w:val="-15"/>
        </w:rPr>
        <w:t> </w:t>
      </w:r>
      <w:r>
        <w:rPr/>
        <w:t>capítulo</w:t>
      </w:r>
      <w:r>
        <w:rPr>
          <w:spacing w:val="-11"/>
        </w:rPr>
        <w:t> </w:t>
      </w:r>
      <w:r>
        <w:rPr/>
        <w:t>anterior,</w:t>
      </w:r>
      <w:r>
        <w:rPr>
          <w:spacing w:val="-12"/>
        </w:rPr>
        <w:t> </w:t>
      </w:r>
      <w:r>
        <w:rPr/>
        <w:t>se</w:t>
      </w:r>
      <w:r>
        <w:rPr>
          <w:spacing w:val="-16"/>
        </w:rPr>
        <w:t> </w:t>
      </w:r>
      <w:r>
        <w:rPr/>
        <w:t>retomarán</w:t>
      </w:r>
      <w:r>
        <w:rPr>
          <w:spacing w:val="-13"/>
        </w:rPr>
        <w:t> </w:t>
      </w:r>
      <w:r>
        <w:rPr/>
        <w:t>en</w:t>
      </w:r>
      <w:r>
        <w:rPr>
          <w:spacing w:val="-14"/>
        </w:rPr>
        <w:t> </w:t>
      </w:r>
      <w:r>
        <w:rPr/>
        <w:t>el</w:t>
      </w:r>
      <w:r>
        <w:rPr>
          <w:spacing w:val="-15"/>
        </w:rPr>
        <w:t> </w:t>
      </w:r>
      <w:r>
        <w:rPr/>
        <w:t>presente</w:t>
      </w:r>
      <w:r>
        <w:rPr>
          <w:spacing w:val="-13"/>
        </w:rPr>
        <w:t> </w:t>
      </w:r>
      <w:r>
        <w:rPr/>
        <w:t>capítulo, incorporando la perspectiva de género a la Teoría del Caso es decir, que </w:t>
      </w:r>
      <w:r>
        <w:rPr>
          <w:sz w:val="24"/>
        </w:rPr>
        <w:t>a las </w:t>
      </w:r>
      <w:r>
        <w:rPr/>
        <w:t>características</w:t>
      </w:r>
      <w:r>
        <w:rPr>
          <w:spacing w:val="-4"/>
        </w:rPr>
        <w:t> </w:t>
      </w:r>
      <w:r>
        <w:rPr/>
        <w:t>y</w:t>
      </w:r>
      <w:r>
        <w:rPr>
          <w:spacing w:val="-5"/>
        </w:rPr>
        <w:t> </w:t>
      </w:r>
      <w:r>
        <w:rPr/>
        <w:t>los</w:t>
      </w:r>
      <w:r>
        <w:rPr>
          <w:spacing w:val="-4"/>
        </w:rPr>
        <w:t> </w:t>
      </w:r>
      <w:r>
        <w:rPr/>
        <w:t>elementos</w:t>
      </w:r>
      <w:r>
        <w:rPr>
          <w:spacing w:val="-5"/>
        </w:rPr>
        <w:t> </w:t>
      </w:r>
      <w:r>
        <w:rPr/>
        <w:t>de</w:t>
      </w:r>
      <w:r>
        <w:rPr>
          <w:spacing w:val="-6"/>
        </w:rPr>
        <w:t> </w:t>
      </w:r>
      <w:r>
        <w:rPr/>
        <w:t>la</w:t>
      </w:r>
      <w:r>
        <w:rPr>
          <w:spacing w:val="-5"/>
        </w:rPr>
        <w:t> </w:t>
      </w:r>
      <w:r>
        <w:rPr/>
        <w:t>Teoría</w:t>
      </w:r>
      <w:r>
        <w:rPr>
          <w:spacing w:val="-4"/>
        </w:rPr>
        <w:t> </w:t>
      </w:r>
      <w:r>
        <w:rPr/>
        <w:t>del</w:t>
      </w:r>
      <w:r>
        <w:rPr>
          <w:spacing w:val="-6"/>
        </w:rPr>
        <w:t> </w:t>
      </w:r>
      <w:r>
        <w:rPr/>
        <w:t>Caso,</w:t>
      </w:r>
      <w:r>
        <w:rPr>
          <w:spacing w:val="-3"/>
        </w:rPr>
        <w:t> </w:t>
      </w:r>
      <w:r>
        <w:rPr/>
        <w:t>se</w:t>
      </w:r>
      <w:r>
        <w:rPr>
          <w:spacing w:val="-5"/>
        </w:rPr>
        <w:t> </w:t>
      </w:r>
      <w:r>
        <w:rPr/>
        <w:t>les</w:t>
      </w:r>
      <w:r>
        <w:rPr>
          <w:spacing w:val="-1"/>
        </w:rPr>
        <w:t> </w:t>
      </w:r>
      <w:r>
        <w:rPr/>
        <w:t>incluirá</w:t>
      </w:r>
      <w:r>
        <w:rPr>
          <w:spacing w:val="-5"/>
        </w:rPr>
        <w:t> </w:t>
      </w:r>
      <w:r>
        <w:rPr/>
        <w:t>el</w:t>
      </w:r>
      <w:r>
        <w:rPr>
          <w:spacing w:val="-5"/>
        </w:rPr>
        <w:t> </w:t>
      </w:r>
      <w:r>
        <w:rPr/>
        <w:t>enfoque</w:t>
      </w:r>
      <w:r>
        <w:rPr>
          <w:spacing w:val="-4"/>
        </w:rPr>
        <w:t> </w:t>
      </w:r>
      <w:r>
        <w:rPr/>
        <w:t>de</w:t>
      </w:r>
      <w:r>
        <w:rPr>
          <w:spacing w:val="-8"/>
        </w:rPr>
        <w:t> </w:t>
      </w:r>
      <w:r>
        <w:rPr/>
        <w:t>género.</w:t>
      </w:r>
    </w:p>
    <w:p>
      <w:pPr>
        <w:pStyle w:val="BodyText"/>
        <w:rPr>
          <w:sz w:val="20"/>
        </w:rPr>
      </w:pPr>
    </w:p>
    <w:p>
      <w:pPr>
        <w:pStyle w:val="BodyText"/>
        <w:rPr>
          <w:sz w:val="14"/>
        </w:rPr>
      </w:pPr>
      <w:r>
        <w:rPr/>
        <w:pict>
          <v:shape style="position:absolute;margin-left:87pt;margin-top:10.285389pt;width:435.75pt;height:82pt;mso-position-horizontal-relative:page;mso-position-vertical-relative:paragraph;z-index:4216;mso-wrap-distance-left:0;mso-wrap-distance-right:0" type="#_x0000_t202" filled="false" stroked="true" strokeweight=".48pt" strokecolor="#9e3186">
            <v:textbox inset="0,0,0,0">
              <w:txbxContent>
                <w:p>
                  <w:pPr>
                    <w:pStyle w:val="BodyText"/>
                    <w:spacing w:line="276" w:lineRule="auto" w:before="71"/>
                    <w:ind w:left="144" w:right="139"/>
                    <w:jc w:val="both"/>
                    <w:rPr>
                      <w:rFonts w:ascii="Calibri" w:hAnsi="Calibri"/>
                    </w:rPr>
                  </w:pPr>
                  <w:r>
                    <w:rPr>
                      <w:rFonts w:ascii="Calibri" w:hAnsi="Calibri"/>
                    </w:rPr>
                    <w:t>Objetivo: Al finalizar éste capítulo, los lectores y las lectoras, conocerán las herramientas necesarias para incorporar a nuestra Teoría del Caso la perspectiva de género. Asimismo estarán en la posibilidad de analizar cada uno de los elementos que constituyen la Teoría del Caso a partir de la perspectiva de género, tomando en consideración las circunstancias de discriminación en contra de las mujeres, derivada de la construcción social del sexo.</w:t>
                  </w:r>
                </w:p>
              </w:txbxContent>
            </v:textbox>
            <w10:wrap type="topAndBottom"/>
          </v:shape>
        </w:pict>
      </w:r>
    </w:p>
    <w:p>
      <w:pPr>
        <w:spacing w:after="0"/>
        <w:rPr>
          <w:sz w:val="14"/>
        </w:rPr>
        <w:sectPr>
          <w:footerReference w:type="default" r:id="rId98"/>
          <w:pgSz w:w="12240" w:h="15840"/>
          <w:pgMar w:footer="914" w:header="0" w:top="1500" w:bottom="1100" w:left="0" w:right="0"/>
          <w:pgNumType w:start="83"/>
        </w:sectPr>
      </w:pPr>
    </w:p>
    <w:p>
      <w:pPr>
        <w:pStyle w:val="BodyText"/>
        <w:spacing w:line="360" w:lineRule="auto" w:before="54"/>
        <w:ind w:left="102" w:right="4016"/>
        <w:jc w:val="both"/>
        <w:rPr>
          <w:sz w:val="24"/>
        </w:rPr>
      </w:pPr>
      <w:r>
        <w:rPr/>
        <w:pict>
          <v:group style="position:absolute;margin-left:368.160004pt;margin-top:75.239998pt;width:157.7pt;height:658.1pt;mso-position-horizontal-relative:page;mso-position-vertical-relative:page;z-index:4648" coordorigin="7363,1505" coordsize="3154,13162">
            <v:shape style="position:absolute;left:7363;top:1505;width:3154;height:12665" type="#_x0000_t75" stroked="false">
              <v:imagedata r:id="rId100" o:title=""/>
            </v:shape>
            <v:shape style="position:absolute;left:8683;top:12607;width:1834;height:2060" coordorigin="8683,12607" coordsize="1834,2060" path="m10517,12851l10505,12835,9209,14266,10517,12851m10517,12720l10505,12708,9024,14338,10517,12720m10517,12682l10505,12682,8683,14666,8697,14666,10517,12682m10517,12665l10505,12665,9050,14250,9050,14266,10517,12665m10517,12607l10505,12607,9324,13908,10517,12607e" filled="true" fillcolor="#8496af" stroked="false">
              <v:path arrowok="t"/>
              <v:fill type="solid"/>
            </v:shape>
            <v:shape style="position:absolute;left:7365;top:1565;width:3150;height:809" type="#_x0000_t202" filled="false" stroked="false">
              <v:textbox inset="0,0,0,0">
                <w:txbxContent>
                  <w:p>
                    <w:pPr>
                      <w:tabs>
                        <w:tab w:pos="604" w:val="left" w:leader="none"/>
                        <w:tab w:pos="2823" w:val="left" w:leader="none"/>
                      </w:tabs>
                      <w:spacing w:line="325" w:lineRule="exact" w:before="0"/>
                      <w:ind w:left="0" w:right="0" w:firstLine="0"/>
                      <w:jc w:val="left"/>
                      <w:rPr>
                        <w:rFonts w:ascii="Cambria" w:hAnsi="Cambria"/>
                        <w:sz w:val="36"/>
                      </w:rPr>
                    </w:pPr>
                    <w:r>
                      <w:rPr>
                        <w:rFonts w:ascii="Cambria" w:hAnsi="Cambria"/>
                        <w:color w:val="6F2F9F"/>
                        <w:sz w:val="36"/>
                      </w:rPr>
                      <w:t>La</w:t>
                      <w:tab/>
                    </w:r>
                    <w:r>
                      <w:rPr>
                        <w:rFonts w:ascii="Cambria" w:hAnsi="Cambria"/>
                        <w:color w:val="6F2F9F"/>
                        <w:w w:val="95"/>
                        <w:sz w:val="36"/>
                      </w:rPr>
                      <w:t>incorporación</w:t>
                      <w:tab/>
                    </w:r>
                    <w:r>
                      <w:rPr>
                        <w:rFonts w:ascii="Cambria" w:hAnsi="Cambria"/>
                        <w:color w:val="6F2F9F"/>
                        <w:w w:val="85"/>
                        <w:sz w:val="36"/>
                      </w:rPr>
                      <w:t>de</w:t>
                    </w:r>
                  </w:p>
                  <w:p>
                    <w:pPr>
                      <w:tabs>
                        <w:tab w:pos="753" w:val="left" w:leader="none"/>
                        <w:tab w:pos="2823" w:val="left" w:leader="none"/>
                      </w:tabs>
                      <w:spacing w:before="26"/>
                      <w:ind w:left="0" w:right="0" w:firstLine="0"/>
                      <w:jc w:val="left"/>
                      <w:rPr>
                        <w:rFonts w:ascii="Cambria"/>
                        <w:sz w:val="36"/>
                      </w:rPr>
                    </w:pPr>
                    <w:r>
                      <w:rPr>
                        <w:rFonts w:ascii="Cambria"/>
                        <w:color w:val="6F2F9F"/>
                        <w:sz w:val="36"/>
                      </w:rPr>
                      <w:t>la</w:t>
                      <w:tab/>
                    </w:r>
                    <w:r>
                      <w:rPr>
                        <w:rFonts w:ascii="Cambria"/>
                        <w:color w:val="6F2F9F"/>
                        <w:w w:val="95"/>
                        <w:sz w:val="36"/>
                      </w:rPr>
                      <w:t>perspectiva</w:t>
                      <w:tab/>
                    </w:r>
                    <w:r>
                      <w:rPr>
                        <w:rFonts w:ascii="Cambria"/>
                        <w:color w:val="6F2F9F"/>
                        <w:w w:val="85"/>
                        <w:sz w:val="36"/>
                      </w:rPr>
                      <w:t>de</w:t>
                    </w:r>
                  </w:p>
                </w:txbxContent>
              </v:textbox>
              <w10:wrap type="none"/>
            </v:shape>
            <v:shape style="position:absolute;left:7365;top:2462;width:1595;height:809" type="#_x0000_t202" filled="false" stroked="false">
              <v:textbox inset="0,0,0,0">
                <w:txbxContent>
                  <w:p>
                    <w:pPr>
                      <w:spacing w:line="325" w:lineRule="exact" w:before="0"/>
                      <w:ind w:left="0" w:right="-12" w:firstLine="0"/>
                      <w:jc w:val="left"/>
                      <w:rPr>
                        <w:rFonts w:ascii="Cambria" w:hAnsi="Cambria"/>
                        <w:sz w:val="36"/>
                      </w:rPr>
                    </w:pPr>
                    <w:r>
                      <w:rPr>
                        <w:rFonts w:ascii="Cambria" w:hAnsi="Cambria"/>
                        <w:color w:val="6F2F9F"/>
                        <w:sz w:val="36"/>
                      </w:rPr>
                      <w:t>género,</w:t>
                    </w:r>
                    <w:r>
                      <w:rPr>
                        <w:rFonts w:ascii="Cambria" w:hAnsi="Cambria"/>
                        <w:color w:val="6F2F9F"/>
                        <w:spacing w:val="-13"/>
                        <w:sz w:val="36"/>
                      </w:rPr>
                      <w:t> </w:t>
                    </w:r>
                    <w:r>
                      <w:rPr>
                        <w:rFonts w:ascii="Cambria" w:hAnsi="Cambria"/>
                        <w:color w:val="6F2F9F"/>
                        <w:sz w:val="36"/>
                      </w:rPr>
                      <w:t>en</w:t>
                    </w:r>
                  </w:p>
                  <w:p>
                    <w:pPr>
                      <w:spacing w:before="26"/>
                      <w:ind w:left="0" w:right="-12" w:firstLine="0"/>
                      <w:jc w:val="left"/>
                      <w:rPr>
                        <w:rFonts w:ascii="Cambria"/>
                        <w:sz w:val="36"/>
                      </w:rPr>
                    </w:pPr>
                    <w:r>
                      <w:rPr>
                        <w:rFonts w:ascii="Cambria"/>
                        <w:color w:val="6F2F9F"/>
                        <w:sz w:val="36"/>
                      </w:rPr>
                      <w:t>del</w:t>
                    </w:r>
                  </w:p>
                </w:txbxContent>
              </v:textbox>
              <w10:wrap type="none"/>
            </v:shape>
            <v:shape style="position:absolute;left:8129;top:2911;width:789;height:360" type="#_x0000_t202" filled="false" stroked="false">
              <v:textbox inset="0,0,0,0">
                <w:txbxContent>
                  <w:p>
                    <w:pPr>
                      <w:spacing w:line="325" w:lineRule="exact" w:before="0"/>
                      <w:ind w:left="0" w:right="0" w:firstLine="0"/>
                      <w:jc w:val="left"/>
                      <w:rPr>
                        <w:rFonts w:ascii="Cambria"/>
                        <w:sz w:val="36"/>
                      </w:rPr>
                    </w:pPr>
                    <w:r>
                      <w:rPr>
                        <w:rFonts w:ascii="Cambria"/>
                        <w:color w:val="6F2F9F"/>
                        <w:w w:val="95"/>
                        <w:sz w:val="36"/>
                      </w:rPr>
                      <w:t>Caso,</w:t>
                    </w:r>
                  </w:p>
                </w:txbxContent>
              </v:textbox>
              <w10:wrap type="none"/>
            </v:shape>
            <v:shape style="position:absolute;left:9136;top:2462;width:1379;height:809" type="#_x0000_t202" filled="false" stroked="false">
              <v:textbox inset="0,0,0,0">
                <w:txbxContent>
                  <w:p>
                    <w:pPr>
                      <w:spacing w:line="325" w:lineRule="exact" w:before="0"/>
                      <w:ind w:left="0" w:right="0" w:firstLine="0"/>
                      <w:jc w:val="center"/>
                      <w:rPr>
                        <w:rFonts w:ascii="Cambria" w:hAnsi="Cambria"/>
                        <w:sz w:val="36"/>
                      </w:rPr>
                    </w:pPr>
                    <w:r>
                      <w:rPr>
                        <w:rFonts w:ascii="Cambria" w:hAnsi="Cambria"/>
                        <w:color w:val="6F2F9F"/>
                        <w:sz w:val="36"/>
                      </w:rPr>
                      <w:t>la Teoría</w:t>
                    </w:r>
                  </w:p>
                  <w:p>
                    <w:pPr>
                      <w:tabs>
                        <w:tab w:pos="1088" w:val="left" w:leader="none"/>
                      </w:tabs>
                      <w:spacing w:before="26"/>
                      <w:ind w:left="107" w:right="0" w:firstLine="0"/>
                      <w:jc w:val="center"/>
                      <w:rPr>
                        <w:rFonts w:ascii="Cambria"/>
                        <w:sz w:val="36"/>
                      </w:rPr>
                    </w:pPr>
                    <w:r>
                      <w:rPr>
                        <w:rFonts w:ascii="Cambria"/>
                        <w:color w:val="6F2F9F"/>
                        <w:sz w:val="36"/>
                      </w:rPr>
                      <w:t>para</w:t>
                      <w:tab/>
                    </w:r>
                    <w:r>
                      <w:rPr>
                        <w:rFonts w:ascii="Cambria"/>
                        <w:color w:val="6F2F9F"/>
                        <w:spacing w:val="-1"/>
                        <w:sz w:val="36"/>
                      </w:rPr>
                      <w:t>la</w:t>
                    </w:r>
                  </w:p>
                </w:txbxContent>
              </v:textbox>
              <w10:wrap type="none"/>
            </v:shape>
            <v:shape style="position:absolute;left:7365;top:3360;width:1156;height:809" type="#_x0000_t202" filled="false" stroked="false">
              <v:textbox inset="0,0,0,0">
                <w:txbxContent>
                  <w:p>
                    <w:pPr>
                      <w:spacing w:line="325" w:lineRule="exact" w:before="0"/>
                      <w:ind w:left="0" w:right="0" w:firstLine="0"/>
                      <w:jc w:val="left"/>
                      <w:rPr>
                        <w:rFonts w:ascii="Cambria"/>
                        <w:sz w:val="36"/>
                      </w:rPr>
                    </w:pPr>
                    <w:r>
                      <w:rPr>
                        <w:rFonts w:ascii="Cambria"/>
                        <w:color w:val="6F2F9F"/>
                        <w:w w:val="95"/>
                        <w:sz w:val="36"/>
                      </w:rPr>
                      <w:t>defensa</w:t>
                    </w:r>
                  </w:p>
                  <w:p>
                    <w:pPr>
                      <w:spacing w:before="26"/>
                      <w:ind w:left="0" w:right="0" w:firstLine="0"/>
                      <w:jc w:val="left"/>
                      <w:rPr>
                        <w:rFonts w:ascii="Cambria"/>
                        <w:sz w:val="36"/>
                      </w:rPr>
                    </w:pPr>
                    <w:r>
                      <w:rPr>
                        <w:rFonts w:ascii="Cambria"/>
                        <w:color w:val="6F2F9F"/>
                        <w:w w:val="90"/>
                        <w:sz w:val="36"/>
                      </w:rPr>
                      <w:t>mujeres</w:t>
                    </w:r>
                  </w:p>
                </w:txbxContent>
              </v:textbox>
              <w10:wrap type="none"/>
            </v:shape>
            <v:shape style="position:absolute;left:9130;top:3360;width:327;height:360" type="#_x0000_t202" filled="false" stroked="false">
              <v:textbox inset="0,0,0,0">
                <w:txbxContent>
                  <w:p>
                    <w:pPr>
                      <w:spacing w:line="325" w:lineRule="exact" w:before="0"/>
                      <w:ind w:left="0" w:right="-12" w:firstLine="0"/>
                      <w:jc w:val="left"/>
                      <w:rPr>
                        <w:rFonts w:ascii="Cambria"/>
                        <w:sz w:val="36"/>
                      </w:rPr>
                    </w:pPr>
                    <w:r>
                      <w:rPr>
                        <w:rFonts w:ascii="Cambria"/>
                        <w:color w:val="6F2F9F"/>
                        <w:w w:val="85"/>
                        <w:sz w:val="36"/>
                      </w:rPr>
                      <w:t>de</w:t>
                    </w:r>
                  </w:p>
                </w:txbxContent>
              </v:textbox>
              <w10:wrap type="none"/>
            </v:shape>
            <v:shape style="position:absolute;left:10070;top:3360;width:444;height:360" type="#_x0000_t202" filled="false" stroked="false">
              <v:textbox inset="0,0,0,0">
                <w:txbxContent>
                  <w:p>
                    <w:pPr>
                      <w:spacing w:line="325" w:lineRule="exact" w:before="0"/>
                      <w:ind w:left="0" w:right="-5" w:firstLine="0"/>
                      <w:jc w:val="left"/>
                      <w:rPr>
                        <w:rFonts w:ascii="Cambria"/>
                        <w:sz w:val="36"/>
                      </w:rPr>
                    </w:pPr>
                    <w:r>
                      <w:rPr>
                        <w:rFonts w:ascii="Cambria"/>
                        <w:color w:val="6F2F9F"/>
                        <w:sz w:val="36"/>
                      </w:rPr>
                      <w:t>las</w:t>
                    </w:r>
                  </w:p>
                </w:txbxContent>
              </v:textbox>
              <w10:wrap type="none"/>
            </v:shape>
            <v:shape style="position:absolute;left:8817;top:3809;width:1699;height:361" type="#_x0000_t202" filled="false" stroked="false">
              <v:textbox inset="0,0,0,0">
                <w:txbxContent>
                  <w:p>
                    <w:pPr>
                      <w:spacing w:line="325" w:lineRule="exact" w:before="0"/>
                      <w:ind w:left="0" w:right="0" w:firstLine="0"/>
                      <w:jc w:val="left"/>
                      <w:rPr>
                        <w:rFonts w:ascii="Cambria"/>
                        <w:sz w:val="36"/>
                      </w:rPr>
                    </w:pPr>
                    <w:r>
                      <w:rPr>
                        <w:rFonts w:ascii="Cambria"/>
                        <w:color w:val="6F2F9F"/>
                        <w:sz w:val="36"/>
                      </w:rPr>
                      <w:t>indiciadas,</w:t>
                    </w:r>
                  </w:p>
                </w:txbxContent>
              </v:textbox>
              <w10:wrap type="none"/>
            </v:shape>
            <v:shape style="position:absolute;left:7365;top:4258;width:3153;height:5300" type="#_x0000_t202" filled="false" stroked="false">
              <v:textbox inset="0,0,0,0">
                <w:txbxContent>
                  <w:p>
                    <w:pPr>
                      <w:spacing w:line="325" w:lineRule="exact" w:before="0"/>
                      <w:ind w:left="0" w:right="0" w:firstLine="0"/>
                      <w:jc w:val="both"/>
                      <w:rPr>
                        <w:rFonts w:ascii="Cambria" w:hAnsi="Cambria"/>
                        <w:sz w:val="36"/>
                      </w:rPr>
                    </w:pPr>
                    <w:r>
                      <w:rPr>
                        <w:rFonts w:ascii="Cambria" w:hAnsi="Cambria"/>
                        <w:color w:val="6F2F9F"/>
                        <w:sz w:val="36"/>
                      </w:rPr>
                      <w:t>permitirá garantizar</w:t>
                    </w:r>
                  </w:p>
                  <w:p>
                    <w:pPr>
                      <w:tabs>
                        <w:tab w:pos="1840" w:val="left" w:leader="none"/>
                      </w:tabs>
                      <w:spacing w:before="29"/>
                      <w:ind w:left="0" w:right="0" w:firstLine="0"/>
                      <w:jc w:val="both"/>
                      <w:rPr>
                        <w:rFonts w:ascii="Cambria"/>
                        <w:sz w:val="36"/>
                      </w:rPr>
                    </w:pPr>
                    <w:r>
                      <w:rPr>
                        <w:rFonts w:ascii="Cambria"/>
                        <w:color w:val="6F2F9F"/>
                        <w:sz w:val="36"/>
                      </w:rPr>
                      <w:t>a</w:t>
                      <w:tab/>
                    </w:r>
                    <w:r>
                      <w:rPr>
                        <w:rFonts w:ascii="Cambria"/>
                        <w:color w:val="6F2F9F"/>
                        <w:w w:val="95"/>
                        <w:sz w:val="36"/>
                      </w:rPr>
                      <w:t>nuestras</w:t>
                    </w:r>
                  </w:p>
                  <w:p>
                    <w:pPr>
                      <w:tabs>
                        <w:tab w:pos="2862" w:val="left" w:leader="none"/>
                      </w:tabs>
                      <w:spacing w:line="254" w:lineRule="auto" w:before="26"/>
                      <w:ind w:left="0" w:right="0" w:firstLine="0"/>
                      <w:jc w:val="both"/>
                      <w:rPr>
                        <w:rFonts w:ascii="Cambria" w:hAnsi="Cambria"/>
                        <w:sz w:val="36"/>
                      </w:rPr>
                    </w:pPr>
                    <w:r>
                      <w:rPr>
                        <w:rFonts w:ascii="Cambria" w:hAnsi="Cambria"/>
                        <w:color w:val="6F2F9F"/>
                        <w:sz w:val="36"/>
                      </w:rPr>
                      <w:t>defendidas,</w:t>
                      <w:tab/>
                      <w:t>la defensa técnica a la que tienen derecho, ya que se toman en consideración las circunstancias de discriminación de las mujeres</w:t>
                    </w:r>
                    <w:r>
                      <w:rPr>
                        <w:rFonts w:ascii="Cambria" w:hAnsi="Cambria"/>
                        <w:color w:val="6F2F9F"/>
                        <w:spacing w:val="-44"/>
                        <w:sz w:val="36"/>
                      </w:rPr>
                      <w:t> </w:t>
                    </w:r>
                    <w:r>
                      <w:rPr>
                        <w:rFonts w:ascii="Cambria" w:hAnsi="Cambria"/>
                        <w:color w:val="6F2F9F"/>
                        <w:sz w:val="36"/>
                      </w:rPr>
                      <w:t>derivada de la construcción </w:t>
                    </w:r>
                    <w:r>
                      <w:rPr>
                        <w:rFonts w:ascii="Cambria" w:hAnsi="Cambria"/>
                        <w:color w:val="6F2F9F"/>
                        <w:w w:val="95"/>
                        <w:sz w:val="36"/>
                      </w:rPr>
                      <w:t>social del género,</w:t>
                    </w:r>
                    <w:r>
                      <w:rPr>
                        <w:rFonts w:ascii="Cambria" w:hAnsi="Cambria"/>
                        <w:color w:val="6F2F9F"/>
                        <w:spacing w:val="-4"/>
                        <w:w w:val="95"/>
                        <w:sz w:val="36"/>
                      </w:rPr>
                      <w:t> </w:t>
                    </w:r>
                    <w:r>
                      <w:rPr>
                        <w:rFonts w:ascii="Cambria" w:hAnsi="Cambria"/>
                        <w:color w:val="6F2F9F"/>
                        <w:w w:val="95"/>
                        <w:sz w:val="36"/>
                      </w:rPr>
                      <w:t>que</w:t>
                    </w:r>
                  </w:p>
                </w:txbxContent>
              </v:textbox>
              <w10:wrap type="none"/>
            </v:shape>
            <v:shape style="position:absolute;left:7365;top:9646;width:1023;height:810" type="#_x0000_t202" filled="false" stroked="false">
              <v:textbox inset="0,0,0,0">
                <w:txbxContent>
                  <w:p>
                    <w:pPr>
                      <w:spacing w:line="325" w:lineRule="exact" w:before="0"/>
                      <w:ind w:left="0" w:right="-17" w:firstLine="0"/>
                      <w:jc w:val="left"/>
                      <w:rPr>
                        <w:rFonts w:ascii="Cambria"/>
                        <w:sz w:val="36"/>
                      </w:rPr>
                    </w:pPr>
                    <w:r>
                      <w:rPr>
                        <w:rFonts w:ascii="Cambria"/>
                        <w:color w:val="6F2F9F"/>
                        <w:sz w:val="36"/>
                      </w:rPr>
                      <w:t>tienen</w:t>
                    </w:r>
                  </w:p>
                  <w:p>
                    <w:pPr>
                      <w:spacing w:before="27"/>
                      <w:ind w:left="0" w:right="-17" w:firstLine="0"/>
                      <w:jc w:val="left"/>
                      <w:rPr>
                        <w:rFonts w:ascii="Cambria"/>
                        <w:sz w:val="36"/>
                      </w:rPr>
                    </w:pPr>
                    <w:r>
                      <w:rPr>
                        <w:rFonts w:ascii="Cambria"/>
                        <w:color w:val="6F2F9F"/>
                        <w:spacing w:val="-1"/>
                        <w:w w:val="95"/>
                        <w:sz w:val="36"/>
                      </w:rPr>
                      <w:t>directa</w:t>
                    </w:r>
                  </w:p>
                </w:txbxContent>
              </v:textbox>
              <w10:wrap type="none"/>
            </v:shape>
            <v:shape style="position:absolute;left:8936;top:9646;width:1579;height:361" type="#_x0000_t202" filled="false" stroked="false">
              <v:textbox inset="0,0,0,0">
                <w:txbxContent>
                  <w:p>
                    <w:pPr>
                      <w:spacing w:line="325" w:lineRule="exact" w:before="0"/>
                      <w:ind w:left="0" w:right="-12" w:firstLine="0"/>
                      <w:jc w:val="left"/>
                      <w:rPr>
                        <w:rFonts w:ascii="Cambria"/>
                        <w:sz w:val="36"/>
                      </w:rPr>
                    </w:pPr>
                    <w:r>
                      <w:rPr>
                        <w:rFonts w:ascii="Cambria"/>
                        <w:color w:val="6F2F9F"/>
                        <w:sz w:val="36"/>
                      </w:rPr>
                      <w:t>incidencia</w:t>
                    </w:r>
                  </w:p>
                </w:txbxContent>
              </v:textbox>
              <w10:wrap type="none"/>
            </v:shape>
            <v:shape style="position:absolute;left:8689;top:10096;width:894;height:360" type="#_x0000_t202" filled="false" stroked="false">
              <v:textbox inset="0,0,0,0">
                <w:txbxContent>
                  <w:p>
                    <w:pPr>
                      <w:tabs>
                        <w:tab w:pos="654" w:val="left" w:leader="none"/>
                      </w:tabs>
                      <w:spacing w:line="325" w:lineRule="exact" w:before="0"/>
                      <w:ind w:left="0" w:right="0" w:firstLine="0"/>
                      <w:jc w:val="left"/>
                      <w:rPr>
                        <w:rFonts w:ascii="Cambria"/>
                        <w:sz w:val="36"/>
                      </w:rPr>
                    </w:pPr>
                    <w:r>
                      <w:rPr>
                        <w:rFonts w:ascii="Cambria"/>
                        <w:color w:val="6F2F9F"/>
                        <w:sz w:val="36"/>
                      </w:rPr>
                      <w:t>en</w:t>
                      <w:tab/>
                    </w:r>
                    <w:r>
                      <w:rPr>
                        <w:rFonts w:ascii="Cambria"/>
                        <w:color w:val="6F2F9F"/>
                        <w:w w:val="85"/>
                        <w:sz w:val="36"/>
                      </w:rPr>
                      <w:t>el</w:t>
                    </w:r>
                  </w:p>
                </w:txbxContent>
              </v:textbox>
              <w10:wrap type="none"/>
            </v:shape>
            <v:shape style="position:absolute;left:9885;top:10096;width:630;height:360" type="#_x0000_t202" filled="false" stroked="false">
              <v:textbox inset="0,0,0,0">
                <w:txbxContent>
                  <w:p>
                    <w:pPr>
                      <w:spacing w:line="325" w:lineRule="exact" w:before="0"/>
                      <w:ind w:left="0" w:right="-3" w:firstLine="0"/>
                      <w:jc w:val="left"/>
                      <w:rPr>
                        <w:rFonts w:ascii="Cambria"/>
                        <w:sz w:val="36"/>
                      </w:rPr>
                    </w:pPr>
                    <w:r>
                      <w:rPr>
                        <w:rFonts w:ascii="Cambria"/>
                        <w:color w:val="6F2F9F"/>
                        <w:w w:val="90"/>
                        <w:sz w:val="36"/>
                      </w:rPr>
                      <w:t>caso</w:t>
                    </w:r>
                  </w:p>
                </w:txbxContent>
              </v:textbox>
              <w10:wrap type="none"/>
            </v:shape>
            <v:shape style="position:absolute;left:7365;top:10545;width:3152;height:1704" type="#_x0000_t202" filled="false" stroked="false">
              <v:textbox inset="0,0,0,0">
                <w:txbxContent>
                  <w:p>
                    <w:pPr>
                      <w:spacing w:line="325" w:lineRule="exact" w:before="0"/>
                      <w:ind w:left="0" w:right="0" w:firstLine="0"/>
                      <w:jc w:val="both"/>
                      <w:rPr>
                        <w:rFonts w:ascii="Cambria"/>
                        <w:sz w:val="36"/>
                      </w:rPr>
                    </w:pPr>
                    <w:r>
                      <w:rPr>
                        <w:rFonts w:ascii="Cambria"/>
                        <w:color w:val="6F2F9F"/>
                        <w:sz w:val="36"/>
                      </w:rPr>
                      <w:t>concreto,  y  que   no</w:t>
                    </w:r>
                  </w:p>
                  <w:p>
                    <w:pPr>
                      <w:tabs>
                        <w:tab w:pos="1679" w:val="left" w:leader="none"/>
                      </w:tabs>
                      <w:spacing w:line="254" w:lineRule="auto" w:before="26"/>
                      <w:ind w:left="0" w:right="0" w:firstLine="0"/>
                      <w:jc w:val="both"/>
                      <w:rPr>
                        <w:rFonts w:ascii="Cambria"/>
                        <w:sz w:val="36"/>
                      </w:rPr>
                    </w:pPr>
                    <w:r>
                      <w:rPr>
                        <w:rFonts w:ascii="Cambria"/>
                        <w:color w:val="6F2F9F"/>
                        <w:sz w:val="36"/>
                      </w:rPr>
                      <w:t>son visibilizados</w:t>
                    </w:r>
                    <w:r>
                      <w:rPr>
                        <w:rFonts w:ascii="Cambria"/>
                        <w:color w:val="6F2F9F"/>
                        <w:spacing w:val="-19"/>
                        <w:sz w:val="36"/>
                      </w:rPr>
                      <w:t> </w:t>
                    </w:r>
                    <w:r>
                      <w:rPr>
                        <w:rFonts w:ascii="Cambria"/>
                        <w:color w:val="6F2F9F"/>
                        <w:sz w:val="36"/>
                      </w:rPr>
                      <w:t>por la</w:t>
                      <w:tab/>
                    </w:r>
                    <w:r>
                      <w:rPr>
                        <w:rFonts w:ascii="Cambria"/>
                        <w:color w:val="6F2F9F"/>
                        <w:w w:val="95"/>
                        <w:sz w:val="36"/>
                      </w:rPr>
                      <w:t>autoridad </w:t>
                    </w:r>
                    <w:r>
                      <w:rPr>
                        <w:rFonts w:ascii="Cambria"/>
                        <w:color w:val="6F2F9F"/>
                        <w:sz w:val="36"/>
                      </w:rPr>
                      <w:t>jurisdiccional.</w:t>
                    </w:r>
                  </w:p>
                </w:txbxContent>
              </v:textbox>
              <w10:wrap type="none"/>
            </v:shape>
            <w10:wrap type="none"/>
          </v:group>
        </w:pict>
      </w:r>
      <w:r>
        <w:rPr/>
        <w:t>Como defensores y defensoras, a lo largo de nuestra experiencia profesional tendremos a diferentes tipos de personas a las que debemos defender, a quienes debemos garantizar una defensa técnica, tomando en consideración las características</w:t>
      </w:r>
      <w:r>
        <w:rPr>
          <w:spacing w:val="-12"/>
        </w:rPr>
        <w:t> </w:t>
      </w:r>
      <w:r>
        <w:rPr/>
        <w:t>propias</w:t>
      </w:r>
      <w:r>
        <w:rPr>
          <w:spacing w:val="-15"/>
        </w:rPr>
        <w:t> </w:t>
      </w:r>
      <w:r>
        <w:rPr/>
        <w:t>de</w:t>
      </w:r>
      <w:r>
        <w:rPr>
          <w:spacing w:val="-12"/>
        </w:rPr>
        <w:t> </w:t>
      </w:r>
      <w:r>
        <w:rPr/>
        <w:t>cada</w:t>
      </w:r>
      <w:r>
        <w:rPr>
          <w:spacing w:val="-15"/>
        </w:rPr>
        <w:t> </w:t>
      </w:r>
      <w:r>
        <w:rPr/>
        <w:t>persona</w:t>
      </w:r>
      <w:r>
        <w:rPr>
          <w:spacing w:val="-12"/>
        </w:rPr>
        <w:t> </w:t>
      </w:r>
      <w:r>
        <w:rPr/>
        <w:t>defendida, ya que si llevamos todos nuestros casos de la misma manera, no vamos a atender la situaciones particulares de las personas que estamos defendiendo, lo que ocasiona que nuestra</w:t>
      </w:r>
      <w:r>
        <w:rPr>
          <w:spacing w:val="-17"/>
        </w:rPr>
        <w:t> </w:t>
      </w:r>
      <w:r>
        <w:rPr/>
        <w:t>defensa no sea técnica. Para el caso de las mujeres, debemos de tomar las medidas necesarias, para efecto de que podamos brindar una defensa adecuada que permita la observancia de sus derechos</w:t>
      </w:r>
      <w:r>
        <w:rPr>
          <w:spacing w:val="-20"/>
        </w:rPr>
        <w:t> </w:t>
      </w:r>
      <w:r>
        <w:rPr/>
        <w:t>humanos</w:t>
      </w:r>
      <w:r>
        <w:rPr>
          <w:spacing w:val="-19"/>
        </w:rPr>
        <w:t> </w:t>
      </w:r>
      <w:r>
        <w:rPr/>
        <w:t>dentro</w:t>
      </w:r>
      <w:r>
        <w:rPr>
          <w:spacing w:val="-17"/>
        </w:rPr>
        <w:t> </w:t>
      </w:r>
      <w:r>
        <w:rPr/>
        <w:t>del</w:t>
      </w:r>
      <w:r>
        <w:rPr>
          <w:spacing w:val="-18"/>
        </w:rPr>
        <w:t> </w:t>
      </w:r>
      <w:r>
        <w:rPr/>
        <w:t>procedimiento</w:t>
      </w:r>
      <w:r>
        <w:rPr>
          <w:spacing w:val="-20"/>
        </w:rPr>
        <w:t> </w:t>
      </w:r>
      <w:r>
        <w:rPr/>
        <w:t>penal. Pues como ya se estableció, las mujeres constituyen un grupo que socialmente se encuentra en situación de desigualdad, derivada de la construcción sexual de género, circunstancias, que deben de tomarse </w:t>
      </w:r>
      <w:r>
        <w:rPr>
          <w:spacing w:val="-3"/>
        </w:rPr>
        <w:t>en </w:t>
      </w:r>
      <w:r>
        <w:rPr/>
        <w:t>consideración al momento de elaborar nuestra estrategia de defensa, es decir, al momento de plantear nuestra Teoría del</w:t>
      </w:r>
      <w:r>
        <w:rPr>
          <w:spacing w:val="-9"/>
        </w:rPr>
        <w:t> </w:t>
      </w:r>
      <w:r>
        <w:rPr/>
        <w:t>Caso</w:t>
      </w:r>
      <w:r>
        <w:rPr>
          <w:sz w:val="24"/>
        </w:rPr>
        <w:t>.</w:t>
      </w:r>
    </w:p>
    <w:p>
      <w:pPr>
        <w:pStyle w:val="Heading2"/>
        <w:numPr>
          <w:ilvl w:val="1"/>
          <w:numId w:val="11"/>
        </w:numPr>
        <w:tabs>
          <w:tab w:pos="930" w:val="left" w:leader="none"/>
        </w:tabs>
        <w:spacing w:line="360" w:lineRule="auto" w:before="200" w:after="0"/>
        <w:ind w:left="102" w:right="4020" w:firstLine="0"/>
        <w:jc w:val="both"/>
        <w:rPr>
          <w:color w:val="6F2F9F"/>
        </w:rPr>
      </w:pPr>
      <w:bookmarkStart w:name="_TOC_250000" w:id="11"/>
      <w:r>
        <w:rPr>
          <w:color w:val="6F2F9F"/>
        </w:rPr>
        <w:t>Teoría del Caso con Perspectiva de</w:t>
      </w:r>
      <w:r>
        <w:rPr>
          <w:color w:val="6F2F9F"/>
          <w:spacing w:val="-6"/>
        </w:rPr>
        <w:t> </w:t>
      </w:r>
      <w:bookmarkEnd w:id="11"/>
      <w:r>
        <w:rPr>
          <w:color w:val="6F2F9F"/>
        </w:rPr>
        <w:t>Género:</w:t>
      </w:r>
    </w:p>
    <w:p>
      <w:pPr>
        <w:pStyle w:val="BodyText"/>
        <w:spacing w:line="360" w:lineRule="auto" w:before="207"/>
        <w:ind w:left="102" w:right="4018"/>
        <w:jc w:val="both"/>
      </w:pPr>
      <w:r>
        <w:rPr/>
        <w:t>Como ya se ha establecido, la teoría del caso es una</w:t>
      </w:r>
      <w:r>
        <w:rPr>
          <w:spacing w:val="-11"/>
        </w:rPr>
        <w:t> </w:t>
      </w:r>
      <w:r>
        <w:rPr/>
        <w:t>herramienta</w:t>
      </w:r>
      <w:r>
        <w:rPr>
          <w:spacing w:val="-13"/>
        </w:rPr>
        <w:t> </w:t>
      </w:r>
      <w:r>
        <w:rPr/>
        <w:t>metodológica</w:t>
      </w:r>
      <w:r>
        <w:rPr>
          <w:spacing w:val="-13"/>
        </w:rPr>
        <w:t> </w:t>
      </w:r>
      <w:r>
        <w:rPr/>
        <w:t>que</w:t>
      </w:r>
      <w:r>
        <w:rPr>
          <w:spacing w:val="-11"/>
        </w:rPr>
        <w:t> </w:t>
      </w:r>
      <w:r>
        <w:rPr/>
        <w:t>utiliza</w:t>
      </w:r>
      <w:r>
        <w:rPr>
          <w:spacing w:val="-11"/>
        </w:rPr>
        <w:t> </w:t>
      </w:r>
      <w:r>
        <w:rPr/>
        <w:t>cada</w:t>
      </w:r>
      <w:r>
        <w:rPr>
          <w:spacing w:val="-11"/>
        </w:rPr>
        <w:t> </w:t>
      </w:r>
      <w:r>
        <w:rPr/>
        <w:t>una de</w:t>
      </w:r>
      <w:r>
        <w:rPr>
          <w:spacing w:val="-14"/>
        </w:rPr>
        <w:t> </w:t>
      </w:r>
      <w:r>
        <w:rPr/>
        <w:t>la</w:t>
      </w:r>
      <w:r>
        <w:rPr>
          <w:spacing w:val="-13"/>
        </w:rPr>
        <w:t> </w:t>
      </w:r>
      <w:r>
        <w:rPr/>
        <w:t>partes</w:t>
      </w:r>
      <w:r>
        <w:rPr>
          <w:spacing w:val="-16"/>
        </w:rPr>
        <w:t> </w:t>
      </w:r>
      <w:r>
        <w:rPr/>
        <w:t>en</w:t>
      </w:r>
      <w:r>
        <w:rPr>
          <w:spacing w:val="-16"/>
        </w:rPr>
        <w:t> </w:t>
      </w:r>
      <w:r>
        <w:rPr/>
        <w:t>el</w:t>
      </w:r>
      <w:r>
        <w:rPr>
          <w:spacing w:val="-15"/>
        </w:rPr>
        <w:t> </w:t>
      </w:r>
      <w:r>
        <w:rPr/>
        <w:t>litigio,</w:t>
      </w:r>
      <w:r>
        <w:rPr>
          <w:spacing w:val="-15"/>
        </w:rPr>
        <w:t> </w:t>
      </w:r>
      <w:r>
        <w:rPr/>
        <w:t>para</w:t>
      </w:r>
      <w:r>
        <w:rPr>
          <w:spacing w:val="-13"/>
        </w:rPr>
        <w:t> </w:t>
      </w:r>
      <w:r>
        <w:rPr/>
        <w:t>establecer</w:t>
      </w:r>
      <w:r>
        <w:rPr>
          <w:spacing w:val="-15"/>
        </w:rPr>
        <w:t> </w:t>
      </w:r>
      <w:r>
        <w:rPr/>
        <w:t>su</w:t>
      </w:r>
      <w:r>
        <w:rPr>
          <w:spacing w:val="-16"/>
        </w:rPr>
        <w:t> </w:t>
      </w:r>
      <w:r>
        <w:rPr/>
        <w:t>posición estratégica frente al caso concreto. Ahora bien, yo he llamado teoría del caso con perspectiva de género, a aquella que utiliza a la perspectiva de género  como  método  analítico  de  los  </w:t>
      </w:r>
      <w:r>
        <w:rPr>
          <w:spacing w:val="57"/>
        </w:rPr>
        <w:t> </w:t>
      </w:r>
      <w:r>
        <w:rPr/>
        <w:t>hechos,</w:t>
      </w:r>
    </w:p>
    <w:p>
      <w:pPr>
        <w:spacing w:after="0" w:line="360" w:lineRule="auto"/>
        <w:jc w:val="both"/>
        <w:sectPr>
          <w:pgSz w:w="12240" w:h="15840"/>
          <w:pgMar w:header="0" w:footer="914" w:top="1360" w:bottom="1100" w:left="1600" w:right="1580"/>
        </w:sectPr>
      </w:pPr>
    </w:p>
    <w:p>
      <w:pPr>
        <w:pStyle w:val="BodyText"/>
        <w:spacing w:line="360" w:lineRule="auto" w:before="54"/>
        <w:ind w:left="102" w:right="164"/>
        <w:jc w:val="both"/>
      </w:pPr>
      <w:r>
        <w:rPr/>
        <w:t>pruebas y normas jurídicas que giren alrededor del caso concreto. La teoría del caso con perspectiva de género, tiene como distintivo, que reconoce y deja de manifiesto ante la autoridad jurisdiccional, la situación de discriminación y exclusión de las mujeres debido a la</w:t>
      </w:r>
      <w:r>
        <w:rPr>
          <w:spacing w:val="-6"/>
        </w:rPr>
        <w:t> </w:t>
      </w:r>
      <w:r>
        <w:rPr/>
        <w:t>construcción</w:t>
      </w:r>
      <w:r>
        <w:rPr>
          <w:spacing w:val="-7"/>
        </w:rPr>
        <w:t> </w:t>
      </w:r>
      <w:r>
        <w:rPr/>
        <w:t>sexual</w:t>
      </w:r>
      <w:r>
        <w:rPr>
          <w:spacing w:val="-7"/>
        </w:rPr>
        <w:t> </w:t>
      </w:r>
      <w:r>
        <w:rPr/>
        <w:t>del</w:t>
      </w:r>
      <w:r>
        <w:rPr>
          <w:spacing w:val="-7"/>
        </w:rPr>
        <w:t> </w:t>
      </w:r>
      <w:r>
        <w:rPr/>
        <w:t>género,</w:t>
      </w:r>
      <w:r>
        <w:rPr>
          <w:spacing w:val="-8"/>
        </w:rPr>
        <w:t> </w:t>
      </w:r>
      <w:r>
        <w:rPr/>
        <w:t>la</w:t>
      </w:r>
      <w:r>
        <w:rPr>
          <w:spacing w:val="-6"/>
        </w:rPr>
        <w:t> </w:t>
      </w:r>
      <w:r>
        <w:rPr/>
        <w:t>cual</w:t>
      </w:r>
      <w:r>
        <w:rPr>
          <w:spacing w:val="-9"/>
        </w:rPr>
        <w:t> </w:t>
      </w:r>
      <w:r>
        <w:rPr/>
        <w:t>vulnera</w:t>
      </w:r>
      <w:r>
        <w:rPr>
          <w:spacing w:val="-9"/>
        </w:rPr>
        <w:t> </w:t>
      </w:r>
      <w:r>
        <w:rPr/>
        <w:t>sus</w:t>
      </w:r>
      <w:r>
        <w:rPr>
          <w:spacing w:val="-6"/>
        </w:rPr>
        <w:t> </w:t>
      </w:r>
      <w:r>
        <w:rPr/>
        <w:t>derechos</w:t>
      </w:r>
      <w:r>
        <w:rPr>
          <w:spacing w:val="-6"/>
        </w:rPr>
        <w:t> </w:t>
      </w:r>
      <w:r>
        <w:rPr/>
        <w:t>humanos,</w:t>
      </w:r>
      <w:r>
        <w:rPr>
          <w:spacing w:val="-8"/>
        </w:rPr>
        <w:t> </w:t>
      </w:r>
      <w:r>
        <w:rPr/>
        <w:t>situación</w:t>
      </w:r>
      <w:r>
        <w:rPr>
          <w:spacing w:val="-9"/>
        </w:rPr>
        <w:t> </w:t>
      </w:r>
      <w:r>
        <w:rPr/>
        <w:t>que</w:t>
      </w:r>
      <w:r>
        <w:rPr>
          <w:spacing w:val="-9"/>
        </w:rPr>
        <w:t> </w:t>
      </w:r>
      <w:r>
        <w:rPr/>
        <w:t>se debe de tomar en consideración al momento de dictar las determinaciones judiciales, asimismo, deja de lado todo prejuicio derivado de la cultura patriarcal, a fin de que se garantice el acceso a la justicia por parte de las mujeres</w:t>
      </w:r>
      <w:r>
        <w:rPr>
          <w:spacing w:val="-15"/>
        </w:rPr>
        <w:t> </w:t>
      </w:r>
      <w:r>
        <w:rPr/>
        <w:t>indiciadas.</w:t>
      </w:r>
    </w:p>
    <w:p>
      <w:pPr>
        <w:pStyle w:val="BodyText"/>
        <w:spacing w:before="10"/>
        <w:rPr>
          <w:sz w:val="17"/>
        </w:rPr>
      </w:pPr>
    </w:p>
    <w:p>
      <w:pPr>
        <w:pStyle w:val="BodyText"/>
        <w:spacing w:line="360" w:lineRule="auto"/>
        <w:ind w:left="102" w:right="164"/>
        <w:jc w:val="both"/>
      </w:pPr>
      <w:r>
        <w:rPr/>
        <w:t>Evidentemente, la teoría del caso con perspectiva de género, puede ser utilizada por los ministerios públicos y los abogados pro víctimas, en la representación de las mujeres que son víctimas del delito; sin embargo, dados los fines de la guía, nos enfocaremos en la teoría del caso como estrategia de defensa de las mujeres indiciadas, con la finalidad de que brindemos una defensa técnica al momento en el que nos toque defender a mujeres indiciadas.</w:t>
      </w:r>
    </w:p>
    <w:p>
      <w:pPr>
        <w:pStyle w:val="BodyText"/>
        <w:spacing w:before="9"/>
        <w:rPr>
          <w:sz w:val="17"/>
        </w:rPr>
      </w:pPr>
    </w:p>
    <w:p>
      <w:pPr>
        <w:pStyle w:val="BodyText"/>
        <w:spacing w:line="360" w:lineRule="auto"/>
        <w:ind w:left="102" w:right="165"/>
        <w:jc w:val="both"/>
      </w:pPr>
      <w:r>
        <w:rPr/>
        <w:t>La</w:t>
      </w:r>
      <w:r>
        <w:rPr>
          <w:spacing w:val="-3"/>
        </w:rPr>
        <w:t> </w:t>
      </w:r>
      <w:r>
        <w:rPr/>
        <w:t>teoría</w:t>
      </w:r>
      <w:r>
        <w:rPr>
          <w:spacing w:val="-3"/>
        </w:rPr>
        <w:t> </w:t>
      </w:r>
      <w:r>
        <w:rPr/>
        <w:t>del</w:t>
      </w:r>
      <w:r>
        <w:rPr>
          <w:spacing w:val="-4"/>
        </w:rPr>
        <w:t> </w:t>
      </w:r>
      <w:r>
        <w:rPr/>
        <w:t>caso</w:t>
      </w:r>
      <w:r>
        <w:rPr>
          <w:spacing w:val="-6"/>
        </w:rPr>
        <w:t> </w:t>
      </w:r>
      <w:r>
        <w:rPr/>
        <w:t>con</w:t>
      </w:r>
      <w:r>
        <w:rPr>
          <w:spacing w:val="-6"/>
        </w:rPr>
        <w:t> </w:t>
      </w:r>
      <w:r>
        <w:rPr/>
        <w:t>perspectiva</w:t>
      </w:r>
      <w:r>
        <w:rPr>
          <w:spacing w:val="-3"/>
        </w:rPr>
        <w:t> </w:t>
      </w:r>
      <w:r>
        <w:rPr/>
        <w:t>de</w:t>
      </w:r>
      <w:r>
        <w:rPr>
          <w:spacing w:val="-8"/>
        </w:rPr>
        <w:t> </w:t>
      </w:r>
      <w:r>
        <w:rPr/>
        <w:t>género</w:t>
      </w:r>
      <w:r>
        <w:rPr>
          <w:spacing w:val="-5"/>
        </w:rPr>
        <w:t> </w:t>
      </w:r>
      <w:r>
        <w:rPr/>
        <w:t>debe</w:t>
      </w:r>
      <w:r>
        <w:rPr>
          <w:spacing w:val="-3"/>
        </w:rPr>
        <w:t> </w:t>
      </w:r>
      <w:r>
        <w:rPr/>
        <w:t>utilizarse</w:t>
      </w:r>
      <w:r>
        <w:rPr>
          <w:spacing w:val="-3"/>
        </w:rPr>
        <w:t> </w:t>
      </w:r>
      <w:r>
        <w:rPr/>
        <w:t>en</w:t>
      </w:r>
      <w:r>
        <w:rPr>
          <w:spacing w:val="-8"/>
        </w:rPr>
        <w:t> </w:t>
      </w:r>
      <w:r>
        <w:rPr/>
        <w:t>todos</w:t>
      </w:r>
      <w:r>
        <w:rPr>
          <w:spacing w:val="-5"/>
        </w:rPr>
        <w:t> </w:t>
      </w:r>
      <w:r>
        <w:rPr/>
        <w:t>los</w:t>
      </w:r>
      <w:r>
        <w:rPr>
          <w:spacing w:val="-5"/>
        </w:rPr>
        <w:t> </w:t>
      </w:r>
      <w:r>
        <w:rPr/>
        <w:t>casos</w:t>
      </w:r>
      <w:r>
        <w:rPr>
          <w:spacing w:val="-3"/>
        </w:rPr>
        <w:t> </w:t>
      </w:r>
      <w:r>
        <w:rPr/>
        <w:t>en</w:t>
      </w:r>
      <w:r>
        <w:rPr>
          <w:spacing w:val="-6"/>
        </w:rPr>
        <w:t> </w:t>
      </w:r>
      <w:r>
        <w:rPr/>
        <w:t>los</w:t>
      </w:r>
      <w:r>
        <w:rPr>
          <w:spacing w:val="-8"/>
        </w:rPr>
        <w:t> </w:t>
      </w:r>
      <w:r>
        <w:rPr/>
        <w:t>que nos toque defender a una mujer indiciada, ya que como profesionales del Derecho, tenemos la obligación de proporcionar una defensa adecuada, a fin de que las mujeres puedan tener un acceso adecuado a la justicia. Lo anterior en razón de que los prejuicios del sistema patriarcal, por lo que la aplicación de la teoría del caso con perspectiva de género, permitirá lograr una efectiva intervención a  partir de una defensa</w:t>
      </w:r>
      <w:r>
        <w:rPr>
          <w:spacing w:val="-29"/>
        </w:rPr>
        <w:t> </w:t>
      </w:r>
      <w:r>
        <w:rPr/>
        <w:t>técnica.</w:t>
      </w:r>
    </w:p>
    <w:p>
      <w:pPr>
        <w:spacing w:after="0" w:line="360" w:lineRule="auto"/>
        <w:jc w:val="both"/>
        <w:sectPr>
          <w:pgSz w:w="12240" w:h="15840"/>
          <w:pgMar w:header="0" w:footer="914" w:top="1360" w:bottom="1200" w:left="1600" w:right="1580"/>
        </w:sectPr>
      </w:pPr>
    </w:p>
    <w:p>
      <w:pPr>
        <w:pStyle w:val="BodyText"/>
        <w:rPr>
          <w:sz w:val="20"/>
        </w:rPr>
      </w:pPr>
    </w:p>
    <w:p>
      <w:pPr>
        <w:pStyle w:val="BodyText"/>
        <w:spacing w:before="10"/>
        <w:rPr>
          <w:sz w:val="20"/>
        </w:rPr>
      </w:pPr>
    </w:p>
    <w:p>
      <w:pPr>
        <w:pStyle w:val="Heading2"/>
        <w:numPr>
          <w:ilvl w:val="1"/>
          <w:numId w:val="11"/>
        </w:numPr>
        <w:tabs>
          <w:tab w:pos="693" w:val="left" w:leader="none"/>
        </w:tabs>
        <w:spacing w:line="362" w:lineRule="auto" w:before="54" w:after="0"/>
        <w:ind w:left="102" w:right="168" w:firstLine="0"/>
        <w:jc w:val="both"/>
        <w:rPr>
          <w:color w:val="6F2F9F"/>
        </w:rPr>
      </w:pPr>
      <w:r>
        <w:rPr>
          <w:color w:val="6F2F9F"/>
        </w:rPr>
        <w:t>¿Por</w:t>
      </w:r>
      <w:r>
        <w:rPr>
          <w:color w:val="6F2F9F"/>
          <w:spacing w:val="-12"/>
        </w:rPr>
        <w:t> </w:t>
      </w:r>
      <w:r>
        <w:rPr>
          <w:color w:val="6F2F9F"/>
        </w:rPr>
        <w:t>qué</w:t>
      </w:r>
      <w:r>
        <w:rPr>
          <w:color w:val="6F2F9F"/>
          <w:spacing w:val="-11"/>
        </w:rPr>
        <w:t> </w:t>
      </w:r>
      <w:r>
        <w:rPr>
          <w:color w:val="6F2F9F"/>
        </w:rPr>
        <w:t>es</w:t>
      </w:r>
      <w:r>
        <w:rPr>
          <w:color w:val="6F2F9F"/>
          <w:spacing w:val="-12"/>
        </w:rPr>
        <w:t> </w:t>
      </w:r>
      <w:r>
        <w:rPr>
          <w:color w:val="6F2F9F"/>
        </w:rPr>
        <w:t>importante</w:t>
      </w:r>
      <w:r>
        <w:rPr>
          <w:color w:val="6F2F9F"/>
          <w:spacing w:val="-11"/>
        </w:rPr>
        <w:t> </w:t>
      </w:r>
      <w:r>
        <w:rPr>
          <w:color w:val="6F2F9F"/>
        </w:rPr>
        <w:t>la</w:t>
      </w:r>
      <w:r>
        <w:rPr>
          <w:color w:val="6F2F9F"/>
          <w:spacing w:val="-12"/>
        </w:rPr>
        <w:t> </w:t>
      </w:r>
      <w:r>
        <w:rPr>
          <w:color w:val="6F2F9F"/>
        </w:rPr>
        <w:t>aplicación</w:t>
      </w:r>
      <w:r>
        <w:rPr>
          <w:color w:val="6F2F9F"/>
          <w:spacing w:val="-12"/>
        </w:rPr>
        <w:t> </w:t>
      </w:r>
      <w:r>
        <w:rPr>
          <w:color w:val="6F2F9F"/>
        </w:rPr>
        <w:t>de</w:t>
      </w:r>
      <w:r>
        <w:rPr>
          <w:color w:val="6F2F9F"/>
          <w:spacing w:val="-12"/>
        </w:rPr>
        <w:t> </w:t>
      </w:r>
      <w:r>
        <w:rPr>
          <w:color w:val="6F2F9F"/>
        </w:rPr>
        <w:t>la</w:t>
      </w:r>
      <w:r>
        <w:rPr>
          <w:color w:val="6F2F9F"/>
          <w:spacing w:val="-11"/>
        </w:rPr>
        <w:t> </w:t>
      </w:r>
      <w:r>
        <w:rPr>
          <w:color w:val="6F2F9F"/>
        </w:rPr>
        <w:t>teoría del caso con perspectiva de</w:t>
      </w:r>
      <w:r>
        <w:rPr>
          <w:color w:val="6F2F9F"/>
          <w:spacing w:val="-8"/>
        </w:rPr>
        <w:t> </w:t>
      </w:r>
      <w:r>
        <w:rPr>
          <w:color w:val="6F2F9F"/>
        </w:rPr>
        <w:t>género?</w:t>
      </w:r>
    </w:p>
    <w:p>
      <w:pPr>
        <w:pStyle w:val="BodyText"/>
        <w:spacing w:line="360" w:lineRule="auto" w:before="203"/>
        <w:ind w:left="102" w:right="167"/>
        <w:jc w:val="both"/>
      </w:pPr>
      <w:r>
        <w:rPr/>
        <w:t>La elaboración de una teoría del caso que utilice a la perspectiva de género como metodología analítica permite que se vislumbren ante la autoridad jurisdiccional todas las circunstancias de discriminación por razones de género que se encuentran presentes en la controversia, y que no pueden pasar desapercibidas en el juicio, a fin de garantizar la protección de los derechos humanos de las mujeres, al debido proceso y acceso a la justicia. En la actualidad, muchas mujeres se encuentran sujetas a la voluntariedad del varón, viviendo en un contexto de violencia, por lo que la voluntad de estas se encuentra afectada, por lo que, si queremos proporcionar una defensa adecuada, debemos, hacer valer las circunstancias de vulnerabilidad de las mujeres con respecto de los hombres.</w:t>
      </w:r>
    </w:p>
    <w:p>
      <w:pPr>
        <w:pStyle w:val="BodyText"/>
        <w:spacing w:before="7"/>
        <w:rPr>
          <w:sz w:val="17"/>
        </w:rPr>
      </w:pPr>
    </w:p>
    <w:p>
      <w:pPr>
        <w:pStyle w:val="BodyText"/>
        <w:spacing w:line="360" w:lineRule="auto"/>
        <w:ind w:left="102" w:right="164"/>
        <w:jc w:val="both"/>
      </w:pPr>
      <w:r>
        <w:rPr/>
        <w:t>Asimismo, si partimos de la idea de que la labor tanto de las autoridades jurisdiccionales, ministerio</w:t>
      </w:r>
      <w:r>
        <w:rPr>
          <w:spacing w:val="-6"/>
        </w:rPr>
        <w:t> </w:t>
      </w:r>
      <w:r>
        <w:rPr/>
        <w:t>públicos</w:t>
      </w:r>
      <w:r>
        <w:rPr>
          <w:spacing w:val="-5"/>
        </w:rPr>
        <w:t> </w:t>
      </w:r>
      <w:r>
        <w:rPr/>
        <w:t>y,</w:t>
      </w:r>
      <w:r>
        <w:rPr>
          <w:spacing w:val="-6"/>
        </w:rPr>
        <w:t> </w:t>
      </w:r>
      <w:r>
        <w:rPr/>
        <w:t>los</w:t>
      </w:r>
      <w:r>
        <w:rPr>
          <w:spacing w:val="-8"/>
        </w:rPr>
        <w:t> </w:t>
      </w:r>
      <w:r>
        <w:rPr/>
        <w:t>y</w:t>
      </w:r>
      <w:r>
        <w:rPr>
          <w:spacing w:val="-7"/>
        </w:rPr>
        <w:t> </w:t>
      </w:r>
      <w:r>
        <w:rPr/>
        <w:t>las</w:t>
      </w:r>
      <w:r>
        <w:rPr>
          <w:spacing w:val="-5"/>
        </w:rPr>
        <w:t> </w:t>
      </w:r>
      <w:r>
        <w:rPr/>
        <w:t>defensoras,</w:t>
      </w:r>
      <w:r>
        <w:rPr>
          <w:spacing w:val="-6"/>
        </w:rPr>
        <w:t> </w:t>
      </w:r>
      <w:r>
        <w:rPr/>
        <w:t>tiene</w:t>
      </w:r>
      <w:r>
        <w:rPr>
          <w:spacing w:val="-5"/>
        </w:rPr>
        <w:t> </w:t>
      </w:r>
      <w:r>
        <w:rPr/>
        <w:t>como</w:t>
      </w:r>
      <w:r>
        <w:rPr>
          <w:spacing w:val="-5"/>
        </w:rPr>
        <w:t> </w:t>
      </w:r>
      <w:r>
        <w:rPr/>
        <w:t>base</w:t>
      </w:r>
      <w:r>
        <w:rPr>
          <w:spacing w:val="-8"/>
        </w:rPr>
        <w:t> </w:t>
      </w:r>
      <w:r>
        <w:rPr/>
        <w:t>los</w:t>
      </w:r>
      <w:r>
        <w:rPr>
          <w:spacing w:val="-5"/>
        </w:rPr>
        <w:t> </w:t>
      </w:r>
      <w:r>
        <w:rPr/>
        <w:t>prejuicios</w:t>
      </w:r>
      <w:r>
        <w:rPr>
          <w:spacing w:val="-10"/>
        </w:rPr>
        <w:t> </w:t>
      </w:r>
      <w:r>
        <w:rPr/>
        <w:t>de</w:t>
      </w:r>
      <w:r>
        <w:rPr>
          <w:spacing w:val="-6"/>
        </w:rPr>
        <w:t> </w:t>
      </w:r>
      <w:r>
        <w:rPr/>
        <w:t>cada</w:t>
      </w:r>
      <w:r>
        <w:rPr>
          <w:spacing w:val="-5"/>
        </w:rPr>
        <w:t> </w:t>
      </w:r>
      <w:r>
        <w:rPr/>
        <w:t>uno</w:t>
      </w:r>
      <w:r>
        <w:rPr>
          <w:spacing w:val="-8"/>
        </w:rPr>
        <w:t> </w:t>
      </w:r>
      <w:r>
        <w:rPr/>
        <w:t>y</w:t>
      </w:r>
      <w:r>
        <w:rPr>
          <w:spacing w:val="-7"/>
        </w:rPr>
        <w:t> </w:t>
      </w:r>
      <w:r>
        <w:rPr/>
        <w:t>de cada una, por lo cual nuestra función judicial se ve obstaculizada por lo prejuicios que nos hemos creado a partir de los postulados de la cultura patriarcal, por lo que es importante tomar</w:t>
      </w:r>
      <w:r>
        <w:rPr>
          <w:spacing w:val="-8"/>
        </w:rPr>
        <w:t> </w:t>
      </w:r>
      <w:r>
        <w:rPr/>
        <w:t>en</w:t>
      </w:r>
      <w:r>
        <w:rPr>
          <w:spacing w:val="-9"/>
        </w:rPr>
        <w:t> </w:t>
      </w:r>
      <w:r>
        <w:rPr/>
        <w:t>consideración</w:t>
      </w:r>
      <w:r>
        <w:rPr>
          <w:spacing w:val="-9"/>
        </w:rPr>
        <w:t> </w:t>
      </w:r>
      <w:r>
        <w:rPr/>
        <w:t>la</w:t>
      </w:r>
      <w:r>
        <w:rPr>
          <w:spacing w:val="-6"/>
        </w:rPr>
        <w:t> </w:t>
      </w:r>
      <w:r>
        <w:rPr/>
        <w:t>perspectiva</w:t>
      </w:r>
      <w:r>
        <w:rPr>
          <w:spacing w:val="-6"/>
        </w:rPr>
        <w:t> </w:t>
      </w:r>
      <w:r>
        <w:rPr/>
        <w:t>de</w:t>
      </w:r>
      <w:r>
        <w:rPr>
          <w:spacing w:val="-11"/>
        </w:rPr>
        <w:t> </w:t>
      </w:r>
      <w:r>
        <w:rPr/>
        <w:t>género,</w:t>
      </w:r>
      <w:r>
        <w:rPr>
          <w:spacing w:val="-8"/>
        </w:rPr>
        <w:t> </w:t>
      </w:r>
      <w:r>
        <w:rPr/>
        <w:t>en</w:t>
      </w:r>
      <w:r>
        <w:rPr>
          <w:spacing w:val="-9"/>
        </w:rPr>
        <w:t> </w:t>
      </w:r>
      <w:r>
        <w:rPr/>
        <w:t>nuestra</w:t>
      </w:r>
      <w:r>
        <w:rPr>
          <w:spacing w:val="-9"/>
        </w:rPr>
        <w:t> </w:t>
      </w:r>
      <w:r>
        <w:rPr/>
        <w:t>defensa,</w:t>
      </w:r>
      <w:r>
        <w:rPr>
          <w:spacing w:val="-7"/>
        </w:rPr>
        <w:t> </w:t>
      </w:r>
      <w:r>
        <w:rPr/>
        <w:t>la</w:t>
      </w:r>
      <w:r>
        <w:rPr>
          <w:spacing w:val="-6"/>
        </w:rPr>
        <w:t> </w:t>
      </w:r>
      <w:r>
        <w:rPr/>
        <w:t>cual</w:t>
      </w:r>
      <w:r>
        <w:rPr>
          <w:spacing w:val="-7"/>
        </w:rPr>
        <w:t> </w:t>
      </w:r>
      <w:r>
        <w:rPr/>
        <w:t>permitirá</w:t>
      </w:r>
      <w:r>
        <w:rPr>
          <w:spacing w:val="-11"/>
        </w:rPr>
        <w:t> </w:t>
      </w:r>
      <w:r>
        <w:rPr/>
        <w:t>que nuestro litigio esté limpio de toda valoración</w:t>
      </w:r>
      <w:r>
        <w:rPr>
          <w:spacing w:val="-20"/>
        </w:rPr>
        <w:t> </w:t>
      </w:r>
      <w:r>
        <w:rPr/>
        <w:t>discriminatoria.</w:t>
      </w:r>
    </w:p>
    <w:p>
      <w:pPr>
        <w:pStyle w:val="BodyText"/>
        <w:spacing w:before="2"/>
        <w:rPr>
          <w:sz w:val="17"/>
        </w:rPr>
      </w:pPr>
    </w:p>
    <w:p>
      <w:pPr>
        <w:pStyle w:val="Heading2"/>
        <w:numPr>
          <w:ilvl w:val="1"/>
          <w:numId w:val="11"/>
        </w:numPr>
        <w:tabs>
          <w:tab w:pos="686" w:val="left" w:leader="none"/>
        </w:tabs>
        <w:spacing w:line="362" w:lineRule="auto" w:before="1" w:after="0"/>
        <w:ind w:left="102" w:right="166" w:firstLine="0"/>
        <w:jc w:val="both"/>
        <w:rPr>
          <w:color w:val="6F2F9F"/>
        </w:rPr>
      </w:pPr>
      <w:r>
        <w:rPr>
          <w:color w:val="6F2F9F"/>
        </w:rPr>
        <w:t>¿Cuáles</w:t>
      </w:r>
      <w:r>
        <w:rPr>
          <w:color w:val="6F2F9F"/>
          <w:spacing w:val="-19"/>
        </w:rPr>
        <w:t> </w:t>
      </w:r>
      <w:r>
        <w:rPr>
          <w:color w:val="6F2F9F"/>
        </w:rPr>
        <w:t>son</w:t>
      </w:r>
      <w:r>
        <w:rPr>
          <w:color w:val="6F2F9F"/>
          <w:spacing w:val="-16"/>
        </w:rPr>
        <w:t> </w:t>
      </w:r>
      <w:r>
        <w:rPr>
          <w:color w:val="6F2F9F"/>
        </w:rPr>
        <w:t>las</w:t>
      </w:r>
      <w:r>
        <w:rPr>
          <w:color w:val="6F2F9F"/>
          <w:spacing w:val="-19"/>
        </w:rPr>
        <w:t> </w:t>
      </w:r>
      <w:r>
        <w:rPr>
          <w:color w:val="6F2F9F"/>
        </w:rPr>
        <w:t>características</w:t>
      </w:r>
      <w:r>
        <w:rPr>
          <w:color w:val="6F2F9F"/>
          <w:spacing w:val="-18"/>
        </w:rPr>
        <w:t> </w:t>
      </w:r>
      <w:r>
        <w:rPr>
          <w:color w:val="6F2F9F"/>
        </w:rPr>
        <w:t>de</w:t>
      </w:r>
      <w:r>
        <w:rPr>
          <w:color w:val="6F2F9F"/>
          <w:spacing w:val="-18"/>
        </w:rPr>
        <w:t> </w:t>
      </w:r>
      <w:r>
        <w:rPr>
          <w:color w:val="6F2F9F"/>
        </w:rPr>
        <w:t>una</w:t>
      </w:r>
      <w:r>
        <w:rPr>
          <w:color w:val="6F2F9F"/>
          <w:spacing w:val="-18"/>
        </w:rPr>
        <w:t> </w:t>
      </w:r>
      <w:r>
        <w:rPr>
          <w:color w:val="6F2F9F"/>
        </w:rPr>
        <w:t>teoría</w:t>
      </w:r>
      <w:r>
        <w:rPr>
          <w:color w:val="6F2F9F"/>
          <w:spacing w:val="-19"/>
        </w:rPr>
        <w:t> </w:t>
      </w:r>
      <w:r>
        <w:rPr>
          <w:color w:val="6F2F9F"/>
        </w:rPr>
        <w:t>del caso con perspectiva de</w:t>
      </w:r>
      <w:r>
        <w:rPr>
          <w:color w:val="6F2F9F"/>
          <w:spacing w:val="-7"/>
        </w:rPr>
        <w:t> </w:t>
      </w:r>
      <w:r>
        <w:rPr>
          <w:color w:val="6F2F9F"/>
        </w:rPr>
        <w:t>género?</w:t>
      </w:r>
    </w:p>
    <w:p>
      <w:pPr>
        <w:pStyle w:val="BodyText"/>
        <w:spacing w:line="360" w:lineRule="auto" w:before="203"/>
        <w:ind w:left="102" w:right="167"/>
        <w:jc w:val="both"/>
      </w:pPr>
      <w:r>
        <w:rPr/>
        <w:t>La</w:t>
      </w:r>
      <w:r>
        <w:rPr>
          <w:spacing w:val="-6"/>
        </w:rPr>
        <w:t> </w:t>
      </w:r>
      <w:r>
        <w:rPr/>
        <w:t>teoría</w:t>
      </w:r>
      <w:r>
        <w:rPr>
          <w:spacing w:val="-5"/>
        </w:rPr>
        <w:t> </w:t>
      </w:r>
      <w:r>
        <w:rPr/>
        <w:t>del</w:t>
      </w:r>
      <w:r>
        <w:rPr>
          <w:spacing w:val="-6"/>
        </w:rPr>
        <w:t> </w:t>
      </w:r>
      <w:r>
        <w:rPr/>
        <w:t>caso</w:t>
      </w:r>
      <w:r>
        <w:rPr>
          <w:spacing w:val="-6"/>
        </w:rPr>
        <w:t> </w:t>
      </w:r>
      <w:r>
        <w:rPr/>
        <w:t>con</w:t>
      </w:r>
      <w:r>
        <w:rPr>
          <w:spacing w:val="-6"/>
        </w:rPr>
        <w:t> </w:t>
      </w:r>
      <w:r>
        <w:rPr/>
        <w:t>perspectiva</w:t>
      </w:r>
      <w:r>
        <w:rPr>
          <w:spacing w:val="-5"/>
        </w:rPr>
        <w:t> </w:t>
      </w:r>
      <w:r>
        <w:rPr/>
        <w:t>de</w:t>
      </w:r>
      <w:r>
        <w:rPr>
          <w:spacing w:val="-8"/>
        </w:rPr>
        <w:t> </w:t>
      </w:r>
      <w:r>
        <w:rPr/>
        <w:t>género,</w:t>
      </w:r>
      <w:r>
        <w:rPr>
          <w:spacing w:val="-4"/>
        </w:rPr>
        <w:t> </w:t>
      </w:r>
      <w:r>
        <w:rPr/>
        <w:t>al</w:t>
      </w:r>
      <w:r>
        <w:rPr>
          <w:spacing w:val="-6"/>
        </w:rPr>
        <w:t> </w:t>
      </w:r>
      <w:r>
        <w:rPr/>
        <w:t>igual</w:t>
      </w:r>
      <w:r>
        <w:rPr>
          <w:spacing w:val="-6"/>
        </w:rPr>
        <w:t> </w:t>
      </w:r>
      <w:r>
        <w:rPr/>
        <w:t>que</w:t>
      </w:r>
      <w:r>
        <w:rPr>
          <w:spacing w:val="-6"/>
        </w:rPr>
        <w:t> </w:t>
      </w:r>
      <w:r>
        <w:rPr/>
        <w:t>cualquier</w:t>
      </w:r>
      <w:r>
        <w:rPr>
          <w:spacing w:val="-5"/>
        </w:rPr>
        <w:t> </w:t>
      </w:r>
      <w:r>
        <w:rPr/>
        <w:t>otra</w:t>
      </w:r>
      <w:r>
        <w:rPr>
          <w:spacing w:val="-8"/>
        </w:rPr>
        <w:t> </w:t>
      </w:r>
      <w:r>
        <w:rPr/>
        <w:t>teoría</w:t>
      </w:r>
      <w:r>
        <w:rPr>
          <w:spacing w:val="-5"/>
        </w:rPr>
        <w:t> </w:t>
      </w:r>
      <w:r>
        <w:rPr/>
        <w:t>del</w:t>
      </w:r>
      <w:r>
        <w:rPr>
          <w:spacing w:val="-6"/>
        </w:rPr>
        <w:t> </w:t>
      </w:r>
      <w:r>
        <w:rPr/>
        <w:t>caso</w:t>
      </w:r>
      <w:r>
        <w:rPr>
          <w:spacing w:val="-6"/>
        </w:rPr>
        <w:t> </w:t>
      </w:r>
      <w:r>
        <w:rPr/>
        <w:t>en general, debe tener las características de veracidad, credibilidad, y</w:t>
      </w:r>
      <w:r>
        <w:rPr>
          <w:spacing w:val="-23"/>
        </w:rPr>
        <w:t> </w:t>
      </w:r>
      <w:r>
        <w:rPr/>
        <w:t>simplicidad.</w:t>
      </w:r>
    </w:p>
    <w:p>
      <w:pPr>
        <w:pStyle w:val="BodyText"/>
        <w:spacing w:before="9"/>
        <w:rPr>
          <w:sz w:val="17"/>
        </w:rPr>
      </w:pPr>
    </w:p>
    <w:p>
      <w:pPr>
        <w:pStyle w:val="BodyText"/>
        <w:spacing w:line="360" w:lineRule="auto"/>
        <w:ind w:left="102" w:right="167"/>
        <w:jc w:val="both"/>
      </w:pPr>
      <w:r>
        <w:rPr/>
        <w:t>Además, se proponen como características primordiales de la teoría del caso con perspectiva de género las siguientes:</w:t>
      </w:r>
    </w:p>
    <w:p>
      <w:pPr>
        <w:pStyle w:val="BodyText"/>
        <w:spacing w:before="7"/>
        <w:rPr>
          <w:sz w:val="17"/>
        </w:rPr>
      </w:pPr>
    </w:p>
    <w:p>
      <w:pPr>
        <w:pStyle w:val="ListParagraph"/>
        <w:numPr>
          <w:ilvl w:val="2"/>
          <w:numId w:val="11"/>
        </w:numPr>
        <w:tabs>
          <w:tab w:pos="822" w:val="left" w:leader="none"/>
        </w:tabs>
        <w:spacing w:line="360" w:lineRule="auto" w:before="0" w:after="0"/>
        <w:ind w:left="822" w:right="164" w:hanging="360"/>
        <w:jc w:val="both"/>
        <w:rPr>
          <w:sz w:val="22"/>
        </w:rPr>
      </w:pPr>
      <w:r>
        <w:rPr>
          <w:sz w:val="22"/>
        </w:rPr>
        <w:t>El uso de la perspectiva de género como método analítico, a partir del cual se estudiaran los hechos, pruebas y derecho, relacionados con el caso concreto a tratar. Es decir visibilizar las circunstancias de discriminación, resultante de la construcción social del sexo, que se encuentren presentes en el caso</w:t>
      </w:r>
      <w:r>
        <w:rPr>
          <w:spacing w:val="-14"/>
          <w:sz w:val="22"/>
        </w:rPr>
        <w:t> </w:t>
      </w:r>
      <w:r>
        <w:rPr>
          <w:sz w:val="22"/>
        </w:rPr>
        <w:t>concreto.</w:t>
      </w:r>
    </w:p>
    <w:p>
      <w:pPr>
        <w:spacing w:after="0" w:line="360" w:lineRule="auto"/>
        <w:jc w:val="both"/>
        <w:rPr>
          <w:sz w:val="22"/>
        </w:rPr>
        <w:sectPr>
          <w:pgSz w:w="12240" w:h="15840"/>
          <w:pgMar w:header="0" w:footer="914" w:top="1500" w:bottom="1200" w:left="1600" w:right="1580"/>
        </w:sectPr>
      </w:pPr>
    </w:p>
    <w:p>
      <w:pPr>
        <w:pStyle w:val="ListParagraph"/>
        <w:numPr>
          <w:ilvl w:val="2"/>
          <w:numId w:val="11"/>
        </w:numPr>
        <w:tabs>
          <w:tab w:pos="822" w:val="left" w:leader="none"/>
        </w:tabs>
        <w:spacing w:line="362" w:lineRule="auto" w:before="54" w:after="0"/>
        <w:ind w:left="822" w:right="164" w:hanging="360"/>
        <w:jc w:val="both"/>
        <w:rPr>
          <w:sz w:val="22"/>
        </w:rPr>
      </w:pPr>
      <w:r>
        <w:rPr>
          <w:sz w:val="22"/>
        </w:rPr>
        <w:t>Tomar en consideración el contexto sociocultural en el que se encuentran las mujeres involucradas y en que se dieron los</w:t>
      </w:r>
      <w:r>
        <w:rPr>
          <w:spacing w:val="-10"/>
          <w:sz w:val="22"/>
        </w:rPr>
        <w:t> </w:t>
      </w:r>
      <w:r>
        <w:rPr>
          <w:sz w:val="22"/>
        </w:rPr>
        <w:t>hechos.</w:t>
      </w:r>
    </w:p>
    <w:p>
      <w:pPr>
        <w:pStyle w:val="ListParagraph"/>
        <w:numPr>
          <w:ilvl w:val="2"/>
          <w:numId w:val="11"/>
        </w:numPr>
        <w:tabs>
          <w:tab w:pos="822" w:val="left" w:leader="none"/>
        </w:tabs>
        <w:spacing w:line="360" w:lineRule="auto" w:before="1" w:after="0"/>
        <w:ind w:left="822" w:right="165" w:hanging="360"/>
        <w:jc w:val="both"/>
        <w:rPr>
          <w:sz w:val="22"/>
        </w:rPr>
      </w:pPr>
      <w:r>
        <w:rPr>
          <w:sz w:val="22"/>
        </w:rPr>
        <w:t>Considerar al derecho como un todo, es decir, no sólo tomar en consideración la legislación nacional aplicable, sino también los instrumentos internacionales que protegen</w:t>
      </w:r>
      <w:r>
        <w:rPr>
          <w:spacing w:val="-18"/>
          <w:sz w:val="22"/>
        </w:rPr>
        <w:t> </w:t>
      </w:r>
      <w:r>
        <w:rPr>
          <w:sz w:val="22"/>
        </w:rPr>
        <w:t>los</w:t>
      </w:r>
      <w:r>
        <w:rPr>
          <w:spacing w:val="-15"/>
          <w:sz w:val="22"/>
        </w:rPr>
        <w:t> </w:t>
      </w:r>
      <w:r>
        <w:rPr>
          <w:sz w:val="22"/>
        </w:rPr>
        <w:t>derechos</w:t>
      </w:r>
      <w:r>
        <w:rPr>
          <w:spacing w:val="-18"/>
          <w:sz w:val="22"/>
        </w:rPr>
        <w:t> </w:t>
      </w:r>
      <w:r>
        <w:rPr>
          <w:sz w:val="22"/>
        </w:rPr>
        <w:t>de</w:t>
      </w:r>
      <w:r>
        <w:rPr>
          <w:spacing w:val="-18"/>
          <w:sz w:val="22"/>
        </w:rPr>
        <w:t> </w:t>
      </w:r>
      <w:r>
        <w:rPr>
          <w:sz w:val="22"/>
        </w:rPr>
        <w:t>las</w:t>
      </w:r>
      <w:r>
        <w:rPr>
          <w:spacing w:val="-17"/>
          <w:sz w:val="22"/>
        </w:rPr>
        <w:t> </w:t>
      </w:r>
      <w:r>
        <w:rPr>
          <w:sz w:val="22"/>
        </w:rPr>
        <w:t>mujeres</w:t>
      </w:r>
      <w:r>
        <w:rPr>
          <w:spacing w:val="-18"/>
          <w:sz w:val="22"/>
        </w:rPr>
        <w:t> </w:t>
      </w:r>
      <w:r>
        <w:rPr>
          <w:sz w:val="22"/>
        </w:rPr>
        <w:t>así</w:t>
      </w:r>
      <w:r>
        <w:rPr>
          <w:spacing w:val="-19"/>
          <w:sz w:val="22"/>
        </w:rPr>
        <w:t> </w:t>
      </w:r>
      <w:r>
        <w:rPr>
          <w:sz w:val="22"/>
        </w:rPr>
        <w:t>como</w:t>
      </w:r>
      <w:r>
        <w:rPr>
          <w:spacing w:val="-14"/>
          <w:sz w:val="22"/>
        </w:rPr>
        <w:t> </w:t>
      </w:r>
      <w:r>
        <w:rPr>
          <w:sz w:val="22"/>
        </w:rPr>
        <w:t>las</w:t>
      </w:r>
      <w:r>
        <w:rPr>
          <w:spacing w:val="-20"/>
          <w:sz w:val="22"/>
        </w:rPr>
        <w:t> </w:t>
      </w:r>
      <w:r>
        <w:rPr>
          <w:sz w:val="22"/>
        </w:rPr>
        <w:t>legislaciones</w:t>
      </w:r>
      <w:r>
        <w:rPr>
          <w:spacing w:val="-15"/>
          <w:sz w:val="22"/>
        </w:rPr>
        <w:t> </w:t>
      </w:r>
      <w:r>
        <w:rPr>
          <w:sz w:val="22"/>
        </w:rPr>
        <w:t>especiales</w:t>
      </w:r>
      <w:r>
        <w:rPr>
          <w:spacing w:val="-17"/>
          <w:sz w:val="22"/>
        </w:rPr>
        <w:t> </w:t>
      </w:r>
      <w:r>
        <w:rPr>
          <w:sz w:val="22"/>
        </w:rPr>
        <w:t>creadas para la protección de los derechos humanos de las</w:t>
      </w:r>
      <w:r>
        <w:rPr>
          <w:spacing w:val="-14"/>
          <w:sz w:val="22"/>
        </w:rPr>
        <w:t> </w:t>
      </w:r>
      <w:r>
        <w:rPr>
          <w:sz w:val="22"/>
        </w:rPr>
        <w:t>mujeres.</w:t>
      </w:r>
    </w:p>
    <w:p>
      <w:pPr>
        <w:pStyle w:val="ListParagraph"/>
        <w:numPr>
          <w:ilvl w:val="2"/>
          <w:numId w:val="11"/>
        </w:numPr>
        <w:tabs>
          <w:tab w:pos="822" w:val="left" w:leader="none"/>
        </w:tabs>
        <w:spacing w:line="360" w:lineRule="auto" w:before="3" w:after="0"/>
        <w:ind w:left="822" w:right="164" w:hanging="360"/>
        <w:jc w:val="both"/>
        <w:rPr>
          <w:sz w:val="22"/>
        </w:rPr>
      </w:pPr>
      <w:r>
        <w:rPr>
          <w:sz w:val="22"/>
        </w:rPr>
        <w:t>Capacidad argumentativa, basada en la perspectiva de género, haciendo valer las condiciones de discriminación que sufren las mujeres a partir de la construcción social</w:t>
      </w:r>
      <w:r>
        <w:rPr>
          <w:spacing w:val="-6"/>
          <w:sz w:val="22"/>
        </w:rPr>
        <w:t> </w:t>
      </w:r>
      <w:r>
        <w:rPr>
          <w:sz w:val="22"/>
        </w:rPr>
        <w:t>del</w:t>
      </w:r>
      <w:r>
        <w:rPr>
          <w:spacing w:val="-6"/>
          <w:sz w:val="22"/>
        </w:rPr>
        <w:t> </w:t>
      </w:r>
      <w:r>
        <w:rPr>
          <w:sz w:val="22"/>
        </w:rPr>
        <w:t>sexo,</w:t>
      </w:r>
      <w:r>
        <w:rPr>
          <w:spacing w:val="-4"/>
          <w:sz w:val="22"/>
        </w:rPr>
        <w:t> </w:t>
      </w:r>
      <w:r>
        <w:rPr>
          <w:sz w:val="22"/>
        </w:rPr>
        <w:t>a</w:t>
      </w:r>
      <w:r>
        <w:rPr>
          <w:spacing w:val="-8"/>
          <w:sz w:val="22"/>
        </w:rPr>
        <w:t> </w:t>
      </w:r>
      <w:r>
        <w:rPr>
          <w:sz w:val="22"/>
        </w:rPr>
        <w:t>fin</w:t>
      </w:r>
      <w:r>
        <w:rPr>
          <w:spacing w:val="-8"/>
          <w:sz w:val="22"/>
        </w:rPr>
        <w:t> </w:t>
      </w:r>
      <w:r>
        <w:rPr>
          <w:sz w:val="22"/>
        </w:rPr>
        <w:t>de</w:t>
      </w:r>
      <w:r>
        <w:rPr>
          <w:spacing w:val="-8"/>
          <w:sz w:val="22"/>
        </w:rPr>
        <w:t> </w:t>
      </w:r>
      <w:r>
        <w:rPr>
          <w:sz w:val="22"/>
        </w:rPr>
        <w:t>que</w:t>
      </w:r>
      <w:r>
        <w:rPr>
          <w:spacing w:val="-5"/>
          <w:sz w:val="22"/>
        </w:rPr>
        <w:t> </w:t>
      </w:r>
      <w:r>
        <w:rPr>
          <w:sz w:val="22"/>
        </w:rPr>
        <w:t>la</w:t>
      </w:r>
      <w:r>
        <w:rPr>
          <w:spacing w:val="-5"/>
          <w:sz w:val="22"/>
        </w:rPr>
        <w:t> </w:t>
      </w:r>
      <w:r>
        <w:rPr>
          <w:sz w:val="22"/>
        </w:rPr>
        <w:t>autoridad</w:t>
      </w:r>
      <w:r>
        <w:rPr>
          <w:spacing w:val="-5"/>
          <w:sz w:val="22"/>
        </w:rPr>
        <w:t> </w:t>
      </w:r>
      <w:r>
        <w:rPr>
          <w:sz w:val="22"/>
        </w:rPr>
        <w:t>jurisdiccional</w:t>
      </w:r>
      <w:r>
        <w:rPr>
          <w:spacing w:val="-6"/>
          <w:sz w:val="22"/>
        </w:rPr>
        <w:t> </w:t>
      </w:r>
      <w:r>
        <w:rPr>
          <w:sz w:val="22"/>
        </w:rPr>
        <w:t>pueda</w:t>
      </w:r>
      <w:r>
        <w:rPr>
          <w:spacing w:val="-5"/>
          <w:sz w:val="22"/>
        </w:rPr>
        <w:t> </w:t>
      </w:r>
      <w:r>
        <w:rPr>
          <w:sz w:val="22"/>
        </w:rPr>
        <w:t>emitir</w:t>
      </w:r>
      <w:r>
        <w:rPr>
          <w:spacing w:val="-4"/>
          <w:sz w:val="22"/>
        </w:rPr>
        <w:t> </w:t>
      </w:r>
      <w:r>
        <w:rPr>
          <w:sz w:val="22"/>
        </w:rPr>
        <w:t>una</w:t>
      </w:r>
      <w:r>
        <w:rPr>
          <w:spacing w:val="-8"/>
          <w:sz w:val="22"/>
        </w:rPr>
        <w:t> </w:t>
      </w:r>
      <w:r>
        <w:rPr>
          <w:sz w:val="22"/>
        </w:rPr>
        <w:t>sentencia</w:t>
      </w:r>
      <w:r>
        <w:rPr>
          <w:spacing w:val="-5"/>
          <w:sz w:val="22"/>
        </w:rPr>
        <w:t> </w:t>
      </w:r>
      <w:r>
        <w:rPr>
          <w:sz w:val="22"/>
        </w:rPr>
        <w:t>a partir de la perspectiva de</w:t>
      </w:r>
      <w:r>
        <w:rPr>
          <w:spacing w:val="-13"/>
          <w:sz w:val="22"/>
        </w:rPr>
        <w:t> </w:t>
      </w:r>
      <w:r>
        <w:rPr>
          <w:sz w:val="22"/>
        </w:rPr>
        <w:t>género.</w:t>
      </w:r>
    </w:p>
    <w:p>
      <w:pPr>
        <w:pStyle w:val="Heading3"/>
        <w:numPr>
          <w:ilvl w:val="1"/>
          <w:numId w:val="11"/>
        </w:numPr>
        <w:tabs>
          <w:tab w:pos="681" w:val="left" w:leader="none"/>
        </w:tabs>
        <w:spacing w:line="362" w:lineRule="auto" w:before="161" w:after="0"/>
        <w:ind w:left="102" w:right="174" w:firstLine="0"/>
        <w:jc w:val="both"/>
        <w:rPr>
          <w:color w:val="6F2F9F"/>
        </w:rPr>
      </w:pPr>
      <w:r>
        <w:rPr>
          <w:color w:val="6F2F9F"/>
        </w:rPr>
        <w:t>¿Qué elementos debe tener una teoría del caso con perspectiva de</w:t>
      </w:r>
      <w:r>
        <w:rPr>
          <w:color w:val="6F2F9F"/>
          <w:spacing w:val="-8"/>
        </w:rPr>
        <w:t> </w:t>
      </w:r>
      <w:r>
        <w:rPr>
          <w:color w:val="6F2F9F"/>
        </w:rPr>
        <w:t>género?</w:t>
      </w:r>
    </w:p>
    <w:p>
      <w:pPr>
        <w:pStyle w:val="BodyText"/>
        <w:spacing w:line="360" w:lineRule="auto" w:before="203"/>
        <w:ind w:left="102" w:right="165"/>
        <w:jc w:val="both"/>
      </w:pPr>
      <w:r>
        <w:rPr/>
        <w:t>Toda teoría del caso cuenta con tres elementos esenciales que deben estar presentes al momento</w:t>
      </w:r>
      <w:r>
        <w:rPr>
          <w:spacing w:val="-15"/>
        </w:rPr>
        <w:t> </w:t>
      </w:r>
      <w:r>
        <w:rPr/>
        <w:t>de</w:t>
      </w:r>
      <w:r>
        <w:rPr>
          <w:spacing w:val="-15"/>
        </w:rPr>
        <w:t> </w:t>
      </w:r>
      <w:r>
        <w:rPr/>
        <w:t>su</w:t>
      </w:r>
      <w:r>
        <w:rPr>
          <w:spacing w:val="-20"/>
        </w:rPr>
        <w:t> </w:t>
      </w:r>
      <w:r>
        <w:rPr/>
        <w:t>formulación:</w:t>
      </w:r>
      <w:r>
        <w:rPr>
          <w:spacing w:val="-16"/>
        </w:rPr>
        <w:t> </w:t>
      </w:r>
      <w:r>
        <w:rPr/>
        <w:t>fácticos,</w:t>
      </w:r>
      <w:r>
        <w:rPr>
          <w:spacing w:val="-16"/>
        </w:rPr>
        <w:t> </w:t>
      </w:r>
      <w:r>
        <w:rPr/>
        <w:t>jurídicos</w:t>
      </w:r>
      <w:r>
        <w:rPr>
          <w:spacing w:val="-15"/>
        </w:rPr>
        <w:t> </w:t>
      </w:r>
      <w:r>
        <w:rPr/>
        <w:t>y</w:t>
      </w:r>
      <w:r>
        <w:rPr>
          <w:spacing w:val="-17"/>
        </w:rPr>
        <w:t> </w:t>
      </w:r>
      <w:r>
        <w:rPr/>
        <w:t>probatorios,</w:t>
      </w:r>
      <w:r>
        <w:rPr>
          <w:spacing w:val="-16"/>
        </w:rPr>
        <w:t> </w:t>
      </w:r>
      <w:r>
        <w:rPr/>
        <w:t>mismos</w:t>
      </w:r>
      <w:r>
        <w:rPr>
          <w:spacing w:val="-17"/>
        </w:rPr>
        <w:t> </w:t>
      </w:r>
      <w:r>
        <w:rPr/>
        <w:t>que</w:t>
      </w:r>
      <w:r>
        <w:rPr>
          <w:spacing w:val="-15"/>
        </w:rPr>
        <w:t> </w:t>
      </w:r>
      <w:r>
        <w:rPr/>
        <w:t>dentro</w:t>
      </w:r>
      <w:r>
        <w:rPr>
          <w:spacing w:val="-15"/>
        </w:rPr>
        <w:t> </w:t>
      </w:r>
      <w:r>
        <w:rPr/>
        <w:t>de</w:t>
      </w:r>
      <w:r>
        <w:rPr>
          <w:spacing w:val="-15"/>
        </w:rPr>
        <w:t> </w:t>
      </w:r>
      <w:r>
        <w:rPr/>
        <w:t>nuestra defensa</w:t>
      </w:r>
      <w:r>
        <w:rPr>
          <w:spacing w:val="-11"/>
        </w:rPr>
        <w:t> </w:t>
      </w:r>
      <w:r>
        <w:rPr/>
        <w:t>de</w:t>
      </w:r>
      <w:r>
        <w:rPr>
          <w:spacing w:val="-11"/>
        </w:rPr>
        <w:t> </w:t>
      </w:r>
      <w:r>
        <w:rPr/>
        <w:t>una</w:t>
      </w:r>
      <w:r>
        <w:rPr>
          <w:spacing w:val="-13"/>
        </w:rPr>
        <w:t> </w:t>
      </w:r>
      <w:r>
        <w:rPr/>
        <w:t>mujer</w:t>
      </w:r>
      <w:r>
        <w:rPr>
          <w:spacing w:val="-10"/>
        </w:rPr>
        <w:t> </w:t>
      </w:r>
      <w:r>
        <w:rPr/>
        <w:t>indiciada,</w:t>
      </w:r>
      <w:r>
        <w:rPr>
          <w:spacing w:val="-9"/>
        </w:rPr>
        <w:t> </w:t>
      </w:r>
      <w:r>
        <w:rPr/>
        <w:t>deben</w:t>
      </w:r>
      <w:r>
        <w:rPr>
          <w:spacing w:val="-11"/>
        </w:rPr>
        <w:t> </w:t>
      </w:r>
      <w:r>
        <w:rPr/>
        <w:t>ser</w:t>
      </w:r>
      <w:r>
        <w:rPr>
          <w:spacing w:val="-10"/>
        </w:rPr>
        <w:t> </w:t>
      </w:r>
      <w:r>
        <w:rPr/>
        <w:t>analizados</w:t>
      </w:r>
      <w:r>
        <w:rPr>
          <w:spacing w:val="42"/>
        </w:rPr>
        <w:t> </w:t>
      </w:r>
      <w:r>
        <w:rPr/>
        <w:t>a</w:t>
      </w:r>
      <w:r>
        <w:rPr>
          <w:spacing w:val="-11"/>
        </w:rPr>
        <w:t> </w:t>
      </w:r>
      <w:r>
        <w:rPr/>
        <w:t>partir</w:t>
      </w:r>
      <w:r>
        <w:rPr>
          <w:spacing w:val="-10"/>
        </w:rPr>
        <w:t> </w:t>
      </w:r>
      <w:r>
        <w:rPr/>
        <w:t>de</w:t>
      </w:r>
      <w:r>
        <w:rPr>
          <w:spacing w:val="-11"/>
        </w:rPr>
        <w:t> </w:t>
      </w:r>
      <w:r>
        <w:rPr/>
        <w:t>la</w:t>
      </w:r>
      <w:r>
        <w:rPr>
          <w:spacing w:val="-11"/>
        </w:rPr>
        <w:t> </w:t>
      </w:r>
      <w:r>
        <w:rPr/>
        <w:t>perspectiva</w:t>
      </w:r>
      <w:r>
        <w:rPr>
          <w:spacing w:val="-11"/>
        </w:rPr>
        <w:t> </w:t>
      </w:r>
      <w:r>
        <w:rPr/>
        <w:t>de</w:t>
      </w:r>
      <w:r>
        <w:rPr>
          <w:spacing w:val="-11"/>
        </w:rPr>
        <w:t> </w:t>
      </w:r>
      <w:r>
        <w:rPr/>
        <w:t>género.</w:t>
      </w:r>
    </w:p>
    <w:p>
      <w:pPr>
        <w:pStyle w:val="BodyText"/>
        <w:spacing w:before="6"/>
        <w:rPr>
          <w:sz w:val="17"/>
        </w:rPr>
      </w:pPr>
    </w:p>
    <w:p>
      <w:pPr>
        <w:pStyle w:val="ListParagraph"/>
        <w:numPr>
          <w:ilvl w:val="0"/>
          <w:numId w:val="10"/>
        </w:numPr>
        <w:tabs>
          <w:tab w:pos="809" w:val="left" w:leader="none"/>
          <w:tab w:pos="810" w:val="left" w:leader="none"/>
        </w:tabs>
        <w:spacing w:line="357" w:lineRule="auto" w:before="0" w:after="0"/>
        <w:ind w:left="102" w:right="115" w:firstLine="0"/>
        <w:jc w:val="both"/>
        <w:rPr>
          <w:sz w:val="22"/>
        </w:rPr>
      </w:pPr>
      <w:r>
        <w:rPr>
          <w:sz w:val="22"/>
        </w:rPr>
        <w:t>Elementos fácticos: Para la elaboración de los enunciados fácticos, es importante desmenuzar los hechos en cuestión sin caer en generalidades, ya que los detalles son vitales</w:t>
      </w:r>
      <w:r>
        <w:rPr>
          <w:spacing w:val="-12"/>
          <w:sz w:val="22"/>
        </w:rPr>
        <w:t> </w:t>
      </w:r>
      <w:r>
        <w:rPr>
          <w:sz w:val="22"/>
        </w:rPr>
        <w:t>a</w:t>
      </w:r>
      <w:r>
        <w:rPr>
          <w:spacing w:val="-12"/>
          <w:sz w:val="22"/>
        </w:rPr>
        <w:t> </w:t>
      </w:r>
      <w:r>
        <w:rPr>
          <w:sz w:val="22"/>
        </w:rPr>
        <w:t>la</w:t>
      </w:r>
      <w:r>
        <w:rPr>
          <w:spacing w:val="-12"/>
          <w:sz w:val="22"/>
        </w:rPr>
        <w:t> </w:t>
      </w:r>
      <w:r>
        <w:rPr>
          <w:sz w:val="22"/>
        </w:rPr>
        <w:t>hora</w:t>
      </w:r>
      <w:r>
        <w:rPr>
          <w:spacing w:val="-12"/>
          <w:sz w:val="22"/>
        </w:rPr>
        <w:t> </w:t>
      </w:r>
      <w:r>
        <w:rPr>
          <w:sz w:val="22"/>
        </w:rPr>
        <w:t>de</w:t>
      </w:r>
      <w:r>
        <w:rPr>
          <w:spacing w:val="-13"/>
          <w:sz w:val="22"/>
        </w:rPr>
        <w:t> </w:t>
      </w:r>
      <w:r>
        <w:rPr>
          <w:sz w:val="22"/>
        </w:rPr>
        <w:t>eximir</w:t>
      </w:r>
      <w:r>
        <w:rPr>
          <w:spacing w:val="-12"/>
          <w:sz w:val="22"/>
        </w:rPr>
        <w:t> </w:t>
      </w:r>
      <w:r>
        <w:rPr>
          <w:sz w:val="22"/>
        </w:rPr>
        <w:t>de</w:t>
      </w:r>
      <w:r>
        <w:rPr>
          <w:spacing w:val="-13"/>
          <w:sz w:val="22"/>
        </w:rPr>
        <w:t> </w:t>
      </w:r>
      <w:r>
        <w:rPr>
          <w:sz w:val="22"/>
        </w:rPr>
        <w:t>responsabilidad</w:t>
      </w:r>
      <w:r>
        <w:rPr>
          <w:spacing w:val="-12"/>
          <w:sz w:val="22"/>
        </w:rPr>
        <w:t> </w:t>
      </w:r>
      <w:r>
        <w:rPr>
          <w:sz w:val="22"/>
        </w:rPr>
        <w:t>a</w:t>
      </w:r>
      <w:r>
        <w:rPr>
          <w:spacing w:val="-12"/>
          <w:sz w:val="22"/>
        </w:rPr>
        <w:t> </w:t>
      </w:r>
      <w:r>
        <w:rPr>
          <w:sz w:val="22"/>
        </w:rPr>
        <w:t>la</w:t>
      </w:r>
      <w:r>
        <w:rPr>
          <w:spacing w:val="-12"/>
          <w:sz w:val="22"/>
        </w:rPr>
        <w:t> </w:t>
      </w:r>
      <w:r>
        <w:rPr>
          <w:sz w:val="22"/>
        </w:rPr>
        <w:t>imputada,</w:t>
      </w:r>
      <w:r>
        <w:rPr>
          <w:spacing w:val="-11"/>
          <w:sz w:val="22"/>
        </w:rPr>
        <w:t> </w:t>
      </w:r>
      <w:r>
        <w:rPr>
          <w:sz w:val="22"/>
        </w:rPr>
        <w:t>por</w:t>
      </w:r>
      <w:r>
        <w:rPr>
          <w:spacing w:val="-14"/>
          <w:sz w:val="22"/>
        </w:rPr>
        <w:t> </w:t>
      </w:r>
      <w:r>
        <w:rPr>
          <w:sz w:val="22"/>
        </w:rPr>
        <w:t>lo</w:t>
      </w:r>
      <w:r>
        <w:rPr>
          <w:spacing w:val="-12"/>
          <w:sz w:val="22"/>
        </w:rPr>
        <w:t> </w:t>
      </w:r>
      <w:r>
        <w:rPr>
          <w:sz w:val="22"/>
        </w:rPr>
        <w:t>que</w:t>
      </w:r>
      <w:r>
        <w:rPr>
          <w:spacing w:val="-15"/>
          <w:sz w:val="22"/>
        </w:rPr>
        <w:t> </w:t>
      </w:r>
      <w:r>
        <w:rPr>
          <w:sz w:val="22"/>
        </w:rPr>
        <w:t>en</w:t>
      </w:r>
      <w:r>
        <w:rPr>
          <w:spacing w:val="-13"/>
          <w:sz w:val="22"/>
        </w:rPr>
        <w:t> </w:t>
      </w:r>
      <w:r>
        <w:rPr>
          <w:sz w:val="22"/>
        </w:rPr>
        <w:t>el</w:t>
      </w:r>
      <w:r>
        <w:rPr>
          <w:spacing w:val="-14"/>
          <w:sz w:val="22"/>
        </w:rPr>
        <w:t> </w:t>
      </w:r>
      <w:r>
        <w:rPr>
          <w:sz w:val="22"/>
        </w:rPr>
        <w:t>nivel</w:t>
      </w:r>
      <w:r>
        <w:rPr>
          <w:spacing w:val="-14"/>
          <w:sz w:val="22"/>
        </w:rPr>
        <w:t> </w:t>
      </w:r>
      <w:r>
        <w:rPr>
          <w:sz w:val="22"/>
        </w:rPr>
        <w:t>de</w:t>
      </w:r>
      <w:r>
        <w:rPr>
          <w:spacing w:val="-13"/>
          <w:sz w:val="22"/>
        </w:rPr>
        <w:t> </w:t>
      </w:r>
      <w:r>
        <w:rPr>
          <w:sz w:val="22"/>
        </w:rPr>
        <w:t>análisis fáctico, debemos determinar la existencia de situaciones de discriminación, exclusión y distintos</w:t>
      </w:r>
      <w:r>
        <w:rPr>
          <w:spacing w:val="-10"/>
          <w:sz w:val="22"/>
        </w:rPr>
        <w:t> </w:t>
      </w:r>
      <w:r>
        <w:rPr>
          <w:sz w:val="22"/>
        </w:rPr>
        <w:t>tipos</w:t>
      </w:r>
      <w:r>
        <w:rPr>
          <w:spacing w:val="-8"/>
          <w:sz w:val="22"/>
        </w:rPr>
        <w:t> </w:t>
      </w:r>
      <w:r>
        <w:rPr>
          <w:sz w:val="22"/>
        </w:rPr>
        <w:t>de</w:t>
      </w:r>
      <w:r>
        <w:rPr>
          <w:spacing w:val="-10"/>
          <w:sz w:val="22"/>
        </w:rPr>
        <w:t> </w:t>
      </w:r>
      <w:r>
        <w:rPr>
          <w:sz w:val="22"/>
        </w:rPr>
        <w:t>violencia</w:t>
      </w:r>
      <w:r>
        <w:rPr>
          <w:spacing w:val="-9"/>
          <w:sz w:val="22"/>
        </w:rPr>
        <w:t> </w:t>
      </w:r>
      <w:r>
        <w:rPr>
          <w:sz w:val="22"/>
        </w:rPr>
        <w:t>en</w:t>
      </w:r>
      <w:r>
        <w:rPr>
          <w:spacing w:val="-9"/>
          <w:sz w:val="22"/>
        </w:rPr>
        <w:t> </w:t>
      </w:r>
      <w:r>
        <w:rPr>
          <w:sz w:val="22"/>
        </w:rPr>
        <w:t>contra</w:t>
      </w:r>
      <w:r>
        <w:rPr>
          <w:spacing w:val="-10"/>
          <w:sz w:val="22"/>
        </w:rPr>
        <w:t> </w:t>
      </w:r>
      <w:r>
        <w:rPr>
          <w:sz w:val="22"/>
        </w:rPr>
        <w:t>de</w:t>
      </w:r>
      <w:r>
        <w:rPr>
          <w:spacing w:val="-9"/>
          <w:sz w:val="22"/>
        </w:rPr>
        <w:t> </w:t>
      </w:r>
      <w:r>
        <w:rPr>
          <w:sz w:val="22"/>
        </w:rPr>
        <w:t>las</w:t>
      </w:r>
      <w:r>
        <w:rPr>
          <w:spacing w:val="-10"/>
          <w:sz w:val="22"/>
        </w:rPr>
        <w:t> </w:t>
      </w:r>
      <w:r>
        <w:rPr>
          <w:sz w:val="22"/>
        </w:rPr>
        <w:t>mujeres.</w:t>
      </w:r>
      <w:r>
        <w:rPr>
          <w:spacing w:val="-8"/>
          <w:sz w:val="22"/>
        </w:rPr>
        <w:t> </w:t>
      </w:r>
      <w:r>
        <w:rPr>
          <w:sz w:val="22"/>
        </w:rPr>
        <w:t>Los</w:t>
      </w:r>
      <w:r>
        <w:rPr>
          <w:spacing w:val="-12"/>
          <w:sz w:val="22"/>
        </w:rPr>
        <w:t> </w:t>
      </w:r>
      <w:r>
        <w:rPr>
          <w:sz w:val="22"/>
        </w:rPr>
        <w:t>factores</w:t>
      </w:r>
      <w:r>
        <w:rPr>
          <w:spacing w:val="-10"/>
          <w:sz w:val="22"/>
        </w:rPr>
        <w:t> </w:t>
      </w:r>
      <w:r>
        <w:rPr>
          <w:sz w:val="22"/>
        </w:rPr>
        <w:t>socioculturales</w:t>
      </w:r>
      <w:r>
        <w:rPr>
          <w:spacing w:val="-5"/>
          <w:sz w:val="22"/>
        </w:rPr>
        <w:t> </w:t>
      </w:r>
      <w:r>
        <w:rPr>
          <w:sz w:val="22"/>
        </w:rPr>
        <w:t>en</w:t>
      </w:r>
      <w:r>
        <w:rPr>
          <w:spacing w:val="-9"/>
          <w:sz w:val="22"/>
        </w:rPr>
        <w:t> </w:t>
      </w:r>
      <w:r>
        <w:rPr>
          <w:sz w:val="22"/>
        </w:rPr>
        <w:t>los</w:t>
      </w:r>
      <w:r>
        <w:rPr>
          <w:spacing w:val="-13"/>
          <w:sz w:val="22"/>
        </w:rPr>
        <w:t> </w:t>
      </w:r>
      <w:r>
        <w:rPr>
          <w:sz w:val="22"/>
        </w:rPr>
        <w:t>que se dieron los hechos y determinar si existen relaciones de poder, que hayan orillado a nuestra defendida a cometer la conducta</w:t>
      </w:r>
      <w:r>
        <w:rPr>
          <w:spacing w:val="-14"/>
          <w:sz w:val="22"/>
        </w:rPr>
        <w:t> </w:t>
      </w:r>
      <w:r>
        <w:rPr>
          <w:sz w:val="22"/>
        </w:rPr>
        <w:t>delictiva.</w:t>
      </w:r>
    </w:p>
    <w:p>
      <w:pPr>
        <w:pStyle w:val="BodyText"/>
        <w:spacing w:line="360" w:lineRule="auto" w:before="5"/>
        <w:ind w:left="102" w:right="119"/>
        <w:jc w:val="both"/>
      </w:pPr>
      <w:r>
        <w:rPr/>
        <w:t>Debemos cruzar la información obtenida, respecto a la situación de violencia que pudiera vivir</w:t>
      </w:r>
      <w:r>
        <w:rPr>
          <w:spacing w:val="-10"/>
        </w:rPr>
        <w:t> </w:t>
      </w:r>
      <w:r>
        <w:rPr/>
        <w:t>la</w:t>
      </w:r>
      <w:r>
        <w:rPr>
          <w:spacing w:val="-11"/>
        </w:rPr>
        <w:t> </w:t>
      </w:r>
      <w:r>
        <w:rPr/>
        <w:t>indiciada,</w:t>
      </w:r>
      <w:r>
        <w:rPr>
          <w:spacing w:val="-10"/>
        </w:rPr>
        <w:t> </w:t>
      </w:r>
      <w:r>
        <w:rPr/>
        <w:t>de</w:t>
      </w:r>
      <w:r>
        <w:rPr>
          <w:spacing w:val="-11"/>
        </w:rPr>
        <w:t> </w:t>
      </w:r>
      <w:r>
        <w:rPr/>
        <w:t>manera</w:t>
      </w:r>
      <w:r>
        <w:rPr>
          <w:spacing w:val="-13"/>
        </w:rPr>
        <w:t> </w:t>
      </w:r>
      <w:r>
        <w:rPr/>
        <w:t>que</w:t>
      </w:r>
      <w:r>
        <w:rPr>
          <w:spacing w:val="-14"/>
        </w:rPr>
        <w:t> </w:t>
      </w:r>
      <w:r>
        <w:rPr/>
        <w:t>nuestras</w:t>
      </w:r>
      <w:r>
        <w:rPr>
          <w:spacing w:val="-11"/>
        </w:rPr>
        <w:t> </w:t>
      </w:r>
      <w:r>
        <w:rPr/>
        <w:t>proposiciones</w:t>
      </w:r>
      <w:r>
        <w:rPr>
          <w:spacing w:val="-13"/>
        </w:rPr>
        <w:t> </w:t>
      </w:r>
      <w:r>
        <w:rPr/>
        <w:t>fácticas</w:t>
      </w:r>
      <w:r>
        <w:rPr>
          <w:spacing w:val="-11"/>
        </w:rPr>
        <w:t> </w:t>
      </w:r>
      <w:r>
        <w:rPr/>
        <w:t>estén</w:t>
      </w:r>
      <w:r>
        <w:rPr>
          <w:spacing w:val="-14"/>
        </w:rPr>
        <w:t> </w:t>
      </w:r>
      <w:r>
        <w:rPr/>
        <w:t>relacionadas</w:t>
      </w:r>
      <w:r>
        <w:rPr>
          <w:spacing w:val="-11"/>
        </w:rPr>
        <w:t> </w:t>
      </w:r>
      <w:r>
        <w:rPr/>
        <w:t>con</w:t>
      </w:r>
      <w:r>
        <w:rPr>
          <w:spacing w:val="-11"/>
        </w:rPr>
        <w:t> </w:t>
      </w:r>
      <w:r>
        <w:rPr/>
        <w:t>las circunstancias de discriminación de los</w:t>
      </w:r>
      <w:r>
        <w:rPr>
          <w:spacing w:val="-14"/>
        </w:rPr>
        <w:t> </w:t>
      </w:r>
      <w:r>
        <w:rPr/>
        <w:t>géneros.</w:t>
      </w:r>
    </w:p>
    <w:p>
      <w:pPr>
        <w:pStyle w:val="BodyText"/>
      </w:pPr>
    </w:p>
    <w:p>
      <w:pPr>
        <w:pStyle w:val="ListParagraph"/>
        <w:numPr>
          <w:ilvl w:val="0"/>
          <w:numId w:val="10"/>
        </w:numPr>
        <w:tabs>
          <w:tab w:pos="809" w:val="left" w:leader="none"/>
          <w:tab w:pos="810" w:val="left" w:leader="none"/>
        </w:tabs>
        <w:spacing w:line="357" w:lineRule="auto" w:before="131" w:after="0"/>
        <w:ind w:left="102" w:right="116" w:firstLine="0"/>
        <w:jc w:val="both"/>
        <w:rPr>
          <w:sz w:val="22"/>
        </w:rPr>
      </w:pPr>
      <w:r>
        <w:rPr>
          <w:sz w:val="22"/>
        </w:rPr>
        <w:t>Elementos jurídicos: Para el caso de la defensa de mujeres indiciadas, no sólo se deben considerar como elementos jurídicos las leyes penales y la teoría del delito, sino también,</w:t>
      </w:r>
      <w:r>
        <w:rPr>
          <w:spacing w:val="-11"/>
          <w:sz w:val="22"/>
        </w:rPr>
        <w:t> </w:t>
      </w:r>
      <w:r>
        <w:rPr>
          <w:sz w:val="22"/>
        </w:rPr>
        <w:t>debemos</w:t>
      </w:r>
      <w:r>
        <w:rPr>
          <w:spacing w:val="-13"/>
          <w:sz w:val="22"/>
        </w:rPr>
        <w:t> </w:t>
      </w:r>
      <w:r>
        <w:rPr>
          <w:sz w:val="22"/>
        </w:rPr>
        <w:t>dar</w:t>
      </w:r>
      <w:r>
        <w:rPr>
          <w:spacing w:val="-9"/>
          <w:sz w:val="22"/>
        </w:rPr>
        <w:t> </w:t>
      </w:r>
      <w:r>
        <w:rPr>
          <w:sz w:val="22"/>
        </w:rPr>
        <w:t>soporte</w:t>
      </w:r>
      <w:r>
        <w:rPr>
          <w:spacing w:val="-12"/>
          <w:sz w:val="22"/>
        </w:rPr>
        <w:t> </w:t>
      </w:r>
      <w:r>
        <w:rPr>
          <w:sz w:val="22"/>
        </w:rPr>
        <w:t>jurídico</w:t>
      </w:r>
      <w:r>
        <w:rPr>
          <w:spacing w:val="-10"/>
          <w:sz w:val="22"/>
        </w:rPr>
        <w:t> </w:t>
      </w:r>
      <w:r>
        <w:rPr>
          <w:sz w:val="22"/>
        </w:rPr>
        <w:t>a</w:t>
      </w:r>
      <w:r>
        <w:rPr>
          <w:spacing w:val="-10"/>
          <w:sz w:val="22"/>
        </w:rPr>
        <w:t> </w:t>
      </w:r>
      <w:r>
        <w:rPr>
          <w:sz w:val="22"/>
        </w:rPr>
        <w:t>nuestra</w:t>
      </w:r>
      <w:r>
        <w:rPr>
          <w:spacing w:val="-15"/>
          <w:sz w:val="22"/>
        </w:rPr>
        <w:t> </w:t>
      </w:r>
      <w:r>
        <w:rPr>
          <w:sz w:val="22"/>
        </w:rPr>
        <w:t>teoría</w:t>
      </w:r>
      <w:r>
        <w:rPr>
          <w:spacing w:val="-10"/>
          <w:sz w:val="22"/>
        </w:rPr>
        <w:t> </w:t>
      </w:r>
      <w:r>
        <w:rPr>
          <w:sz w:val="22"/>
        </w:rPr>
        <w:t>del</w:t>
      </w:r>
      <w:r>
        <w:rPr>
          <w:spacing w:val="-11"/>
          <w:sz w:val="22"/>
        </w:rPr>
        <w:t> </w:t>
      </w:r>
      <w:r>
        <w:rPr>
          <w:sz w:val="22"/>
        </w:rPr>
        <w:t>caso</w:t>
      </w:r>
      <w:r>
        <w:rPr>
          <w:spacing w:val="-10"/>
          <w:sz w:val="22"/>
        </w:rPr>
        <w:t> </w:t>
      </w:r>
      <w:r>
        <w:rPr>
          <w:sz w:val="22"/>
        </w:rPr>
        <w:t>con</w:t>
      </w:r>
      <w:r>
        <w:rPr>
          <w:spacing w:val="-10"/>
          <w:sz w:val="22"/>
        </w:rPr>
        <w:t> </w:t>
      </w:r>
      <w:r>
        <w:rPr>
          <w:sz w:val="22"/>
        </w:rPr>
        <w:t>perspectiva</w:t>
      </w:r>
      <w:r>
        <w:rPr>
          <w:spacing w:val="-10"/>
          <w:sz w:val="22"/>
        </w:rPr>
        <w:t> </w:t>
      </w:r>
      <w:r>
        <w:rPr>
          <w:sz w:val="22"/>
        </w:rPr>
        <w:t>de</w:t>
      </w:r>
      <w:r>
        <w:rPr>
          <w:spacing w:val="-10"/>
          <w:sz w:val="22"/>
        </w:rPr>
        <w:t> </w:t>
      </w:r>
      <w:r>
        <w:rPr>
          <w:sz w:val="22"/>
        </w:rPr>
        <w:t>género, con</w:t>
      </w:r>
      <w:r>
        <w:rPr>
          <w:spacing w:val="-11"/>
          <w:sz w:val="22"/>
        </w:rPr>
        <w:t> </w:t>
      </w:r>
      <w:r>
        <w:rPr>
          <w:sz w:val="22"/>
        </w:rPr>
        <w:t>los</w:t>
      </w:r>
      <w:r>
        <w:rPr>
          <w:spacing w:val="-11"/>
          <w:sz w:val="22"/>
        </w:rPr>
        <w:t> </w:t>
      </w:r>
      <w:r>
        <w:rPr>
          <w:sz w:val="22"/>
        </w:rPr>
        <w:t>diversos</w:t>
      </w:r>
      <w:r>
        <w:rPr>
          <w:spacing w:val="-13"/>
          <w:sz w:val="22"/>
        </w:rPr>
        <w:t> </w:t>
      </w:r>
      <w:r>
        <w:rPr>
          <w:sz w:val="22"/>
        </w:rPr>
        <w:t>Instrumentos</w:t>
      </w:r>
      <w:r>
        <w:rPr>
          <w:spacing w:val="-13"/>
          <w:sz w:val="22"/>
        </w:rPr>
        <w:t> </w:t>
      </w:r>
      <w:r>
        <w:rPr>
          <w:sz w:val="22"/>
        </w:rPr>
        <w:t>Internacionales</w:t>
      </w:r>
      <w:r>
        <w:rPr>
          <w:spacing w:val="-11"/>
          <w:sz w:val="22"/>
        </w:rPr>
        <w:t> </w:t>
      </w:r>
      <w:r>
        <w:rPr>
          <w:sz w:val="22"/>
        </w:rPr>
        <w:t>de</w:t>
      </w:r>
      <w:r>
        <w:rPr>
          <w:spacing w:val="-16"/>
          <w:sz w:val="22"/>
        </w:rPr>
        <w:t> </w:t>
      </w:r>
      <w:r>
        <w:rPr>
          <w:sz w:val="22"/>
        </w:rPr>
        <w:t>los</w:t>
      </w:r>
      <w:r>
        <w:rPr>
          <w:spacing w:val="-11"/>
          <w:sz w:val="22"/>
        </w:rPr>
        <w:t> </w:t>
      </w:r>
      <w:r>
        <w:rPr>
          <w:sz w:val="22"/>
        </w:rPr>
        <w:t>que</w:t>
      </w:r>
      <w:r>
        <w:rPr>
          <w:spacing w:val="-11"/>
          <w:sz w:val="22"/>
        </w:rPr>
        <w:t> </w:t>
      </w:r>
      <w:r>
        <w:rPr>
          <w:sz w:val="22"/>
        </w:rPr>
        <w:t>el</w:t>
      </w:r>
      <w:r>
        <w:rPr>
          <w:spacing w:val="-12"/>
          <w:sz w:val="22"/>
        </w:rPr>
        <w:t> </w:t>
      </w:r>
      <w:r>
        <w:rPr>
          <w:sz w:val="22"/>
        </w:rPr>
        <w:t>Estado</w:t>
      </w:r>
      <w:r>
        <w:rPr>
          <w:spacing w:val="-11"/>
          <w:sz w:val="22"/>
        </w:rPr>
        <w:t> </w:t>
      </w:r>
      <w:r>
        <w:rPr>
          <w:sz w:val="22"/>
        </w:rPr>
        <w:t>Mexicano</w:t>
      </w:r>
      <w:r>
        <w:rPr>
          <w:spacing w:val="-11"/>
          <w:sz w:val="22"/>
        </w:rPr>
        <w:t> </w:t>
      </w:r>
      <w:r>
        <w:rPr>
          <w:sz w:val="22"/>
        </w:rPr>
        <w:t>es</w:t>
      </w:r>
      <w:r>
        <w:rPr>
          <w:spacing w:val="-13"/>
          <w:sz w:val="22"/>
        </w:rPr>
        <w:t> </w:t>
      </w:r>
      <w:r>
        <w:rPr>
          <w:sz w:val="22"/>
        </w:rPr>
        <w:t>parte</w:t>
      </w:r>
      <w:r>
        <w:rPr>
          <w:spacing w:val="-11"/>
          <w:sz w:val="22"/>
        </w:rPr>
        <w:t> </w:t>
      </w:r>
      <w:r>
        <w:rPr>
          <w:sz w:val="22"/>
        </w:rPr>
        <w:t>y</w:t>
      </w:r>
      <w:r>
        <w:rPr>
          <w:spacing w:val="-16"/>
          <w:sz w:val="22"/>
        </w:rPr>
        <w:t> </w:t>
      </w:r>
      <w:r>
        <w:rPr>
          <w:sz w:val="22"/>
        </w:rPr>
        <w:t>que protegen los derechos humanos de las mujeres, así como jurisprudencia y recomendaciones</w:t>
      </w:r>
      <w:r>
        <w:rPr>
          <w:spacing w:val="-9"/>
          <w:sz w:val="22"/>
        </w:rPr>
        <w:t> </w:t>
      </w:r>
      <w:r>
        <w:rPr>
          <w:sz w:val="22"/>
        </w:rPr>
        <w:t>con</w:t>
      </w:r>
      <w:r>
        <w:rPr>
          <w:spacing w:val="-11"/>
          <w:sz w:val="22"/>
        </w:rPr>
        <w:t> </w:t>
      </w:r>
      <w:r>
        <w:rPr>
          <w:sz w:val="22"/>
        </w:rPr>
        <w:t>perspectiva</w:t>
      </w:r>
      <w:r>
        <w:rPr>
          <w:spacing w:val="-9"/>
          <w:sz w:val="22"/>
        </w:rPr>
        <w:t> </w:t>
      </w:r>
      <w:r>
        <w:rPr>
          <w:sz w:val="22"/>
        </w:rPr>
        <w:t>de</w:t>
      </w:r>
      <w:r>
        <w:rPr>
          <w:spacing w:val="-14"/>
          <w:sz w:val="22"/>
        </w:rPr>
        <w:t> </w:t>
      </w:r>
      <w:r>
        <w:rPr>
          <w:sz w:val="22"/>
        </w:rPr>
        <w:t>género,</w:t>
      </w:r>
      <w:r>
        <w:rPr>
          <w:spacing w:val="-10"/>
          <w:sz w:val="22"/>
        </w:rPr>
        <w:t> </w:t>
      </w:r>
      <w:r>
        <w:rPr>
          <w:sz w:val="22"/>
        </w:rPr>
        <w:t>los</w:t>
      </w:r>
      <w:r>
        <w:rPr>
          <w:spacing w:val="-14"/>
          <w:sz w:val="22"/>
        </w:rPr>
        <w:t> </w:t>
      </w:r>
      <w:r>
        <w:rPr>
          <w:sz w:val="22"/>
        </w:rPr>
        <w:t>principios</w:t>
      </w:r>
      <w:r>
        <w:rPr>
          <w:spacing w:val="-9"/>
          <w:sz w:val="22"/>
        </w:rPr>
        <w:t> </w:t>
      </w:r>
      <w:r>
        <w:rPr>
          <w:sz w:val="22"/>
        </w:rPr>
        <w:t>de</w:t>
      </w:r>
      <w:r>
        <w:rPr>
          <w:spacing w:val="-11"/>
          <w:sz w:val="22"/>
        </w:rPr>
        <w:t> </w:t>
      </w:r>
      <w:r>
        <w:rPr>
          <w:sz w:val="22"/>
        </w:rPr>
        <w:t>interpretación</w:t>
      </w:r>
      <w:r>
        <w:rPr>
          <w:spacing w:val="-9"/>
          <w:sz w:val="22"/>
        </w:rPr>
        <w:t> </w:t>
      </w:r>
      <w:r>
        <w:rPr>
          <w:sz w:val="22"/>
        </w:rPr>
        <w:t>de</w:t>
      </w:r>
      <w:r>
        <w:rPr>
          <w:spacing w:val="-11"/>
          <w:sz w:val="22"/>
        </w:rPr>
        <w:t> </w:t>
      </w:r>
      <w:r>
        <w:rPr>
          <w:sz w:val="22"/>
        </w:rPr>
        <w:t>las</w:t>
      </w:r>
      <w:r>
        <w:rPr>
          <w:spacing w:val="-11"/>
          <w:sz w:val="22"/>
        </w:rPr>
        <w:t> </w:t>
      </w:r>
      <w:r>
        <w:rPr>
          <w:sz w:val="22"/>
        </w:rPr>
        <w:t>normas</w:t>
      </w:r>
    </w:p>
    <w:p>
      <w:pPr>
        <w:spacing w:after="0" w:line="357" w:lineRule="auto"/>
        <w:jc w:val="both"/>
        <w:rPr>
          <w:sz w:val="22"/>
        </w:rPr>
        <w:sectPr>
          <w:pgSz w:w="12240" w:h="15840"/>
          <w:pgMar w:header="0" w:footer="914" w:top="1360" w:bottom="1200" w:left="1600" w:right="1580"/>
        </w:sectPr>
      </w:pPr>
    </w:p>
    <w:p>
      <w:pPr>
        <w:pStyle w:val="BodyText"/>
        <w:spacing w:line="360" w:lineRule="auto" w:before="54"/>
        <w:ind w:left="122" w:right="356"/>
        <w:jc w:val="both"/>
      </w:pPr>
      <w:r>
        <w:rPr/>
        <w:t>de</w:t>
      </w:r>
      <w:r>
        <w:rPr>
          <w:spacing w:val="-15"/>
        </w:rPr>
        <w:t> </w:t>
      </w:r>
      <w:r>
        <w:rPr/>
        <w:t>protección</w:t>
      </w:r>
      <w:r>
        <w:rPr>
          <w:spacing w:val="-15"/>
        </w:rPr>
        <w:t> </w:t>
      </w:r>
      <w:r>
        <w:rPr/>
        <w:t>de</w:t>
      </w:r>
      <w:r>
        <w:rPr>
          <w:spacing w:val="-15"/>
        </w:rPr>
        <w:t> </w:t>
      </w:r>
      <w:r>
        <w:rPr/>
        <w:t>los</w:t>
      </w:r>
      <w:r>
        <w:rPr>
          <w:spacing w:val="-15"/>
        </w:rPr>
        <w:t> </w:t>
      </w:r>
      <w:r>
        <w:rPr/>
        <w:t>derechos</w:t>
      </w:r>
      <w:r>
        <w:rPr>
          <w:spacing w:val="-15"/>
        </w:rPr>
        <w:t> </w:t>
      </w:r>
      <w:r>
        <w:rPr/>
        <w:t>humanos</w:t>
      </w:r>
      <w:r>
        <w:rPr>
          <w:spacing w:val="-15"/>
        </w:rPr>
        <w:t> </w:t>
      </w:r>
      <w:r>
        <w:rPr/>
        <w:t>de</w:t>
      </w:r>
      <w:r>
        <w:rPr>
          <w:spacing w:val="-15"/>
        </w:rPr>
        <w:t> </w:t>
      </w:r>
      <w:r>
        <w:rPr/>
        <w:t>las</w:t>
      </w:r>
      <w:r>
        <w:rPr>
          <w:spacing w:val="-15"/>
        </w:rPr>
        <w:t> </w:t>
      </w:r>
      <w:r>
        <w:rPr/>
        <w:t>mujeres,</w:t>
      </w:r>
      <w:r>
        <w:rPr>
          <w:spacing w:val="-16"/>
        </w:rPr>
        <w:t> </w:t>
      </w:r>
      <w:r>
        <w:rPr/>
        <w:t>mismos</w:t>
      </w:r>
      <w:r>
        <w:rPr>
          <w:spacing w:val="-17"/>
        </w:rPr>
        <w:t> </w:t>
      </w:r>
      <w:r>
        <w:rPr/>
        <w:t>que</w:t>
      </w:r>
      <w:r>
        <w:rPr>
          <w:spacing w:val="-15"/>
        </w:rPr>
        <w:t> </w:t>
      </w:r>
      <w:r>
        <w:rPr/>
        <w:t>nos</w:t>
      </w:r>
      <w:r>
        <w:rPr>
          <w:spacing w:val="-15"/>
        </w:rPr>
        <w:t> </w:t>
      </w:r>
      <w:r>
        <w:rPr/>
        <w:t>permitirán</w:t>
      </w:r>
      <w:r>
        <w:rPr>
          <w:spacing w:val="-18"/>
        </w:rPr>
        <w:t> </w:t>
      </w:r>
      <w:r>
        <w:rPr/>
        <w:t>exponer ante el órgano jurisdiccional una visión integral del caso en concreto y argumentar la hipótesis</w:t>
      </w:r>
      <w:r>
        <w:rPr>
          <w:spacing w:val="-7"/>
        </w:rPr>
        <w:t> </w:t>
      </w:r>
      <w:r>
        <w:rPr/>
        <w:t>formulada.</w:t>
      </w:r>
    </w:p>
    <w:p>
      <w:pPr>
        <w:pStyle w:val="BodyText"/>
        <w:rPr>
          <w:sz w:val="20"/>
        </w:rPr>
      </w:pPr>
    </w:p>
    <w:p>
      <w:pPr>
        <w:pStyle w:val="BodyText"/>
        <w:rPr>
          <w:sz w:val="20"/>
        </w:rPr>
      </w:pPr>
    </w:p>
    <w:p>
      <w:pPr>
        <w:pStyle w:val="BodyText"/>
        <w:rPr>
          <w:sz w:val="20"/>
        </w:rPr>
      </w:pPr>
    </w:p>
    <w:p>
      <w:pPr>
        <w:pStyle w:val="BodyText"/>
        <w:spacing w:before="7"/>
        <w:rPr>
          <w:sz w:val="19"/>
        </w:rPr>
      </w:pPr>
    </w:p>
    <w:p>
      <w:pPr>
        <w:pStyle w:val="Heading6"/>
        <w:spacing w:line="360" w:lineRule="auto" w:before="0"/>
        <w:ind w:left="2202" w:right="399" w:hanging="1822"/>
      </w:pPr>
      <w:r>
        <w:rPr/>
        <w:pict>
          <v:group style="position:absolute;margin-left:84.705002pt;margin-top:-4.259158pt;width:455.2pt;height:467.2pt;mso-position-horizontal-relative:page;mso-position-vertical-relative:paragraph;z-index:-96808" coordorigin="1694,-85" coordsize="9104,9344">
            <v:rect style="position:absolute;left:1702;top:-78;width:9089;height:9329" filled="true" fillcolor="#006fc0" stroked="false">
              <v:fill type="solid"/>
            </v:rect>
            <v:rect style="position:absolute;left:1702;top:-78;width:9089;height:9329" filled="false" stroked="true" strokeweight=".72pt" strokecolor="#000000"/>
            <w10:wrap type="none"/>
          </v:group>
        </w:pict>
      </w:r>
      <w:r>
        <w:rPr>
          <w:color w:val="FFFFFF"/>
        </w:rPr>
        <w:t>LEGISLACIÓN NACIONAL E INTERNACIONAL QUE PROTEGEN DERECHO HUMANOS DE LAS MUJERES INDICIADAS</w:t>
      </w:r>
    </w:p>
    <w:p>
      <w:pPr>
        <w:pStyle w:val="ListParagraph"/>
        <w:numPr>
          <w:ilvl w:val="1"/>
          <w:numId w:val="10"/>
        </w:numPr>
        <w:tabs>
          <w:tab w:pos="1701" w:val="left" w:leader="none"/>
          <w:tab w:pos="1702" w:val="left" w:leader="none"/>
        </w:tabs>
        <w:spacing w:line="240" w:lineRule="auto" w:before="163" w:after="0"/>
        <w:ind w:left="1701" w:right="0" w:hanging="360"/>
        <w:jc w:val="left"/>
        <w:rPr>
          <w:b/>
          <w:sz w:val="24"/>
        </w:rPr>
      </w:pPr>
      <w:r>
        <w:rPr>
          <w:b/>
          <w:color w:val="FFFFFF"/>
          <w:sz w:val="24"/>
        </w:rPr>
        <w:t>Constitución Política de los Estado Unidos</w:t>
      </w:r>
      <w:r>
        <w:rPr>
          <w:b/>
          <w:color w:val="FFFFFF"/>
          <w:spacing w:val="-9"/>
          <w:sz w:val="24"/>
        </w:rPr>
        <w:t> </w:t>
      </w:r>
      <w:r>
        <w:rPr>
          <w:b/>
          <w:color w:val="FFFFFF"/>
          <w:sz w:val="24"/>
        </w:rPr>
        <w:t>Mexicanos</w:t>
      </w:r>
    </w:p>
    <w:p>
      <w:pPr>
        <w:pStyle w:val="ListParagraph"/>
        <w:numPr>
          <w:ilvl w:val="1"/>
          <w:numId w:val="10"/>
        </w:numPr>
        <w:tabs>
          <w:tab w:pos="1701" w:val="left" w:leader="none"/>
          <w:tab w:pos="1702" w:val="left" w:leader="none"/>
        </w:tabs>
        <w:spacing w:line="343" w:lineRule="auto" w:before="124" w:after="0"/>
        <w:ind w:left="1701" w:right="310" w:hanging="360"/>
        <w:jc w:val="left"/>
        <w:rPr>
          <w:b/>
          <w:sz w:val="24"/>
        </w:rPr>
      </w:pPr>
      <w:r>
        <w:rPr>
          <w:b/>
          <w:color w:val="FFFFFF"/>
          <w:sz w:val="24"/>
        </w:rPr>
        <w:t>Ley General de Acceso de las Mujeres a una Vida Libre de Violencia</w:t>
      </w:r>
    </w:p>
    <w:p>
      <w:pPr>
        <w:pStyle w:val="ListParagraph"/>
        <w:numPr>
          <w:ilvl w:val="1"/>
          <w:numId w:val="10"/>
        </w:numPr>
        <w:tabs>
          <w:tab w:pos="1701" w:val="left" w:leader="none"/>
          <w:tab w:pos="1702" w:val="left" w:leader="none"/>
        </w:tabs>
        <w:spacing w:line="240" w:lineRule="auto" w:before="23" w:after="0"/>
        <w:ind w:left="1701" w:right="0" w:hanging="360"/>
        <w:jc w:val="left"/>
        <w:rPr>
          <w:b/>
          <w:sz w:val="24"/>
        </w:rPr>
      </w:pPr>
      <w:r>
        <w:rPr>
          <w:b/>
          <w:color w:val="FFFFFF"/>
          <w:sz w:val="24"/>
        </w:rPr>
        <w:t>Convención Americana sobre Derechos</w:t>
      </w:r>
      <w:r>
        <w:rPr>
          <w:b/>
          <w:color w:val="FFFFFF"/>
          <w:spacing w:val="-16"/>
          <w:sz w:val="24"/>
        </w:rPr>
        <w:t> </w:t>
      </w:r>
      <w:r>
        <w:rPr>
          <w:b/>
          <w:color w:val="FFFFFF"/>
          <w:sz w:val="24"/>
        </w:rPr>
        <w:t>Humanos</w:t>
      </w:r>
    </w:p>
    <w:p>
      <w:pPr>
        <w:pStyle w:val="ListParagraph"/>
        <w:numPr>
          <w:ilvl w:val="1"/>
          <w:numId w:val="10"/>
        </w:numPr>
        <w:tabs>
          <w:tab w:pos="1701" w:val="left" w:leader="none"/>
          <w:tab w:pos="1702" w:val="left" w:leader="none"/>
        </w:tabs>
        <w:spacing w:line="240" w:lineRule="auto" w:before="122" w:after="0"/>
        <w:ind w:left="1701" w:right="0" w:hanging="360"/>
        <w:jc w:val="left"/>
        <w:rPr>
          <w:b/>
          <w:sz w:val="24"/>
        </w:rPr>
      </w:pPr>
      <w:r>
        <w:rPr>
          <w:b/>
          <w:color w:val="FFFFFF"/>
          <w:sz w:val="24"/>
        </w:rPr>
        <w:t>Convención Interamericana de Derechos</w:t>
      </w:r>
      <w:r>
        <w:rPr>
          <w:b/>
          <w:color w:val="FFFFFF"/>
          <w:spacing w:val="-14"/>
          <w:sz w:val="24"/>
        </w:rPr>
        <w:t> </w:t>
      </w:r>
      <w:r>
        <w:rPr>
          <w:b/>
          <w:color w:val="FFFFFF"/>
          <w:sz w:val="24"/>
        </w:rPr>
        <w:t>Humanos</w:t>
      </w:r>
    </w:p>
    <w:p>
      <w:pPr>
        <w:pStyle w:val="ListParagraph"/>
        <w:numPr>
          <w:ilvl w:val="1"/>
          <w:numId w:val="10"/>
        </w:numPr>
        <w:tabs>
          <w:tab w:pos="1701" w:val="left" w:leader="none"/>
          <w:tab w:pos="1702" w:val="left" w:leader="none"/>
        </w:tabs>
        <w:spacing w:line="343" w:lineRule="auto" w:before="124" w:after="0"/>
        <w:ind w:left="1701" w:right="309" w:hanging="360"/>
        <w:jc w:val="left"/>
        <w:rPr>
          <w:b/>
          <w:sz w:val="24"/>
        </w:rPr>
      </w:pPr>
      <w:r>
        <w:rPr>
          <w:b/>
          <w:color w:val="FFFFFF"/>
          <w:sz w:val="24"/>
        </w:rPr>
        <w:t>Convención Sobre la Eliminación de todas la formas de Discriminación en contra de la Mujer</w:t>
      </w:r>
      <w:r>
        <w:rPr>
          <w:b/>
          <w:color w:val="FFFFFF"/>
          <w:spacing w:val="-13"/>
          <w:sz w:val="24"/>
        </w:rPr>
        <w:t> </w:t>
      </w:r>
      <w:r>
        <w:rPr>
          <w:b/>
          <w:color w:val="FFFFFF"/>
          <w:sz w:val="24"/>
        </w:rPr>
        <w:t>(CEDAW)</w:t>
      </w:r>
    </w:p>
    <w:p>
      <w:pPr>
        <w:pStyle w:val="ListParagraph"/>
        <w:numPr>
          <w:ilvl w:val="1"/>
          <w:numId w:val="10"/>
        </w:numPr>
        <w:tabs>
          <w:tab w:pos="1701" w:val="left" w:leader="none"/>
          <w:tab w:pos="1702" w:val="left" w:leader="none"/>
        </w:tabs>
        <w:spacing w:line="343" w:lineRule="auto" w:before="23" w:after="0"/>
        <w:ind w:left="1701" w:right="311" w:hanging="360"/>
        <w:jc w:val="left"/>
        <w:rPr>
          <w:b/>
          <w:sz w:val="24"/>
        </w:rPr>
      </w:pPr>
      <w:r>
        <w:rPr>
          <w:b/>
          <w:color w:val="FFFFFF"/>
          <w:sz w:val="24"/>
        </w:rPr>
        <w:t>Comité para la Eliminación de la Discriminación en contra de la Mujer (Comité</w:t>
      </w:r>
      <w:r>
        <w:rPr>
          <w:b/>
          <w:color w:val="FFFFFF"/>
          <w:spacing w:val="-4"/>
          <w:sz w:val="24"/>
        </w:rPr>
        <w:t> </w:t>
      </w:r>
      <w:r>
        <w:rPr>
          <w:b/>
          <w:color w:val="FFFFFF"/>
          <w:sz w:val="24"/>
        </w:rPr>
        <w:t>CEDAW)</w:t>
      </w:r>
    </w:p>
    <w:p>
      <w:pPr>
        <w:pStyle w:val="ListParagraph"/>
        <w:numPr>
          <w:ilvl w:val="1"/>
          <w:numId w:val="10"/>
        </w:numPr>
        <w:tabs>
          <w:tab w:pos="1701" w:val="left" w:leader="none"/>
          <w:tab w:pos="1702" w:val="left" w:leader="none"/>
        </w:tabs>
        <w:spacing w:line="343" w:lineRule="auto" w:before="20" w:after="0"/>
        <w:ind w:left="1701" w:right="311" w:hanging="360"/>
        <w:jc w:val="left"/>
        <w:rPr>
          <w:b/>
          <w:sz w:val="24"/>
        </w:rPr>
      </w:pPr>
      <w:r>
        <w:rPr>
          <w:b/>
          <w:color w:val="FFFFFF"/>
          <w:sz w:val="24"/>
        </w:rPr>
        <w:t>Convención</w:t>
      </w:r>
      <w:r>
        <w:rPr>
          <w:b/>
          <w:color w:val="FFFFFF"/>
          <w:spacing w:val="-13"/>
          <w:sz w:val="24"/>
        </w:rPr>
        <w:t> </w:t>
      </w:r>
      <w:r>
        <w:rPr>
          <w:b/>
          <w:color w:val="FFFFFF"/>
          <w:sz w:val="24"/>
        </w:rPr>
        <w:t>Interamericana</w:t>
      </w:r>
      <w:r>
        <w:rPr>
          <w:b/>
          <w:color w:val="FFFFFF"/>
          <w:spacing w:val="-12"/>
          <w:sz w:val="24"/>
        </w:rPr>
        <w:t> </w:t>
      </w:r>
      <w:r>
        <w:rPr>
          <w:b/>
          <w:color w:val="FFFFFF"/>
          <w:sz w:val="24"/>
        </w:rPr>
        <w:t>para</w:t>
      </w:r>
      <w:r>
        <w:rPr>
          <w:b/>
          <w:color w:val="FFFFFF"/>
          <w:spacing w:val="-12"/>
          <w:sz w:val="24"/>
        </w:rPr>
        <w:t> </w:t>
      </w:r>
      <w:r>
        <w:rPr>
          <w:b/>
          <w:color w:val="FFFFFF"/>
          <w:sz w:val="24"/>
        </w:rPr>
        <w:t>Prevenir,</w:t>
      </w:r>
      <w:r>
        <w:rPr>
          <w:b/>
          <w:color w:val="FFFFFF"/>
          <w:spacing w:val="-12"/>
          <w:sz w:val="24"/>
        </w:rPr>
        <w:t> </w:t>
      </w:r>
      <w:r>
        <w:rPr>
          <w:b/>
          <w:color w:val="FFFFFF"/>
          <w:sz w:val="24"/>
        </w:rPr>
        <w:t>Sancionar</w:t>
      </w:r>
      <w:r>
        <w:rPr>
          <w:b/>
          <w:color w:val="FFFFFF"/>
          <w:spacing w:val="-12"/>
          <w:sz w:val="24"/>
        </w:rPr>
        <w:t> </w:t>
      </w:r>
      <w:r>
        <w:rPr>
          <w:b/>
          <w:color w:val="FFFFFF"/>
          <w:sz w:val="24"/>
        </w:rPr>
        <w:t>y</w:t>
      </w:r>
      <w:r>
        <w:rPr>
          <w:b/>
          <w:color w:val="FFFFFF"/>
          <w:spacing w:val="-18"/>
          <w:sz w:val="24"/>
        </w:rPr>
        <w:t> </w:t>
      </w:r>
      <w:r>
        <w:rPr>
          <w:b/>
          <w:color w:val="FFFFFF"/>
          <w:sz w:val="24"/>
        </w:rPr>
        <w:t>Erradicar la Violencia en contra de la Mujer (Belém Do</w:t>
      </w:r>
      <w:r>
        <w:rPr>
          <w:b/>
          <w:color w:val="FFFFFF"/>
          <w:spacing w:val="-14"/>
          <w:sz w:val="24"/>
        </w:rPr>
        <w:t> </w:t>
      </w:r>
      <w:r>
        <w:rPr>
          <w:b/>
          <w:color w:val="FFFFFF"/>
          <w:sz w:val="24"/>
        </w:rPr>
        <w:t>Pará)</w:t>
      </w:r>
    </w:p>
    <w:p>
      <w:pPr>
        <w:pStyle w:val="ListParagraph"/>
        <w:numPr>
          <w:ilvl w:val="1"/>
          <w:numId w:val="10"/>
        </w:numPr>
        <w:tabs>
          <w:tab w:pos="1702" w:val="left" w:leader="none"/>
        </w:tabs>
        <w:spacing w:line="352" w:lineRule="auto" w:before="20" w:after="0"/>
        <w:ind w:left="1701" w:right="305" w:hanging="360"/>
        <w:jc w:val="both"/>
        <w:rPr>
          <w:b/>
          <w:sz w:val="24"/>
        </w:rPr>
      </w:pPr>
      <w:r>
        <w:rPr>
          <w:b/>
          <w:color w:val="FFFFFF"/>
          <w:sz w:val="24"/>
        </w:rPr>
        <w:t>Reglas de Naciones Unidas para el tratamiento de las reclusas</w:t>
      </w:r>
      <w:r>
        <w:rPr>
          <w:b/>
          <w:color w:val="FFFFFF"/>
          <w:spacing w:val="-44"/>
          <w:sz w:val="24"/>
        </w:rPr>
        <w:t> </w:t>
      </w:r>
      <w:r>
        <w:rPr>
          <w:b/>
          <w:color w:val="FFFFFF"/>
          <w:sz w:val="24"/>
        </w:rPr>
        <w:t>y medidas no privativas de libertad para las mujeres delincuentes (Reglas de</w:t>
      </w:r>
      <w:r>
        <w:rPr>
          <w:b/>
          <w:color w:val="FFFFFF"/>
          <w:spacing w:val="-3"/>
          <w:sz w:val="24"/>
        </w:rPr>
        <w:t> </w:t>
      </w:r>
      <w:r>
        <w:rPr>
          <w:b/>
          <w:color w:val="FFFFFF"/>
          <w:sz w:val="24"/>
        </w:rPr>
        <w:t>Bangkok)</w:t>
      </w:r>
    </w:p>
    <w:p>
      <w:pPr>
        <w:pStyle w:val="ListParagraph"/>
        <w:numPr>
          <w:ilvl w:val="1"/>
          <w:numId w:val="10"/>
        </w:numPr>
        <w:tabs>
          <w:tab w:pos="1701" w:val="left" w:leader="none"/>
          <w:tab w:pos="1702" w:val="left" w:leader="none"/>
        </w:tabs>
        <w:spacing w:line="240" w:lineRule="auto" w:before="10" w:after="0"/>
        <w:ind w:left="1701" w:right="0" w:hanging="360"/>
        <w:jc w:val="left"/>
        <w:rPr>
          <w:b/>
          <w:sz w:val="24"/>
        </w:rPr>
      </w:pPr>
      <w:r>
        <w:rPr>
          <w:b/>
          <w:color w:val="FFFFFF"/>
          <w:sz w:val="24"/>
        </w:rPr>
        <w:t>Declaración Universal de los Derechos</w:t>
      </w:r>
      <w:r>
        <w:rPr>
          <w:b/>
          <w:color w:val="FFFFFF"/>
          <w:spacing w:val="-16"/>
          <w:sz w:val="24"/>
        </w:rPr>
        <w:t> </w:t>
      </w:r>
      <w:r>
        <w:rPr>
          <w:b/>
          <w:color w:val="FFFFFF"/>
          <w:sz w:val="24"/>
        </w:rPr>
        <w:t>Humanos</w:t>
      </w:r>
    </w:p>
    <w:p>
      <w:pPr>
        <w:pStyle w:val="ListParagraph"/>
        <w:numPr>
          <w:ilvl w:val="1"/>
          <w:numId w:val="10"/>
        </w:numPr>
        <w:tabs>
          <w:tab w:pos="1701" w:val="left" w:leader="none"/>
          <w:tab w:pos="1702" w:val="left" w:leader="none"/>
        </w:tabs>
        <w:spacing w:line="343" w:lineRule="auto" w:before="124" w:after="0"/>
        <w:ind w:left="1701" w:right="310" w:hanging="360"/>
        <w:jc w:val="left"/>
        <w:rPr>
          <w:b/>
          <w:sz w:val="24"/>
        </w:rPr>
      </w:pPr>
      <w:r>
        <w:rPr>
          <w:b/>
          <w:color w:val="FFFFFF"/>
          <w:sz w:val="24"/>
        </w:rPr>
        <w:t>Principios y Buenas Prácticas sobre la protección de las personas Privadas de la Libertad en la</w:t>
      </w:r>
      <w:r>
        <w:rPr>
          <w:b/>
          <w:color w:val="FFFFFF"/>
          <w:spacing w:val="-18"/>
          <w:sz w:val="24"/>
        </w:rPr>
        <w:t> </w:t>
      </w:r>
      <w:r>
        <w:rPr>
          <w:b/>
          <w:color w:val="FFFFFF"/>
          <w:sz w:val="24"/>
        </w:rPr>
        <w:t>Américas</w:t>
      </w:r>
    </w:p>
    <w:p>
      <w:pPr>
        <w:pStyle w:val="ListParagraph"/>
        <w:numPr>
          <w:ilvl w:val="1"/>
          <w:numId w:val="10"/>
        </w:numPr>
        <w:tabs>
          <w:tab w:pos="1701" w:val="left" w:leader="none"/>
          <w:tab w:pos="1702" w:val="left" w:leader="none"/>
        </w:tabs>
        <w:spacing w:line="240" w:lineRule="auto" w:before="23" w:after="0"/>
        <w:ind w:left="1701" w:right="0" w:hanging="360"/>
        <w:jc w:val="left"/>
        <w:rPr>
          <w:b/>
          <w:sz w:val="24"/>
        </w:rPr>
      </w:pPr>
      <w:r>
        <w:rPr>
          <w:b/>
          <w:color w:val="FFFFFF"/>
          <w:sz w:val="24"/>
        </w:rPr>
        <w:t>Organización de los Estados</w:t>
      </w:r>
      <w:r>
        <w:rPr>
          <w:b/>
          <w:color w:val="FFFFFF"/>
          <w:spacing w:val="-9"/>
          <w:sz w:val="24"/>
        </w:rPr>
        <w:t> </w:t>
      </w:r>
      <w:r>
        <w:rPr>
          <w:b/>
          <w:color w:val="FFFFFF"/>
          <w:sz w:val="24"/>
        </w:rPr>
        <w:t>Americanos</w:t>
      </w:r>
    </w:p>
    <w:p>
      <w:pPr>
        <w:pStyle w:val="ListParagraph"/>
        <w:numPr>
          <w:ilvl w:val="1"/>
          <w:numId w:val="10"/>
        </w:numPr>
        <w:tabs>
          <w:tab w:pos="1701" w:val="left" w:leader="none"/>
          <w:tab w:pos="1702" w:val="left" w:leader="none"/>
        </w:tabs>
        <w:spacing w:line="340" w:lineRule="auto" w:before="124" w:after="0"/>
        <w:ind w:left="1701" w:right="307" w:hanging="360"/>
        <w:jc w:val="left"/>
        <w:rPr>
          <w:b/>
          <w:sz w:val="24"/>
        </w:rPr>
      </w:pPr>
      <w:r>
        <w:rPr>
          <w:b/>
          <w:color w:val="FFFFFF"/>
          <w:sz w:val="24"/>
        </w:rPr>
        <w:t>Protocolo</w:t>
      </w:r>
      <w:r>
        <w:rPr>
          <w:b/>
          <w:color w:val="FFFFFF"/>
          <w:spacing w:val="-12"/>
          <w:sz w:val="24"/>
        </w:rPr>
        <w:t> </w:t>
      </w:r>
      <w:r>
        <w:rPr>
          <w:b/>
          <w:color w:val="FFFFFF"/>
          <w:sz w:val="24"/>
        </w:rPr>
        <w:t>emitido</w:t>
      </w:r>
      <w:r>
        <w:rPr>
          <w:b/>
          <w:color w:val="FFFFFF"/>
          <w:spacing w:val="-11"/>
          <w:sz w:val="24"/>
        </w:rPr>
        <w:t> </w:t>
      </w:r>
      <w:r>
        <w:rPr>
          <w:b/>
          <w:color w:val="FFFFFF"/>
          <w:sz w:val="24"/>
        </w:rPr>
        <w:t>por</w:t>
      </w:r>
      <w:r>
        <w:rPr>
          <w:b/>
          <w:color w:val="FFFFFF"/>
          <w:spacing w:val="-11"/>
          <w:sz w:val="24"/>
        </w:rPr>
        <w:t> </w:t>
      </w:r>
      <w:r>
        <w:rPr>
          <w:b/>
          <w:color w:val="FFFFFF"/>
          <w:sz w:val="24"/>
        </w:rPr>
        <w:t>la</w:t>
      </w:r>
      <w:r>
        <w:rPr>
          <w:b/>
          <w:color w:val="FFFFFF"/>
          <w:spacing w:val="-10"/>
          <w:sz w:val="24"/>
        </w:rPr>
        <w:t> </w:t>
      </w:r>
      <w:r>
        <w:rPr>
          <w:b/>
          <w:color w:val="FFFFFF"/>
          <w:sz w:val="24"/>
        </w:rPr>
        <w:t>Suprema</w:t>
      </w:r>
      <w:r>
        <w:rPr>
          <w:b/>
          <w:color w:val="FFFFFF"/>
          <w:spacing w:val="-11"/>
          <w:sz w:val="24"/>
        </w:rPr>
        <w:t> </w:t>
      </w:r>
      <w:r>
        <w:rPr>
          <w:b/>
          <w:color w:val="FFFFFF"/>
          <w:sz w:val="24"/>
        </w:rPr>
        <w:t>Corte</w:t>
      </w:r>
      <w:r>
        <w:rPr>
          <w:b/>
          <w:color w:val="FFFFFF"/>
          <w:spacing w:val="-11"/>
          <w:sz w:val="24"/>
        </w:rPr>
        <w:t> </w:t>
      </w:r>
      <w:r>
        <w:rPr>
          <w:b/>
          <w:color w:val="FFFFFF"/>
          <w:sz w:val="24"/>
        </w:rPr>
        <w:t>de</w:t>
      </w:r>
      <w:r>
        <w:rPr>
          <w:b/>
          <w:color w:val="FFFFFF"/>
          <w:spacing w:val="-11"/>
          <w:sz w:val="24"/>
        </w:rPr>
        <w:t> </w:t>
      </w:r>
      <w:r>
        <w:rPr>
          <w:b/>
          <w:color w:val="FFFFFF"/>
          <w:sz w:val="24"/>
        </w:rPr>
        <w:t>Justicia</w:t>
      </w:r>
      <w:r>
        <w:rPr>
          <w:b/>
          <w:color w:val="FFFFFF"/>
          <w:spacing w:val="-10"/>
          <w:sz w:val="24"/>
        </w:rPr>
        <w:t> </w:t>
      </w:r>
      <w:r>
        <w:rPr>
          <w:b/>
          <w:color w:val="FFFFFF"/>
          <w:sz w:val="24"/>
        </w:rPr>
        <w:t>de</w:t>
      </w:r>
      <w:r>
        <w:rPr>
          <w:b/>
          <w:color w:val="FFFFFF"/>
          <w:spacing w:val="-11"/>
          <w:sz w:val="24"/>
        </w:rPr>
        <w:t> </w:t>
      </w:r>
      <w:r>
        <w:rPr>
          <w:b/>
          <w:color w:val="FFFFFF"/>
          <w:sz w:val="24"/>
        </w:rPr>
        <w:t>la</w:t>
      </w:r>
      <w:r>
        <w:rPr>
          <w:b/>
          <w:color w:val="FFFFFF"/>
          <w:spacing w:val="-11"/>
          <w:sz w:val="24"/>
        </w:rPr>
        <w:t> </w:t>
      </w:r>
      <w:r>
        <w:rPr>
          <w:b/>
          <w:color w:val="FFFFFF"/>
          <w:sz w:val="24"/>
        </w:rPr>
        <w:t>Nación, para juzgar con Perspectiva de</w:t>
      </w:r>
      <w:r>
        <w:rPr>
          <w:b/>
          <w:color w:val="FFFFFF"/>
          <w:spacing w:val="-9"/>
          <w:sz w:val="24"/>
        </w:rPr>
        <w:t> </w:t>
      </w:r>
      <w:r>
        <w:rPr>
          <w:b/>
          <w:color w:val="FFFFFF"/>
          <w:sz w:val="24"/>
        </w:rPr>
        <w:t>Género.</w:t>
      </w:r>
    </w:p>
    <w:p>
      <w:pPr>
        <w:pStyle w:val="BodyText"/>
        <w:rPr>
          <w:b/>
          <w:sz w:val="20"/>
        </w:rPr>
      </w:pPr>
    </w:p>
    <w:p>
      <w:pPr>
        <w:pStyle w:val="BodyText"/>
        <w:rPr>
          <w:b/>
          <w:sz w:val="20"/>
        </w:rPr>
      </w:pPr>
    </w:p>
    <w:p>
      <w:pPr>
        <w:pStyle w:val="BodyText"/>
        <w:spacing w:before="8"/>
        <w:rPr>
          <w:b/>
          <w:sz w:val="19"/>
        </w:rPr>
      </w:pPr>
    </w:p>
    <w:p>
      <w:pPr>
        <w:pStyle w:val="BodyText"/>
        <w:spacing w:line="360" w:lineRule="auto"/>
        <w:ind w:left="122" w:right="161"/>
      </w:pPr>
      <w:r>
        <w:rPr/>
        <w:t>Como</w:t>
      </w:r>
      <w:r>
        <w:rPr>
          <w:spacing w:val="-11"/>
        </w:rPr>
        <w:t> </w:t>
      </w:r>
      <w:r>
        <w:rPr/>
        <w:t>puede</w:t>
      </w:r>
      <w:r>
        <w:rPr>
          <w:spacing w:val="-14"/>
        </w:rPr>
        <w:t> </w:t>
      </w:r>
      <w:r>
        <w:rPr/>
        <w:t>desprenderse</w:t>
      </w:r>
      <w:r>
        <w:rPr>
          <w:spacing w:val="-11"/>
        </w:rPr>
        <w:t> </w:t>
      </w:r>
      <w:r>
        <w:rPr/>
        <w:t>del</w:t>
      </w:r>
      <w:r>
        <w:rPr>
          <w:spacing w:val="-14"/>
        </w:rPr>
        <w:t> </w:t>
      </w:r>
      <w:r>
        <w:rPr/>
        <w:t>diagnóstico</w:t>
      </w:r>
      <w:r>
        <w:rPr>
          <w:spacing w:val="-14"/>
        </w:rPr>
        <w:t> </w:t>
      </w:r>
      <w:r>
        <w:rPr/>
        <w:t>base</w:t>
      </w:r>
      <w:r>
        <w:rPr>
          <w:spacing w:val="-14"/>
        </w:rPr>
        <w:t> </w:t>
      </w:r>
      <w:r>
        <w:rPr/>
        <w:t>de</w:t>
      </w:r>
      <w:r>
        <w:rPr>
          <w:spacing w:val="-11"/>
        </w:rPr>
        <w:t> </w:t>
      </w:r>
      <w:r>
        <w:rPr/>
        <w:t>la</w:t>
      </w:r>
      <w:r>
        <w:rPr>
          <w:spacing w:val="-14"/>
        </w:rPr>
        <w:t> </w:t>
      </w:r>
      <w:r>
        <w:rPr/>
        <w:t>presente</w:t>
      </w:r>
      <w:r>
        <w:rPr>
          <w:spacing w:val="-16"/>
        </w:rPr>
        <w:t> </w:t>
      </w:r>
      <w:r>
        <w:rPr/>
        <w:t>guía,</w:t>
      </w:r>
      <w:r>
        <w:rPr>
          <w:spacing w:val="-10"/>
        </w:rPr>
        <w:t> </w:t>
      </w:r>
      <w:r>
        <w:rPr/>
        <w:t>un</w:t>
      </w:r>
      <w:r>
        <w:rPr>
          <w:spacing w:val="-14"/>
        </w:rPr>
        <w:t> </w:t>
      </w:r>
      <w:r>
        <w:rPr/>
        <w:t>elevado</w:t>
      </w:r>
      <w:r>
        <w:rPr>
          <w:spacing w:val="-11"/>
        </w:rPr>
        <w:t> </w:t>
      </w:r>
      <w:r>
        <w:rPr/>
        <w:t>porcentaje de  los  abogados  y  abogadas  defensoras,  desconocen  el  marco  jurídico  nacional   </w:t>
      </w:r>
      <w:r>
        <w:rPr>
          <w:spacing w:val="13"/>
        </w:rPr>
        <w:t> </w:t>
      </w:r>
      <w:r>
        <w:rPr/>
        <w:t>e</w:t>
      </w:r>
    </w:p>
    <w:p>
      <w:pPr>
        <w:spacing w:after="0" w:line="360" w:lineRule="auto"/>
        <w:sectPr>
          <w:pgSz w:w="12240" w:h="15840"/>
          <w:pgMar w:header="0" w:footer="914" w:top="1360" w:bottom="1200" w:left="1580" w:right="1340"/>
        </w:sectPr>
      </w:pPr>
    </w:p>
    <w:p>
      <w:pPr>
        <w:pStyle w:val="BodyText"/>
        <w:spacing w:line="360" w:lineRule="auto" w:before="54"/>
        <w:ind w:left="222" w:right="115"/>
        <w:jc w:val="both"/>
      </w:pPr>
      <w:r>
        <w:rPr/>
        <w:t>internacional</w:t>
      </w:r>
      <w:r>
        <w:rPr>
          <w:spacing w:val="-14"/>
        </w:rPr>
        <w:t> </w:t>
      </w:r>
      <w:r>
        <w:rPr/>
        <w:t>que</w:t>
      </w:r>
      <w:r>
        <w:rPr>
          <w:spacing w:val="-11"/>
        </w:rPr>
        <w:t> </w:t>
      </w:r>
      <w:r>
        <w:rPr/>
        <w:t>protegen</w:t>
      </w:r>
      <w:r>
        <w:rPr>
          <w:spacing w:val="-11"/>
        </w:rPr>
        <w:t> </w:t>
      </w:r>
      <w:r>
        <w:rPr/>
        <w:t>los</w:t>
      </w:r>
      <w:r>
        <w:rPr>
          <w:spacing w:val="-11"/>
        </w:rPr>
        <w:t> </w:t>
      </w:r>
      <w:r>
        <w:rPr/>
        <w:t>derechos</w:t>
      </w:r>
      <w:r>
        <w:rPr>
          <w:spacing w:val="-13"/>
        </w:rPr>
        <w:t> </w:t>
      </w:r>
      <w:r>
        <w:rPr/>
        <w:t>de</w:t>
      </w:r>
      <w:r>
        <w:rPr>
          <w:spacing w:val="-11"/>
        </w:rPr>
        <w:t> </w:t>
      </w:r>
      <w:r>
        <w:rPr/>
        <w:t>las</w:t>
      </w:r>
      <w:r>
        <w:rPr>
          <w:spacing w:val="-12"/>
        </w:rPr>
        <w:t> </w:t>
      </w:r>
      <w:r>
        <w:rPr/>
        <w:t>mujeres,</w:t>
      </w:r>
      <w:r>
        <w:rPr>
          <w:spacing w:val="-10"/>
        </w:rPr>
        <w:t> </w:t>
      </w:r>
      <w:r>
        <w:rPr/>
        <w:t>y</w:t>
      </w:r>
      <w:r>
        <w:rPr>
          <w:spacing w:val="-12"/>
        </w:rPr>
        <w:t> </w:t>
      </w:r>
      <w:r>
        <w:rPr/>
        <w:t>por</w:t>
      </w:r>
      <w:r>
        <w:rPr>
          <w:spacing w:val="-12"/>
        </w:rPr>
        <w:t> </w:t>
      </w:r>
      <w:r>
        <w:rPr/>
        <w:t>tal</w:t>
      </w:r>
      <w:r>
        <w:rPr>
          <w:spacing w:val="-14"/>
        </w:rPr>
        <w:t> </w:t>
      </w:r>
      <w:r>
        <w:rPr/>
        <w:t>motivo,</w:t>
      </w:r>
      <w:r>
        <w:rPr>
          <w:spacing w:val="-10"/>
        </w:rPr>
        <w:t> </w:t>
      </w:r>
      <w:r>
        <w:rPr/>
        <w:t>no</w:t>
      </w:r>
      <w:r>
        <w:rPr>
          <w:spacing w:val="-11"/>
        </w:rPr>
        <w:t> </w:t>
      </w:r>
      <w:r>
        <w:rPr/>
        <w:t>se</w:t>
      </w:r>
      <w:r>
        <w:rPr>
          <w:spacing w:val="-11"/>
        </w:rPr>
        <w:t> </w:t>
      </w:r>
      <w:r>
        <w:rPr/>
        <w:t>han</w:t>
      </w:r>
      <w:r>
        <w:rPr>
          <w:spacing w:val="-11"/>
        </w:rPr>
        <w:t> </w:t>
      </w:r>
      <w:r>
        <w:rPr/>
        <w:t>utilizado dentro de la defensa de las mujeres indiciadas (Montoya, 2015). Asimismo, partiendo de</w:t>
      </w:r>
      <w:r>
        <w:rPr>
          <w:spacing w:val="-42"/>
        </w:rPr>
        <w:t> </w:t>
      </w:r>
      <w:r>
        <w:rPr/>
        <w:t>la idea de que los actores intervinientes dentro del sistema de justicia penal, también desconocen el marco jurídico aplicable para la protección de los derechos humanos de las mujeres.</w:t>
      </w:r>
      <w:r>
        <w:rPr>
          <w:spacing w:val="-13"/>
        </w:rPr>
        <w:t> </w:t>
      </w:r>
      <w:r>
        <w:rPr/>
        <w:t>Cuya</w:t>
      </w:r>
      <w:r>
        <w:rPr>
          <w:spacing w:val="-11"/>
        </w:rPr>
        <w:t> </w:t>
      </w:r>
      <w:r>
        <w:rPr/>
        <w:t>aplicación,</w:t>
      </w:r>
      <w:r>
        <w:rPr>
          <w:spacing w:val="-10"/>
        </w:rPr>
        <w:t> </w:t>
      </w:r>
      <w:r>
        <w:rPr/>
        <w:t>no</w:t>
      </w:r>
      <w:r>
        <w:rPr>
          <w:spacing w:val="-14"/>
        </w:rPr>
        <w:t> </w:t>
      </w:r>
      <w:r>
        <w:rPr/>
        <w:t>bastara</w:t>
      </w:r>
      <w:r>
        <w:rPr>
          <w:spacing w:val="-13"/>
        </w:rPr>
        <w:t> </w:t>
      </w:r>
      <w:r>
        <w:rPr/>
        <w:t>con</w:t>
      </w:r>
      <w:r>
        <w:rPr>
          <w:spacing w:val="-11"/>
        </w:rPr>
        <w:t> </w:t>
      </w:r>
      <w:r>
        <w:rPr/>
        <w:t>la</w:t>
      </w:r>
      <w:r>
        <w:rPr>
          <w:spacing w:val="-11"/>
        </w:rPr>
        <w:t> </w:t>
      </w:r>
      <w:r>
        <w:rPr/>
        <w:t>enunciación</w:t>
      </w:r>
      <w:r>
        <w:rPr>
          <w:spacing w:val="-11"/>
        </w:rPr>
        <w:t> </w:t>
      </w:r>
      <w:r>
        <w:rPr/>
        <w:t>normativa</w:t>
      </w:r>
      <w:r>
        <w:rPr>
          <w:spacing w:val="-11"/>
        </w:rPr>
        <w:t> </w:t>
      </w:r>
      <w:r>
        <w:rPr/>
        <w:t>de</w:t>
      </w:r>
      <w:r>
        <w:rPr>
          <w:spacing w:val="-11"/>
        </w:rPr>
        <w:t> </w:t>
      </w:r>
      <w:r>
        <w:rPr/>
        <w:t>tratados</w:t>
      </w:r>
      <w:r>
        <w:rPr>
          <w:spacing w:val="-11"/>
        </w:rPr>
        <w:t> </w:t>
      </w:r>
      <w:r>
        <w:rPr/>
        <w:t>y</w:t>
      </w:r>
      <w:r>
        <w:rPr>
          <w:spacing w:val="-13"/>
        </w:rPr>
        <w:t> </w:t>
      </w:r>
      <w:r>
        <w:rPr/>
        <w:t>leyes,</w:t>
      </w:r>
      <w:r>
        <w:rPr>
          <w:spacing w:val="-10"/>
        </w:rPr>
        <w:t> </w:t>
      </w:r>
      <w:r>
        <w:rPr/>
        <w:t>sino que</w:t>
      </w:r>
      <w:r>
        <w:rPr>
          <w:spacing w:val="-6"/>
        </w:rPr>
        <w:t> </w:t>
      </w:r>
      <w:r>
        <w:rPr/>
        <w:t>se</w:t>
      </w:r>
      <w:r>
        <w:rPr>
          <w:spacing w:val="-5"/>
        </w:rPr>
        <w:t> </w:t>
      </w:r>
      <w:r>
        <w:rPr/>
        <w:t>debe</w:t>
      </w:r>
      <w:r>
        <w:rPr>
          <w:spacing w:val="-6"/>
        </w:rPr>
        <w:t> </w:t>
      </w:r>
      <w:r>
        <w:rPr/>
        <w:t>partir</w:t>
      </w:r>
      <w:r>
        <w:rPr>
          <w:spacing w:val="-4"/>
        </w:rPr>
        <w:t> </w:t>
      </w:r>
      <w:r>
        <w:rPr/>
        <w:t>de</w:t>
      </w:r>
      <w:r>
        <w:rPr>
          <w:spacing w:val="-6"/>
        </w:rPr>
        <w:t> </w:t>
      </w:r>
      <w:r>
        <w:rPr/>
        <w:t>una</w:t>
      </w:r>
      <w:r>
        <w:rPr>
          <w:spacing w:val="-5"/>
        </w:rPr>
        <w:t> </w:t>
      </w:r>
      <w:r>
        <w:rPr/>
        <w:t>argumentación</w:t>
      </w:r>
      <w:r>
        <w:rPr>
          <w:spacing w:val="-6"/>
        </w:rPr>
        <w:t> </w:t>
      </w:r>
      <w:r>
        <w:rPr/>
        <w:t>jurídica</w:t>
      </w:r>
      <w:r>
        <w:rPr>
          <w:spacing w:val="-3"/>
        </w:rPr>
        <w:t> </w:t>
      </w:r>
      <w:r>
        <w:rPr/>
        <w:t>sólida</w:t>
      </w:r>
      <w:r>
        <w:rPr>
          <w:spacing w:val="-6"/>
        </w:rPr>
        <w:t> </w:t>
      </w:r>
      <w:r>
        <w:rPr/>
        <w:t>y</w:t>
      </w:r>
      <w:r>
        <w:rPr>
          <w:spacing w:val="-7"/>
        </w:rPr>
        <w:t> </w:t>
      </w:r>
      <w:r>
        <w:rPr/>
        <w:t>el</w:t>
      </w:r>
      <w:r>
        <w:rPr>
          <w:spacing w:val="-6"/>
        </w:rPr>
        <w:t> </w:t>
      </w:r>
      <w:r>
        <w:rPr/>
        <w:t>adecuado</w:t>
      </w:r>
      <w:r>
        <w:rPr>
          <w:spacing w:val="-5"/>
        </w:rPr>
        <w:t> </w:t>
      </w:r>
      <w:r>
        <w:rPr/>
        <w:t>manejo</w:t>
      </w:r>
      <w:r>
        <w:rPr>
          <w:spacing w:val="-5"/>
        </w:rPr>
        <w:t> </w:t>
      </w:r>
      <w:r>
        <w:rPr/>
        <w:t>del</w:t>
      </w:r>
      <w:r>
        <w:rPr>
          <w:spacing w:val="-6"/>
        </w:rPr>
        <w:t> </w:t>
      </w:r>
      <w:r>
        <w:rPr/>
        <w:t>Derecho y del control de</w:t>
      </w:r>
      <w:r>
        <w:rPr>
          <w:spacing w:val="-10"/>
        </w:rPr>
        <w:t> </w:t>
      </w:r>
      <w:r>
        <w:rPr/>
        <w:t>convencionalidad.</w:t>
      </w:r>
    </w:p>
    <w:p>
      <w:pPr>
        <w:pStyle w:val="BodyText"/>
        <w:rPr>
          <w:sz w:val="20"/>
        </w:rPr>
      </w:pPr>
    </w:p>
    <w:p>
      <w:pPr>
        <w:pStyle w:val="BodyText"/>
        <w:rPr>
          <w:sz w:val="20"/>
        </w:rPr>
      </w:pPr>
    </w:p>
    <w:p>
      <w:pPr>
        <w:pStyle w:val="BodyText"/>
        <w:rPr>
          <w:sz w:val="20"/>
        </w:rPr>
      </w:pPr>
    </w:p>
    <w:p>
      <w:pPr>
        <w:pStyle w:val="BodyText"/>
        <w:spacing w:before="1"/>
        <w:rPr>
          <w:sz w:val="16"/>
        </w:rPr>
      </w:pPr>
    </w:p>
    <w:p>
      <w:pPr>
        <w:pStyle w:val="Heading8"/>
        <w:spacing w:line="276" w:lineRule="auto" w:before="57"/>
        <w:ind w:left="781" w:right="828"/>
        <w:jc w:val="center"/>
      </w:pPr>
      <w:r>
        <w:rPr/>
        <w:pict>
          <v:group style="position:absolute;margin-left:79.419998pt;margin-top:-23.34638pt;width:445.75pt;height:467.45pt;mso-position-horizontal-relative:page;mso-position-vertical-relative:paragraph;z-index:-96784" coordorigin="1588,-467" coordsize="8915,9349">
            <v:shape style="position:absolute;left:1598;top:-457;width:8895;height:9329" coordorigin="1598,-457" coordsize="8895,9329" path="m9010,-457l3081,-457,3005,-455,2929,-449,2855,-440,2782,-427,2710,-410,2640,-390,2571,-367,2504,-340,2438,-311,2374,-278,2312,-242,2252,-204,2194,-162,2138,-118,2084,-72,2033,-23,1984,29,1937,83,1893,139,1852,197,1813,257,1777,319,1745,383,1715,449,1688,516,1665,585,1645,655,1629,727,1615,800,1606,874,1600,949,1598,1025,1598,7389,1600,7466,1606,7541,1615,7615,1629,7688,1645,7760,1665,7830,1688,7899,1715,7966,1745,8032,1777,8096,1813,8158,1852,8218,1893,8276,1937,8332,1984,8386,2033,8438,2084,8487,2138,8533,2194,8577,2252,8619,2312,8657,2374,8693,2438,8726,2504,8755,2571,8782,2640,8805,2710,8825,2782,8842,2855,8855,2929,8864,3005,8870,3081,8872,9010,8872,9087,8870,9162,8864,9236,8855,9309,8842,9381,8825,9451,8805,9520,8782,9587,8755,9653,8726,9717,8693,9779,8657,9839,8619,9897,8577,9953,8533,10007,8487,10059,8438,10108,8386,10154,8332,10198,8276,10240,8218,10278,8158,10314,8096,10347,8032,10376,7966,10403,7899,10426,7830,10446,7760,10463,7688,10476,7615,10485,7541,10491,7466,10493,7389,10493,1025,10491,949,10485,874,10476,800,10463,727,10446,655,10426,585,10403,516,10376,449,10347,383,10314,319,10278,257,10240,197,10198,139,10154,83,10108,29,10059,-23,10007,-72,9953,-118,9897,-162,9839,-204,9779,-242,9717,-278,9653,-311,9587,-340,9520,-367,9451,-390,9381,-410,9309,-427,9236,-440,9162,-449,9087,-455,9010,-457xe" filled="true" fillcolor="#5b9bd4" stroked="false">
              <v:path arrowok="t"/>
              <v:fill type="solid"/>
            </v:shape>
            <v:shape style="position:absolute;left:1598;top:-457;width:8895;height:9329" coordorigin="1598,-457" coordsize="8895,9329" path="m1598,1025l1600,949,1606,874,1615,800,1629,727,1645,655,1665,585,1688,516,1715,449,1745,383,1777,319,1813,257,1852,197,1893,139,1937,83,1984,29,2033,-23,2084,-72,2138,-118,2194,-162,2252,-204,2312,-242,2374,-278,2438,-311,2504,-340,2571,-367,2640,-390,2710,-410,2782,-427,2855,-440,2929,-449,3005,-455,3081,-457,9010,-457,9087,-455,9162,-449,9236,-440,9309,-427,9381,-410,9451,-390,9520,-367,9587,-340,9653,-311,9717,-278,9779,-242,9839,-204,9897,-162,9953,-118,10007,-72,10059,-23,10108,29,10154,83,10198,139,10240,197,10278,257,10314,319,10347,383,10376,449,10403,516,10426,585,10446,655,10463,727,10476,800,10485,874,10491,949,10493,1025,10493,7389,10491,7466,10485,7541,10476,7615,10463,7688,10446,7760,10426,7830,10403,7899,10376,7966,10347,8032,10314,8096,10278,8158,10240,8218,10198,8276,10154,8332,10108,8386,10059,8438,10007,8487,9953,8533,9897,8577,9839,8619,9779,8657,9717,8693,9653,8726,9587,8755,9520,8782,9451,8805,9381,8825,9309,8842,9236,8855,9162,8864,9087,8870,9010,8872,3081,8872,3005,8870,2929,8864,2855,8855,2782,8842,2710,8825,2640,8805,2571,8782,2504,8755,2438,8726,2374,8693,2312,8657,2252,8619,2194,8577,2138,8533,2084,8487,2033,8438,1984,8386,1937,8332,1893,8276,1852,8218,1813,8158,1777,8096,1745,8032,1715,7966,1688,7899,1665,7830,1645,7760,1629,7688,1615,7615,1606,7541,1600,7466,1598,7389,1598,1025xe" filled="false" stroked="true" strokeweight=".96pt" strokecolor="#41709c">
              <v:path arrowok="t"/>
            </v:shape>
            <w10:wrap type="none"/>
          </v:group>
        </w:pict>
      </w:r>
      <w:r>
        <w:rPr>
          <w:color w:val="FFFFFF"/>
        </w:rPr>
        <w:t>Es común que en nuestra práctica profesional, al momento de fundamentar con un instrumento internacional, lo hacemos citando solamente el artículo, sin embargo; de esta manera estamos dando por hecho que la autoridad jurisdiccional conoce el contenido del instrumento internacional, cuando esto no  siempre es así.</w:t>
      </w:r>
    </w:p>
    <w:p>
      <w:pPr>
        <w:spacing w:line="276" w:lineRule="auto" w:before="197"/>
        <w:ind w:left="805" w:right="851" w:firstLine="46"/>
        <w:jc w:val="center"/>
        <w:rPr>
          <w:rFonts w:ascii="Calibri" w:hAnsi="Calibri"/>
          <w:b/>
          <w:sz w:val="22"/>
        </w:rPr>
      </w:pPr>
      <w:r>
        <w:rPr>
          <w:rFonts w:ascii="Calibri" w:hAnsi="Calibri"/>
          <w:b/>
          <w:color w:val="FFFFFF"/>
          <w:sz w:val="22"/>
        </w:rPr>
        <w:t>Al evocar un tratado internacional debemos primeramente citar la obligación del Estado Mexicano de respetar, promover, proteger y garantizar el estricto cumplimiento de los derechos humanos, no sólo de los consagrados en la Constitución, sino también de los reconocidos en los instrumentos internacionales de los que el Estado Mexicano es parte, esto con fundamento en los dispuesto con el Artículo 1 y 133 Constitucional, inclusive podemos citar textualmente dichos artículos.</w:t>
      </w:r>
    </w:p>
    <w:p>
      <w:pPr>
        <w:spacing w:line="276" w:lineRule="auto" w:before="197"/>
        <w:ind w:left="764" w:right="812" w:hanging="2"/>
        <w:jc w:val="center"/>
        <w:rPr>
          <w:rFonts w:ascii="Calibri" w:hAnsi="Calibri"/>
          <w:b/>
          <w:sz w:val="22"/>
        </w:rPr>
      </w:pPr>
      <w:r>
        <w:rPr>
          <w:rFonts w:ascii="Calibri" w:hAnsi="Calibri"/>
          <w:b/>
          <w:color w:val="FFFFFF"/>
          <w:sz w:val="22"/>
        </w:rPr>
        <w:t>Nuestra segunda premisa será, que el Estado Mexicano ha suscrito diversos instrumentos internacionales protectores de los derechos humanos de las mujeres, y referir el instrumento internacional que queramos evocar, (por ejemplo la Convención Interamericana para Prevenir, Sancionar la violencia en contra de la mujer), generalmente en el artículo primero de los instrumentos internacionales se hace referencia a la obligación de los Estados parte de respetar las disposiciones de dichos instrumentos, por lo que, en esta segunda premisa, es importante fundamentar con el artículo que refiera la obligación de los Estados parte, así como los artículos que queremos aplicar.</w:t>
      </w:r>
    </w:p>
    <w:p>
      <w:pPr>
        <w:spacing w:line="276" w:lineRule="auto" w:before="197"/>
        <w:ind w:left="790" w:right="838" w:hanging="3"/>
        <w:jc w:val="center"/>
        <w:rPr>
          <w:rFonts w:ascii="Calibri" w:hAnsi="Calibri"/>
          <w:b/>
          <w:sz w:val="22"/>
        </w:rPr>
      </w:pPr>
      <w:r>
        <w:rPr>
          <w:rFonts w:ascii="Calibri" w:hAnsi="Calibri"/>
          <w:b/>
          <w:color w:val="FFFFFF"/>
          <w:sz w:val="22"/>
        </w:rPr>
        <w:t>Nuestra conclusión será la aplicación obligatoria del instrumento internacional de referencia, por parte de la autoridad jurisdiccional, ya que al proteger los derechos humanos de las mujeres, su aplicación no depende del arbitrio de la autoridad jurisdiccional y por lo tanto deben observarse las disposiciones del instrumento internacional e referencia, por ser lo más favorable a la persona.</w:t>
      </w:r>
    </w:p>
    <w:p>
      <w:pPr>
        <w:spacing w:after="0" w:line="276" w:lineRule="auto"/>
        <w:jc w:val="center"/>
        <w:rPr>
          <w:rFonts w:ascii="Calibri" w:hAnsi="Calibri"/>
          <w:sz w:val="22"/>
        </w:rPr>
        <w:sectPr>
          <w:pgSz w:w="12240" w:h="15840"/>
          <w:pgMar w:header="0" w:footer="914" w:top="1360" w:bottom="1200" w:left="1480" w:right="1580"/>
        </w:sectPr>
      </w:pPr>
    </w:p>
    <w:p>
      <w:pPr>
        <w:pStyle w:val="ListParagraph"/>
        <w:numPr>
          <w:ilvl w:val="0"/>
          <w:numId w:val="10"/>
        </w:numPr>
        <w:tabs>
          <w:tab w:pos="809" w:val="left" w:leader="none"/>
          <w:tab w:pos="810" w:val="left" w:leader="none"/>
        </w:tabs>
        <w:spacing w:line="357" w:lineRule="auto" w:before="33" w:after="0"/>
        <w:ind w:left="102" w:right="116" w:firstLine="0"/>
        <w:jc w:val="both"/>
        <w:rPr>
          <w:sz w:val="22"/>
        </w:rPr>
      </w:pPr>
      <w:r>
        <w:rPr>
          <w:sz w:val="22"/>
        </w:rPr>
        <w:t>Elementos probatorios: En una teoría del caso con perspectiva de género, además de la pruebas necesarias para la defensa de la indiciada en el caso concreto, es crucial la aplicación</w:t>
      </w:r>
      <w:r>
        <w:rPr>
          <w:spacing w:val="-4"/>
          <w:sz w:val="22"/>
        </w:rPr>
        <w:t> </w:t>
      </w:r>
      <w:r>
        <w:rPr>
          <w:sz w:val="22"/>
        </w:rPr>
        <w:t>de</w:t>
      </w:r>
      <w:r>
        <w:rPr>
          <w:spacing w:val="-4"/>
          <w:sz w:val="22"/>
        </w:rPr>
        <w:t> </w:t>
      </w:r>
      <w:r>
        <w:rPr>
          <w:sz w:val="22"/>
        </w:rPr>
        <w:t>la</w:t>
      </w:r>
      <w:r>
        <w:rPr>
          <w:spacing w:val="-6"/>
          <w:sz w:val="22"/>
        </w:rPr>
        <w:t> </w:t>
      </w:r>
      <w:r>
        <w:rPr>
          <w:sz w:val="22"/>
        </w:rPr>
        <w:t>prueba</w:t>
      </w:r>
      <w:r>
        <w:rPr>
          <w:spacing w:val="-7"/>
          <w:sz w:val="22"/>
        </w:rPr>
        <w:t> </w:t>
      </w:r>
      <w:r>
        <w:rPr>
          <w:sz w:val="22"/>
        </w:rPr>
        <w:t>pericial</w:t>
      </w:r>
      <w:r>
        <w:rPr>
          <w:spacing w:val="-5"/>
          <w:sz w:val="22"/>
        </w:rPr>
        <w:t> </w:t>
      </w:r>
      <w:r>
        <w:rPr>
          <w:sz w:val="22"/>
        </w:rPr>
        <w:t>en</w:t>
      </w:r>
      <w:r>
        <w:rPr>
          <w:spacing w:val="-7"/>
          <w:sz w:val="22"/>
        </w:rPr>
        <w:t> </w:t>
      </w:r>
      <w:r>
        <w:rPr>
          <w:sz w:val="22"/>
        </w:rPr>
        <w:t>materia</w:t>
      </w:r>
      <w:r>
        <w:rPr>
          <w:spacing w:val="-4"/>
          <w:sz w:val="22"/>
        </w:rPr>
        <w:t> </w:t>
      </w:r>
      <w:r>
        <w:rPr>
          <w:sz w:val="22"/>
        </w:rPr>
        <w:t>de</w:t>
      </w:r>
      <w:r>
        <w:rPr>
          <w:spacing w:val="-6"/>
          <w:sz w:val="22"/>
        </w:rPr>
        <w:t> </w:t>
      </w:r>
      <w:r>
        <w:rPr>
          <w:sz w:val="22"/>
        </w:rPr>
        <w:t>psicología,</w:t>
      </w:r>
      <w:r>
        <w:rPr>
          <w:spacing w:val="-3"/>
          <w:sz w:val="22"/>
        </w:rPr>
        <w:t> </w:t>
      </w:r>
      <w:r>
        <w:rPr>
          <w:sz w:val="22"/>
        </w:rPr>
        <w:t>tendiente</w:t>
      </w:r>
      <w:r>
        <w:rPr>
          <w:spacing w:val="-6"/>
          <w:sz w:val="22"/>
        </w:rPr>
        <w:t> </w:t>
      </w:r>
      <w:r>
        <w:rPr>
          <w:sz w:val="22"/>
        </w:rPr>
        <w:t>a</w:t>
      </w:r>
      <w:r>
        <w:rPr>
          <w:spacing w:val="-6"/>
          <w:sz w:val="22"/>
        </w:rPr>
        <w:t> </w:t>
      </w:r>
      <w:r>
        <w:rPr>
          <w:sz w:val="22"/>
        </w:rPr>
        <w:t>acreditar</w:t>
      </w:r>
      <w:r>
        <w:rPr>
          <w:spacing w:val="-3"/>
          <w:sz w:val="22"/>
        </w:rPr>
        <w:t> </w:t>
      </w:r>
      <w:r>
        <w:rPr>
          <w:sz w:val="22"/>
        </w:rPr>
        <w:t>la</w:t>
      </w:r>
      <w:r>
        <w:rPr>
          <w:spacing w:val="-6"/>
          <w:sz w:val="22"/>
        </w:rPr>
        <w:t> </w:t>
      </w:r>
      <w:r>
        <w:rPr>
          <w:sz w:val="22"/>
        </w:rPr>
        <w:t>existencia de violencia de género, así como situaciones de discriminación y relaciones de poder en las</w:t>
      </w:r>
      <w:r>
        <w:rPr>
          <w:spacing w:val="-5"/>
          <w:sz w:val="22"/>
        </w:rPr>
        <w:t> </w:t>
      </w:r>
      <w:r>
        <w:rPr>
          <w:sz w:val="22"/>
        </w:rPr>
        <w:t>que</w:t>
      </w:r>
      <w:r>
        <w:rPr>
          <w:spacing w:val="-6"/>
          <w:sz w:val="22"/>
        </w:rPr>
        <w:t> </w:t>
      </w:r>
      <w:r>
        <w:rPr>
          <w:sz w:val="22"/>
        </w:rPr>
        <w:t>pudiera</w:t>
      </w:r>
      <w:r>
        <w:rPr>
          <w:spacing w:val="-5"/>
          <w:sz w:val="22"/>
        </w:rPr>
        <w:t> </w:t>
      </w:r>
      <w:r>
        <w:rPr>
          <w:sz w:val="22"/>
        </w:rPr>
        <w:t>estar</w:t>
      </w:r>
      <w:r>
        <w:rPr>
          <w:spacing w:val="-4"/>
          <w:sz w:val="22"/>
        </w:rPr>
        <w:t> </w:t>
      </w:r>
      <w:r>
        <w:rPr>
          <w:sz w:val="22"/>
        </w:rPr>
        <w:t>inmersa</w:t>
      </w:r>
      <w:r>
        <w:rPr>
          <w:spacing w:val="-5"/>
          <w:sz w:val="22"/>
        </w:rPr>
        <w:t> </w:t>
      </w:r>
      <w:r>
        <w:rPr>
          <w:sz w:val="22"/>
        </w:rPr>
        <w:t>nuestra</w:t>
      </w:r>
      <w:r>
        <w:rPr>
          <w:spacing w:val="-5"/>
          <w:sz w:val="22"/>
        </w:rPr>
        <w:t> </w:t>
      </w:r>
      <w:r>
        <w:rPr>
          <w:sz w:val="22"/>
        </w:rPr>
        <w:t>defendida</w:t>
      </w:r>
      <w:r>
        <w:rPr>
          <w:spacing w:val="-6"/>
          <w:sz w:val="22"/>
        </w:rPr>
        <w:t> </w:t>
      </w:r>
      <w:r>
        <w:rPr>
          <w:sz w:val="22"/>
        </w:rPr>
        <w:t>al</w:t>
      </w:r>
      <w:r>
        <w:rPr>
          <w:spacing w:val="-6"/>
          <w:sz w:val="22"/>
        </w:rPr>
        <w:t> </w:t>
      </w:r>
      <w:r>
        <w:rPr>
          <w:sz w:val="22"/>
        </w:rPr>
        <w:t>momento</w:t>
      </w:r>
      <w:r>
        <w:rPr>
          <w:spacing w:val="-5"/>
          <w:sz w:val="22"/>
        </w:rPr>
        <w:t> </w:t>
      </w:r>
      <w:r>
        <w:rPr>
          <w:sz w:val="22"/>
        </w:rPr>
        <w:t>de</w:t>
      </w:r>
      <w:r>
        <w:rPr>
          <w:spacing w:val="-6"/>
          <w:sz w:val="22"/>
        </w:rPr>
        <w:t> </w:t>
      </w:r>
      <w:r>
        <w:rPr>
          <w:sz w:val="22"/>
        </w:rPr>
        <w:t>la</w:t>
      </w:r>
      <w:r>
        <w:rPr>
          <w:spacing w:val="-5"/>
          <w:sz w:val="22"/>
        </w:rPr>
        <w:t> </w:t>
      </w:r>
      <w:r>
        <w:rPr>
          <w:sz w:val="22"/>
        </w:rPr>
        <w:t>comisión</w:t>
      </w:r>
      <w:r>
        <w:rPr>
          <w:spacing w:val="-5"/>
          <w:sz w:val="22"/>
        </w:rPr>
        <w:t> </w:t>
      </w:r>
      <w:r>
        <w:rPr>
          <w:sz w:val="22"/>
        </w:rPr>
        <w:t>de</w:t>
      </w:r>
      <w:r>
        <w:rPr>
          <w:spacing w:val="-6"/>
          <w:sz w:val="22"/>
        </w:rPr>
        <w:t> </w:t>
      </w:r>
      <w:r>
        <w:rPr>
          <w:sz w:val="22"/>
        </w:rPr>
        <w:t>la</w:t>
      </w:r>
      <w:r>
        <w:rPr>
          <w:spacing w:val="-5"/>
          <w:sz w:val="22"/>
        </w:rPr>
        <w:t> </w:t>
      </w:r>
      <w:r>
        <w:rPr>
          <w:sz w:val="22"/>
        </w:rPr>
        <w:t>conducta delictiva. Asimismo, es necesaria la aplicación de la prueba pericial en materia de trabajo social a efecto de que se tome en consideración el contexto social en el que se encuentra inmersa la indiciada, al momento de la comisión del</w:t>
      </w:r>
      <w:r>
        <w:rPr>
          <w:spacing w:val="-19"/>
          <w:sz w:val="22"/>
        </w:rPr>
        <w:t> </w:t>
      </w:r>
      <w:r>
        <w:rPr>
          <w:sz w:val="22"/>
        </w:rPr>
        <w:t>delito.</w:t>
      </w:r>
    </w:p>
    <w:p>
      <w:pPr>
        <w:spacing w:after="0" w:line="357" w:lineRule="auto"/>
        <w:jc w:val="both"/>
        <w:rPr>
          <w:sz w:val="22"/>
        </w:rPr>
        <w:sectPr>
          <w:footerReference w:type="default" r:id="rId101"/>
          <w:pgSz w:w="12240" w:h="15840"/>
          <w:pgMar w:footer="1002" w:header="0" w:top="1380" w:bottom="1200" w:left="1600" w:right="1580"/>
        </w:sectPr>
      </w:pPr>
    </w:p>
    <w:p>
      <w:pPr>
        <w:pStyle w:val="BodyText"/>
        <w:ind w:left="31" w:right="-24"/>
        <w:rPr>
          <w:sz w:val="20"/>
        </w:rPr>
      </w:pPr>
      <w:r>
        <w:rPr/>
        <w:pict>
          <v:shape style="position:absolute;margin-left:1.56pt;margin-top:0pt;width:610.450pt;height:791.3pt;mso-position-horizontal-relative:page;mso-position-vertical-relative:page;z-index:-96760"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74"/>
                    <w:ind w:right="1695"/>
                    <w:jc w:val="right"/>
                    <w:rPr>
                      <w:rFonts w:ascii="Calibri"/>
                    </w:rPr>
                  </w:pPr>
                  <w:r>
                    <w:rPr>
                      <w:rFonts w:ascii="Calibri"/>
                    </w:rPr>
                    <w:t>91</w:t>
                  </w:r>
                </w:p>
              </w:txbxContent>
            </v:textbox>
            <w10:wrap type="none"/>
          </v:shape>
        </w:pict>
      </w:r>
      <w:r>
        <w:rPr>
          <w:sz w:val="20"/>
        </w:rPr>
        <w:drawing>
          <wp:inline distT="0" distB="0" distL="0" distR="0">
            <wp:extent cx="7742008" cy="10035540"/>
            <wp:effectExtent l="0" t="0" r="0" b="0"/>
            <wp:docPr id="23" name="image70.jpeg" descr=""/>
            <wp:cNvGraphicFramePr>
              <a:graphicFrameLocks noChangeAspect="1"/>
            </wp:cNvGraphicFramePr>
            <a:graphic>
              <a:graphicData uri="http://schemas.openxmlformats.org/drawingml/2006/picture">
                <pic:pic>
                  <pic:nvPicPr>
                    <pic:cNvPr id="24" name="image70.jpeg"/>
                    <pic:cNvPicPr/>
                  </pic:nvPicPr>
                  <pic:blipFill>
                    <a:blip r:embed="rId103" cstate="print"/>
                    <a:stretch>
                      <a:fillRect/>
                    </a:stretch>
                  </pic:blipFill>
                  <pic:spPr>
                    <a:xfrm>
                      <a:off x="0" y="0"/>
                      <a:ext cx="7742008" cy="10035540"/>
                    </a:xfrm>
                    <a:prstGeom prst="rect">
                      <a:avLst/>
                    </a:prstGeom>
                  </pic:spPr>
                </pic:pic>
              </a:graphicData>
            </a:graphic>
          </wp:inline>
        </w:drawing>
      </w:r>
      <w:r>
        <w:rPr>
          <w:sz w:val="20"/>
        </w:rPr>
      </w:r>
    </w:p>
    <w:p>
      <w:pPr>
        <w:spacing w:after="0"/>
        <w:rPr>
          <w:sz w:val="20"/>
        </w:rPr>
        <w:sectPr>
          <w:footerReference w:type="default" r:id="rId102"/>
          <w:pgSz w:w="12240" w:h="15840"/>
          <w:pgMar w:footer="0" w:header="0" w:top="0" w:bottom="0" w:left="0" w:right="0"/>
        </w:sectPr>
      </w:pPr>
    </w:p>
    <w:p>
      <w:pPr>
        <w:pStyle w:val="BodyText"/>
        <w:rPr>
          <w:sz w:val="20"/>
        </w:rPr>
      </w:pPr>
    </w:p>
    <w:p>
      <w:pPr>
        <w:pStyle w:val="BodyText"/>
        <w:spacing w:before="4"/>
        <w:rPr>
          <w:sz w:val="25"/>
        </w:rPr>
      </w:pPr>
    </w:p>
    <w:p>
      <w:pPr>
        <w:pStyle w:val="Heading1"/>
        <w:spacing w:line="1121" w:lineRule="exact"/>
        <w:ind w:left="1113"/>
      </w:pPr>
      <w:r>
        <w:rPr/>
        <w:pict>
          <v:group style="position:absolute;margin-left:-.5pt;margin-top:3.427197pt;width:611.35pt;height:317.45pt;mso-position-horizontal-relative:page;mso-position-vertical-relative:paragraph;z-index:-96712" coordorigin="-10,69" coordsize="12227,6349">
            <v:rect style="position:absolute;left:0;top:79;width:12206;height:6329" filled="true" fillcolor="#6f2f9f" stroked="false">
              <v:fill type="solid"/>
            </v:rect>
            <v:rect style="position:absolute;left:0;top:79;width:12206;height:6329" filled="false" stroked="true" strokeweight=".96pt" strokecolor="#ec7c30"/>
            <v:shape style="position:absolute;left:3504;top:5119;width:1620;height:1207" type="#_x0000_t75" stroked="false">
              <v:imagedata r:id="rId105" o:title=""/>
            </v:shape>
            <w10:wrap type="none"/>
          </v:group>
        </w:pict>
      </w:r>
      <w:r>
        <w:rPr>
          <w:color w:val="FFFFFF"/>
        </w:rPr>
        <w:t>CAP</w:t>
      </w:r>
      <w:r>
        <w:rPr>
          <w:rFonts w:ascii="Cambria" w:hAnsi="Cambria"/>
          <w:color w:val="FFFFFF"/>
        </w:rPr>
        <w:t>Í </w:t>
      </w:r>
      <w:r>
        <w:rPr>
          <w:color w:val="FFFFFF"/>
        </w:rPr>
        <w:t>TULO</w:t>
      </w:r>
      <w:r>
        <w:rPr>
          <w:color w:val="FFFFFF"/>
          <w:spacing w:val="-69"/>
        </w:rPr>
        <w:t> </w:t>
      </w:r>
      <w:r>
        <w:rPr>
          <w:color w:val="FFFFFF"/>
        </w:rPr>
        <w:t>4:</w:t>
      </w:r>
    </w:p>
    <w:p>
      <w:pPr>
        <w:spacing w:line="290" w:lineRule="auto" w:before="343"/>
        <w:ind w:left="153" w:right="0" w:firstLine="0"/>
        <w:jc w:val="left"/>
        <w:rPr>
          <w:rFonts w:ascii="Aharoni" w:hAnsi="Aharoni"/>
          <w:b/>
          <w:sz w:val="96"/>
        </w:rPr>
      </w:pPr>
      <w:r>
        <w:rPr>
          <w:rFonts w:ascii="Aharoni" w:hAnsi="Aharoni"/>
          <w:b/>
          <w:color w:val="FFFFFF"/>
          <w:sz w:val="96"/>
        </w:rPr>
        <w:t>PASOS PARA ELABORAR UNA TEOR</w:t>
      </w:r>
      <w:r>
        <w:rPr>
          <w:rFonts w:ascii="Cambria" w:hAnsi="Cambria"/>
          <w:b/>
          <w:color w:val="FFFFFF"/>
          <w:sz w:val="96"/>
        </w:rPr>
        <w:t>Í </w:t>
      </w:r>
      <w:r>
        <w:rPr>
          <w:rFonts w:ascii="Aharoni" w:hAnsi="Aharoni"/>
          <w:b/>
          <w:color w:val="FFFFFF"/>
          <w:sz w:val="96"/>
        </w:rPr>
        <w:t>A DEL CASO CON PERSPECTIVA DE G</w:t>
      </w:r>
      <w:r>
        <w:rPr>
          <w:rFonts w:ascii="Cambria" w:hAnsi="Cambria"/>
          <w:b/>
          <w:color w:val="FFFFFF"/>
          <w:sz w:val="96"/>
        </w:rPr>
        <w:t>É</w:t>
      </w:r>
      <w:r>
        <w:rPr>
          <w:rFonts w:ascii="Aharoni" w:hAnsi="Aharoni"/>
          <w:b/>
          <w:color w:val="FFFFFF"/>
          <w:sz w:val="96"/>
        </w:rPr>
        <w:t>NERO</w:t>
      </w:r>
    </w:p>
    <w:p>
      <w:pPr>
        <w:pStyle w:val="BodyText"/>
        <w:rPr>
          <w:rFonts w:ascii="Aharoni"/>
          <w:b/>
          <w:sz w:val="20"/>
        </w:rPr>
      </w:pPr>
    </w:p>
    <w:p>
      <w:pPr>
        <w:pStyle w:val="BodyText"/>
        <w:rPr>
          <w:rFonts w:ascii="Aharoni"/>
          <w:b/>
          <w:sz w:val="20"/>
        </w:rPr>
      </w:pPr>
    </w:p>
    <w:p>
      <w:pPr>
        <w:pStyle w:val="BodyText"/>
        <w:rPr>
          <w:rFonts w:ascii="Aharoni"/>
          <w:b/>
          <w:sz w:val="20"/>
        </w:rPr>
      </w:pPr>
    </w:p>
    <w:p>
      <w:pPr>
        <w:pStyle w:val="BodyText"/>
        <w:rPr>
          <w:rFonts w:ascii="Aharoni"/>
          <w:b/>
          <w:sz w:val="20"/>
        </w:rPr>
      </w:pPr>
    </w:p>
    <w:p>
      <w:pPr>
        <w:pStyle w:val="BodyText"/>
        <w:rPr>
          <w:rFonts w:ascii="Aharoni"/>
          <w:b/>
          <w:sz w:val="20"/>
        </w:rPr>
      </w:pPr>
    </w:p>
    <w:p>
      <w:pPr>
        <w:pStyle w:val="BodyText"/>
        <w:rPr>
          <w:rFonts w:ascii="Aharoni"/>
          <w:b/>
          <w:sz w:val="20"/>
        </w:rPr>
      </w:pPr>
    </w:p>
    <w:p>
      <w:pPr>
        <w:pStyle w:val="BodyText"/>
        <w:rPr>
          <w:rFonts w:ascii="Aharoni"/>
          <w:b/>
          <w:sz w:val="20"/>
        </w:rPr>
      </w:pPr>
    </w:p>
    <w:p>
      <w:pPr>
        <w:pStyle w:val="BodyText"/>
        <w:rPr>
          <w:rFonts w:ascii="Aharoni"/>
          <w:b/>
          <w:sz w:val="20"/>
        </w:rPr>
      </w:pPr>
    </w:p>
    <w:p>
      <w:pPr>
        <w:pStyle w:val="BodyText"/>
        <w:rPr>
          <w:rFonts w:ascii="Aharoni"/>
          <w:b/>
          <w:sz w:val="20"/>
        </w:rPr>
      </w:pPr>
    </w:p>
    <w:p>
      <w:pPr>
        <w:pStyle w:val="BodyText"/>
        <w:rPr>
          <w:rFonts w:ascii="Aharoni"/>
          <w:b/>
          <w:sz w:val="20"/>
        </w:rPr>
      </w:pPr>
    </w:p>
    <w:p>
      <w:pPr>
        <w:pStyle w:val="BodyText"/>
        <w:rPr>
          <w:rFonts w:ascii="Aharoni"/>
          <w:b/>
          <w:sz w:val="20"/>
        </w:rPr>
      </w:pPr>
    </w:p>
    <w:p>
      <w:pPr>
        <w:pStyle w:val="BodyText"/>
        <w:rPr>
          <w:rFonts w:ascii="Aharoni"/>
          <w:b/>
          <w:sz w:val="20"/>
        </w:rPr>
      </w:pPr>
    </w:p>
    <w:p>
      <w:pPr>
        <w:pStyle w:val="BodyText"/>
        <w:rPr>
          <w:rFonts w:ascii="Aharoni"/>
          <w:b/>
          <w:sz w:val="20"/>
        </w:rPr>
      </w:pPr>
    </w:p>
    <w:p>
      <w:pPr>
        <w:pStyle w:val="BodyText"/>
        <w:rPr>
          <w:rFonts w:ascii="Aharoni"/>
          <w:b/>
          <w:sz w:val="20"/>
        </w:rPr>
      </w:pPr>
    </w:p>
    <w:p>
      <w:pPr>
        <w:pStyle w:val="BodyText"/>
        <w:rPr>
          <w:rFonts w:ascii="Aharoni"/>
          <w:b/>
          <w:sz w:val="20"/>
        </w:rPr>
      </w:pPr>
    </w:p>
    <w:p>
      <w:pPr>
        <w:pStyle w:val="BodyText"/>
        <w:spacing w:line="360" w:lineRule="auto"/>
        <w:ind w:left="1702" w:right="1743" w:firstLine="707"/>
        <w:jc w:val="both"/>
      </w:pPr>
      <w:r>
        <w:rPr/>
        <w:drawing>
          <wp:anchor distT="0" distB="0" distL="0" distR="0" allowOverlap="1" layoutInCell="1" locked="0" behindDoc="1" simplePos="0" relativeHeight="268338719">
            <wp:simplePos x="0" y="0"/>
            <wp:positionH relativeFrom="page">
              <wp:posOffset>1080516</wp:posOffset>
            </wp:positionH>
            <wp:positionV relativeFrom="paragraph">
              <wp:posOffset>-1165633</wp:posOffset>
            </wp:positionV>
            <wp:extent cx="1028699" cy="2371344"/>
            <wp:effectExtent l="0" t="0" r="0" b="0"/>
            <wp:wrapNone/>
            <wp:docPr id="25" name="image39.jpeg" descr=""/>
            <wp:cNvGraphicFramePr>
              <a:graphicFrameLocks noChangeAspect="1"/>
            </wp:cNvGraphicFramePr>
            <a:graphic>
              <a:graphicData uri="http://schemas.openxmlformats.org/drawingml/2006/picture">
                <pic:pic>
                  <pic:nvPicPr>
                    <pic:cNvPr id="26" name="image39.jpeg"/>
                    <pic:cNvPicPr/>
                  </pic:nvPicPr>
                  <pic:blipFill>
                    <a:blip r:embed="rId59" cstate="print"/>
                    <a:stretch>
                      <a:fillRect/>
                    </a:stretch>
                  </pic:blipFill>
                  <pic:spPr>
                    <a:xfrm>
                      <a:off x="0" y="0"/>
                      <a:ext cx="1028699" cy="2371344"/>
                    </a:xfrm>
                    <a:prstGeom prst="rect">
                      <a:avLst/>
                    </a:prstGeom>
                  </pic:spPr>
                </pic:pic>
              </a:graphicData>
            </a:graphic>
          </wp:anchor>
        </w:drawing>
      </w:r>
      <w:r>
        <w:rPr/>
        <w:t>En el presente capítulo se establece una serie de pasos, que deben de seguirse para elaborar una Teoría del Caso con Perspectiva de Género, tomando como referencia los</w:t>
      </w:r>
      <w:r>
        <w:rPr>
          <w:spacing w:val="-13"/>
        </w:rPr>
        <w:t> </w:t>
      </w:r>
      <w:r>
        <w:rPr/>
        <w:t>planteamientos</w:t>
      </w:r>
      <w:r>
        <w:rPr>
          <w:spacing w:val="-16"/>
        </w:rPr>
        <w:t> </w:t>
      </w:r>
      <w:r>
        <w:rPr/>
        <w:t>realizados</w:t>
      </w:r>
      <w:r>
        <w:rPr>
          <w:spacing w:val="-13"/>
        </w:rPr>
        <w:t> </w:t>
      </w:r>
      <w:r>
        <w:rPr/>
        <w:t>en</w:t>
      </w:r>
      <w:r>
        <w:rPr>
          <w:spacing w:val="-14"/>
        </w:rPr>
        <w:t> </w:t>
      </w:r>
      <w:r>
        <w:rPr/>
        <w:t>los</w:t>
      </w:r>
      <w:r>
        <w:rPr>
          <w:spacing w:val="-13"/>
        </w:rPr>
        <w:t> </w:t>
      </w:r>
      <w:r>
        <w:rPr/>
        <w:t>capítulos</w:t>
      </w:r>
      <w:r>
        <w:rPr>
          <w:spacing w:val="-13"/>
        </w:rPr>
        <w:t> </w:t>
      </w:r>
      <w:r>
        <w:rPr/>
        <w:t>anteriores,</w:t>
      </w:r>
      <w:r>
        <w:rPr>
          <w:spacing w:val="-15"/>
        </w:rPr>
        <w:t> </w:t>
      </w:r>
      <w:r>
        <w:rPr/>
        <w:t>mismos</w:t>
      </w:r>
      <w:r>
        <w:rPr>
          <w:spacing w:val="-16"/>
        </w:rPr>
        <w:t> </w:t>
      </w:r>
      <w:r>
        <w:rPr/>
        <w:t>que</w:t>
      </w:r>
      <w:r>
        <w:rPr>
          <w:spacing w:val="-16"/>
        </w:rPr>
        <w:t> </w:t>
      </w:r>
      <w:r>
        <w:rPr/>
        <w:t>nos</w:t>
      </w:r>
      <w:r>
        <w:rPr>
          <w:spacing w:val="-16"/>
        </w:rPr>
        <w:t> </w:t>
      </w:r>
      <w:r>
        <w:rPr/>
        <w:t>serán</w:t>
      </w:r>
      <w:r>
        <w:rPr>
          <w:spacing w:val="-13"/>
        </w:rPr>
        <w:t> </w:t>
      </w:r>
      <w:r>
        <w:rPr/>
        <w:t>de</w:t>
      </w:r>
      <w:r>
        <w:rPr>
          <w:spacing w:val="-14"/>
        </w:rPr>
        <w:t> </w:t>
      </w:r>
      <w:r>
        <w:rPr/>
        <w:t>utilidad para la elaboración de la Teoría del Caso con Perspectiva de</w:t>
      </w:r>
      <w:r>
        <w:rPr>
          <w:spacing w:val="-18"/>
        </w:rPr>
        <w:t> </w:t>
      </w:r>
      <w:r>
        <w:rPr/>
        <w:t>Género.</w:t>
      </w:r>
    </w:p>
    <w:p>
      <w:pPr>
        <w:pStyle w:val="BodyText"/>
        <w:spacing w:before="7"/>
        <w:rPr>
          <w:sz w:val="17"/>
        </w:rPr>
      </w:pPr>
    </w:p>
    <w:p>
      <w:pPr>
        <w:pStyle w:val="BodyText"/>
        <w:spacing w:line="360" w:lineRule="auto"/>
        <w:ind w:left="1702" w:right="1747"/>
        <w:jc w:val="both"/>
      </w:pPr>
      <w:r>
        <w:rPr/>
        <w:t>A</w:t>
      </w:r>
      <w:r>
        <w:rPr>
          <w:spacing w:val="-18"/>
        </w:rPr>
        <w:t> </w:t>
      </w:r>
      <w:r>
        <w:rPr/>
        <w:t>partir</w:t>
      </w:r>
      <w:r>
        <w:rPr>
          <w:spacing w:val="-16"/>
        </w:rPr>
        <w:t> </w:t>
      </w:r>
      <w:r>
        <w:rPr/>
        <w:t>de</w:t>
      </w:r>
      <w:r>
        <w:rPr>
          <w:spacing w:val="-17"/>
        </w:rPr>
        <w:t> </w:t>
      </w:r>
      <w:r>
        <w:rPr/>
        <w:t>los</w:t>
      </w:r>
      <w:r>
        <w:rPr>
          <w:spacing w:val="-20"/>
        </w:rPr>
        <w:t> </w:t>
      </w:r>
      <w:r>
        <w:rPr/>
        <w:t>pasos,</w:t>
      </w:r>
      <w:r>
        <w:rPr>
          <w:spacing w:val="-18"/>
        </w:rPr>
        <w:t> </w:t>
      </w:r>
      <w:r>
        <w:rPr/>
        <w:t>se</w:t>
      </w:r>
      <w:r>
        <w:rPr>
          <w:spacing w:val="-17"/>
        </w:rPr>
        <w:t> </w:t>
      </w:r>
      <w:r>
        <w:rPr/>
        <w:t>explica,</w:t>
      </w:r>
      <w:r>
        <w:rPr>
          <w:spacing w:val="-16"/>
        </w:rPr>
        <w:t> </w:t>
      </w:r>
      <w:r>
        <w:rPr/>
        <w:t>cómo</w:t>
      </w:r>
      <w:r>
        <w:rPr>
          <w:spacing w:val="-17"/>
        </w:rPr>
        <w:t> </w:t>
      </w:r>
      <w:r>
        <w:rPr/>
        <w:t>incorporar</w:t>
      </w:r>
      <w:r>
        <w:rPr>
          <w:spacing w:val="-16"/>
        </w:rPr>
        <w:t> </w:t>
      </w:r>
      <w:r>
        <w:rPr/>
        <w:t>la</w:t>
      </w:r>
      <w:r>
        <w:rPr>
          <w:spacing w:val="-17"/>
        </w:rPr>
        <w:t> </w:t>
      </w:r>
      <w:r>
        <w:rPr/>
        <w:t>perspectiva</w:t>
      </w:r>
      <w:r>
        <w:rPr>
          <w:spacing w:val="-17"/>
        </w:rPr>
        <w:t> </w:t>
      </w:r>
      <w:r>
        <w:rPr/>
        <w:t>de</w:t>
      </w:r>
      <w:r>
        <w:rPr>
          <w:spacing w:val="-20"/>
        </w:rPr>
        <w:t> </w:t>
      </w:r>
      <w:r>
        <w:rPr/>
        <w:t>género</w:t>
      </w:r>
      <w:r>
        <w:rPr>
          <w:spacing w:val="-21"/>
        </w:rPr>
        <w:t> </w:t>
      </w:r>
      <w:r>
        <w:rPr/>
        <w:t>en</w:t>
      </w:r>
      <w:r>
        <w:rPr>
          <w:spacing w:val="-17"/>
        </w:rPr>
        <w:t> </w:t>
      </w:r>
      <w:r>
        <w:rPr/>
        <w:t>los</w:t>
      </w:r>
      <w:r>
        <w:rPr>
          <w:spacing w:val="-17"/>
        </w:rPr>
        <w:t> </w:t>
      </w:r>
      <w:r>
        <w:rPr/>
        <w:t>elementos fácticos, jurídicos y probatorios, para los casos en los que defendamos a mujeres indiciadas.</w:t>
      </w:r>
    </w:p>
    <w:p>
      <w:pPr>
        <w:spacing w:after="0" w:line="360" w:lineRule="auto"/>
        <w:jc w:val="both"/>
        <w:sectPr>
          <w:footerReference w:type="default" r:id="rId104"/>
          <w:pgSz w:w="12240" w:h="15840"/>
          <w:pgMar w:footer="0" w:header="0" w:top="1500" w:bottom="180" w:left="0" w:right="0"/>
          <w:pgNumType w:start="92"/>
        </w:sectPr>
      </w:pPr>
    </w:p>
    <w:p>
      <w:pPr>
        <w:pStyle w:val="BodyText"/>
        <w:rPr>
          <w:sz w:val="20"/>
        </w:rPr>
      </w:pPr>
    </w:p>
    <w:p>
      <w:pPr>
        <w:pStyle w:val="BodyText"/>
        <w:rPr>
          <w:sz w:val="20"/>
        </w:rPr>
      </w:pPr>
    </w:p>
    <w:p>
      <w:pPr>
        <w:pStyle w:val="BodyText"/>
        <w:spacing w:before="10"/>
        <w:rPr>
          <w:sz w:val="10"/>
        </w:rPr>
      </w:pPr>
    </w:p>
    <w:p>
      <w:pPr>
        <w:pStyle w:val="BodyText"/>
        <w:ind w:left="100"/>
        <w:rPr>
          <w:sz w:val="20"/>
        </w:rPr>
      </w:pPr>
      <w:r>
        <w:rPr>
          <w:sz w:val="20"/>
        </w:rPr>
        <w:pict>
          <v:group style="width:457.1pt;height:162.4pt;mso-position-horizontal-relative:char;mso-position-vertical-relative:line" coordorigin="0,0" coordsize="9142,3248">
            <v:shape style="position:absolute;left:0;top:0;width:9142;height:3247" type="#_x0000_t75" stroked="false">
              <v:imagedata r:id="rId106" o:title=""/>
            </v:shape>
            <v:shape style="position:absolute;left:0;top:0;width:9142;height:3248" type="#_x0000_t202" filled="false" stroked="false">
              <v:textbox inset="0,0,0,0">
                <w:txbxContent>
                  <w:p>
                    <w:pPr>
                      <w:spacing w:line="360" w:lineRule="auto" w:before="233"/>
                      <w:ind w:left="324" w:right="378" w:firstLine="0"/>
                      <w:jc w:val="both"/>
                      <w:rPr>
                        <w:sz w:val="16"/>
                      </w:rPr>
                    </w:pPr>
                    <w:r>
                      <w:rPr>
                        <w:sz w:val="24"/>
                      </w:rPr>
                      <w:t>Objetivo:</w:t>
                    </w:r>
                    <w:r>
                      <w:rPr>
                        <w:spacing w:val="-4"/>
                        <w:sz w:val="24"/>
                      </w:rPr>
                      <w:t> </w:t>
                    </w:r>
                    <w:r>
                      <w:rPr>
                        <w:sz w:val="24"/>
                      </w:rPr>
                      <w:t>Desarrollar</w:t>
                    </w:r>
                    <w:r>
                      <w:rPr>
                        <w:spacing w:val="-6"/>
                        <w:sz w:val="24"/>
                      </w:rPr>
                      <w:t> </w:t>
                    </w:r>
                    <w:r>
                      <w:rPr>
                        <w:sz w:val="24"/>
                      </w:rPr>
                      <w:t>en</w:t>
                    </w:r>
                    <w:r>
                      <w:rPr>
                        <w:spacing w:val="-7"/>
                        <w:sz w:val="24"/>
                      </w:rPr>
                      <w:t> </w:t>
                    </w:r>
                    <w:r>
                      <w:rPr>
                        <w:sz w:val="24"/>
                      </w:rPr>
                      <w:t>forma</w:t>
                    </w:r>
                    <w:r>
                      <w:rPr>
                        <w:spacing w:val="-7"/>
                        <w:sz w:val="24"/>
                      </w:rPr>
                      <w:t> </w:t>
                    </w:r>
                    <w:r>
                      <w:rPr>
                        <w:sz w:val="24"/>
                      </w:rPr>
                      <w:t>de</w:t>
                    </w:r>
                    <w:r>
                      <w:rPr>
                        <w:spacing w:val="-7"/>
                        <w:sz w:val="24"/>
                      </w:rPr>
                      <w:t> </w:t>
                    </w:r>
                    <w:r>
                      <w:rPr>
                        <w:sz w:val="24"/>
                      </w:rPr>
                      <w:t>pasos,</w:t>
                    </w:r>
                    <w:r>
                      <w:rPr>
                        <w:spacing w:val="-5"/>
                        <w:sz w:val="24"/>
                      </w:rPr>
                      <w:t> </w:t>
                    </w:r>
                    <w:r>
                      <w:rPr>
                        <w:sz w:val="24"/>
                      </w:rPr>
                      <w:t>cómo</w:t>
                    </w:r>
                    <w:r>
                      <w:rPr>
                        <w:spacing w:val="-5"/>
                        <w:sz w:val="24"/>
                      </w:rPr>
                      <w:t> </w:t>
                    </w:r>
                    <w:r>
                      <w:rPr>
                        <w:sz w:val="24"/>
                      </w:rPr>
                      <w:t>elaborar</w:t>
                    </w:r>
                    <w:r>
                      <w:rPr>
                        <w:spacing w:val="-6"/>
                        <w:sz w:val="24"/>
                      </w:rPr>
                      <w:t> </w:t>
                    </w:r>
                    <w:r>
                      <w:rPr>
                        <w:sz w:val="24"/>
                      </w:rPr>
                      <w:t>una</w:t>
                    </w:r>
                    <w:r>
                      <w:rPr>
                        <w:spacing w:val="-7"/>
                        <w:sz w:val="24"/>
                      </w:rPr>
                      <w:t> </w:t>
                    </w:r>
                    <w:r>
                      <w:rPr>
                        <w:sz w:val="24"/>
                      </w:rPr>
                      <w:t>teoría</w:t>
                    </w:r>
                    <w:r>
                      <w:rPr>
                        <w:spacing w:val="-5"/>
                        <w:sz w:val="24"/>
                      </w:rPr>
                      <w:t> </w:t>
                    </w:r>
                    <w:r>
                      <w:rPr>
                        <w:sz w:val="24"/>
                      </w:rPr>
                      <w:t>del</w:t>
                    </w:r>
                    <w:r>
                      <w:rPr>
                        <w:spacing w:val="-6"/>
                        <w:sz w:val="24"/>
                      </w:rPr>
                      <w:t> </w:t>
                    </w:r>
                    <w:r>
                      <w:rPr>
                        <w:sz w:val="24"/>
                      </w:rPr>
                      <w:t>caso</w:t>
                    </w:r>
                    <w:r>
                      <w:rPr>
                        <w:spacing w:val="-7"/>
                        <w:sz w:val="24"/>
                      </w:rPr>
                      <w:t> </w:t>
                    </w:r>
                    <w:r>
                      <w:rPr>
                        <w:sz w:val="24"/>
                      </w:rPr>
                      <w:t>con perspectiva de género, con los que los y las estudiantes de la presente guía puedan diseñar un teoría del caso tomando en consideración los elementos necesarios para incorporar la perspectiva de género. Se proporciona un ejemplo, a partir del cual se ilustra la aplicación de los pasos a seguir para la elaboración de la perspectiva de</w:t>
                    </w:r>
                    <w:r>
                      <w:rPr>
                        <w:spacing w:val="-14"/>
                        <w:sz w:val="24"/>
                      </w:rPr>
                      <w:t> </w:t>
                    </w:r>
                    <w:r>
                      <w:rPr>
                        <w:sz w:val="24"/>
                      </w:rPr>
                      <w:t>género</w:t>
                    </w:r>
                    <w:r>
                      <w:rPr>
                        <w:position w:val="8"/>
                        <w:sz w:val="16"/>
                      </w:rPr>
                      <w:t>1</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spacing w:line="360" w:lineRule="auto" w:before="73"/>
        <w:ind w:left="482" w:right="165" w:firstLine="707"/>
        <w:jc w:val="both"/>
      </w:pPr>
      <w:r>
        <w:rPr/>
        <w:t>Para</w:t>
      </w:r>
      <w:r>
        <w:rPr>
          <w:spacing w:val="-7"/>
        </w:rPr>
        <w:t> </w:t>
      </w:r>
      <w:r>
        <w:rPr/>
        <w:t>iniciar</w:t>
      </w:r>
      <w:r>
        <w:rPr>
          <w:spacing w:val="-7"/>
        </w:rPr>
        <w:t> </w:t>
      </w:r>
      <w:r>
        <w:rPr/>
        <w:t>este</w:t>
      </w:r>
      <w:r>
        <w:rPr>
          <w:spacing w:val="-10"/>
        </w:rPr>
        <w:t> </w:t>
      </w:r>
      <w:r>
        <w:rPr/>
        <w:t>apartado</w:t>
      </w:r>
      <w:r>
        <w:rPr>
          <w:spacing w:val="-8"/>
        </w:rPr>
        <w:t> </w:t>
      </w:r>
      <w:r>
        <w:rPr/>
        <w:t>es</w:t>
      </w:r>
      <w:r>
        <w:rPr>
          <w:spacing w:val="-8"/>
        </w:rPr>
        <w:t> </w:t>
      </w:r>
      <w:r>
        <w:rPr/>
        <w:t>importante</w:t>
      </w:r>
      <w:r>
        <w:rPr>
          <w:spacing w:val="-8"/>
        </w:rPr>
        <w:t> </w:t>
      </w:r>
      <w:r>
        <w:rPr/>
        <w:t>señalar</w:t>
      </w:r>
      <w:r>
        <w:rPr>
          <w:spacing w:val="-12"/>
        </w:rPr>
        <w:t> </w:t>
      </w:r>
      <w:r>
        <w:rPr/>
        <w:t>que</w:t>
      </w:r>
      <w:r>
        <w:rPr>
          <w:spacing w:val="-8"/>
        </w:rPr>
        <w:t> </w:t>
      </w:r>
      <w:r>
        <w:rPr/>
        <w:t>cada</w:t>
      </w:r>
      <w:r>
        <w:rPr>
          <w:spacing w:val="-8"/>
        </w:rPr>
        <w:t> </w:t>
      </w:r>
      <w:r>
        <w:rPr/>
        <w:t>caso</w:t>
      </w:r>
      <w:r>
        <w:rPr>
          <w:spacing w:val="-10"/>
        </w:rPr>
        <w:t> </w:t>
      </w:r>
      <w:r>
        <w:rPr/>
        <w:t>es</w:t>
      </w:r>
      <w:r>
        <w:rPr>
          <w:spacing w:val="-8"/>
        </w:rPr>
        <w:t> </w:t>
      </w:r>
      <w:r>
        <w:rPr/>
        <w:t>diferente,</w:t>
      </w:r>
      <w:r>
        <w:rPr>
          <w:spacing w:val="-7"/>
        </w:rPr>
        <w:t> </w:t>
      </w:r>
      <w:r>
        <w:rPr/>
        <w:t>ya</w:t>
      </w:r>
      <w:r>
        <w:rPr>
          <w:spacing w:val="-8"/>
        </w:rPr>
        <w:t> </w:t>
      </w:r>
      <w:r>
        <w:rPr/>
        <w:t>que las circunstancias son distintas en cada caso, no obstante los planteamientos que se señalan en el presente manual, sirven de base para la formulación de la Teoría del Caso con Perspectiva de Género, evidentemente, en caso concreto de deberán observar las circunstancias particulares y considerarlas dentro de la Teoría del caso, en ese sentido se enuncian los siguientes pasos para lograr un defesa con perspectiva de</w:t>
      </w:r>
      <w:r>
        <w:rPr>
          <w:spacing w:val="-18"/>
        </w:rPr>
        <w:t> </w:t>
      </w:r>
      <w:r>
        <w:rPr/>
        <w:t>género:</w:t>
      </w:r>
    </w:p>
    <w:p>
      <w:pPr>
        <w:pStyle w:val="BodyText"/>
        <w:rPr>
          <w:sz w:val="20"/>
        </w:rPr>
      </w:pPr>
    </w:p>
    <w:p>
      <w:pPr>
        <w:pStyle w:val="BodyText"/>
        <w:spacing w:before="8"/>
        <w:rPr>
          <w:sz w:val="13"/>
        </w:rPr>
      </w:pPr>
      <w:r>
        <w:rPr/>
        <w:pict>
          <v:group style="position:absolute;margin-left:87pt;margin-top:9.835389pt;width:439.45pt;height:267.25pt;mso-position-horizontal-relative:page;mso-position-vertical-relative:paragraph;z-index:4864;mso-wrap-distance-left:0;mso-wrap-distance-right:0" coordorigin="1740,197" coordsize="8789,5345">
            <v:shape style="position:absolute;left:1740;top:197;width:8789;height:5345" type="#_x0000_t75" stroked="false">
              <v:imagedata r:id="rId107" o:title=""/>
            </v:shape>
            <v:shape style="position:absolute;left:1740;top:197;width:8789;height:5345" type="#_x0000_t202" filled="false" stroked="false">
              <v:textbox inset="0,0,0,0">
                <w:txbxContent>
                  <w:p>
                    <w:pPr>
                      <w:spacing w:line="360" w:lineRule="auto" w:before="88"/>
                      <w:ind w:left="161" w:right="203" w:firstLine="0"/>
                      <w:jc w:val="both"/>
                      <w:rPr>
                        <w:b/>
                        <w:sz w:val="24"/>
                      </w:rPr>
                    </w:pPr>
                    <w:r>
                      <w:rPr>
                        <w:b/>
                        <w:color w:val="FFFFFF"/>
                        <w:sz w:val="24"/>
                      </w:rPr>
                      <w:t>HERRAMIENTAS: Para poder elaborar la teoría del caso con perspectiva de</w:t>
                    </w:r>
                    <w:r>
                      <w:rPr>
                        <w:b/>
                        <w:color w:val="FFFFFF"/>
                        <w:spacing w:val="-6"/>
                        <w:sz w:val="24"/>
                      </w:rPr>
                      <w:t> </w:t>
                    </w:r>
                    <w:r>
                      <w:rPr>
                        <w:b/>
                        <w:color w:val="FFFFFF"/>
                        <w:sz w:val="24"/>
                      </w:rPr>
                      <w:t>género</w:t>
                    </w:r>
                    <w:r>
                      <w:rPr>
                        <w:b/>
                        <w:color w:val="FFFFFF"/>
                        <w:spacing w:val="-7"/>
                        <w:sz w:val="24"/>
                      </w:rPr>
                      <w:t> </w:t>
                    </w:r>
                    <w:r>
                      <w:rPr>
                        <w:b/>
                        <w:color w:val="FFFFFF"/>
                        <w:sz w:val="24"/>
                      </w:rPr>
                      <w:t>es</w:t>
                    </w:r>
                    <w:r>
                      <w:rPr>
                        <w:b/>
                        <w:color w:val="FFFFFF"/>
                        <w:spacing w:val="-8"/>
                        <w:sz w:val="24"/>
                      </w:rPr>
                      <w:t> </w:t>
                    </w:r>
                    <w:r>
                      <w:rPr>
                        <w:b/>
                        <w:color w:val="FFFFFF"/>
                        <w:sz w:val="24"/>
                      </w:rPr>
                      <w:t>muy</w:t>
                    </w:r>
                    <w:r>
                      <w:rPr>
                        <w:b/>
                        <w:color w:val="FFFFFF"/>
                        <w:spacing w:val="-12"/>
                        <w:sz w:val="24"/>
                      </w:rPr>
                      <w:t> </w:t>
                    </w:r>
                    <w:r>
                      <w:rPr>
                        <w:b/>
                        <w:color w:val="FFFFFF"/>
                        <w:sz w:val="24"/>
                      </w:rPr>
                      <w:t>importante</w:t>
                    </w:r>
                    <w:r>
                      <w:rPr>
                        <w:b/>
                        <w:color w:val="FFFFFF"/>
                        <w:spacing w:val="-6"/>
                        <w:sz w:val="24"/>
                      </w:rPr>
                      <w:t> </w:t>
                    </w:r>
                    <w:r>
                      <w:rPr>
                        <w:b/>
                        <w:color w:val="FFFFFF"/>
                        <w:sz w:val="24"/>
                      </w:rPr>
                      <w:t>contar</w:t>
                    </w:r>
                    <w:r>
                      <w:rPr>
                        <w:b/>
                        <w:color w:val="FFFFFF"/>
                        <w:spacing w:val="-9"/>
                        <w:sz w:val="24"/>
                      </w:rPr>
                      <w:t> </w:t>
                    </w:r>
                    <w:r>
                      <w:rPr>
                        <w:b/>
                        <w:color w:val="FFFFFF"/>
                        <w:sz w:val="24"/>
                      </w:rPr>
                      <w:t>con</w:t>
                    </w:r>
                    <w:r>
                      <w:rPr>
                        <w:b/>
                        <w:color w:val="FFFFFF"/>
                        <w:spacing w:val="-7"/>
                        <w:sz w:val="24"/>
                      </w:rPr>
                      <w:t> </w:t>
                    </w:r>
                    <w:r>
                      <w:rPr>
                        <w:b/>
                        <w:color w:val="FFFFFF"/>
                        <w:sz w:val="24"/>
                      </w:rPr>
                      <w:t>una</w:t>
                    </w:r>
                    <w:r>
                      <w:rPr>
                        <w:b/>
                        <w:color w:val="FFFFFF"/>
                        <w:spacing w:val="-6"/>
                        <w:sz w:val="24"/>
                      </w:rPr>
                      <w:t> </w:t>
                    </w:r>
                    <w:r>
                      <w:rPr>
                        <w:b/>
                        <w:color w:val="FFFFFF"/>
                        <w:sz w:val="24"/>
                      </w:rPr>
                      <w:t>visión</w:t>
                    </w:r>
                    <w:r>
                      <w:rPr>
                        <w:b/>
                        <w:color w:val="FFFFFF"/>
                        <w:spacing w:val="-7"/>
                        <w:sz w:val="24"/>
                      </w:rPr>
                      <w:t> </w:t>
                    </w:r>
                    <w:r>
                      <w:rPr>
                        <w:b/>
                        <w:color w:val="FFFFFF"/>
                        <w:sz w:val="24"/>
                      </w:rPr>
                      <w:t>garantista</w:t>
                    </w:r>
                    <w:r>
                      <w:rPr>
                        <w:b/>
                        <w:color w:val="FFFFFF"/>
                        <w:spacing w:val="-6"/>
                        <w:sz w:val="24"/>
                      </w:rPr>
                      <w:t> </w:t>
                    </w:r>
                    <w:r>
                      <w:rPr>
                        <w:b/>
                        <w:color w:val="FFFFFF"/>
                        <w:sz w:val="24"/>
                      </w:rPr>
                      <w:t>del</w:t>
                    </w:r>
                    <w:r>
                      <w:rPr>
                        <w:b/>
                        <w:color w:val="FFFFFF"/>
                        <w:spacing w:val="-9"/>
                        <w:sz w:val="24"/>
                      </w:rPr>
                      <w:t> </w:t>
                    </w:r>
                    <w:r>
                      <w:rPr>
                        <w:b/>
                        <w:color w:val="FFFFFF"/>
                        <w:sz w:val="24"/>
                      </w:rPr>
                      <w:t>sistema penal,</w:t>
                    </w:r>
                    <w:r>
                      <w:rPr>
                        <w:b/>
                        <w:color w:val="FFFFFF"/>
                        <w:spacing w:val="-13"/>
                        <w:sz w:val="24"/>
                      </w:rPr>
                      <w:t> </w:t>
                    </w:r>
                    <w:r>
                      <w:rPr>
                        <w:b/>
                        <w:color w:val="FFFFFF"/>
                        <w:sz w:val="24"/>
                      </w:rPr>
                      <w:t>lo</w:t>
                    </w:r>
                    <w:r>
                      <w:rPr>
                        <w:b/>
                        <w:color w:val="FFFFFF"/>
                        <w:spacing w:val="-16"/>
                        <w:sz w:val="24"/>
                      </w:rPr>
                      <w:t> </w:t>
                    </w:r>
                    <w:r>
                      <w:rPr>
                        <w:b/>
                        <w:color w:val="FFFFFF"/>
                        <w:sz w:val="24"/>
                      </w:rPr>
                      <w:t>cual</w:t>
                    </w:r>
                    <w:r>
                      <w:rPr>
                        <w:b/>
                        <w:color w:val="FFFFFF"/>
                        <w:spacing w:val="-16"/>
                        <w:sz w:val="24"/>
                      </w:rPr>
                      <w:t> </w:t>
                    </w:r>
                    <w:r>
                      <w:rPr>
                        <w:b/>
                        <w:color w:val="FFFFFF"/>
                        <w:sz w:val="24"/>
                      </w:rPr>
                      <w:t>permitirá</w:t>
                    </w:r>
                    <w:r>
                      <w:rPr>
                        <w:b/>
                        <w:color w:val="FFFFFF"/>
                        <w:spacing w:val="-13"/>
                        <w:sz w:val="24"/>
                      </w:rPr>
                      <w:t> </w:t>
                    </w:r>
                    <w:r>
                      <w:rPr>
                        <w:b/>
                        <w:color w:val="FFFFFF"/>
                        <w:sz w:val="24"/>
                      </w:rPr>
                      <w:t>que</w:t>
                    </w:r>
                    <w:r>
                      <w:rPr>
                        <w:b/>
                        <w:color w:val="FFFFFF"/>
                        <w:spacing w:val="-13"/>
                        <w:sz w:val="24"/>
                      </w:rPr>
                      <w:t> </w:t>
                    </w:r>
                    <w:r>
                      <w:rPr>
                        <w:b/>
                        <w:color w:val="FFFFFF"/>
                        <w:sz w:val="24"/>
                      </w:rPr>
                      <w:t>nuestra</w:t>
                    </w:r>
                    <w:r>
                      <w:rPr>
                        <w:b/>
                        <w:color w:val="FFFFFF"/>
                        <w:spacing w:val="-13"/>
                        <w:sz w:val="24"/>
                      </w:rPr>
                      <w:t> </w:t>
                    </w:r>
                    <w:r>
                      <w:rPr>
                        <w:b/>
                        <w:color w:val="FFFFFF"/>
                        <w:sz w:val="24"/>
                      </w:rPr>
                      <w:t>defensa</w:t>
                    </w:r>
                    <w:r>
                      <w:rPr>
                        <w:b/>
                        <w:color w:val="FFFFFF"/>
                        <w:spacing w:val="-13"/>
                        <w:sz w:val="24"/>
                      </w:rPr>
                      <w:t> </w:t>
                    </w:r>
                    <w:r>
                      <w:rPr>
                        <w:b/>
                        <w:color w:val="FFFFFF"/>
                        <w:sz w:val="24"/>
                      </w:rPr>
                      <w:t>en</w:t>
                    </w:r>
                    <w:r>
                      <w:rPr>
                        <w:b/>
                        <w:color w:val="FFFFFF"/>
                        <w:spacing w:val="-14"/>
                        <w:sz w:val="24"/>
                      </w:rPr>
                      <w:t> </w:t>
                    </w:r>
                    <w:r>
                      <w:rPr>
                        <w:b/>
                        <w:color w:val="FFFFFF"/>
                        <w:sz w:val="24"/>
                      </w:rPr>
                      <w:t>todo</w:t>
                    </w:r>
                    <w:r>
                      <w:rPr>
                        <w:b/>
                        <w:color w:val="FFFFFF"/>
                        <w:spacing w:val="-14"/>
                        <w:sz w:val="24"/>
                      </w:rPr>
                      <w:t> </w:t>
                    </w:r>
                    <w:r>
                      <w:rPr>
                        <w:b/>
                        <w:color w:val="FFFFFF"/>
                        <w:sz w:val="24"/>
                      </w:rPr>
                      <w:t>momento</w:t>
                    </w:r>
                    <w:r>
                      <w:rPr>
                        <w:b/>
                        <w:color w:val="FFFFFF"/>
                        <w:spacing w:val="-14"/>
                        <w:sz w:val="24"/>
                      </w:rPr>
                      <w:t> </w:t>
                    </w:r>
                    <w:r>
                      <w:rPr>
                        <w:b/>
                        <w:color w:val="FFFFFF"/>
                        <w:sz w:val="24"/>
                      </w:rPr>
                      <w:t>sea</w:t>
                    </w:r>
                    <w:r>
                      <w:rPr>
                        <w:b/>
                        <w:color w:val="FFFFFF"/>
                        <w:spacing w:val="-13"/>
                        <w:sz w:val="24"/>
                      </w:rPr>
                      <w:t> </w:t>
                    </w:r>
                    <w:r>
                      <w:rPr>
                        <w:b/>
                        <w:color w:val="FFFFFF"/>
                        <w:sz w:val="24"/>
                      </w:rPr>
                      <w:t>en</w:t>
                    </w:r>
                    <w:r>
                      <w:rPr>
                        <w:b/>
                        <w:color w:val="FFFFFF"/>
                        <w:spacing w:val="-14"/>
                        <w:sz w:val="24"/>
                      </w:rPr>
                      <w:t> </w:t>
                    </w:r>
                    <w:r>
                      <w:rPr>
                        <w:b/>
                        <w:color w:val="FFFFFF"/>
                        <w:sz w:val="24"/>
                      </w:rPr>
                      <w:t>favor de nuestra defendida, así como el cumplimiento de sus garantías y derechos humanos en el caso concreto. Asimismo, se debe contar con conocimientos solidos sobre la Dogmática Penal, y de manera particular la</w:t>
                    </w:r>
                    <w:r>
                      <w:rPr>
                        <w:b/>
                        <w:color w:val="FFFFFF"/>
                        <w:spacing w:val="-8"/>
                        <w:sz w:val="24"/>
                      </w:rPr>
                      <w:t> </w:t>
                    </w:r>
                    <w:r>
                      <w:rPr>
                        <w:b/>
                        <w:color w:val="FFFFFF"/>
                        <w:sz w:val="24"/>
                      </w:rPr>
                      <w:t>Teoría</w:t>
                    </w:r>
                    <w:r>
                      <w:rPr>
                        <w:b/>
                        <w:color w:val="FFFFFF"/>
                        <w:spacing w:val="-8"/>
                        <w:sz w:val="24"/>
                      </w:rPr>
                      <w:t> </w:t>
                    </w:r>
                    <w:r>
                      <w:rPr>
                        <w:b/>
                        <w:color w:val="FFFFFF"/>
                        <w:sz w:val="24"/>
                      </w:rPr>
                      <w:t>del</w:t>
                    </w:r>
                    <w:r>
                      <w:rPr>
                        <w:b/>
                        <w:color w:val="FFFFFF"/>
                        <w:spacing w:val="-9"/>
                        <w:sz w:val="24"/>
                      </w:rPr>
                      <w:t> </w:t>
                    </w:r>
                    <w:r>
                      <w:rPr>
                        <w:b/>
                        <w:color w:val="FFFFFF"/>
                        <w:sz w:val="24"/>
                      </w:rPr>
                      <w:t>Delito;</w:t>
                    </w:r>
                    <w:r>
                      <w:rPr>
                        <w:b/>
                        <w:color w:val="FFFFFF"/>
                        <w:spacing w:val="-11"/>
                        <w:sz w:val="24"/>
                      </w:rPr>
                      <w:t> </w:t>
                    </w:r>
                    <w:r>
                      <w:rPr>
                        <w:b/>
                        <w:color w:val="FFFFFF"/>
                        <w:sz w:val="24"/>
                      </w:rPr>
                      <w:t>esto</w:t>
                    </w:r>
                    <w:r>
                      <w:rPr>
                        <w:b/>
                        <w:color w:val="FFFFFF"/>
                        <w:spacing w:val="-10"/>
                        <w:sz w:val="24"/>
                      </w:rPr>
                      <w:t> </w:t>
                    </w:r>
                    <w:r>
                      <w:rPr>
                        <w:b/>
                        <w:color w:val="FFFFFF"/>
                        <w:sz w:val="24"/>
                      </w:rPr>
                      <w:t>con</w:t>
                    </w:r>
                    <w:r>
                      <w:rPr>
                        <w:b/>
                        <w:color w:val="FFFFFF"/>
                        <w:spacing w:val="-10"/>
                        <w:sz w:val="24"/>
                      </w:rPr>
                      <w:t> </w:t>
                    </w:r>
                    <w:r>
                      <w:rPr>
                        <w:b/>
                        <w:color w:val="FFFFFF"/>
                        <w:sz w:val="24"/>
                      </w:rPr>
                      <w:t>la</w:t>
                    </w:r>
                    <w:r>
                      <w:rPr>
                        <w:b/>
                        <w:color w:val="FFFFFF"/>
                        <w:spacing w:val="-10"/>
                        <w:sz w:val="24"/>
                      </w:rPr>
                      <w:t> </w:t>
                    </w:r>
                    <w:r>
                      <w:rPr>
                        <w:b/>
                        <w:color w:val="FFFFFF"/>
                        <w:sz w:val="24"/>
                      </w:rPr>
                      <w:t>finalidad</w:t>
                    </w:r>
                    <w:r>
                      <w:rPr>
                        <w:b/>
                        <w:color w:val="FFFFFF"/>
                        <w:spacing w:val="-9"/>
                        <w:sz w:val="24"/>
                      </w:rPr>
                      <w:t> </w:t>
                    </w:r>
                    <w:r>
                      <w:rPr>
                        <w:b/>
                        <w:color w:val="FFFFFF"/>
                        <w:sz w:val="24"/>
                      </w:rPr>
                      <w:t>de</w:t>
                    </w:r>
                    <w:r>
                      <w:rPr>
                        <w:b/>
                        <w:color w:val="FFFFFF"/>
                        <w:spacing w:val="-8"/>
                        <w:sz w:val="24"/>
                      </w:rPr>
                      <w:t> </w:t>
                    </w:r>
                    <w:r>
                      <w:rPr>
                        <w:b/>
                        <w:color w:val="FFFFFF"/>
                        <w:sz w:val="24"/>
                      </w:rPr>
                      <w:t>garantizar</w:t>
                    </w:r>
                    <w:r>
                      <w:rPr>
                        <w:b/>
                        <w:color w:val="FFFFFF"/>
                        <w:spacing w:val="-9"/>
                        <w:sz w:val="24"/>
                      </w:rPr>
                      <w:t> </w:t>
                    </w:r>
                    <w:r>
                      <w:rPr>
                        <w:b/>
                        <w:color w:val="FFFFFF"/>
                        <w:sz w:val="24"/>
                      </w:rPr>
                      <w:t>una</w:t>
                    </w:r>
                    <w:r>
                      <w:rPr>
                        <w:b/>
                        <w:color w:val="FFFFFF"/>
                        <w:spacing w:val="-11"/>
                        <w:sz w:val="24"/>
                      </w:rPr>
                      <w:t> </w:t>
                    </w:r>
                    <w:r>
                      <w:rPr>
                        <w:b/>
                        <w:color w:val="FFFFFF"/>
                        <w:sz w:val="24"/>
                      </w:rPr>
                      <w:t>defensa</w:t>
                    </w:r>
                    <w:r>
                      <w:rPr>
                        <w:b/>
                        <w:color w:val="FFFFFF"/>
                        <w:spacing w:val="-8"/>
                        <w:sz w:val="24"/>
                      </w:rPr>
                      <w:t> </w:t>
                    </w:r>
                    <w:r>
                      <w:rPr>
                        <w:b/>
                        <w:color w:val="FFFFFF"/>
                        <w:sz w:val="24"/>
                      </w:rPr>
                      <w:t>técnica para nuestras representadas. Y por último, pero no menos importante, se deberá contar con perspectiva de género, para evitar que nuestra Teoría del Caso tenga prejuicios patriarcales y tomar en consideración todas las formas de discriminación de las mujeres indiciadas a partir de la construcción social del</w:t>
                    </w:r>
                    <w:r>
                      <w:rPr>
                        <w:b/>
                        <w:color w:val="FFFFFF"/>
                        <w:spacing w:val="-10"/>
                        <w:sz w:val="24"/>
                      </w:rPr>
                      <w:t> </w:t>
                    </w:r>
                    <w:r>
                      <w:rPr>
                        <w:b/>
                        <w:color w:val="FFFFFF"/>
                        <w:sz w:val="24"/>
                      </w:rPr>
                      <w:t>género.</w:t>
                    </w:r>
                  </w:p>
                </w:txbxContent>
              </v:textbox>
              <w10:wrap type="none"/>
            </v:shape>
            <w10:wrap type="topAndBottom"/>
          </v:group>
        </w:pict>
      </w:r>
    </w:p>
    <w:p>
      <w:pPr>
        <w:spacing w:after="0"/>
        <w:rPr>
          <w:sz w:val="13"/>
        </w:rPr>
        <w:sectPr>
          <w:pgSz w:w="12240" w:h="15840"/>
          <w:pgMar w:header="0" w:footer="0" w:top="1500" w:bottom="1200" w:left="1220" w:right="1580"/>
        </w:sectPr>
      </w:pPr>
    </w:p>
    <w:p>
      <w:pPr>
        <w:pStyle w:val="BodyText"/>
        <w:rPr>
          <w:sz w:val="20"/>
        </w:rPr>
      </w:pPr>
    </w:p>
    <w:p>
      <w:pPr>
        <w:pStyle w:val="BodyText"/>
        <w:spacing w:before="4"/>
        <w:rPr>
          <w:sz w:val="25"/>
        </w:rPr>
      </w:pPr>
    </w:p>
    <w:p>
      <w:pPr>
        <w:pStyle w:val="BodyText"/>
        <w:spacing w:line="379" w:lineRule="auto" w:before="8"/>
        <w:ind w:left="522" w:right="166"/>
        <w:jc w:val="both"/>
      </w:pPr>
      <w:r>
        <w:rPr/>
        <w:drawing>
          <wp:anchor distT="0" distB="0" distL="0" distR="0" allowOverlap="1" layoutInCell="1" locked="0" behindDoc="1" simplePos="0" relativeHeight="268338911">
            <wp:simplePos x="0" y="0"/>
            <wp:positionH relativeFrom="page">
              <wp:posOffset>818388</wp:posOffset>
            </wp:positionH>
            <wp:positionV relativeFrom="paragraph">
              <wp:posOffset>427578</wp:posOffset>
            </wp:positionV>
            <wp:extent cx="2531364" cy="499872"/>
            <wp:effectExtent l="0" t="0" r="0" b="0"/>
            <wp:wrapNone/>
            <wp:docPr id="27" name="image74.png" descr=""/>
            <wp:cNvGraphicFramePr>
              <a:graphicFrameLocks noChangeAspect="1"/>
            </wp:cNvGraphicFramePr>
            <a:graphic>
              <a:graphicData uri="http://schemas.openxmlformats.org/drawingml/2006/picture">
                <pic:pic>
                  <pic:nvPicPr>
                    <pic:cNvPr id="28" name="image74.png"/>
                    <pic:cNvPicPr/>
                  </pic:nvPicPr>
                  <pic:blipFill>
                    <a:blip r:embed="rId108" cstate="print"/>
                    <a:stretch>
                      <a:fillRect/>
                    </a:stretch>
                  </pic:blipFill>
                  <pic:spPr>
                    <a:xfrm>
                      <a:off x="0" y="0"/>
                      <a:ext cx="2531364" cy="499872"/>
                    </a:xfrm>
                    <a:prstGeom prst="rect">
                      <a:avLst/>
                    </a:prstGeom>
                  </pic:spPr>
                </pic:pic>
              </a:graphicData>
            </a:graphic>
          </wp:anchor>
        </w:drawing>
      </w:r>
      <w:r>
        <w:rPr>
          <w:color w:val="6F2F9F"/>
          <w:sz w:val="72"/>
        </w:rPr>
        <w:t>PASO</w:t>
      </w:r>
      <w:r>
        <w:rPr>
          <w:color w:val="6F2F9F"/>
          <w:spacing w:val="-46"/>
          <w:sz w:val="72"/>
        </w:rPr>
        <w:t> </w:t>
      </w:r>
      <w:r>
        <w:rPr>
          <w:color w:val="6F2F9F"/>
          <w:sz w:val="72"/>
        </w:rPr>
        <w:t>#1:</w:t>
      </w:r>
      <w:r>
        <w:rPr>
          <w:color w:val="6F2F9F"/>
          <w:spacing w:val="-124"/>
          <w:sz w:val="72"/>
        </w:rPr>
        <w:t> </w:t>
      </w:r>
      <w:r>
        <w:rPr/>
        <w:t>Análisis</w:t>
      </w:r>
      <w:r>
        <w:rPr>
          <w:spacing w:val="-13"/>
        </w:rPr>
        <w:t> </w:t>
      </w:r>
      <w:r>
        <w:rPr/>
        <w:t>del</w:t>
      </w:r>
      <w:r>
        <w:rPr>
          <w:spacing w:val="-14"/>
        </w:rPr>
        <w:t> </w:t>
      </w:r>
      <w:r>
        <w:rPr/>
        <w:t>caso</w:t>
      </w:r>
      <w:r>
        <w:rPr>
          <w:spacing w:val="-14"/>
        </w:rPr>
        <w:t> </w:t>
      </w:r>
      <w:r>
        <w:rPr/>
        <w:t>planteado,</w:t>
      </w:r>
      <w:r>
        <w:rPr>
          <w:spacing w:val="-15"/>
        </w:rPr>
        <w:t> </w:t>
      </w:r>
      <w:r>
        <w:rPr/>
        <w:t>del</w:t>
      </w:r>
      <w:r>
        <w:rPr>
          <w:spacing w:val="-14"/>
        </w:rPr>
        <w:t> </w:t>
      </w:r>
      <w:r>
        <w:rPr/>
        <w:t>cual</w:t>
      </w:r>
      <w:r>
        <w:rPr>
          <w:spacing w:val="-17"/>
        </w:rPr>
        <w:t> </w:t>
      </w:r>
      <w:r>
        <w:rPr/>
        <w:t>es</w:t>
      </w:r>
      <w:r>
        <w:rPr>
          <w:spacing w:val="-13"/>
        </w:rPr>
        <w:t> </w:t>
      </w:r>
      <w:r>
        <w:rPr/>
        <w:t>necesario</w:t>
      </w:r>
      <w:r>
        <w:rPr>
          <w:spacing w:val="-13"/>
        </w:rPr>
        <w:t> </w:t>
      </w:r>
      <w:r>
        <w:rPr/>
        <w:t>derivar, si estamos ante la presencia de un delito, en caso de ser así, qué tipo de delito es, si la mujer a la que vamos a defender es culpable, cuál fue su participación en la comisión del delito y cuál es la pena del</w:t>
      </w:r>
      <w:r>
        <w:rPr>
          <w:spacing w:val="-10"/>
        </w:rPr>
        <w:t> </w:t>
      </w:r>
      <w:r>
        <w:rPr/>
        <w:t>delito.</w:t>
      </w:r>
    </w:p>
    <w:p>
      <w:pPr>
        <w:pStyle w:val="BodyText"/>
        <w:spacing w:line="360" w:lineRule="auto" w:before="183"/>
        <w:ind w:left="522" w:right="162"/>
        <w:jc w:val="both"/>
      </w:pPr>
      <w:r>
        <w:rPr/>
        <w:t>Lo primero que tenemos que hacer, es tener una entrevista con nuestra defendida, haciéndole</w:t>
      </w:r>
      <w:r>
        <w:rPr>
          <w:spacing w:val="-8"/>
        </w:rPr>
        <w:t> </w:t>
      </w:r>
      <w:r>
        <w:rPr/>
        <w:t>saber</w:t>
      </w:r>
      <w:r>
        <w:rPr>
          <w:spacing w:val="-7"/>
        </w:rPr>
        <w:t> </w:t>
      </w:r>
      <w:r>
        <w:rPr/>
        <w:t>sus</w:t>
      </w:r>
      <w:r>
        <w:rPr>
          <w:spacing w:val="-8"/>
        </w:rPr>
        <w:t> </w:t>
      </w:r>
      <w:r>
        <w:rPr/>
        <w:t>derechos,</w:t>
      </w:r>
      <w:r>
        <w:rPr>
          <w:spacing w:val="-7"/>
        </w:rPr>
        <w:t> </w:t>
      </w:r>
      <w:r>
        <w:rPr/>
        <w:t>el</w:t>
      </w:r>
      <w:r>
        <w:rPr>
          <w:spacing w:val="-9"/>
        </w:rPr>
        <w:t> </w:t>
      </w:r>
      <w:r>
        <w:rPr/>
        <w:t>delito</w:t>
      </w:r>
      <w:r>
        <w:rPr>
          <w:spacing w:val="-10"/>
        </w:rPr>
        <w:t> </w:t>
      </w:r>
      <w:r>
        <w:rPr/>
        <w:t>que</w:t>
      </w:r>
      <w:r>
        <w:rPr>
          <w:spacing w:val="-8"/>
        </w:rPr>
        <w:t> </w:t>
      </w:r>
      <w:r>
        <w:rPr/>
        <w:t>se</w:t>
      </w:r>
      <w:r>
        <w:rPr>
          <w:spacing w:val="-10"/>
        </w:rPr>
        <w:t> </w:t>
      </w:r>
      <w:r>
        <w:rPr/>
        <w:t>le</w:t>
      </w:r>
      <w:r>
        <w:rPr>
          <w:spacing w:val="-8"/>
        </w:rPr>
        <w:t> </w:t>
      </w:r>
      <w:r>
        <w:rPr/>
        <w:t>imputa,</w:t>
      </w:r>
      <w:r>
        <w:rPr>
          <w:spacing w:val="-9"/>
        </w:rPr>
        <w:t> </w:t>
      </w:r>
      <w:r>
        <w:rPr/>
        <w:t>además</w:t>
      </w:r>
      <w:r>
        <w:rPr>
          <w:spacing w:val="-10"/>
        </w:rPr>
        <w:t> </w:t>
      </w:r>
      <w:r>
        <w:rPr/>
        <w:t>de</w:t>
      </w:r>
      <w:r>
        <w:rPr>
          <w:spacing w:val="-8"/>
        </w:rPr>
        <w:t> </w:t>
      </w:r>
      <w:r>
        <w:rPr/>
        <w:t>preguntar</w:t>
      </w:r>
      <w:r>
        <w:rPr>
          <w:spacing w:val="-7"/>
        </w:rPr>
        <w:t> </w:t>
      </w:r>
      <w:r>
        <w:rPr/>
        <w:t>su</w:t>
      </w:r>
      <w:r>
        <w:rPr>
          <w:spacing w:val="-10"/>
        </w:rPr>
        <w:t> </w:t>
      </w:r>
      <w:r>
        <w:rPr/>
        <w:t>versión de los hechos, es importante que recabemos sus generales, tomando especial consideración en el número de hijos, su escolaridad, su ocupación y estado civil, y si pertenece a una comunidad</w:t>
      </w:r>
      <w:r>
        <w:rPr>
          <w:spacing w:val="-8"/>
        </w:rPr>
        <w:t> </w:t>
      </w:r>
      <w:r>
        <w:rPr/>
        <w:t>indígena.</w:t>
      </w:r>
    </w:p>
    <w:p>
      <w:pPr>
        <w:pStyle w:val="BodyText"/>
        <w:rPr>
          <w:sz w:val="20"/>
        </w:rPr>
      </w:pPr>
    </w:p>
    <w:p>
      <w:pPr>
        <w:pStyle w:val="BodyText"/>
        <w:spacing w:before="8"/>
        <w:rPr>
          <w:sz w:val="14"/>
        </w:rPr>
      </w:pPr>
      <w:r>
        <w:rPr/>
        <w:pict>
          <v:group style="position:absolute;margin-left:84.105003pt;margin-top:10.440402pt;width:440.95pt;height:159.75pt;mso-position-horizontal-relative:page;mso-position-vertical-relative:paragraph;z-index:4912;mso-wrap-distance-left:0;mso-wrap-distance-right:0" coordorigin="1682,209" coordsize="8819,3195">
            <v:shape style="position:absolute;left:1690;top:216;width:8803;height:3180" type="#_x0000_t75" stroked="false">
              <v:imagedata r:id="rId109" o:title=""/>
            </v:shape>
            <v:shape style="position:absolute;left:1690;top:216;width:8804;height:3180" type="#_x0000_t202" filled="false" stroked="true" strokeweight=".72pt" strokecolor="#000000">
              <v:textbox inset="0,0,0,0">
                <w:txbxContent>
                  <w:p>
                    <w:pPr>
                      <w:spacing w:before="71"/>
                      <w:ind w:left="144" w:right="0" w:firstLine="0"/>
                      <w:jc w:val="left"/>
                      <w:rPr>
                        <w:b/>
                        <w:sz w:val="24"/>
                      </w:rPr>
                    </w:pPr>
                    <w:r>
                      <w:rPr>
                        <w:b/>
                        <w:sz w:val="24"/>
                      </w:rPr>
                      <w:t>Aquí debemos responder las siguientes preguntas:</w:t>
                    </w:r>
                  </w:p>
                  <w:p>
                    <w:pPr>
                      <w:spacing w:line="240" w:lineRule="auto" w:before="4"/>
                      <w:rPr>
                        <w:sz w:val="29"/>
                      </w:rPr>
                    </w:pPr>
                  </w:p>
                  <w:p>
                    <w:pPr>
                      <w:spacing w:before="1"/>
                      <w:ind w:left="144" w:right="0" w:firstLine="0"/>
                      <w:jc w:val="left"/>
                      <w:rPr>
                        <w:b/>
                        <w:sz w:val="24"/>
                      </w:rPr>
                    </w:pPr>
                    <w:r>
                      <w:rPr>
                        <w:b/>
                        <w:sz w:val="24"/>
                      </w:rPr>
                      <w:t>¿Estamos ante un delito?</w:t>
                    </w:r>
                  </w:p>
                  <w:p>
                    <w:pPr>
                      <w:spacing w:line="240" w:lineRule="auto" w:before="2"/>
                      <w:rPr>
                        <w:sz w:val="29"/>
                      </w:rPr>
                    </w:pPr>
                  </w:p>
                  <w:p>
                    <w:pPr>
                      <w:spacing w:before="0"/>
                      <w:ind w:left="144" w:right="0" w:firstLine="0"/>
                      <w:jc w:val="left"/>
                      <w:rPr>
                        <w:b/>
                        <w:sz w:val="24"/>
                      </w:rPr>
                    </w:pPr>
                    <w:r>
                      <w:rPr>
                        <w:b/>
                        <w:sz w:val="24"/>
                      </w:rPr>
                      <w:t>¿Qué tipo de delito es?</w:t>
                    </w:r>
                  </w:p>
                  <w:p>
                    <w:pPr>
                      <w:spacing w:line="240" w:lineRule="auto" w:before="4"/>
                      <w:rPr>
                        <w:sz w:val="29"/>
                      </w:rPr>
                    </w:pPr>
                  </w:p>
                  <w:p>
                    <w:pPr>
                      <w:spacing w:before="1"/>
                      <w:ind w:left="144" w:right="0" w:firstLine="0"/>
                      <w:jc w:val="left"/>
                      <w:rPr>
                        <w:b/>
                        <w:sz w:val="24"/>
                      </w:rPr>
                    </w:pPr>
                    <w:r>
                      <w:rPr>
                        <w:b/>
                        <w:sz w:val="24"/>
                      </w:rPr>
                      <w:t>¿Es culpable mi defendida?</w:t>
                    </w:r>
                  </w:p>
                  <w:p>
                    <w:pPr>
                      <w:spacing w:line="240" w:lineRule="auto" w:before="4"/>
                      <w:rPr>
                        <w:sz w:val="29"/>
                      </w:rPr>
                    </w:pPr>
                  </w:p>
                  <w:p>
                    <w:pPr>
                      <w:spacing w:before="1"/>
                      <w:ind w:left="144" w:right="0" w:firstLine="0"/>
                      <w:jc w:val="left"/>
                      <w:rPr>
                        <w:b/>
                        <w:sz w:val="24"/>
                      </w:rPr>
                    </w:pPr>
                    <w:r>
                      <w:rPr>
                        <w:b/>
                        <w:sz w:val="24"/>
                      </w:rPr>
                      <w:t>¿Qué pena merece por el delito cometido?</w:t>
                    </w:r>
                  </w:p>
                </w:txbxContent>
              </v:textbox>
              <w10:wrap type="none"/>
            </v:shape>
            <w10:wrap type="topAndBottom"/>
          </v:group>
        </w:pict>
      </w:r>
    </w:p>
    <w:p>
      <w:pPr>
        <w:pStyle w:val="BodyText"/>
        <w:rPr>
          <w:sz w:val="20"/>
        </w:rPr>
      </w:pPr>
    </w:p>
    <w:p>
      <w:pPr>
        <w:pStyle w:val="BodyText"/>
        <w:rPr>
          <w:sz w:val="20"/>
        </w:rPr>
      </w:pPr>
    </w:p>
    <w:p>
      <w:pPr>
        <w:pStyle w:val="BodyText"/>
        <w:spacing w:before="4"/>
        <w:rPr>
          <w:sz w:val="18"/>
        </w:rPr>
      </w:pPr>
    </w:p>
    <w:p>
      <w:pPr>
        <w:pStyle w:val="BodyText"/>
        <w:spacing w:line="388" w:lineRule="auto" w:before="9"/>
        <w:ind w:left="522" w:right="161"/>
      </w:pPr>
      <w:r>
        <w:rPr/>
        <w:drawing>
          <wp:anchor distT="0" distB="0" distL="0" distR="0" allowOverlap="1" layoutInCell="1" locked="0" behindDoc="1" simplePos="0" relativeHeight="268338935">
            <wp:simplePos x="0" y="0"/>
            <wp:positionH relativeFrom="page">
              <wp:posOffset>818388</wp:posOffset>
            </wp:positionH>
            <wp:positionV relativeFrom="paragraph">
              <wp:posOffset>427197</wp:posOffset>
            </wp:positionV>
            <wp:extent cx="2656332" cy="499871"/>
            <wp:effectExtent l="0" t="0" r="0" b="0"/>
            <wp:wrapNone/>
            <wp:docPr id="29" name="image76.png" descr=""/>
            <wp:cNvGraphicFramePr>
              <a:graphicFrameLocks noChangeAspect="1"/>
            </wp:cNvGraphicFramePr>
            <a:graphic>
              <a:graphicData uri="http://schemas.openxmlformats.org/drawingml/2006/picture">
                <pic:pic>
                  <pic:nvPicPr>
                    <pic:cNvPr id="30" name="image76.png"/>
                    <pic:cNvPicPr/>
                  </pic:nvPicPr>
                  <pic:blipFill>
                    <a:blip r:embed="rId110" cstate="print"/>
                    <a:stretch>
                      <a:fillRect/>
                    </a:stretch>
                  </pic:blipFill>
                  <pic:spPr>
                    <a:xfrm>
                      <a:off x="0" y="0"/>
                      <a:ext cx="2656332" cy="499871"/>
                    </a:xfrm>
                    <a:prstGeom prst="rect">
                      <a:avLst/>
                    </a:prstGeom>
                  </pic:spPr>
                </pic:pic>
              </a:graphicData>
            </a:graphic>
          </wp:anchor>
        </w:drawing>
      </w:r>
      <w:r>
        <w:rPr>
          <w:color w:val="6F2F9F"/>
          <w:sz w:val="72"/>
        </w:rPr>
        <w:t>PASO #2:</w:t>
      </w:r>
      <w:r>
        <w:rPr>
          <w:color w:val="6F2F9F"/>
          <w:spacing w:val="-104"/>
          <w:sz w:val="72"/>
        </w:rPr>
        <w:t> </w:t>
      </w:r>
      <w:r>
        <w:rPr/>
        <w:t>Elaboración de los enunciados fácticos, en este paso se establece</w:t>
      </w:r>
      <w:r>
        <w:rPr>
          <w:spacing w:val="-13"/>
        </w:rPr>
        <w:t> </w:t>
      </w:r>
      <w:r>
        <w:rPr/>
        <w:t>la</w:t>
      </w:r>
      <w:r>
        <w:rPr>
          <w:spacing w:val="-10"/>
        </w:rPr>
        <w:t> </w:t>
      </w:r>
      <w:r>
        <w:rPr/>
        <w:t>hipótesis</w:t>
      </w:r>
      <w:r>
        <w:rPr>
          <w:spacing w:val="-9"/>
        </w:rPr>
        <w:t> </w:t>
      </w:r>
      <w:r>
        <w:rPr/>
        <w:t>de</w:t>
      </w:r>
      <w:r>
        <w:rPr>
          <w:spacing w:val="-15"/>
        </w:rPr>
        <w:t> </w:t>
      </w:r>
      <w:r>
        <w:rPr/>
        <w:t>cómo</w:t>
      </w:r>
      <w:r>
        <w:rPr>
          <w:spacing w:val="-12"/>
        </w:rPr>
        <w:t> </w:t>
      </w:r>
      <w:r>
        <w:rPr/>
        <w:t>se</w:t>
      </w:r>
      <w:r>
        <w:rPr>
          <w:spacing w:val="-13"/>
        </w:rPr>
        <w:t> </w:t>
      </w:r>
      <w:r>
        <w:rPr/>
        <w:t>dieron</w:t>
      </w:r>
      <w:r>
        <w:rPr>
          <w:spacing w:val="-12"/>
        </w:rPr>
        <w:t> </w:t>
      </w:r>
      <w:r>
        <w:rPr/>
        <w:t>los</w:t>
      </w:r>
      <w:r>
        <w:rPr>
          <w:spacing w:val="-13"/>
        </w:rPr>
        <w:t> </w:t>
      </w:r>
      <w:r>
        <w:rPr/>
        <w:t>hechos,</w:t>
      </w:r>
      <w:r>
        <w:rPr>
          <w:spacing w:val="-12"/>
        </w:rPr>
        <w:t> </w:t>
      </w:r>
      <w:r>
        <w:rPr/>
        <w:t>debemos</w:t>
      </w:r>
      <w:r>
        <w:rPr>
          <w:spacing w:val="-12"/>
        </w:rPr>
        <w:t> </w:t>
      </w:r>
      <w:r>
        <w:rPr/>
        <w:t>tomar</w:t>
      </w:r>
      <w:r>
        <w:rPr>
          <w:spacing w:val="-12"/>
        </w:rPr>
        <w:t> </w:t>
      </w:r>
      <w:r>
        <w:rPr/>
        <w:t>en</w:t>
      </w:r>
      <w:r>
        <w:rPr>
          <w:spacing w:val="-13"/>
        </w:rPr>
        <w:t> </w:t>
      </w:r>
      <w:r>
        <w:rPr/>
        <w:t>consideración</w:t>
      </w:r>
      <w:r>
        <w:rPr>
          <w:spacing w:val="-10"/>
        </w:rPr>
        <w:t> </w:t>
      </w:r>
      <w:r>
        <w:rPr/>
        <w:t>sólo</w:t>
      </w:r>
    </w:p>
    <w:p>
      <w:pPr>
        <w:spacing w:after="0" w:line="388" w:lineRule="auto"/>
        <w:sectPr>
          <w:pgSz w:w="12240" w:h="15840"/>
          <w:pgMar w:header="0" w:footer="0" w:top="1500" w:bottom="1200" w:left="1180" w:right="1580"/>
        </w:sectPr>
      </w:pPr>
    </w:p>
    <w:p>
      <w:pPr>
        <w:pStyle w:val="BodyText"/>
        <w:rPr>
          <w:sz w:val="20"/>
        </w:rPr>
      </w:pPr>
    </w:p>
    <w:p>
      <w:pPr>
        <w:pStyle w:val="BodyText"/>
        <w:rPr>
          <w:sz w:val="20"/>
        </w:rPr>
      </w:pPr>
    </w:p>
    <w:p>
      <w:pPr>
        <w:pStyle w:val="BodyText"/>
        <w:rPr>
          <w:sz w:val="19"/>
        </w:rPr>
      </w:pPr>
    </w:p>
    <w:p>
      <w:pPr>
        <w:spacing w:after="0"/>
        <w:rPr>
          <w:sz w:val="19"/>
        </w:rPr>
        <w:sectPr>
          <w:pgSz w:w="12240" w:h="15840"/>
          <w:pgMar w:header="0" w:footer="0" w:top="260" w:bottom="180" w:left="380" w:right="1140"/>
        </w:sectPr>
      </w:pPr>
    </w:p>
    <w:p>
      <w:pPr>
        <w:pStyle w:val="Heading5"/>
        <w:jc w:val="both"/>
        <w:rPr>
          <w:b w:val="0"/>
        </w:rPr>
      </w:pPr>
      <w:r>
        <w:rPr/>
        <w:pict>
          <v:group style="position:absolute;margin-left:24.48pt;margin-top:12.6pt;width:201.75pt;height:766.8pt;mso-position-horizontal-relative:page;mso-position-vertical-relative:page;z-index:-96448" coordorigin="490,252" coordsize="4035,15336">
            <v:shape style="position:absolute;left:792;top:252;width:3732;height:15336" type="#_x0000_t75" stroked="false">
              <v:imagedata r:id="rId111" o:title=""/>
            </v:shape>
            <v:shape style="position:absolute;left:799;top:1699;width:3720;height:13596" type="#_x0000_t75" stroked="false">
              <v:imagedata r:id="rId112" o:title=""/>
            </v:shape>
            <v:rect style="position:absolute;left:490;top:252;width:298;height:14256" filled="true" fillcolor="#44536a" stroked="false">
              <v:fill type="solid"/>
            </v:rect>
            <v:shape style="position:absolute;left:490;top:814;width:3867;height:668" coordorigin="490,814" coordsize="3867,668" path="m4022,814l490,814,490,1481,4022,1481,4356,1147,4022,814xe" filled="true" fillcolor="#5b9bd4" stroked="false">
              <v:path arrowok="t"/>
              <v:fill type="solid"/>
            </v:shape>
            <v:shape style="position:absolute;left:499;top:823;width:3679;height:648" type="#_x0000_t75" stroked="false">
              <v:imagedata r:id="rId113" o:title=""/>
            </v:shape>
            <w10:wrap type="none"/>
          </v:group>
        </w:pict>
      </w:r>
      <w:r>
        <w:rPr>
          <w:b w:val="0"/>
          <w:color w:val="FFFFFF"/>
        </w:rPr>
        <w:t>EJEMPLO</w:t>
      </w:r>
    </w:p>
    <w:p>
      <w:pPr>
        <w:pStyle w:val="BodyText"/>
        <w:spacing w:before="2"/>
        <w:rPr>
          <w:rFonts w:ascii="Calibri Light"/>
          <w:b w:val="0"/>
          <w:sz w:val="32"/>
        </w:rPr>
      </w:pPr>
    </w:p>
    <w:p>
      <w:pPr>
        <w:pStyle w:val="Heading7"/>
        <w:spacing w:line="276" w:lineRule="auto"/>
        <w:ind w:left="707" w:right="5"/>
        <w:jc w:val="both"/>
        <w:rPr>
          <w:rFonts w:ascii="Calibri" w:hAnsi="Calibri"/>
        </w:rPr>
      </w:pPr>
      <w:r>
        <w:rPr>
          <w:rFonts w:ascii="Calibri" w:hAnsi="Calibri"/>
          <w:color w:val="585858"/>
        </w:rPr>
        <w:t>Para efectos del presente manual utilizaremos como ejemplo el siguiente caso a partir del cual elaboraremos nuestra Teoría del Caso:</w:t>
      </w:r>
    </w:p>
    <w:p>
      <w:pPr>
        <w:pStyle w:val="BodyText"/>
        <w:spacing w:line="276" w:lineRule="auto" w:before="198"/>
        <w:ind w:left="707"/>
        <w:jc w:val="both"/>
        <w:rPr>
          <w:rFonts w:ascii="Calibri" w:hAnsi="Calibri"/>
        </w:rPr>
      </w:pPr>
      <w:r>
        <w:rPr>
          <w:rFonts w:ascii="Calibri" w:hAnsi="Calibri"/>
          <w:color w:val="585858"/>
        </w:rPr>
        <w:t>El diecisiete de agosto del dos mil quince, en San Felipe del Progreso, Estado de México, en el domicilio conocido Ampliación La</w:t>
      </w:r>
      <w:r>
        <w:rPr>
          <w:rFonts w:ascii="Calibri" w:hAnsi="Calibri"/>
          <w:color w:val="585858"/>
          <w:spacing w:val="-37"/>
        </w:rPr>
        <w:t> </w:t>
      </w:r>
      <w:r>
        <w:rPr>
          <w:rFonts w:ascii="Calibri" w:hAnsi="Calibri"/>
          <w:color w:val="585858"/>
        </w:rPr>
        <w:t>Cienega. La señora María Cruz López de treinta y ocho años de edad, teniendo nueve meses de gestación, se encontraba en el patio de su casa escogiendo maíz, le dieron ganas de hacer del baño, y como el baño de</w:t>
      </w:r>
      <w:r>
        <w:rPr>
          <w:rFonts w:ascii="Calibri" w:hAnsi="Calibri"/>
          <w:color w:val="585858"/>
          <w:spacing w:val="-6"/>
        </w:rPr>
        <w:t> </w:t>
      </w:r>
      <w:r>
        <w:rPr>
          <w:rFonts w:ascii="Calibri" w:hAnsi="Calibri"/>
          <w:color w:val="585858"/>
        </w:rPr>
        <w:t>su</w:t>
      </w:r>
      <w:r>
        <w:rPr>
          <w:rFonts w:ascii="Calibri" w:hAnsi="Calibri"/>
          <w:color w:val="585858"/>
          <w:spacing w:val="-8"/>
        </w:rPr>
        <w:t> </w:t>
      </w:r>
      <w:r>
        <w:rPr>
          <w:rFonts w:ascii="Calibri" w:hAnsi="Calibri"/>
          <w:color w:val="585858"/>
        </w:rPr>
        <w:t>casa</w:t>
      </w:r>
      <w:r>
        <w:rPr>
          <w:rFonts w:ascii="Calibri" w:hAnsi="Calibri"/>
          <w:color w:val="585858"/>
          <w:spacing w:val="-9"/>
        </w:rPr>
        <w:t> </w:t>
      </w:r>
      <w:r>
        <w:rPr>
          <w:rFonts w:ascii="Calibri" w:hAnsi="Calibri"/>
          <w:color w:val="585858"/>
        </w:rPr>
        <w:t>estaba</w:t>
      </w:r>
      <w:r>
        <w:rPr>
          <w:rFonts w:ascii="Calibri" w:hAnsi="Calibri"/>
          <w:color w:val="585858"/>
          <w:spacing w:val="-10"/>
        </w:rPr>
        <w:t> </w:t>
      </w:r>
      <w:r>
        <w:rPr>
          <w:rFonts w:ascii="Calibri" w:hAnsi="Calibri"/>
          <w:color w:val="585858"/>
        </w:rPr>
        <w:t>ocupado</w:t>
      </w:r>
      <w:r>
        <w:rPr>
          <w:rFonts w:ascii="Calibri" w:hAnsi="Calibri"/>
          <w:color w:val="585858"/>
          <w:spacing w:val="-8"/>
        </w:rPr>
        <w:t> </w:t>
      </w:r>
      <w:r>
        <w:rPr>
          <w:rFonts w:ascii="Calibri" w:hAnsi="Calibri"/>
          <w:color w:val="585858"/>
        </w:rPr>
        <w:t>acudió</w:t>
      </w:r>
      <w:r>
        <w:rPr>
          <w:rFonts w:ascii="Calibri" w:hAnsi="Calibri"/>
          <w:color w:val="585858"/>
          <w:spacing w:val="-6"/>
        </w:rPr>
        <w:t> </w:t>
      </w:r>
      <w:r>
        <w:rPr>
          <w:rFonts w:ascii="Calibri" w:hAnsi="Calibri"/>
          <w:color w:val="585858"/>
        </w:rPr>
        <w:t>a la milpa, se sentó en cuclillas, en ese momento se dio cuenta de que se salió su bebé y como no lloró ni se movía pensó que había nacido muerto, por lo que decidió envolverlo con un suéter y lo enterró, sin embargo la fauna del lugar los sacó, los vecinos del lugar se percataron del cuerpo del bebé y dieron aviso a las autoridades, refiriendo que sospechaban de la señora Mará Cruz López porque la habían visto embarazada. El dictamen del médico legista señala que el recién nacido, falleció de traumatismo encefálico, y el cual realizó actividades vitales, ya que los pulmones al momento de la necropsia, aún se encontraban llenos de aire.</w:t>
      </w:r>
    </w:p>
    <w:p>
      <w:pPr>
        <w:pStyle w:val="BodyText"/>
        <w:spacing w:line="276" w:lineRule="auto" w:before="197"/>
        <w:ind w:left="707" w:right="4"/>
        <w:jc w:val="both"/>
        <w:rPr>
          <w:rFonts w:ascii="Calibri" w:hAnsi="Calibri"/>
        </w:rPr>
      </w:pPr>
      <w:r>
        <w:rPr>
          <w:rFonts w:ascii="Calibri" w:hAnsi="Calibri"/>
          <w:color w:val="585858"/>
        </w:rPr>
        <w:t>Posterior al hallazgo del cadáver y de la declaración de los testigos de cargo, se dicta la prisión</w:t>
      </w:r>
      <w:r>
        <w:rPr>
          <w:rFonts w:ascii="Calibri" w:hAnsi="Calibri"/>
          <w:color w:val="585858"/>
          <w:spacing w:val="-15"/>
        </w:rPr>
        <w:t> </w:t>
      </w:r>
      <w:r>
        <w:rPr>
          <w:rFonts w:ascii="Calibri" w:hAnsi="Calibri"/>
          <w:color w:val="585858"/>
        </w:rPr>
        <w:t>preventiva a María Cruz</w:t>
      </w:r>
      <w:r>
        <w:rPr>
          <w:rFonts w:ascii="Calibri" w:hAnsi="Calibri"/>
          <w:color w:val="585858"/>
          <w:spacing w:val="-5"/>
        </w:rPr>
        <w:t> </w:t>
      </w:r>
      <w:r>
        <w:rPr>
          <w:rFonts w:ascii="Calibri" w:hAnsi="Calibri"/>
          <w:color w:val="585858"/>
        </w:rPr>
        <w:t>López.</w:t>
      </w:r>
    </w:p>
    <w:p>
      <w:pPr>
        <w:pStyle w:val="BodyText"/>
        <w:rPr>
          <w:rFonts w:ascii="Calibri"/>
        </w:rPr>
      </w:pPr>
      <w:r>
        <w:rPr/>
        <w:br w:type="column"/>
      </w:r>
      <w:r>
        <w:rPr>
          <w:rFonts w:ascii="Calibri"/>
        </w:rPr>
      </w:r>
    </w:p>
    <w:p>
      <w:pPr>
        <w:pStyle w:val="BodyText"/>
        <w:spacing w:before="11"/>
        <w:rPr>
          <w:rFonts w:ascii="Calibri"/>
          <w:sz w:val="16"/>
        </w:rPr>
      </w:pPr>
    </w:p>
    <w:p>
      <w:pPr>
        <w:pStyle w:val="BodyText"/>
        <w:spacing w:line="360" w:lineRule="auto"/>
        <w:ind w:left="607" w:right="607"/>
        <w:jc w:val="both"/>
      </w:pPr>
      <w:r>
        <w:rPr/>
        <w:t>aquellos hechos que sean jurídicamente relevantes, aquellos que sean útiles para la Teoría Jurídica que se pretende acreditar.</w:t>
      </w:r>
    </w:p>
    <w:p>
      <w:pPr>
        <w:pStyle w:val="BodyText"/>
        <w:spacing w:before="10"/>
        <w:rPr>
          <w:sz w:val="17"/>
        </w:rPr>
      </w:pPr>
      <w:r>
        <w:rPr/>
        <w:pict>
          <v:group style="position:absolute;margin-left:239.625pt;margin-top:12.249416pt;width:309.75pt;height:381.05pt;mso-position-horizontal-relative:page;mso-position-vertical-relative:paragraph;z-index:5008;mso-wrap-distance-left:0;mso-wrap-distance-right:0" coordorigin="4793,245" coordsize="6195,7621">
            <v:shape style="position:absolute;left:4800;top:252;width:6180;height:7606" type="#_x0000_t75" stroked="false">
              <v:imagedata r:id="rId114" o:title=""/>
            </v:shape>
            <v:shape style="position:absolute;left:4800;top:252;width:6180;height:7606" type="#_x0000_t202" filled="false" stroked="true" strokeweight=".72pt" strokecolor="#000000">
              <v:textbox inset="0,0,0,0">
                <w:txbxContent>
                  <w:p>
                    <w:pPr>
                      <w:spacing w:line="360" w:lineRule="auto" w:before="70"/>
                      <w:ind w:left="145" w:right="188" w:firstLine="0"/>
                      <w:jc w:val="both"/>
                      <w:rPr>
                        <w:b/>
                        <w:sz w:val="24"/>
                      </w:rPr>
                    </w:pPr>
                    <w:r>
                      <w:rPr>
                        <w:b/>
                        <w:sz w:val="24"/>
                      </w:rPr>
                      <w:t>Los hechos podemos clasificarlos de la siguiente forma,</w:t>
                    </w:r>
                    <w:r>
                      <w:rPr>
                        <w:b/>
                        <w:spacing w:val="-10"/>
                        <w:sz w:val="24"/>
                      </w:rPr>
                      <w:t> </w:t>
                    </w:r>
                    <w:r>
                      <w:rPr>
                        <w:b/>
                        <w:sz w:val="24"/>
                      </w:rPr>
                      <w:t>los</w:t>
                    </w:r>
                    <w:r>
                      <w:rPr>
                        <w:b/>
                        <w:spacing w:val="-10"/>
                        <w:sz w:val="24"/>
                      </w:rPr>
                      <w:t> </w:t>
                    </w:r>
                    <w:r>
                      <w:rPr>
                        <w:b/>
                        <w:sz w:val="24"/>
                      </w:rPr>
                      <w:t>principales,</w:t>
                    </w:r>
                    <w:r>
                      <w:rPr>
                        <w:b/>
                        <w:spacing w:val="-10"/>
                        <w:sz w:val="24"/>
                      </w:rPr>
                      <w:t> </w:t>
                    </w:r>
                    <w:r>
                      <w:rPr>
                        <w:b/>
                        <w:sz w:val="24"/>
                      </w:rPr>
                      <w:t>que</w:t>
                    </w:r>
                    <w:r>
                      <w:rPr>
                        <w:b/>
                        <w:spacing w:val="-8"/>
                        <w:sz w:val="24"/>
                      </w:rPr>
                      <w:t> </w:t>
                    </w:r>
                    <w:r>
                      <w:rPr>
                        <w:b/>
                        <w:sz w:val="24"/>
                      </w:rPr>
                      <w:t>operan</w:t>
                    </w:r>
                    <w:r>
                      <w:rPr>
                        <w:b/>
                        <w:spacing w:val="-11"/>
                        <w:sz w:val="24"/>
                      </w:rPr>
                      <w:t> </w:t>
                    </w:r>
                    <w:r>
                      <w:rPr>
                        <w:b/>
                        <w:sz w:val="24"/>
                      </w:rPr>
                      <w:t>como</w:t>
                    </w:r>
                    <w:r>
                      <w:rPr>
                        <w:b/>
                        <w:spacing w:val="-11"/>
                        <w:sz w:val="24"/>
                      </w:rPr>
                      <w:t> </w:t>
                    </w:r>
                    <w:r>
                      <w:rPr>
                        <w:b/>
                        <w:sz w:val="24"/>
                      </w:rPr>
                      <w:t>supuestos de la decisión del Derecho, los hechos secundarios, no operan directamente como objeto de la decisión del Derecho, pero colaboran con el descubrimiento o la indiferencia de los hechos principales, y los irrelevantes jurídicamente (Benavente,</w:t>
                    </w:r>
                    <w:r>
                      <w:rPr>
                        <w:b/>
                        <w:spacing w:val="-13"/>
                        <w:sz w:val="24"/>
                      </w:rPr>
                      <w:t> </w:t>
                    </w:r>
                    <w:r>
                      <w:rPr>
                        <w:b/>
                        <w:sz w:val="24"/>
                      </w:rPr>
                      <w:t>2014a:110).</w:t>
                    </w:r>
                  </w:p>
                  <w:p>
                    <w:pPr>
                      <w:spacing w:line="360" w:lineRule="auto" w:before="202"/>
                      <w:ind w:left="145" w:right="185" w:firstLine="0"/>
                      <w:jc w:val="both"/>
                      <w:rPr>
                        <w:b/>
                        <w:sz w:val="24"/>
                      </w:rPr>
                    </w:pPr>
                    <w:r>
                      <w:rPr>
                        <w:b/>
                        <w:sz w:val="24"/>
                      </w:rPr>
                      <w:t>En ese sentido, la elaboración de un enunciado fáctico, es el resultado final del análisis de los hechos que giran en torno al caso concreto, es así que para llegar a los enunciados fácticos es necesario</w:t>
                    </w:r>
                    <w:r>
                      <w:rPr>
                        <w:b/>
                        <w:spacing w:val="-16"/>
                        <w:sz w:val="24"/>
                      </w:rPr>
                      <w:t> </w:t>
                    </w:r>
                    <w:r>
                      <w:rPr>
                        <w:b/>
                        <w:sz w:val="24"/>
                      </w:rPr>
                      <w:t>tomar</w:t>
                    </w:r>
                    <w:r>
                      <w:rPr>
                        <w:b/>
                        <w:spacing w:val="-16"/>
                        <w:sz w:val="24"/>
                      </w:rPr>
                      <w:t> </w:t>
                    </w:r>
                    <w:r>
                      <w:rPr>
                        <w:b/>
                        <w:sz w:val="24"/>
                      </w:rPr>
                      <w:t>en</w:t>
                    </w:r>
                    <w:r>
                      <w:rPr>
                        <w:b/>
                        <w:spacing w:val="-17"/>
                        <w:sz w:val="24"/>
                      </w:rPr>
                      <w:t> </w:t>
                    </w:r>
                    <w:r>
                      <w:rPr>
                        <w:b/>
                        <w:sz w:val="24"/>
                      </w:rPr>
                      <w:t>consideración</w:t>
                    </w:r>
                    <w:r>
                      <w:rPr>
                        <w:b/>
                        <w:spacing w:val="-16"/>
                        <w:sz w:val="24"/>
                      </w:rPr>
                      <w:t> </w:t>
                    </w:r>
                    <w:r>
                      <w:rPr>
                        <w:b/>
                        <w:sz w:val="24"/>
                      </w:rPr>
                      <w:t>las</w:t>
                    </w:r>
                    <w:r>
                      <w:rPr>
                        <w:b/>
                        <w:spacing w:val="-16"/>
                        <w:sz w:val="24"/>
                      </w:rPr>
                      <w:t> </w:t>
                    </w:r>
                    <w:r>
                      <w:rPr>
                        <w:b/>
                        <w:sz w:val="24"/>
                      </w:rPr>
                      <w:t>categorías</w:t>
                    </w:r>
                    <w:r>
                      <w:rPr>
                        <w:b/>
                        <w:spacing w:val="-16"/>
                        <w:sz w:val="24"/>
                      </w:rPr>
                      <w:t> </w:t>
                    </w:r>
                    <w:r>
                      <w:rPr>
                        <w:b/>
                        <w:sz w:val="24"/>
                      </w:rPr>
                      <w:t>de construcción establecidas por Herbest Benavente: construcción</w:t>
                    </w:r>
                    <w:r>
                      <w:rPr>
                        <w:b/>
                        <w:spacing w:val="-17"/>
                        <w:sz w:val="24"/>
                      </w:rPr>
                      <w:t> </w:t>
                    </w:r>
                    <w:r>
                      <w:rPr>
                        <w:b/>
                        <w:sz w:val="24"/>
                      </w:rPr>
                      <w:t>selectiva,</w:t>
                    </w:r>
                    <w:r>
                      <w:rPr>
                        <w:b/>
                        <w:spacing w:val="-17"/>
                        <w:sz w:val="24"/>
                      </w:rPr>
                      <w:t> </w:t>
                    </w:r>
                    <w:r>
                      <w:rPr>
                        <w:b/>
                        <w:sz w:val="24"/>
                      </w:rPr>
                      <w:t>construcción</w:t>
                    </w:r>
                    <w:r>
                      <w:rPr>
                        <w:b/>
                        <w:spacing w:val="-17"/>
                        <w:sz w:val="24"/>
                      </w:rPr>
                      <w:t> </w:t>
                    </w:r>
                    <w:r>
                      <w:rPr>
                        <w:b/>
                        <w:sz w:val="24"/>
                      </w:rPr>
                      <w:t>semántica</w:t>
                    </w:r>
                    <w:r>
                      <w:rPr>
                        <w:b/>
                        <w:spacing w:val="-17"/>
                        <w:sz w:val="24"/>
                      </w:rPr>
                      <w:t> </w:t>
                    </w:r>
                    <w:r>
                      <w:rPr>
                        <w:b/>
                        <w:sz w:val="24"/>
                      </w:rPr>
                      <w:t>del enunciado fáctico, construcción cultural y construcción social (Benavente, 2014a:</w:t>
                    </w:r>
                    <w:r>
                      <w:rPr>
                        <w:b/>
                        <w:spacing w:val="-18"/>
                        <w:sz w:val="24"/>
                      </w:rPr>
                      <w:t> </w:t>
                    </w:r>
                    <w:r>
                      <w:rPr>
                        <w:b/>
                        <w:sz w:val="24"/>
                      </w:rPr>
                      <w:t>115).</w:t>
                    </w:r>
                  </w:p>
                </w:txbxContent>
              </v:textbox>
              <w10:wrap type="none"/>
            </v:shape>
            <w10:wrap type="topAndBottom"/>
          </v:group>
        </w:pict>
      </w:r>
    </w:p>
    <w:p>
      <w:pPr>
        <w:pStyle w:val="BodyText"/>
      </w:pPr>
    </w:p>
    <w:p>
      <w:pPr>
        <w:pStyle w:val="BodyText"/>
      </w:pPr>
    </w:p>
    <w:p>
      <w:pPr>
        <w:pStyle w:val="BodyText"/>
        <w:spacing w:line="360" w:lineRule="auto" w:before="189"/>
        <w:ind w:left="607" w:right="602"/>
        <w:jc w:val="both"/>
      </w:pPr>
      <w:r>
        <w:rPr/>
        <w:t>En la determinación de nuestros enunciados fácticos, además de tomar en consideración los hechos propiamente relacionados con el delito, debemos realizar una investigación exhaustiva, profundizar en los hechos que van a ser objeto de investigación por parte del Ministerio Público, en ese sentido, se deberá determinar si</w:t>
      </w:r>
      <w:r>
        <w:rPr>
          <w:spacing w:val="-9"/>
        </w:rPr>
        <w:t> </w:t>
      </w:r>
      <w:r>
        <w:rPr/>
        <w:t>existió</w:t>
      </w:r>
      <w:r>
        <w:rPr>
          <w:spacing w:val="-8"/>
        </w:rPr>
        <w:t> </w:t>
      </w:r>
      <w:r>
        <w:rPr/>
        <w:t>algún</w:t>
      </w:r>
      <w:r>
        <w:rPr>
          <w:spacing w:val="-8"/>
        </w:rPr>
        <w:t> </w:t>
      </w:r>
      <w:r>
        <w:rPr/>
        <w:t>tipo</w:t>
      </w:r>
      <w:r>
        <w:rPr>
          <w:spacing w:val="-8"/>
        </w:rPr>
        <w:t> </w:t>
      </w:r>
      <w:r>
        <w:rPr/>
        <w:t>de</w:t>
      </w:r>
      <w:r>
        <w:rPr>
          <w:spacing w:val="-8"/>
        </w:rPr>
        <w:t> </w:t>
      </w:r>
      <w:r>
        <w:rPr/>
        <w:t>violencia</w:t>
      </w:r>
      <w:r>
        <w:rPr>
          <w:spacing w:val="-8"/>
        </w:rPr>
        <w:t> </w:t>
      </w:r>
      <w:r>
        <w:rPr/>
        <w:t>por</w:t>
      </w:r>
      <w:r>
        <w:rPr>
          <w:spacing w:val="-7"/>
        </w:rPr>
        <w:t> </w:t>
      </w:r>
      <w:r>
        <w:rPr/>
        <w:t>razones</w:t>
      </w:r>
      <w:r>
        <w:rPr>
          <w:spacing w:val="-8"/>
        </w:rPr>
        <w:t> </w:t>
      </w:r>
      <w:r>
        <w:rPr/>
        <w:t>de</w:t>
      </w:r>
      <w:r>
        <w:rPr>
          <w:spacing w:val="-8"/>
        </w:rPr>
        <w:t> </w:t>
      </w:r>
      <w:r>
        <w:rPr/>
        <w:t>género</w:t>
      </w:r>
      <w:r>
        <w:rPr>
          <w:spacing w:val="-8"/>
        </w:rPr>
        <w:t> </w:t>
      </w:r>
      <w:r>
        <w:rPr/>
        <w:t>en contra de la mujer indiciada, asimismo, si los esposos</w:t>
      </w:r>
      <w:r>
        <w:rPr>
          <w:spacing w:val="30"/>
        </w:rPr>
        <w:t> </w:t>
      </w:r>
      <w:r>
        <w:rPr/>
        <w:t>de</w:t>
      </w:r>
    </w:p>
    <w:p>
      <w:pPr>
        <w:spacing w:after="0" w:line="360" w:lineRule="auto"/>
        <w:jc w:val="both"/>
        <w:sectPr>
          <w:type w:val="continuous"/>
          <w:pgSz w:w="12240" w:h="15840"/>
          <w:pgMar w:top="1400" w:bottom="280" w:left="380" w:right="1140"/>
          <w:cols w:num="2" w:equalWidth="0">
            <w:col w:w="3863" w:space="40"/>
            <w:col w:w="6817"/>
          </w:cols>
        </w:sectPr>
      </w:pPr>
    </w:p>
    <w:p>
      <w:pPr>
        <w:pStyle w:val="BodyText"/>
        <w:rPr>
          <w:sz w:val="20"/>
        </w:rPr>
      </w:pPr>
    </w:p>
    <w:p>
      <w:pPr>
        <w:pStyle w:val="BodyText"/>
        <w:spacing w:before="11"/>
        <w:rPr>
          <w:sz w:val="29"/>
        </w:rPr>
      </w:pPr>
    </w:p>
    <w:p>
      <w:pPr>
        <w:spacing w:after="0"/>
        <w:rPr>
          <w:sz w:val="29"/>
        </w:rPr>
        <w:sectPr>
          <w:pgSz w:w="12240" w:h="15840"/>
          <w:pgMar w:header="0" w:footer="0" w:top="400" w:bottom="1200" w:left="380" w:right="1560"/>
        </w:sectPr>
      </w:pPr>
    </w:p>
    <w:p>
      <w:pPr>
        <w:pStyle w:val="Heading5"/>
        <w:jc w:val="both"/>
        <w:rPr>
          <w:b w:val="0"/>
        </w:rPr>
      </w:pPr>
      <w:r>
        <w:rPr/>
        <w:pict>
          <v:group style="position:absolute;margin-left:24.48pt;margin-top:19.799999pt;width:201.4pt;height:751.8pt;mso-position-horizontal-relative:page;mso-position-vertical-relative:page;z-index:-96304" coordorigin="490,396" coordsize="4028,15036">
            <v:shape style="position:absolute;left:787;top:396;width:3730;height:15036" type="#_x0000_t75" stroked="false">
              <v:imagedata r:id="rId115" o:title=""/>
            </v:shape>
            <v:shape style="position:absolute;left:792;top:1841;width:3720;height:13298" type="#_x0000_t75" stroked="false">
              <v:imagedata r:id="rId116" o:title=""/>
            </v:shape>
            <v:rect style="position:absolute;left:490;top:396;width:298;height:15036" filled="true" fillcolor="#44536a" stroked="false">
              <v:fill type="solid"/>
            </v:rect>
            <v:shape style="position:absolute;left:490;top:989;width:3864;height:701" coordorigin="490,989" coordsize="3864,701" path="m4003,989l490,989,490,1690,4003,1690,4354,1339,4003,989xe" filled="true" fillcolor="#5b9bd4" stroked="false">
              <v:path arrowok="t"/>
              <v:fill type="solid"/>
            </v:shape>
            <v:shape style="position:absolute;left:499;top:998;width:3667;height:682" type="#_x0000_t75" stroked="false">
              <v:imagedata r:id="rId117" o:title=""/>
            </v:shape>
            <w10:wrap type="none"/>
          </v:group>
        </w:pict>
      </w:r>
      <w:r>
        <w:rPr>
          <w:b w:val="0"/>
          <w:color w:val="FFFFFF"/>
        </w:rPr>
        <w:t>Elaboración de la Teoría</w:t>
      </w:r>
    </w:p>
    <w:p>
      <w:pPr>
        <w:spacing w:before="0"/>
        <w:ind w:left="695" w:right="0" w:firstLine="0"/>
        <w:jc w:val="both"/>
        <w:rPr>
          <w:rFonts w:ascii="Calibri Light"/>
          <w:b w:val="0"/>
          <w:sz w:val="26"/>
        </w:rPr>
      </w:pPr>
      <w:r>
        <w:rPr>
          <w:rFonts w:ascii="Calibri Light"/>
          <w:b w:val="0"/>
          <w:color w:val="FFFFFF"/>
          <w:sz w:val="26"/>
        </w:rPr>
        <w:t>del Caso</w:t>
      </w:r>
    </w:p>
    <w:p>
      <w:pPr>
        <w:spacing w:line="278" w:lineRule="auto" w:before="183"/>
        <w:ind w:left="700" w:right="4" w:firstLine="0"/>
        <w:jc w:val="both"/>
        <w:rPr>
          <w:rFonts w:ascii="Calibri" w:hAnsi="Calibri"/>
          <w:sz w:val="20"/>
        </w:rPr>
      </w:pPr>
      <w:r>
        <w:rPr>
          <w:rFonts w:ascii="Calibri" w:hAnsi="Calibri"/>
          <w:color w:val="585858"/>
          <w:sz w:val="20"/>
        </w:rPr>
        <w:t>Tomando en consideración los pasos establecidos para el caso concreto se siguen de la siguiente manera:</w:t>
      </w:r>
    </w:p>
    <w:p>
      <w:pPr>
        <w:pStyle w:val="BodyText"/>
        <w:spacing w:before="1"/>
        <w:rPr>
          <w:rFonts w:ascii="Calibri"/>
          <w:sz w:val="16"/>
        </w:rPr>
      </w:pPr>
    </w:p>
    <w:p>
      <w:pPr>
        <w:spacing w:before="0"/>
        <w:ind w:left="700" w:right="0" w:firstLine="0"/>
        <w:jc w:val="both"/>
        <w:rPr>
          <w:rFonts w:ascii="Calibri"/>
          <w:sz w:val="20"/>
        </w:rPr>
      </w:pPr>
      <w:r>
        <w:rPr>
          <w:rFonts w:ascii="Calibri"/>
          <w:color w:val="585858"/>
          <w:sz w:val="20"/>
        </w:rPr>
        <w:t>PASO #1:</w:t>
      </w:r>
    </w:p>
    <w:p>
      <w:pPr>
        <w:pStyle w:val="BodyText"/>
        <w:spacing w:before="3"/>
        <w:rPr>
          <w:rFonts w:ascii="Calibri"/>
          <w:sz w:val="19"/>
        </w:rPr>
      </w:pPr>
    </w:p>
    <w:p>
      <w:pPr>
        <w:spacing w:line="276" w:lineRule="auto" w:before="1"/>
        <w:ind w:left="700" w:right="1" w:firstLine="0"/>
        <w:jc w:val="both"/>
        <w:rPr>
          <w:rFonts w:ascii="Calibri" w:hAnsi="Calibri"/>
          <w:sz w:val="20"/>
        </w:rPr>
      </w:pPr>
      <w:r>
        <w:rPr>
          <w:rFonts w:ascii="Calibri" w:hAnsi="Calibri"/>
          <w:color w:val="585858"/>
          <w:sz w:val="20"/>
        </w:rPr>
        <w:t>Generales de María Cruz López: 38 años de edad, casada, sin estudios, religión católica, ama de casa, tiene cuatro hijos de 12, 9, 7 y 3 años de edad.</w:t>
      </w:r>
    </w:p>
    <w:p>
      <w:pPr>
        <w:pStyle w:val="BodyText"/>
        <w:spacing w:before="1"/>
        <w:rPr>
          <w:rFonts w:ascii="Calibri"/>
          <w:sz w:val="16"/>
        </w:rPr>
      </w:pPr>
    </w:p>
    <w:p>
      <w:pPr>
        <w:spacing w:line="276" w:lineRule="auto" w:before="0"/>
        <w:ind w:left="700" w:right="0" w:firstLine="0"/>
        <w:jc w:val="both"/>
        <w:rPr>
          <w:rFonts w:ascii="Calibri" w:hAnsi="Calibri"/>
          <w:sz w:val="20"/>
        </w:rPr>
      </w:pPr>
      <w:r>
        <w:rPr>
          <w:rFonts w:ascii="Calibri" w:hAnsi="Calibri"/>
          <w:color w:val="585858"/>
          <w:sz w:val="20"/>
        </w:rPr>
        <w:t>En el caso de María Cruz López, encontramos una conducta que puede ser constitutiva de delito de Homicidio por razón de parentesco, toda vez que el</w:t>
      </w:r>
      <w:r>
        <w:rPr>
          <w:rFonts w:ascii="Calibri" w:hAnsi="Calibri"/>
          <w:color w:val="585858"/>
          <w:spacing w:val="-13"/>
          <w:sz w:val="20"/>
        </w:rPr>
        <w:t> </w:t>
      </w:r>
      <w:r>
        <w:rPr>
          <w:rFonts w:ascii="Calibri" w:hAnsi="Calibri"/>
          <w:color w:val="585858"/>
          <w:sz w:val="20"/>
        </w:rPr>
        <w:t>bebé</w:t>
      </w:r>
      <w:r>
        <w:rPr>
          <w:rFonts w:ascii="Calibri" w:hAnsi="Calibri"/>
          <w:color w:val="585858"/>
          <w:spacing w:val="-13"/>
          <w:sz w:val="20"/>
        </w:rPr>
        <w:t> </w:t>
      </w:r>
      <w:r>
        <w:rPr>
          <w:rFonts w:ascii="Calibri" w:hAnsi="Calibri"/>
          <w:color w:val="585858"/>
          <w:sz w:val="20"/>
        </w:rPr>
        <w:t>realizó</w:t>
      </w:r>
      <w:r>
        <w:rPr>
          <w:rFonts w:ascii="Calibri" w:hAnsi="Calibri"/>
          <w:color w:val="585858"/>
          <w:spacing w:val="-12"/>
          <w:sz w:val="20"/>
        </w:rPr>
        <w:t> </w:t>
      </w:r>
      <w:r>
        <w:rPr>
          <w:rFonts w:ascii="Calibri" w:hAnsi="Calibri"/>
          <w:color w:val="585858"/>
          <w:sz w:val="20"/>
        </w:rPr>
        <w:t>funciones</w:t>
      </w:r>
      <w:r>
        <w:rPr>
          <w:rFonts w:ascii="Calibri" w:hAnsi="Calibri"/>
          <w:color w:val="585858"/>
          <w:spacing w:val="-14"/>
          <w:sz w:val="20"/>
        </w:rPr>
        <w:t> </w:t>
      </w:r>
      <w:r>
        <w:rPr>
          <w:rFonts w:ascii="Calibri" w:hAnsi="Calibri"/>
          <w:color w:val="585858"/>
          <w:sz w:val="20"/>
        </w:rPr>
        <w:t>vitales,</w:t>
      </w:r>
      <w:r>
        <w:rPr>
          <w:rFonts w:ascii="Calibri" w:hAnsi="Calibri"/>
          <w:color w:val="585858"/>
          <w:spacing w:val="-12"/>
          <w:sz w:val="20"/>
        </w:rPr>
        <w:t> </w:t>
      </w:r>
      <w:r>
        <w:rPr>
          <w:rFonts w:ascii="Calibri" w:hAnsi="Calibri"/>
          <w:color w:val="585858"/>
          <w:sz w:val="20"/>
        </w:rPr>
        <w:t>el</w:t>
      </w:r>
      <w:r>
        <w:rPr>
          <w:rFonts w:ascii="Calibri" w:hAnsi="Calibri"/>
          <w:color w:val="585858"/>
          <w:spacing w:val="-13"/>
          <w:sz w:val="20"/>
        </w:rPr>
        <w:t> </w:t>
      </w:r>
      <w:r>
        <w:rPr>
          <w:rFonts w:ascii="Calibri" w:hAnsi="Calibri"/>
          <w:color w:val="585858"/>
          <w:sz w:val="20"/>
        </w:rPr>
        <w:t>cual falleció por traumatismo encefálico que</w:t>
      </w:r>
      <w:r>
        <w:rPr>
          <w:rFonts w:ascii="Calibri" w:hAnsi="Calibri"/>
          <w:color w:val="585858"/>
          <w:spacing w:val="-7"/>
          <w:sz w:val="20"/>
        </w:rPr>
        <w:t> </w:t>
      </w:r>
      <w:r>
        <w:rPr>
          <w:rFonts w:ascii="Calibri" w:hAnsi="Calibri"/>
          <w:color w:val="585858"/>
          <w:sz w:val="20"/>
        </w:rPr>
        <w:t>sufrió</w:t>
      </w:r>
      <w:r>
        <w:rPr>
          <w:rFonts w:ascii="Calibri" w:hAnsi="Calibri"/>
          <w:color w:val="585858"/>
          <w:spacing w:val="-6"/>
          <w:sz w:val="20"/>
        </w:rPr>
        <w:t> </w:t>
      </w:r>
      <w:r>
        <w:rPr>
          <w:rFonts w:ascii="Calibri" w:hAnsi="Calibri"/>
          <w:color w:val="585858"/>
          <w:sz w:val="20"/>
        </w:rPr>
        <w:t>al</w:t>
      </w:r>
      <w:r>
        <w:rPr>
          <w:rFonts w:ascii="Calibri" w:hAnsi="Calibri"/>
          <w:color w:val="585858"/>
          <w:spacing w:val="-6"/>
          <w:sz w:val="20"/>
        </w:rPr>
        <w:t> </w:t>
      </w:r>
      <w:r>
        <w:rPr>
          <w:rFonts w:ascii="Calibri" w:hAnsi="Calibri"/>
          <w:color w:val="585858"/>
          <w:sz w:val="20"/>
        </w:rPr>
        <w:t>momento</w:t>
      </w:r>
      <w:r>
        <w:rPr>
          <w:rFonts w:ascii="Calibri" w:hAnsi="Calibri"/>
          <w:color w:val="585858"/>
          <w:spacing w:val="-6"/>
          <w:sz w:val="20"/>
        </w:rPr>
        <w:t> </w:t>
      </w:r>
      <w:r>
        <w:rPr>
          <w:rFonts w:ascii="Calibri" w:hAnsi="Calibri"/>
          <w:color w:val="585858"/>
          <w:sz w:val="20"/>
        </w:rPr>
        <w:t>de</w:t>
      </w:r>
      <w:r>
        <w:rPr>
          <w:rFonts w:ascii="Calibri" w:hAnsi="Calibri"/>
          <w:color w:val="585858"/>
          <w:spacing w:val="-7"/>
          <w:sz w:val="20"/>
        </w:rPr>
        <w:t> </w:t>
      </w:r>
      <w:r>
        <w:rPr>
          <w:rFonts w:ascii="Calibri" w:hAnsi="Calibri"/>
          <w:color w:val="585858"/>
          <w:sz w:val="20"/>
        </w:rPr>
        <w:t>la</w:t>
      </w:r>
      <w:r>
        <w:rPr>
          <w:rFonts w:ascii="Calibri" w:hAnsi="Calibri"/>
          <w:color w:val="585858"/>
          <w:spacing w:val="-6"/>
          <w:sz w:val="20"/>
        </w:rPr>
        <w:t> </w:t>
      </w:r>
      <w:r>
        <w:rPr>
          <w:rFonts w:ascii="Calibri" w:hAnsi="Calibri"/>
          <w:color w:val="585858"/>
          <w:sz w:val="20"/>
        </w:rPr>
        <w:t>expulsión.</w:t>
      </w:r>
    </w:p>
    <w:p>
      <w:pPr>
        <w:pStyle w:val="BodyText"/>
        <w:spacing w:before="1"/>
        <w:rPr>
          <w:rFonts w:ascii="Calibri"/>
          <w:sz w:val="16"/>
        </w:rPr>
      </w:pPr>
    </w:p>
    <w:p>
      <w:pPr>
        <w:spacing w:line="276" w:lineRule="auto" w:before="1"/>
        <w:ind w:left="700" w:right="1" w:firstLine="0"/>
        <w:jc w:val="both"/>
        <w:rPr>
          <w:rFonts w:ascii="Calibri" w:hAnsi="Calibri"/>
          <w:sz w:val="20"/>
        </w:rPr>
      </w:pPr>
      <w:r>
        <w:rPr>
          <w:rFonts w:ascii="Calibri" w:hAnsi="Calibri"/>
          <w:color w:val="585858"/>
          <w:sz w:val="20"/>
        </w:rPr>
        <w:t>Nuestra defendida María Cruz López, aparece como sujeto activo, tenía nueve meses de embarazo, se encontraba escogiendo maíz, le</w:t>
      </w:r>
      <w:r>
        <w:rPr>
          <w:rFonts w:ascii="Calibri" w:hAnsi="Calibri"/>
          <w:color w:val="585858"/>
          <w:spacing w:val="-11"/>
          <w:sz w:val="20"/>
        </w:rPr>
        <w:t> </w:t>
      </w:r>
      <w:r>
        <w:rPr>
          <w:rFonts w:ascii="Calibri" w:hAnsi="Calibri"/>
          <w:color w:val="585858"/>
          <w:sz w:val="20"/>
        </w:rPr>
        <w:t>dieron ganas de ir al baño y como el baño de su casa estaba ocupado acudió a una milpa a diez metros de su casa, es cuando</w:t>
      </w:r>
      <w:r>
        <w:rPr>
          <w:rFonts w:ascii="Calibri" w:hAnsi="Calibri"/>
          <w:color w:val="585858"/>
          <w:spacing w:val="-9"/>
          <w:sz w:val="20"/>
        </w:rPr>
        <w:t> </w:t>
      </w:r>
      <w:r>
        <w:rPr>
          <w:rFonts w:ascii="Calibri" w:hAnsi="Calibri"/>
          <w:color w:val="585858"/>
          <w:sz w:val="20"/>
        </w:rPr>
        <w:t>sintió</w:t>
      </w:r>
      <w:r>
        <w:rPr>
          <w:rFonts w:ascii="Calibri" w:hAnsi="Calibri"/>
          <w:color w:val="585858"/>
          <w:spacing w:val="-9"/>
          <w:sz w:val="20"/>
        </w:rPr>
        <w:t> </w:t>
      </w:r>
      <w:r>
        <w:rPr>
          <w:rFonts w:ascii="Calibri" w:hAnsi="Calibri"/>
          <w:color w:val="585858"/>
          <w:sz w:val="20"/>
        </w:rPr>
        <w:t>que</w:t>
      </w:r>
      <w:r>
        <w:rPr>
          <w:rFonts w:ascii="Calibri" w:hAnsi="Calibri"/>
          <w:color w:val="585858"/>
          <w:spacing w:val="-10"/>
          <w:sz w:val="20"/>
        </w:rPr>
        <w:t> </w:t>
      </w:r>
      <w:r>
        <w:rPr>
          <w:rFonts w:ascii="Calibri" w:hAnsi="Calibri"/>
          <w:color w:val="585858"/>
          <w:sz w:val="20"/>
        </w:rPr>
        <w:t>se</w:t>
      </w:r>
      <w:r>
        <w:rPr>
          <w:rFonts w:ascii="Calibri" w:hAnsi="Calibri"/>
          <w:color w:val="585858"/>
          <w:spacing w:val="-10"/>
          <w:sz w:val="20"/>
        </w:rPr>
        <w:t> </w:t>
      </w:r>
      <w:r>
        <w:rPr>
          <w:rFonts w:ascii="Calibri" w:hAnsi="Calibri"/>
          <w:color w:val="585858"/>
          <w:sz w:val="20"/>
        </w:rPr>
        <w:t>le</w:t>
      </w:r>
      <w:r>
        <w:rPr>
          <w:rFonts w:ascii="Calibri" w:hAnsi="Calibri"/>
          <w:color w:val="585858"/>
          <w:spacing w:val="-10"/>
          <w:sz w:val="20"/>
        </w:rPr>
        <w:t> </w:t>
      </w:r>
      <w:r>
        <w:rPr>
          <w:rFonts w:ascii="Calibri" w:hAnsi="Calibri"/>
          <w:color w:val="585858"/>
          <w:sz w:val="20"/>
        </w:rPr>
        <w:t>salió</w:t>
      </w:r>
      <w:r>
        <w:rPr>
          <w:rFonts w:ascii="Calibri" w:hAnsi="Calibri"/>
          <w:color w:val="585858"/>
          <w:spacing w:val="-6"/>
          <w:sz w:val="20"/>
        </w:rPr>
        <w:t> </w:t>
      </w:r>
      <w:r>
        <w:rPr>
          <w:rFonts w:ascii="Calibri" w:hAnsi="Calibri"/>
          <w:color w:val="585858"/>
          <w:sz w:val="20"/>
        </w:rPr>
        <w:t>su</w:t>
      </w:r>
      <w:r>
        <w:rPr>
          <w:rFonts w:ascii="Calibri" w:hAnsi="Calibri"/>
          <w:color w:val="585858"/>
          <w:spacing w:val="-9"/>
          <w:sz w:val="20"/>
        </w:rPr>
        <w:t> </w:t>
      </w:r>
      <w:r>
        <w:rPr>
          <w:rFonts w:ascii="Calibri" w:hAnsi="Calibri"/>
          <w:color w:val="585858"/>
          <w:sz w:val="20"/>
        </w:rPr>
        <w:t>bebé,</w:t>
      </w:r>
      <w:r>
        <w:rPr>
          <w:rFonts w:ascii="Calibri" w:hAnsi="Calibri"/>
          <w:color w:val="585858"/>
          <w:spacing w:val="-9"/>
          <w:sz w:val="20"/>
        </w:rPr>
        <w:t> </w:t>
      </w:r>
      <w:r>
        <w:rPr>
          <w:rFonts w:ascii="Calibri" w:hAnsi="Calibri"/>
          <w:color w:val="585858"/>
          <w:sz w:val="20"/>
        </w:rPr>
        <w:t>al ver que no se movía ni lloraba lo envolvió en un suéter y lo</w:t>
      </w:r>
      <w:r>
        <w:rPr>
          <w:rFonts w:ascii="Calibri" w:hAnsi="Calibri"/>
          <w:color w:val="585858"/>
          <w:spacing w:val="-12"/>
          <w:sz w:val="20"/>
        </w:rPr>
        <w:t> </w:t>
      </w:r>
      <w:r>
        <w:rPr>
          <w:rFonts w:ascii="Calibri" w:hAnsi="Calibri"/>
          <w:color w:val="585858"/>
          <w:sz w:val="20"/>
        </w:rPr>
        <w:t>enterró.</w:t>
      </w:r>
    </w:p>
    <w:p>
      <w:pPr>
        <w:pStyle w:val="BodyText"/>
        <w:spacing w:before="2"/>
        <w:rPr>
          <w:rFonts w:ascii="Calibri"/>
          <w:sz w:val="16"/>
        </w:rPr>
      </w:pPr>
    </w:p>
    <w:p>
      <w:pPr>
        <w:spacing w:line="276" w:lineRule="auto" w:before="0"/>
        <w:ind w:left="700" w:right="0" w:firstLine="0"/>
        <w:jc w:val="both"/>
        <w:rPr>
          <w:rFonts w:ascii="Calibri" w:hAnsi="Calibri"/>
          <w:sz w:val="20"/>
        </w:rPr>
      </w:pPr>
      <w:r>
        <w:rPr>
          <w:rFonts w:ascii="Calibri" w:hAnsi="Calibri"/>
          <w:color w:val="585858"/>
          <w:sz w:val="20"/>
        </w:rPr>
        <w:t>La pena por el delito de Homicidio por razón de parentesco es de cuarenta a sesenta años de prisión o prisión vitalicia y de setecientos a cinco mil días</w:t>
      </w:r>
      <w:r>
        <w:rPr>
          <w:rFonts w:ascii="Calibri" w:hAnsi="Calibri"/>
          <w:color w:val="585858"/>
          <w:spacing w:val="-8"/>
          <w:sz w:val="20"/>
        </w:rPr>
        <w:t> </w:t>
      </w:r>
      <w:r>
        <w:rPr>
          <w:rFonts w:ascii="Calibri" w:hAnsi="Calibri"/>
          <w:color w:val="585858"/>
          <w:sz w:val="20"/>
        </w:rPr>
        <w:t>de</w:t>
      </w:r>
      <w:r>
        <w:rPr>
          <w:rFonts w:ascii="Calibri" w:hAnsi="Calibri"/>
          <w:color w:val="585858"/>
          <w:spacing w:val="-5"/>
          <w:sz w:val="20"/>
        </w:rPr>
        <w:t> </w:t>
      </w:r>
      <w:r>
        <w:rPr>
          <w:rFonts w:ascii="Calibri" w:hAnsi="Calibri"/>
          <w:color w:val="585858"/>
          <w:sz w:val="20"/>
        </w:rPr>
        <w:t>multa,</w:t>
      </w:r>
      <w:r>
        <w:rPr>
          <w:rFonts w:ascii="Calibri" w:hAnsi="Calibri"/>
          <w:color w:val="585858"/>
          <w:spacing w:val="-6"/>
          <w:sz w:val="20"/>
        </w:rPr>
        <w:t> </w:t>
      </w:r>
      <w:r>
        <w:rPr>
          <w:rFonts w:ascii="Calibri" w:hAnsi="Calibri"/>
          <w:color w:val="585858"/>
          <w:sz w:val="20"/>
        </w:rPr>
        <w:t>esto</w:t>
      </w:r>
      <w:r>
        <w:rPr>
          <w:rFonts w:ascii="Calibri" w:hAnsi="Calibri"/>
          <w:color w:val="585858"/>
          <w:spacing w:val="-4"/>
          <w:sz w:val="20"/>
        </w:rPr>
        <w:t> </w:t>
      </w:r>
      <w:r>
        <w:rPr>
          <w:rFonts w:ascii="Calibri" w:hAnsi="Calibri"/>
          <w:color w:val="585858"/>
          <w:sz w:val="20"/>
        </w:rPr>
        <w:t>según</w:t>
      </w:r>
      <w:r>
        <w:rPr>
          <w:rFonts w:ascii="Calibri" w:hAnsi="Calibri"/>
          <w:color w:val="585858"/>
          <w:spacing w:val="-4"/>
          <w:sz w:val="20"/>
        </w:rPr>
        <w:t> </w:t>
      </w:r>
      <w:r>
        <w:rPr>
          <w:rFonts w:ascii="Calibri" w:hAnsi="Calibri"/>
          <w:color w:val="585858"/>
          <w:sz w:val="20"/>
        </w:rPr>
        <w:t>el</w:t>
      </w:r>
      <w:r>
        <w:rPr>
          <w:rFonts w:ascii="Calibri" w:hAnsi="Calibri"/>
          <w:color w:val="585858"/>
          <w:spacing w:val="-7"/>
          <w:sz w:val="20"/>
        </w:rPr>
        <w:t> </w:t>
      </w:r>
      <w:r>
        <w:rPr>
          <w:rFonts w:ascii="Calibri" w:hAnsi="Calibri"/>
          <w:color w:val="585858"/>
          <w:sz w:val="20"/>
        </w:rPr>
        <w:t>artículo</w:t>
      </w:r>
      <w:r>
        <w:rPr>
          <w:rFonts w:ascii="Calibri" w:hAnsi="Calibri"/>
          <w:color w:val="585858"/>
          <w:spacing w:val="-7"/>
          <w:sz w:val="20"/>
        </w:rPr>
        <w:t> </w:t>
      </w:r>
      <w:r>
        <w:rPr>
          <w:rFonts w:ascii="Calibri" w:hAnsi="Calibri"/>
          <w:color w:val="585858"/>
          <w:sz w:val="20"/>
        </w:rPr>
        <w:t>42 fracción III del Código Penal del Estado de</w:t>
      </w:r>
      <w:r>
        <w:rPr>
          <w:rFonts w:ascii="Calibri" w:hAnsi="Calibri"/>
          <w:color w:val="585858"/>
          <w:spacing w:val="-11"/>
          <w:sz w:val="20"/>
        </w:rPr>
        <w:t> </w:t>
      </w:r>
      <w:r>
        <w:rPr>
          <w:rFonts w:ascii="Calibri" w:hAnsi="Calibri"/>
          <w:color w:val="585858"/>
          <w:sz w:val="20"/>
        </w:rPr>
        <w:t>México.</w:t>
      </w:r>
    </w:p>
    <w:p>
      <w:pPr>
        <w:pStyle w:val="BodyText"/>
        <w:rPr>
          <w:rFonts w:ascii="Calibri"/>
        </w:rPr>
      </w:pPr>
      <w:r>
        <w:rPr/>
        <w:br w:type="column"/>
      </w:r>
      <w:r>
        <w:rPr>
          <w:rFonts w:ascii="Calibri"/>
        </w:rPr>
      </w:r>
    </w:p>
    <w:p>
      <w:pPr>
        <w:pStyle w:val="BodyText"/>
        <w:spacing w:line="360" w:lineRule="auto" w:before="171"/>
        <w:ind w:left="623" w:right="186"/>
        <w:jc w:val="both"/>
      </w:pPr>
      <w:r>
        <w:rPr/>
        <w:t>la indiciadas las han inducido a la comisión del delito, así como, el contexto sociocultural en el que se dieron hechos, para que podamos determinar si existen relaciones de poder entre los géneros, que hayan podido influir en la comisión de la conducta delictiva, lo cual es necesario que forme parte de la estrategia de defensa.</w:t>
      </w:r>
    </w:p>
    <w:p>
      <w:pPr>
        <w:pStyle w:val="BodyText"/>
        <w:spacing w:before="7"/>
        <w:rPr>
          <w:sz w:val="17"/>
        </w:rPr>
      </w:pPr>
    </w:p>
    <w:p>
      <w:pPr>
        <w:pStyle w:val="BodyText"/>
        <w:spacing w:line="360" w:lineRule="auto"/>
        <w:ind w:left="623" w:right="185"/>
        <w:jc w:val="both"/>
      </w:pPr>
      <w:r>
        <w:rPr/>
        <w:t>Al</w:t>
      </w:r>
      <w:r>
        <w:rPr>
          <w:spacing w:val="-13"/>
        </w:rPr>
        <w:t> </w:t>
      </w:r>
      <w:r>
        <w:rPr/>
        <w:t>respecto,</w:t>
      </w:r>
      <w:r>
        <w:rPr>
          <w:spacing w:val="-14"/>
        </w:rPr>
        <w:t> </w:t>
      </w:r>
      <w:r>
        <w:rPr/>
        <w:t>debemos</w:t>
      </w:r>
      <w:r>
        <w:rPr>
          <w:spacing w:val="-12"/>
        </w:rPr>
        <w:t> </w:t>
      </w:r>
      <w:r>
        <w:rPr/>
        <w:t>investigar</w:t>
      </w:r>
      <w:r>
        <w:rPr>
          <w:spacing w:val="-12"/>
        </w:rPr>
        <w:t> </w:t>
      </w:r>
      <w:r>
        <w:rPr/>
        <w:t>a</w:t>
      </w:r>
      <w:r>
        <w:rPr>
          <w:spacing w:val="-15"/>
        </w:rPr>
        <w:t> </w:t>
      </w:r>
      <w:r>
        <w:rPr/>
        <w:t>fondo</w:t>
      </w:r>
      <w:r>
        <w:rPr>
          <w:spacing w:val="-11"/>
        </w:rPr>
        <w:t> </w:t>
      </w:r>
      <w:r>
        <w:rPr/>
        <w:t>la</w:t>
      </w:r>
      <w:r>
        <w:rPr>
          <w:spacing w:val="-12"/>
        </w:rPr>
        <w:t> </w:t>
      </w:r>
      <w:r>
        <w:rPr/>
        <w:t>historia</w:t>
      </w:r>
      <w:r>
        <w:rPr>
          <w:spacing w:val="-16"/>
        </w:rPr>
        <w:t> </w:t>
      </w:r>
      <w:r>
        <w:rPr/>
        <w:t>de</w:t>
      </w:r>
      <w:r>
        <w:rPr>
          <w:spacing w:val="-13"/>
        </w:rPr>
        <w:t> </w:t>
      </w:r>
      <w:r>
        <w:rPr/>
        <w:t>vida de la indiciada a la que representaremos, recopilando toda la información útil para nuestra defensa, que</w:t>
      </w:r>
      <w:r>
        <w:rPr>
          <w:spacing w:val="-40"/>
        </w:rPr>
        <w:t> </w:t>
      </w:r>
      <w:r>
        <w:rPr/>
        <w:t>permita tener un contexto más amplio que apoye el desarrollo de nuestra teoría del</w:t>
      </w:r>
      <w:r>
        <w:rPr>
          <w:spacing w:val="-4"/>
        </w:rPr>
        <w:t> </w:t>
      </w:r>
      <w:r>
        <w:rPr/>
        <w:t>caso.</w:t>
      </w:r>
    </w:p>
    <w:p>
      <w:pPr>
        <w:pStyle w:val="BodyText"/>
        <w:spacing w:before="7"/>
        <w:rPr>
          <w:sz w:val="17"/>
        </w:rPr>
      </w:pPr>
    </w:p>
    <w:p>
      <w:pPr>
        <w:pStyle w:val="BodyText"/>
        <w:spacing w:line="360" w:lineRule="auto"/>
        <w:ind w:left="623" w:right="184"/>
        <w:jc w:val="both"/>
        <w:rPr>
          <w:sz w:val="24"/>
        </w:rPr>
      </w:pPr>
      <w:r>
        <w:rPr/>
        <w:t>Los hechos que obtengamos y tengan que ver con la discriminación sexual de las mujeres indiciadas</w:t>
      </w:r>
      <w:r>
        <w:rPr>
          <w:sz w:val="24"/>
        </w:rPr>
        <w:t>, </w:t>
      </w:r>
      <w:r>
        <w:rPr/>
        <w:t>constituirán hechos secundarios, según la tipología     </w:t>
      </w:r>
      <w:r>
        <w:rPr>
          <w:sz w:val="24"/>
        </w:rPr>
        <w:t>de</w:t>
      </w:r>
    </w:p>
    <w:p>
      <w:pPr>
        <w:pStyle w:val="BodyText"/>
        <w:spacing w:before="11"/>
      </w:pPr>
      <w:r>
        <w:rPr/>
        <w:pict>
          <v:group style="position:absolute;margin-left:244.184998pt;margin-top:15.168894pt;width:284.2pt;height:304.5pt;mso-position-horizontal-relative:page;mso-position-vertical-relative:paragraph;z-index:5152;mso-wrap-distance-left:0;mso-wrap-distance-right:0" coordorigin="4884,303" coordsize="5684,6090">
            <v:shape style="position:absolute;left:4891;top:311;width:5669;height:6074" type="#_x0000_t75" stroked="false">
              <v:imagedata r:id="rId118" o:title=""/>
            </v:shape>
            <v:rect style="position:absolute;left:4891;top:311;width:5669;height:6074" filled="false" stroked="true" strokeweight=".72pt" strokecolor="#000000"/>
            <v:shape style="position:absolute;left:5207;top:432;width:5033;height:531" type="#_x0000_t202" filled="false" stroked="false">
              <v:textbox inset="0,0,0,0">
                <w:txbxContent>
                  <w:p>
                    <w:pPr>
                      <w:spacing w:line="225" w:lineRule="exact" w:before="0"/>
                      <w:ind w:left="-1" w:right="0" w:firstLine="0"/>
                      <w:jc w:val="center"/>
                      <w:rPr>
                        <w:rFonts w:ascii="Calibri"/>
                        <w:b/>
                        <w:sz w:val="22"/>
                      </w:rPr>
                    </w:pPr>
                    <w:r>
                      <w:rPr>
                        <w:rFonts w:ascii="Calibri"/>
                        <w:b/>
                        <w:sz w:val="22"/>
                      </w:rPr>
                      <w:t>MANIFESTACIONES Y ESCENARIOS DE LA VIOLENCIA</w:t>
                    </w:r>
                    <w:r>
                      <w:rPr>
                        <w:rFonts w:ascii="Calibri"/>
                        <w:b/>
                        <w:spacing w:val="-24"/>
                        <w:sz w:val="22"/>
                      </w:rPr>
                      <w:t> </w:t>
                    </w:r>
                    <w:r>
                      <w:rPr>
                        <w:rFonts w:ascii="Calibri"/>
                        <w:b/>
                        <w:sz w:val="22"/>
                      </w:rPr>
                      <w:t>DE</w:t>
                    </w:r>
                  </w:p>
                  <w:p>
                    <w:pPr>
                      <w:spacing w:line="265" w:lineRule="exact" w:before="41"/>
                      <w:ind w:left="5" w:right="0" w:firstLine="0"/>
                      <w:jc w:val="center"/>
                      <w:rPr>
                        <w:rFonts w:ascii="Calibri" w:hAnsi="Calibri"/>
                        <w:b/>
                        <w:sz w:val="22"/>
                      </w:rPr>
                    </w:pPr>
                    <w:r>
                      <w:rPr>
                        <w:rFonts w:ascii="Calibri" w:hAnsi="Calibri"/>
                        <w:b/>
                        <w:sz w:val="22"/>
                      </w:rPr>
                      <w:t>GÉNERO</w:t>
                    </w:r>
                  </w:p>
                </w:txbxContent>
              </v:textbox>
              <w10:wrap type="none"/>
            </v:shape>
            <v:shape style="position:absolute;left:5041;top:1245;width:102;height:221" type="#_x0000_t202" filled="false" stroked="false">
              <v:textbox inset="0,0,0,0">
                <w:txbxContent>
                  <w:p>
                    <w:pPr>
                      <w:spacing w:line="221" w:lineRule="exact" w:before="0"/>
                      <w:ind w:left="0" w:right="0" w:firstLine="0"/>
                      <w:jc w:val="left"/>
                      <w:rPr>
                        <w:rFonts w:ascii="Symbol" w:hAnsi="Symbol"/>
                        <w:sz w:val="22"/>
                      </w:rPr>
                    </w:pPr>
                    <w:r>
                      <w:rPr>
                        <w:rFonts w:ascii="Symbol" w:hAnsi="Symbol"/>
                        <w:w w:val="100"/>
                        <w:sz w:val="22"/>
                      </w:rPr>
                      <w:t></w:t>
                    </w:r>
                  </w:p>
                </w:txbxContent>
              </v:textbox>
              <w10:wrap type="none"/>
            </v:shape>
            <v:shape style="position:absolute;left:5749;top:1260;width:4658;height:221" type="#_x0000_t202" filled="false" stroked="false">
              <v:textbox inset="0,0,0,0">
                <w:txbxContent>
                  <w:p>
                    <w:pPr>
                      <w:spacing w:line="221" w:lineRule="exact" w:before="0"/>
                      <w:ind w:left="0" w:right="0" w:firstLine="0"/>
                      <w:jc w:val="left"/>
                      <w:rPr>
                        <w:rFonts w:ascii="Calibri" w:hAnsi="Calibri"/>
                        <w:b/>
                        <w:sz w:val="22"/>
                      </w:rPr>
                    </w:pPr>
                    <w:r>
                      <w:rPr>
                        <w:rFonts w:ascii="Calibri" w:hAnsi="Calibri"/>
                        <w:b/>
                        <w:sz w:val="22"/>
                      </w:rPr>
                      <w:t>Violencia de género en la familia: Violencia,  física,</w:t>
                    </w:r>
                  </w:p>
                </w:txbxContent>
              </v:textbox>
              <w10:wrap type="none"/>
            </v:shape>
            <v:shape style="position:absolute;left:5041;top:1570;width:5371;height:4285" type="#_x0000_t202" filled="false" stroked="false">
              <v:textbox inset="0,0,0,0">
                <w:txbxContent>
                  <w:p>
                    <w:pPr>
                      <w:spacing w:line="225" w:lineRule="exact" w:before="0"/>
                      <w:ind w:left="0" w:right="0" w:firstLine="0"/>
                      <w:jc w:val="both"/>
                      <w:rPr>
                        <w:rFonts w:ascii="Calibri" w:hAnsi="Calibri"/>
                        <w:b/>
                        <w:sz w:val="22"/>
                      </w:rPr>
                    </w:pPr>
                    <w:r>
                      <w:rPr>
                        <w:rFonts w:ascii="Calibri" w:hAnsi="Calibri"/>
                        <w:b/>
                        <w:sz w:val="22"/>
                      </w:rPr>
                      <w:t>psíquica    y    sexual.       Prácticas    tradicionales   nocivas:</w:t>
                    </w:r>
                  </w:p>
                  <w:p>
                    <w:pPr>
                      <w:spacing w:line="276" w:lineRule="auto" w:before="41"/>
                      <w:ind w:left="0" w:right="1" w:firstLine="0"/>
                      <w:jc w:val="both"/>
                      <w:rPr>
                        <w:rFonts w:ascii="Calibri" w:hAnsi="Calibri"/>
                        <w:b/>
                        <w:sz w:val="22"/>
                      </w:rPr>
                    </w:pPr>
                    <w:r>
                      <w:rPr>
                        <w:rFonts w:ascii="Calibri" w:hAnsi="Calibri"/>
                        <w:b/>
                        <w:sz w:val="22"/>
                      </w:rPr>
                      <w:t>infanticidio, abolición o mutilación genital, preferencia por los</w:t>
                    </w:r>
                    <w:r>
                      <w:rPr>
                        <w:rFonts w:ascii="Calibri" w:hAnsi="Calibri"/>
                        <w:b/>
                        <w:spacing w:val="-9"/>
                        <w:sz w:val="22"/>
                      </w:rPr>
                      <w:t> </w:t>
                    </w:r>
                    <w:r>
                      <w:rPr>
                        <w:rFonts w:ascii="Calibri" w:hAnsi="Calibri"/>
                        <w:b/>
                        <w:sz w:val="22"/>
                      </w:rPr>
                      <w:t>hijos</w:t>
                    </w:r>
                    <w:r>
                      <w:rPr>
                        <w:rFonts w:ascii="Calibri" w:hAnsi="Calibri"/>
                        <w:b/>
                        <w:spacing w:val="-12"/>
                        <w:sz w:val="22"/>
                      </w:rPr>
                      <w:t> </w:t>
                    </w:r>
                    <w:r>
                      <w:rPr>
                        <w:rFonts w:ascii="Calibri" w:hAnsi="Calibri"/>
                        <w:b/>
                        <w:sz w:val="22"/>
                      </w:rPr>
                      <w:t>varones,</w:t>
                    </w:r>
                    <w:r>
                      <w:rPr>
                        <w:rFonts w:ascii="Calibri" w:hAnsi="Calibri"/>
                        <w:b/>
                        <w:spacing w:val="-9"/>
                        <w:sz w:val="22"/>
                      </w:rPr>
                      <w:t> </w:t>
                    </w:r>
                    <w:r>
                      <w:rPr>
                        <w:rFonts w:ascii="Calibri" w:hAnsi="Calibri"/>
                        <w:b/>
                        <w:sz w:val="22"/>
                      </w:rPr>
                      <w:t>matrimonio</w:t>
                    </w:r>
                    <w:r>
                      <w:rPr>
                        <w:rFonts w:ascii="Calibri" w:hAnsi="Calibri"/>
                        <w:b/>
                        <w:spacing w:val="-11"/>
                        <w:sz w:val="22"/>
                      </w:rPr>
                      <w:t> </w:t>
                    </w:r>
                    <w:r>
                      <w:rPr>
                        <w:rFonts w:ascii="Calibri" w:hAnsi="Calibri"/>
                        <w:b/>
                        <w:sz w:val="22"/>
                      </w:rPr>
                      <w:t>precoz</w:t>
                    </w:r>
                    <w:r>
                      <w:rPr>
                        <w:rFonts w:ascii="Calibri" w:hAnsi="Calibri"/>
                        <w:b/>
                        <w:spacing w:val="-12"/>
                        <w:sz w:val="22"/>
                      </w:rPr>
                      <w:t> </w:t>
                    </w:r>
                    <w:r>
                      <w:rPr>
                        <w:rFonts w:ascii="Calibri" w:hAnsi="Calibri"/>
                        <w:b/>
                        <w:sz w:val="22"/>
                      </w:rPr>
                      <w:t>y/o</w:t>
                    </w:r>
                    <w:r>
                      <w:rPr>
                        <w:rFonts w:ascii="Calibri" w:hAnsi="Calibri"/>
                        <w:b/>
                        <w:spacing w:val="-11"/>
                        <w:sz w:val="22"/>
                      </w:rPr>
                      <w:t> </w:t>
                    </w:r>
                    <w:r>
                      <w:rPr>
                        <w:rFonts w:ascii="Calibri" w:hAnsi="Calibri"/>
                        <w:b/>
                        <w:sz w:val="22"/>
                      </w:rPr>
                      <w:t>forzado,</w:t>
                    </w:r>
                    <w:r>
                      <w:rPr>
                        <w:rFonts w:ascii="Calibri" w:hAnsi="Calibri"/>
                        <w:b/>
                        <w:spacing w:val="-9"/>
                        <w:sz w:val="22"/>
                      </w:rPr>
                      <w:t> </w:t>
                    </w:r>
                    <w:r>
                      <w:rPr>
                        <w:rFonts w:ascii="Calibri" w:hAnsi="Calibri"/>
                        <w:b/>
                        <w:sz w:val="22"/>
                      </w:rPr>
                      <w:t>crímenes de</w:t>
                    </w:r>
                    <w:r>
                      <w:rPr>
                        <w:rFonts w:ascii="Calibri" w:hAnsi="Calibri"/>
                        <w:b/>
                        <w:spacing w:val="-3"/>
                        <w:sz w:val="22"/>
                      </w:rPr>
                      <w:t> </w:t>
                    </w:r>
                    <w:r>
                      <w:rPr>
                        <w:rFonts w:ascii="Calibri" w:hAnsi="Calibri"/>
                        <w:b/>
                        <w:sz w:val="22"/>
                      </w:rPr>
                      <w:t>honor.</w:t>
                    </w:r>
                  </w:p>
                  <w:p>
                    <w:pPr>
                      <w:numPr>
                        <w:ilvl w:val="0"/>
                        <w:numId w:val="12"/>
                      </w:numPr>
                      <w:tabs>
                        <w:tab w:pos="707" w:val="left" w:leader="none"/>
                        <w:tab w:pos="708" w:val="left" w:leader="none"/>
                      </w:tabs>
                      <w:spacing w:line="276" w:lineRule="auto" w:before="1"/>
                      <w:ind w:left="0" w:right="0" w:firstLine="0"/>
                      <w:jc w:val="both"/>
                      <w:rPr>
                        <w:rFonts w:ascii="Calibri" w:hAnsi="Calibri"/>
                        <w:b/>
                        <w:sz w:val="22"/>
                      </w:rPr>
                    </w:pPr>
                    <w:r>
                      <w:rPr>
                        <w:rFonts w:ascii="Calibri" w:hAnsi="Calibri"/>
                        <w:b/>
                        <w:sz w:val="22"/>
                      </w:rPr>
                      <w:t>Violencia de género en la comunidad: Feminicidio, violencia sexual, acoso sexual en el trabajo y escuela, trata de</w:t>
                    </w:r>
                    <w:r>
                      <w:rPr>
                        <w:rFonts w:ascii="Calibri" w:hAnsi="Calibri"/>
                        <w:b/>
                        <w:spacing w:val="-3"/>
                        <w:sz w:val="22"/>
                      </w:rPr>
                      <w:t> </w:t>
                    </w:r>
                    <w:r>
                      <w:rPr>
                        <w:rFonts w:ascii="Calibri" w:hAnsi="Calibri"/>
                        <w:b/>
                        <w:sz w:val="22"/>
                      </w:rPr>
                      <w:t>mujeres.</w:t>
                    </w:r>
                  </w:p>
                  <w:p>
                    <w:pPr>
                      <w:numPr>
                        <w:ilvl w:val="0"/>
                        <w:numId w:val="12"/>
                      </w:numPr>
                      <w:tabs>
                        <w:tab w:pos="707" w:val="left" w:leader="none"/>
                        <w:tab w:pos="708" w:val="left" w:leader="none"/>
                      </w:tabs>
                      <w:spacing w:line="276" w:lineRule="auto" w:before="0"/>
                      <w:ind w:left="0" w:right="0" w:firstLine="0"/>
                      <w:jc w:val="both"/>
                      <w:rPr>
                        <w:rFonts w:ascii="Calibri" w:hAnsi="Calibri"/>
                        <w:b/>
                        <w:sz w:val="22"/>
                      </w:rPr>
                    </w:pPr>
                    <w:r>
                      <w:rPr>
                        <w:rFonts w:ascii="Calibri" w:hAnsi="Calibri"/>
                        <w:b/>
                        <w:sz w:val="22"/>
                      </w:rPr>
                      <w:t>Violencia de género cometida por el Estado: privación de libertad, obstaculización en el acceso a los servicios</w:t>
                    </w:r>
                    <w:r>
                      <w:rPr>
                        <w:rFonts w:ascii="Calibri" w:hAnsi="Calibri"/>
                        <w:b/>
                        <w:spacing w:val="-9"/>
                        <w:sz w:val="22"/>
                      </w:rPr>
                      <w:t> </w:t>
                    </w:r>
                    <w:r>
                      <w:rPr>
                        <w:rFonts w:ascii="Calibri" w:hAnsi="Calibri"/>
                        <w:b/>
                        <w:sz w:val="22"/>
                      </w:rPr>
                      <w:t>públicos.</w:t>
                    </w:r>
                  </w:p>
                  <w:p>
                    <w:pPr>
                      <w:numPr>
                        <w:ilvl w:val="0"/>
                        <w:numId w:val="12"/>
                      </w:numPr>
                      <w:tabs>
                        <w:tab w:pos="707" w:val="left" w:leader="none"/>
                        <w:tab w:pos="708" w:val="left" w:leader="none"/>
                      </w:tabs>
                      <w:spacing w:line="276" w:lineRule="auto" w:before="0"/>
                      <w:ind w:left="0" w:right="1" w:firstLine="0"/>
                      <w:jc w:val="both"/>
                      <w:rPr>
                        <w:rFonts w:ascii="Calibri" w:hAnsi="Calibri"/>
                        <w:b/>
                        <w:sz w:val="22"/>
                      </w:rPr>
                    </w:pPr>
                    <w:r>
                      <w:rPr>
                        <w:rFonts w:ascii="Calibri" w:hAnsi="Calibri"/>
                        <w:b/>
                        <w:sz w:val="22"/>
                      </w:rPr>
                      <w:t>Violencia de género en conflictos armados: violencia, psíquica, física o</w:t>
                    </w:r>
                    <w:r>
                      <w:rPr>
                        <w:rFonts w:ascii="Calibri" w:hAnsi="Calibri"/>
                        <w:b/>
                        <w:spacing w:val="-18"/>
                        <w:sz w:val="22"/>
                      </w:rPr>
                      <w:t> </w:t>
                    </w:r>
                    <w:r>
                      <w:rPr>
                        <w:rFonts w:ascii="Calibri" w:hAnsi="Calibri"/>
                        <w:b/>
                        <w:sz w:val="22"/>
                      </w:rPr>
                      <w:t>sexual.</w:t>
                    </w:r>
                  </w:p>
                  <w:p>
                    <w:pPr>
                      <w:numPr>
                        <w:ilvl w:val="0"/>
                        <w:numId w:val="12"/>
                      </w:numPr>
                      <w:tabs>
                        <w:tab w:pos="707" w:val="left" w:leader="none"/>
                        <w:tab w:pos="708" w:val="left" w:leader="none"/>
                      </w:tabs>
                      <w:spacing w:before="1"/>
                      <w:ind w:left="708" w:right="0" w:hanging="708"/>
                      <w:jc w:val="both"/>
                      <w:rPr>
                        <w:rFonts w:ascii="Calibri" w:hAnsi="Calibri"/>
                        <w:b/>
                        <w:sz w:val="22"/>
                      </w:rPr>
                    </w:pPr>
                    <w:r>
                      <w:rPr>
                        <w:rFonts w:ascii="Calibri" w:hAnsi="Calibri"/>
                        <w:b/>
                        <w:sz w:val="22"/>
                      </w:rPr>
                      <w:t>Violencia   de   género   y   discriminación</w:t>
                    </w:r>
                    <w:r>
                      <w:rPr>
                        <w:rFonts w:ascii="Calibri" w:hAnsi="Calibri"/>
                        <w:b/>
                        <w:spacing w:val="27"/>
                        <w:sz w:val="22"/>
                      </w:rPr>
                      <w:t> </w:t>
                    </w:r>
                    <w:r>
                      <w:rPr>
                        <w:rFonts w:ascii="Calibri" w:hAnsi="Calibri"/>
                        <w:b/>
                        <w:sz w:val="22"/>
                      </w:rPr>
                      <w:t>múltiple:</w:t>
                    </w:r>
                  </w:p>
                  <w:p>
                    <w:pPr>
                      <w:spacing w:line="265" w:lineRule="exact" w:before="41"/>
                      <w:ind w:left="0" w:right="0" w:firstLine="0"/>
                      <w:jc w:val="both"/>
                      <w:rPr>
                        <w:rFonts w:ascii="Calibri" w:hAnsi="Calibri"/>
                        <w:b/>
                        <w:sz w:val="22"/>
                      </w:rPr>
                    </w:pPr>
                    <w:r>
                      <w:rPr>
                        <w:rFonts w:ascii="Calibri" w:hAnsi="Calibri"/>
                        <w:b/>
                        <w:sz w:val="22"/>
                      </w:rPr>
                      <w:t>discriminación por raza, origen étnico, religión, etc.</w:t>
                    </w:r>
                  </w:p>
                </w:txbxContent>
              </v:textbox>
              <w10:wrap type="none"/>
            </v:shape>
            <w10:wrap type="topAndBottom"/>
          </v:group>
        </w:pict>
      </w:r>
    </w:p>
    <w:p>
      <w:pPr>
        <w:pStyle w:val="BodyText"/>
        <w:spacing w:line="360" w:lineRule="auto" w:before="81"/>
        <w:ind w:left="623" w:right="187"/>
        <w:jc w:val="both"/>
      </w:pPr>
      <w:r>
        <w:rPr/>
        <w:t>Benavente, los cuales serán de utilidad para robustecer aquellos  hechos  principales,  hechos  que   utilizaremos</w:t>
      </w:r>
    </w:p>
    <w:p>
      <w:pPr>
        <w:spacing w:after="0" w:line="360" w:lineRule="auto"/>
        <w:jc w:val="both"/>
        <w:sectPr>
          <w:type w:val="continuous"/>
          <w:pgSz w:w="12240" w:h="15840"/>
          <w:pgMar w:top="1400" w:bottom="280" w:left="380" w:right="1560"/>
          <w:cols w:num="2" w:equalWidth="0">
            <w:col w:w="3846" w:space="40"/>
            <w:col w:w="6414"/>
          </w:cols>
        </w:sectPr>
      </w:pPr>
    </w:p>
    <w:p>
      <w:pPr>
        <w:pStyle w:val="BodyText"/>
        <w:rPr>
          <w:sz w:val="20"/>
        </w:rPr>
      </w:pPr>
      <w:r>
        <w:rPr/>
        <w:pict>
          <v:group style="position:absolute;margin-left:24.48pt;margin-top:38.279999pt;width:201.4pt;height:715.35pt;mso-position-horizontal-relative:page;mso-position-vertical-relative:page;z-index:5416" coordorigin="490,766" coordsize="4028,14307">
            <v:shape style="position:absolute;left:787;top:816;width:3730;height:14256" type="#_x0000_t75" stroked="false">
              <v:imagedata r:id="rId119" o:title=""/>
            </v:shape>
            <v:shape style="position:absolute;left:792;top:2261;width:3720;height:12518" type="#_x0000_t75" stroked="false">
              <v:imagedata r:id="rId120" o:title=""/>
            </v:shape>
            <v:rect style="position:absolute;left:490;top:766;width:298;height:14256" filled="true" fillcolor="#44536a" stroked="false">
              <v:fill type="solid"/>
            </v:rect>
            <v:shape style="position:absolute;left:490;top:1327;width:3864;height:665" coordorigin="490,1327" coordsize="3864,665" path="m4021,1327l490,1327,490,1992,4021,1992,4354,1660,4021,1327xe" filled="true" fillcolor="#5b9bd4" stroked="false">
              <v:path arrowok="t"/>
              <v:fill type="solid"/>
            </v:shape>
            <v:shape style="position:absolute;left:499;top:1337;width:3677;height:646" type="#_x0000_t75" stroked="false">
              <v:imagedata r:id="rId113" o:title=""/>
            </v:shape>
            <v:shape style="position:absolute;left:1075;top:1395;width:3149;height:5050" type="#_x0000_t202" filled="false" stroked="false">
              <v:textbox inset="0,0,0,0">
                <w:txbxContent>
                  <w:p>
                    <w:pPr>
                      <w:spacing w:line="263" w:lineRule="exact" w:before="0"/>
                      <w:ind w:left="0" w:right="204" w:firstLine="0"/>
                      <w:jc w:val="left"/>
                      <w:rPr>
                        <w:rFonts w:ascii="Calibri Light" w:hAnsi="Calibri Light"/>
                        <w:b w:val="0"/>
                        <w:sz w:val="26"/>
                      </w:rPr>
                    </w:pPr>
                    <w:r>
                      <w:rPr>
                        <w:rFonts w:ascii="Calibri Light" w:hAnsi="Calibri Light"/>
                        <w:b w:val="0"/>
                        <w:color w:val="FFFFFF"/>
                        <w:sz w:val="26"/>
                      </w:rPr>
                      <w:t>Elaboración de la Teoría</w:t>
                    </w:r>
                  </w:p>
                  <w:p>
                    <w:pPr>
                      <w:spacing w:line="316" w:lineRule="exact" w:before="0"/>
                      <w:ind w:left="0" w:right="204" w:firstLine="0"/>
                      <w:jc w:val="left"/>
                      <w:rPr>
                        <w:rFonts w:ascii="Calibri Light"/>
                        <w:b w:val="0"/>
                        <w:sz w:val="26"/>
                      </w:rPr>
                    </w:pPr>
                    <w:r>
                      <w:rPr>
                        <w:rFonts w:ascii="Calibri Light"/>
                        <w:b w:val="0"/>
                        <w:color w:val="FFFFFF"/>
                        <w:sz w:val="26"/>
                      </w:rPr>
                      <w:t>del Caso</w:t>
                    </w:r>
                  </w:p>
                  <w:p>
                    <w:pPr>
                      <w:spacing w:line="240" w:lineRule="auto" w:before="10"/>
                      <w:rPr>
                        <w:sz w:val="24"/>
                      </w:rPr>
                    </w:pPr>
                  </w:p>
                  <w:p>
                    <w:pPr>
                      <w:spacing w:line="278" w:lineRule="auto" w:before="1"/>
                      <w:ind w:left="4" w:right="204" w:firstLine="0"/>
                      <w:jc w:val="left"/>
                      <w:rPr>
                        <w:rFonts w:ascii="Calibri" w:hAnsi="Calibri"/>
                        <w:sz w:val="20"/>
                      </w:rPr>
                    </w:pPr>
                    <w:r>
                      <w:rPr>
                        <w:rFonts w:ascii="Calibri" w:hAnsi="Calibri"/>
                        <w:color w:val="585858"/>
                        <w:sz w:val="20"/>
                      </w:rPr>
                      <w:t>PASO #2: Información para elaborar los enunciados fácticos:</w:t>
                    </w:r>
                  </w:p>
                  <w:p>
                    <w:pPr>
                      <w:spacing w:line="240" w:lineRule="auto" w:before="0"/>
                      <w:rPr>
                        <w:sz w:val="17"/>
                      </w:rPr>
                    </w:pPr>
                  </w:p>
                  <w:p>
                    <w:pPr>
                      <w:numPr>
                        <w:ilvl w:val="0"/>
                        <w:numId w:val="13"/>
                      </w:numPr>
                      <w:tabs>
                        <w:tab w:pos="726" w:val="left" w:leader="none"/>
                        <w:tab w:pos="1701" w:val="left" w:leader="none"/>
                        <w:tab w:pos="2711" w:val="left" w:leader="none"/>
                      </w:tabs>
                      <w:spacing w:line="259" w:lineRule="auto" w:before="0"/>
                      <w:ind w:left="725" w:right="0" w:hanging="360"/>
                      <w:jc w:val="both"/>
                      <w:rPr>
                        <w:rFonts w:ascii="Calibri" w:hAnsi="Calibri"/>
                        <w:sz w:val="20"/>
                      </w:rPr>
                    </w:pPr>
                    <w:r>
                      <w:rPr>
                        <w:rFonts w:ascii="Calibri" w:hAnsi="Calibri"/>
                        <w:color w:val="585858"/>
                        <w:sz w:val="20"/>
                      </w:rPr>
                      <w:t>María Cruz López está casada con Juan Cruz Cruz, desde hace</w:t>
                      <w:tab/>
                      <w:t>trece</w:t>
                      <w:tab/>
                      <w:t>años. Aproximadamente hace un año que Juan Cruz Cruz se fue a trabajar a los Estados Unidos de</w:t>
                    </w:r>
                    <w:r>
                      <w:rPr>
                        <w:rFonts w:ascii="Calibri" w:hAnsi="Calibri"/>
                        <w:color w:val="585858"/>
                        <w:spacing w:val="-9"/>
                        <w:sz w:val="20"/>
                      </w:rPr>
                      <w:t> </w:t>
                    </w:r>
                    <w:r>
                      <w:rPr>
                        <w:rFonts w:ascii="Calibri" w:hAnsi="Calibri"/>
                        <w:color w:val="585858"/>
                        <w:sz w:val="20"/>
                      </w:rPr>
                      <w:t>América.</w:t>
                    </w:r>
                  </w:p>
                  <w:p>
                    <w:pPr>
                      <w:numPr>
                        <w:ilvl w:val="0"/>
                        <w:numId w:val="13"/>
                      </w:numPr>
                      <w:tabs>
                        <w:tab w:pos="726" w:val="left" w:leader="none"/>
                        <w:tab w:pos="2152" w:val="left" w:leader="none"/>
                      </w:tabs>
                      <w:spacing w:line="259" w:lineRule="auto" w:before="1"/>
                      <w:ind w:left="725" w:right="0" w:hanging="360"/>
                      <w:jc w:val="both"/>
                      <w:rPr>
                        <w:rFonts w:ascii="Calibri" w:hAnsi="Calibri"/>
                        <w:sz w:val="20"/>
                      </w:rPr>
                    </w:pPr>
                    <w:r>
                      <w:rPr>
                        <w:rFonts w:ascii="Calibri" w:hAnsi="Calibri"/>
                        <w:color w:val="585858"/>
                        <w:sz w:val="20"/>
                      </w:rPr>
                      <w:t>María Cruz López, sufre violencia</w:t>
                    </w:r>
                    <w:r>
                      <w:rPr>
                        <w:rFonts w:ascii="Calibri" w:hAnsi="Calibri"/>
                        <w:color w:val="585858"/>
                        <w:spacing w:val="-14"/>
                        <w:sz w:val="20"/>
                      </w:rPr>
                      <w:t> </w:t>
                    </w:r>
                    <w:r>
                      <w:rPr>
                        <w:rFonts w:ascii="Calibri" w:hAnsi="Calibri"/>
                        <w:color w:val="585858"/>
                        <w:sz w:val="20"/>
                      </w:rPr>
                      <w:t>económica</w:t>
                    </w:r>
                    <w:r>
                      <w:rPr>
                        <w:rFonts w:ascii="Calibri" w:hAnsi="Calibri"/>
                        <w:color w:val="585858"/>
                        <w:spacing w:val="-16"/>
                        <w:sz w:val="20"/>
                      </w:rPr>
                      <w:t> </w:t>
                    </w:r>
                    <w:r>
                      <w:rPr>
                        <w:rFonts w:ascii="Calibri" w:hAnsi="Calibri"/>
                        <w:color w:val="585858"/>
                        <w:sz w:val="20"/>
                      </w:rPr>
                      <w:t>por</w:t>
                    </w:r>
                    <w:r>
                      <w:rPr>
                        <w:rFonts w:ascii="Calibri" w:hAnsi="Calibri"/>
                        <w:color w:val="585858"/>
                        <w:spacing w:val="-16"/>
                        <w:sz w:val="20"/>
                      </w:rPr>
                      <w:t> </w:t>
                    </w:r>
                    <w:r>
                      <w:rPr>
                        <w:rFonts w:ascii="Calibri" w:hAnsi="Calibri"/>
                        <w:color w:val="585858"/>
                        <w:sz w:val="20"/>
                      </w:rPr>
                      <w:t>parte de su pareja quien manda dinero para manutención de manera esporádica, el cual es insuficiente</w:t>
                      <w:tab/>
                      <w:t>para</w:t>
                    </w:r>
                  </w:p>
                </w:txbxContent>
              </v:textbox>
              <w10:wrap type="none"/>
            </v:shape>
            <v:shape style="position:absolute;left:1800;top:6509;width:2076;height:464" type="#_x0000_t202" filled="false" stroked="false">
              <v:textbox inset="0,0,0,0">
                <w:txbxContent>
                  <w:p>
                    <w:pPr>
                      <w:spacing w:line="203" w:lineRule="exact" w:before="0"/>
                      <w:ind w:left="0" w:right="0" w:firstLine="0"/>
                      <w:jc w:val="left"/>
                      <w:rPr>
                        <w:rFonts w:ascii="Calibri" w:hAnsi="Calibri"/>
                        <w:sz w:val="20"/>
                      </w:rPr>
                    </w:pPr>
                    <w:r>
                      <w:rPr>
                        <w:rFonts w:ascii="Calibri" w:hAnsi="Calibri"/>
                        <w:color w:val="585858"/>
                        <w:sz w:val="20"/>
                      </w:rPr>
                      <w:t>alimentación  de  María y</w:t>
                    </w:r>
                  </w:p>
                  <w:p>
                    <w:pPr>
                      <w:spacing w:line="240" w:lineRule="exact" w:before="20"/>
                      <w:ind w:left="0" w:right="0" w:firstLine="0"/>
                      <w:jc w:val="left"/>
                      <w:rPr>
                        <w:rFonts w:ascii="Calibri"/>
                        <w:sz w:val="20"/>
                      </w:rPr>
                    </w:pPr>
                    <w:r>
                      <w:rPr>
                        <w:rFonts w:ascii="Calibri"/>
                        <w:color w:val="585858"/>
                        <w:sz w:val="20"/>
                      </w:rPr>
                      <w:t>hijos.</w:t>
                    </w:r>
                  </w:p>
                </w:txbxContent>
              </v:textbox>
              <w10:wrap type="none"/>
            </v:shape>
            <v:shape style="position:absolute;left:3961;top:6245;width:262;height:464" type="#_x0000_t202" filled="false" stroked="false">
              <v:textbox inset="0,0,0,0">
                <w:txbxContent>
                  <w:p>
                    <w:pPr>
                      <w:spacing w:line="203" w:lineRule="exact" w:before="0"/>
                      <w:ind w:left="1" w:right="1" w:firstLine="0"/>
                      <w:jc w:val="center"/>
                      <w:rPr>
                        <w:rFonts w:ascii="Calibri"/>
                        <w:sz w:val="20"/>
                      </w:rPr>
                    </w:pPr>
                    <w:r>
                      <w:rPr>
                        <w:rFonts w:ascii="Calibri"/>
                        <w:color w:val="585858"/>
                        <w:sz w:val="20"/>
                      </w:rPr>
                      <w:t>la</w:t>
                    </w:r>
                  </w:p>
                  <w:p>
                    <w:pPr>
                      <w:spacing w:line="240" w:lineRule="exact" w:before="20"/>
                      <w:ind w:left="-1" w:right="1" w:firstLine="0"/>
                      <w:jc w:val="center"/>
                      <w:rPr>
                        <w:rFonts w:ascii="Calibri"/>
                        <w:sz w:val="20"/>
                      </w:rPr>
                    </w:pPr>
                    <w:r>
                      <w:rPr>
                        <w:rFonts w:ascii="Calibri"/>
                        <w:color w:val="585858"/>
                        <w:spacing w:val="-1"/>
                        <w:sz w:val="20"/>
                      </w:rPr>
                      <w:t>sus</w:t>
                    </w:r>
                  </w:p>
                </w:txbxContent>
              </v:textbox>
              <w10:wrap type="none"/>
            </v:shape>
            <v:shape style="position:absolute;left:1440;top:7036;width:2782;height:737" type="#_x0000_t202" filled="false" stroked="false">
              <v:textbox inset="0,0,0,0">
                <w:txbxContent>
                  <w:p>
                    <w:pPr>
                      <w:numPr>
                        <w:ilvl w:val="0"/>
                        <w:numId w:val="14"/>
                      </w:numPr>
                      <w:tabs>
                        <w:tab w:pos="359" w:val="left" w:leader="none"/>
                        <w:tab w:pos="360" w:val="left" w:leader="none"/>
                      </w:tabs>
                      <w:spacing w:line="217" w:lineRule="exact" w:before="0"/>
                      <w:ind w:left="360" w:right="0" w:hanging="360"/>
                      <w:jc w:val="left"/>
                      <w:rPr>
                        <w:rFonts w:ascii="Calibri" w:hAnsi="Calibri"/>
                        <w:sz w:val="20"/>
                      </w:rPr>
                    </w:pPr>
                    <w:r>
                      <w:rPr>
                        <w:rFonts w:ascii="Calibri" w:hAnsi="Calibri"/>
                        <w:color w:val="585858"/>
                        <w:sz w:val="20"/>
                      </w:rPr>
                      <w:t>María</w:t>
                    </w:r>
                    <w:r>
                      <w:rPr>
                        <w:rFonts w:ascii="Calibri" w:hAnsi="Calibri"/>
                        <w:color w:val="585858"/>
                        <w:spacing w:val="-15"/>
                        <w:sz w:val="20"/>
                      </w:rPr>
                      <w:t> </w:t>
                    </w:r>
                    <w:r>
                      <w:rPr>
                        <w:rFonts w:ascii="Calibri" w:hAnsi="Calibri"/>
                        <w:color w:val="585858"/>
                        <w:sz w:val="20"/>
                      </w:rPr>
                      <w:t>Cruz</w:t>
                    </w:r>
                    <w:r>
                      <w:rPr>
                        <w:rFonts w:ascii="Calibri" w:hAnsi="Calibri"/>
                        <w:color w:val="585858"/>
                        <w:spacing w:val="-14"/>
                        <w:sz w:val="20"/>
                      </w:rPr>
                      <w:t> </w:t>
                    </w:r>
                    <w:r>
                      <w:rPr>
                        <w:rFonts w:ascii="Calibri" w:hAnsi="Calibri"/>
                        <w:color w:val="585858"/>
                        <w:sz w:val="20"/>
                      </w:rPr>
                      <w:t>López</w:t>
                    </w:r>
                    <w:r>
                      <w:rPr>
                        <w:rFonts w:ascii="Calibri" w:hAnsi="Calibri"/>
                        <w:color w:val="585858"/>
                        <w:spacing w:val="-15"/>
                        <w:sz w:val="20"/>
                      </w:rPr>
                      <w:t> </w:t>
                    </w:r>
                    <w:r>
                      <w:rPr>
                        <w:rFonts w:ascii="Calibri" w:hAnsi="Calibri"/>
                        <w:color w:val="585858"/>
                        <w:sz w:val="20"/>
                      </w:rPr>
                      <w:t>conoció</w:t>
                    </w:r>
                    <w:r>
                      <w:rPr>
                        <w:rFonts w:ascii="Calibri" w:hAnsi="Calibri"/>
                        <w:color w:val="585858"/>
                        <w:spacing w:val="-15"/>
                        <w:sz w:val="20"/>
                      </w:rPr>
                      <w:t> </w:t>
                    </w:r>
                    <w:r>
                      <w:rPr>
                        <w:rFonts w:ascii="Calibri" w:hAnsi="Calibri"/>
                        <w:color w:val="585858"/>
                        <w:sz w:val="20"/>
                      </w:rPr>
                      <w:t>a</w:t>
                    </w:r>
                    <w:r>
                      <w:rPr>
                        <w:rFonts w:ascii="Calibri" w:hAnsi="Calibri"/>
                        <w:color w:val="585858"/>
                        <w:spacing w:val="-12"/>
                        <w:sz w:val="20"/>
                      </w:rPr>
                      <w:t> </w:t>
                    </w:r>
                    <w:r>
                      <w:rPr>
                        <w:rFonts w:ascii="Calibri" w:hAnsi="Calibri"/>
                        <w:color w:val="585858"/>
                        <w:sz w:val="20"/>
                      </w:rPr>
                      <w:t>un</w:t>
                    </w:r>
                  </w:p>
                  <w:p>
                    <w:pPr>
                      <w:spacing w:line="256" w:lineRule="auto" w:before="17"/>
                      <w:ind w:left="360" w:right="0" w:firstLine="0"/>
                      <w:jc w:val="left"/>
                      <w:rPr>
                        <w:rFonts w:ascii="Calibri" w:hAnsi="Calibri"/>
                        <w:sz w:val="20"/>
                      </w:rPr>
                    </w:pPr>
                    <w:r>
                      <w:rPr>
                        <w:rFonts w:ascii="Calibri" w:hAnsi="Calibri"/>
                        <w:color w:val="585858"/>
                        <w:sz w:val="20"/>
                      </w:rPr>
                      <w:t>hombre con el cual tuvo una relación sentimental, y  como</w:t>
                    </w:r>
                  </w:p>
                </w:txbxContent>
              </v:textbox>
              <w10:wrap type="none"/>
            </v:shape>
            <v:shape style="position:absolute;left:1800;top:7837;width:2108;height:1001" type="#_x0000_t202" filled="false" stroked="false">
              <v:textbox inset="0,0,0,0">
                <w:txbxContent>
                  <w:p>
                    <w:pPr>
                      <w:spacing w:line="203" w:lineRule="exact" w:before="0"/>
                      <w:ind w:left="0" w:right="0" w:firstLine="0"/>
                      <w:jc w:val="left"/>
                      <w:rPr>
                        <w:rFonts w:ascii="Calibri" w:hAnsi="Calibri"/>
                        <w:sz w:val="20"/>
                      </w:rPr>
                    </w:pPr>
                    <w:r>
                      <w:rPr>
                        <w:rFonts w:ascii="Calibri" w:hAnsi="Calibri"/>
                        <w:color w:val="585858"/>
                        <w:sz w:val="20"/>
                      </w:rPr>
                      <w:t>fruto   de   dicha  relación</w:t>
                    </w:r>
                  </w:p>
                  <w:p>
                    <w:pPr>
                      <w:spacing w:before="20"/>
                      <w:ind w:left="0" w:right="0" w:firstLine="0"/>
                      <w:jc w:val="left"/>
                      <w:rPr>
                        <w:rFonts w:ascii="Calibri" w:hAnsi="Calibri"/>
                        <w:sz w:val="20"/>
                      </w:rPr>
                    </w:pPr>
                    <w:r>
                      <w:rPr>
                        <w:rFonts w:ascii="Calibri" w:hAnsi="Calibri"/>
                        <w:color w:val="585858"/>
                        <w:sz w:val="20"/>
                      </w:rPr>
                      <w:t>embarazó.</w:t>
                    </w:r>
                  </w:p>
                  <w:p>
                    <w:pPr>
                      <w:spacing w:line="256" w:lineRule="auto" w:before="32"/>
                      <w:ind w:left="0" w:right="0" w:firstLine="0"/>
                      <w:jc w:val="left"/>
                      <w:rPr>
                        <w:rFonts w:ascii="Calibri" w:hAnsi="Calibri"/>
                        <w:sz w:val="20"/>
                      </w:rPr>
                    </w:pPr>
                    <w:r>
                      <w:rPr>
                        <w:rFonts w:ascii="Calibri" w:hAnsi="Calibri"/>
                        <w:color w:val="585858"/>
                        <w:sz w:val="20"/>
                      </w:rPr>
                      <w:t>Al enterarse el esposo María    Cruz    López,  de</w:t>
                    </w:r>
                  </w:p>
                </w:txbxContent>
              </v:textbox>
              <w10:wrap type="none"/>
            </v:shape>
            <v:shape style="position:absolute;left:4045;top:7837;width:176;height:200" type="#_x0000_t202" filled="false" stroked="false">
              <v:textbox inset="0,0,0,0">
                <w:txbxContent>
                  <w:p>
                    <w:pPr>
                      <w:spacing w:line="199" w:lineRule="exact" w:before="0"/>
                      <w:ind w:left="0" w:right="-20" w:firstLine="0"/>
                      <w:jc w:val="left"/>
                      <w:rPr>
                        <w:rFonts w:ascii="Calibri"/>
                        <w:sz w:val="20"/>
                      </w:rPr>
                    </w:pPr>
                    <w:r>
                      <w:rPr>
                        <w:rFonts w:ascii="Calibri"/>
                        <w:color w:val="585858"/>
                        <w:spacing w:val="-1"/>
                        <w:sz w:val="20"/>
                      </w:rPr>
                      <w:t>se</w:t>
                    </w:r>
                  </w:p>
                </w:txbxContent>
              </v:textbox>
              <w10:wrap type="none"/>
            </v:shape>
            <v:shape style="position:absolute;left:1440;top:8363;width:2781;height:2855" type="#_x0000_t202" filled="false" stroked="false">
              <v:textbox inset="0,0,0,0">
                <w:txbxContent>
                  <w:p>
                    <w:pPr>
                      <w:numPr>
                        <w:ilvl w:val="0"/>
                        <w:numId w:val="15"/>
                      </w:numPr>
                      <w:tabs>
                        <w:tab w:pos="2575" w:val="left" w:leader="none"/>
                        <w:tab w:pos="2576" w:val="left" w:leader="none"/>
                      </w:tabs>
                      <w:spacing w:line="217" w:lineRule="exact" w:before="0"/>
                      <w:ind w:left="2575" w:right="0" w:hanging="2575"/>
                      <w:jc w:val="left"/>
                      <w:rPr>
                        <w:rFonts w:ascii="Calibri"/>
                        <w:sz w:val="20"/>
                      </w:rPr>
                    </w:pPr>
                    <w:r>
                      <w:rPr>
                        <w:rFonts w:ascii="Calibri"/>
                        <w:color w:val="585858"/>
                        <w:sz w:val="20"/>
                      </w:rPr>
                      <w:t>de</w:t>
                    </w:r>
                  </w:p>
                  <w:p>
                    <w:pPr>
                      <w:spacing w:before="17"/>
                      <w:ind w:left="0" w:right="1" w:firstLine="0"/>
                      <w:jc w:val="right"/>
                      <w:rPr>
                        <w:rFonts w:ascii="Calibri"/>
                        <w:sz w:val="20"/>
                      </w:rPr>
                    </w:pPr>
                    <w:r>
                      <w:rPr>
                        <w:rFonts w:ascii="Calibri"/>
                        <w:color w:val="585858"/>
                        <w:sz w:val="20"/>
                      </w:rPr>
                      <w:t>su</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before="155"/>
                      <w:ind w:left="0" w:right="0" w:firstLine="0"/>
                      <w:jc w:val="left"/>
                      <w:rPr>
                        <w:rFonts w:ascii="Symbol" w:hAnsi="Symbol"/>
                        <w:sz w:val="20"/>
                      </w:rPr>
                    </w:pPr>
                    <w:r>
                      <w:rPr>
                        <w:rFonts w:ascii="Symbol" w:hAnsi="Symbol"/>
                        <w:color w:val="585858"/>
                        <w:w w:val="99"/>
                        <w:sz w:val="20"/>
                      </w:rPr>
                      <w:t></w:t>
                    </w:r>
                  </w:p>
                  <w:p>
                    <w:pPr>
                      <w:spacing w:line="240" w:lineRule="auto" w:before="0"/>
                      <w:rPr>
                        <w:sz w:val="20"/>
                      </w:rPr>
                    </w:pPr>
                  </w:p>
                  <w:p>
                    <w:pPr>
                      <w:spacing w:line="240" w:lineRule="auto" w:before="0"/>
                      <w:rPr>
                        <w:sz w:val="20"/>
                      </w:rPr>
                    </w:pPr>
                  </w:p>
                  <w:p>
                    <w:pPr>
                      <w:spacing w:line="240" w:lineRule="auto" w:before="0"/>
                      <w:rPr>
                        <w:sz w:val="20"/>
                      </w:rPr>
                    </w:pPr>
                  </w:p>
                  <w:p>
                    <w:pPr>
                      <w:spacing w:line="237" w:lineRule="exact" w:before="128"/>
                      <w:ind w:left="0" w:right="0" w:firstLine="0"/>
                      <w:jc w:val="left"/>
                      <w:rPr>
                        <w:rFonts w:ascii="Symbol" w:hAnsi="Symbol"/>
                        <w:sz w:val="20"/>
                      </w:rPr>
                    </w:pPr>
                    <w:r>
                      <w:rPr>
                        <w:rFonts w:ascii="Symbol" w:hAnsi="Symbol"/>
                        <w:color w:val="585858"/>
                        <w:w w:val="99"/>
                        <w:sz w:val="20"/>
                      </w:rPr>
                      <w:t></w:t>
                    </w:r>
                  </w:p>
                </w:txbxContent>
              </v:textbox>
              <w10:wrap type="none"/>
            </v:shape>
            <v:shape style="position:absolute;left:1800;top:8902;width:2422;height:2329" type="#_x0000_t202" filled="false" stroked="false">
              <v:textbox inset="0,0,0,0">
                <w:txbxContent>
                  <w:p>
                    <w:pPr>
                      <w:spacing w:line="203" w:lineRule="exact" w:before="0"/>
                      <w:ind w:left="0" w:right="0" w:firstLine="0"/>
                      <w:jc w:val="both"/>
                      <w:rPr>
                        <w:rFonts w:ascii="Calibri"/>
                        <w:sz w:val="20"/>
                      </w:rPr>
                    </w:pPr>
                    <w:r>
                      <w:rPr>
                        <w:rFonts w:ascii="Calibri"/>
                        <w:color w:val="585858"/>
                        <w:sz w:val="20"/>
                      </w:rPr>
                      <w:t>embarazo  le  dice  que  no  le</w:t>
                    </w:r>
                  </w:p>
                  <w:p>
                    <w:pPr>
                      <w:spacing w:line="259" w:lineRule="auto" w:before="20"/>
                      <w:ind w:left="0" w:right="0" w:firstLine="0"/>
                      <w:jc w:val="both"/>
                      <w:rPr>
                        <w:rFonts w:ascii="Calibri" w:hAnsi="Calibri"/>
                        <w:sz w:val="20"/>
                      </w:rPr>
                    </w:pPr>
                    <w:r>
                      <w:rPr>
                        <w:rFonts w:ascii="Calibri" w:hAnsi="Calibri"/>
                        <w:color w:val="585858"/>
                        <w:sz w:val="20"/>
                      </w:rPr>
                      <w:t>volverá a mandar dinero porque</w:t>
                    </w:r>
                    <w:r>
                      <w:rPr>
                        <w:rFonts w:ascii="Calibri" w:hAnsi="Calibri"/>
                        <w:color w:val="585858"/>
                        <w:spacing w:val="-11"/>
                        <w:sz w:val="20"/>
                      </w:rPr>
                      <w:t> </w:t>
                    </w:r>
                    <w:r>
                      <w:rPr>
                        <w:rFonts w:ascii="Calibri" w:hAnsi="Calibri"/>
                        <w:color w:val="585858"/>
                        <w:sz w:val="20"/>
                      </w:rPr>
                      <w:t>no</w:t>
                    </w:r>
                    <w:r>
                      <w:rPr>
                        <w:rFonts w:ascii="Calibri" w:hAnsi="Calibri"/>
                        <w:color w:val="585858"/>
                        <w:spacing w:val="-10"/>
                        <w:sz w:val="20"/>
                      </w:rPr>
                      <w:t> </w:t>
                    </w:r>
                    <w:r>
                      <w:rPr>
                        <w:rFonts w:ascii="Calibri" w:hAnsi="Calibri"/>
                        <w:color w:val="585858"/>
                        <w:sz w:val="20"/>
                      </w:rPr>
                      <w:t>va</w:t>
                    </w:r>
                    <w:r>
                      <w:rPr>
                        <w:rFonts w:ascii="Calibri" w:hAnsi="Calibri"/>
                        <w:color w:val="585858"/>
                        <w:spacing w:val="-10"/>
                        <w:sz w:val="20"/>
                      </w:rPr>
                      <w:t> </w:t>
                    </w:r>
                    <w:r>
                      <w:rPr>
                        <w:rFonts w:ascii="Calibri" w:hAnsi="Calibri"/>
                        <w:color w:val="585858"/>
                        <w:sz w:val="20"/>
                      </w:rPr>
                      <w:t>mantener</w:t>
                    </w:r>
                    <w:r>
                      <w:rPr>
                        <w:rFonts w:ascii="Calibri" w:hAnsi="Calibri"/>
                        <w:color w:val="585858"/>
                        <w:spacing w:val="-10"/>
                        <w:sz w:val="20"/>
                      </w:rPr>
                      <w:t> </w:t>
                    </w:r>
                    <w:r>
                      <w:rPr>
                        <w:rFonts w:ascii="Calibri" w:hAnsi="Calibri"/>
                        <w:color w:val="585858"/>
                        <w:sz w:val="20"/>
                      </w:rPr>
                      <w:t>al</w:t>
                    </w:r>
                    <w:r>
                      <w:rPr>
                        <w:rFonts w:ascii="Calibri" w:hAnsi="Calibri"/>
                        <w:color w:val="585858"/>
                        <w:spacing w:val="-10"/>
                        <w:sz w:val="20"/>
                      </w:rPr>
                      <w:t> </w:t>
                    </w:r>
                    <w:r>
                      <w:rPr>
                        <w:rFonts w:ascii="Calibri" w:hAnsi="Calibri"/>
                        <w:color w:val="585858"/>
                        <w:sz w:val="20"/>
                      </w:rPr>
                      <w:t>hijo de “otro</w:t>
                    </w:r>
                    <w:r>
                      <w:rPr>
                        <w:rFonts w:ascii="Calibri" w:hAnsi="Calibri"/>
                        <w:color w:val="585858"/>
                        <w:spacing w:val="-7"/>
                        <w:sz w:val="20"/>
                      </w:rPr>
                      <w:t> </w:t>
                    </w:r>
                    <w:r>
                      <w:rPr>
                        <w:rFonts w:ascii="Calibri" w:hAnsi="Calibri"/>
                        <w:color w:val="585858"/>
                        <w:sz w:val="20"/>
                      </w:rPr>
                      <w:t>wey”.</w:t>
                    </w:r>
                  </w:p>
                  <w:p>
                    <w:pPr>
                      <w:spacing w:line="259" w:lineRule="auto" w:before="13"/>
                      <w:ind w:left="0" w:right="0" w:firstLine="0"/>
                      <w:jc w:val="both"/>
                      <w:rPr>
                        <w:rFonts w:ascii="Calibri" w:hAnsi="Calibri"/>
                        <w:sz w:val="20"/>
                      </w:rPr>
                    </w:pPr>
                    <w:r>
                      <w:rPr>
                        <w:rFonts w:ascii="Calibri" w:hAnsi="Calibri"/>
                        <w:color w:val="585858"/>
                        <w:sz w:val="20"/>
                      </w:rPr>
                      <w:t>María Cruz López, nunca tuvo acceso a información sobre planificación familiar y salud sexual.</w:t>
                    </w:r>
                  </w:p>
                  <w:p>
                    <w:pPr>
                      <w:spacing w:line="240" w:lineRule="exact" w:before="10"/>
                      <w:ind w:left="0" w:right="0" w:firstLine="0"/>
                      <w:jc w:val="both"/>
                      <w:rPr>
                        <w:rFonts w:ascii="Calibri"/>
                        <w:sz w:val="20"/>
                      </w:rPr>
                    </w:pPr>
                    <w:r>
                      <w:rPr>
                        <w:rFonts w:ascii="Calibri"/>
                        <w:color w:val="585858"/>
                        <w:sz w:val="20"/>
                      </w:rPr>
                      <w:t>El  contexto  social  en  el que</w:t>
                    </w:r>
                  </w:p>
                </w:txbxContent>
              </v:textbox>
              <w10:wrap type="none"/>
            </v:shape>
            <v:shape style="position:absolute;left:1800;top:11296;width:2423;height:1779" type="#_x0000_t202" filled="false" stroked="false">
              <v:textbox inset="0,0,0,0">
                <w:txbxContent>
                  <w:p>
                    <w:pPr>
                      <w:spacing w:line="203" w:lineRule="exact" w:before="0"/>
                      <w:ind w:left="0" w:right="0" w:firstLine="0"/>
                      <w:jc w:val="both"/>
                      <w:rPr>
                        <w:rFonts w:ascii="Calibri" w:hAnsi="Calibri"/>
                        <w:sz w:val="20"/>
                      </w:rPr>
                    </w:pPr>
                    <w:r>
                      <w:rPr>
                        <w:rFonts w:ascii="Calibri" w:hAnsi="Calibri"/>
                        <w:color w:val="585858"/>
                        <w:sz w:val="20"/>
                      </w:rPr>
                      <w:t>María       Cruz       López      se</w:t>
                    </w:r>
                  </w:p>
                  <w:p>
                    <w:pPr>
                      <w:tabs>
                        <w:tab w:pos="1967" w:val="left" w:leader="none"/>
                      </w:tabs>
                      <w:spacing w:line="259" w:lineRule="auto" w:before="17"/>
                      <w:ind w:left="0" w:right="0" w:firstLine="0"/>
                      <w:jc w:val="both"/>
                      <w:rPr>
                        <w:rFonts w:ascii="Calibri" w:hAnsi="Calibri"/>
                        <w:sz w:val="20"/>
                      </w:rPr>
                    </w:pPr>
                    <w:r>
                      <w:rPr>
                        <w:rFonts w:ascii="Calibri" w:hAnsi="Calibri"/>
                        <w:color w:val="585858"/>
                        <w:sz w:val="20"/>
                      </w:rPr>
                      <w:t>desenvuelve, se exalta el rol maternal de las mujeres, consideradas</w:t>
                      <w:tab/>
                    </w:r>
                    <w:r>
                      <w:rPr>
                        <w:rFonts w:ascii="Calibri" w:hAnsi="Calibri"/>
                        <w:color w:val="585858"/>
                        <w:w w:val="95"/>
                        <w:sz w:val="20"/>
                      </w:rPr>
                      <w:t>como </w:t>
                    </w:r>
                    <w:r>
                      <w:rPr>
                        <w:rFonts w:ascii="Calibri" w:hAnsi="Calibri"/>
                        <w:color w:val="585858"/>
                        <w:sz w:val="20"/>
                      </w:rPr>
                      <w:t>necesitadas de protección e incapaces de decidir por sí mismas.</w:t>
                    </w:r>
                  </w:p>
                </w:txbxContent>
              </v:textbox>
              <w10:wrap type="none"/>
            </v:shape>
            <w10:wrap type="none"/>
          </v:group>
        </w:pict>
      </w:r>
    </w:p>
    <w:p>
      <w:pPr>
        <w:pStyle w:val="BodyText"/>
        <w:rPr>
          <w:sz w:val="20"/>
        </w:rPr>
      </w:pPr>
    </w:p>
    <w:p>
      <w:pPr>
        <w:pStyle w:val="BodyText"/>
        <w:spacing w:line="360" w:lineRule="auto" w:before="194"/>
        <w:ind w:left="4509" w:right="165"/>
        <w:jc w:val="both"/>
      </w:pPr>
      <w:r>
        <w:rPr/>
        <w:t>para acreditar que la comisión del delito tiene un</w:t>
      </w:r>
      <w:r>
        <w:rPr>
          <w:spacing w:val="-43"/>
        </w:rPr>
        <w:t> </w:t>
      </w:r>
      <w:r>
        <w:rPr/>
        <w:t>contexto de violencia ejercida en contra de la indiciada lo cual la motivó a realizar la conducta</w:t>
      </w:r>
      <w:r>
        <w:rPr>
          <w:spacing w:val="-10"/>
        </w:rPr>
        <w:t> </w:t>
      </w:r>
      <w:r>
        <w:rPr/>
        <w:t>típica.</w:t>
      </w:r>
    </w:p>
    <w:p>
      <w:pPr>
        <w:pStyle w:val="BodyText"/>
      </w:pPr>
    </w:p>
    <w:p>
      <w:pPr>
        <w:pStyle w:val="BodyText"/>
      </w:pPr>
    </w:p>
    <w:p>
      <w:pPr>
        <w:pStyle w:val="BodyText"/>
        <w:rPr>
          <w:sz w:val="27"/>
        </w:rPr>
      </w:pPr>
    </w:p>
    <w:p>
      <w:pPr>
        <w:pStyle w:val="BodyText"/>
        <w:spacing w:line="360" w:lineRule="auto"/>
        <w:ind w:left="4509" w:right="164"/>
        <w:jc w:val="both"/>
      </w:pPr>
      <w:r>
        <w:rPr/>
        <w:t>Ahora bien, atendiendo a las categorías de construcción de los hechos fácticos propuesta, Hesbert Benavente (2014a) señala que deberá realizarse de la siguiente forma:</w:t>
      </w:r>
    </w:p>
    <w:p>
      <w:pPr>
        <w:pStyle w:val="BodyText"/>
        <w:spacing w:before="9"/>
        <w:rPr>
          <w:sz w:val="17"/>
        </w:rPr>
      </w:pPr>
    </w:p>
    <w:p>
      <w:pPr>
        <w:pStyle w:val="ListParagraph"/>
        <w:numPr>
          <w:ilvl w:val="2"/>
          <w:numId w:val="11"/>
        </w:numPr>
        <w:tabs>
          <w:tab w:pos="4863" w:val="left" w:leader="none"/>
        </w:tabs>
        <w:spacing w:line="360" w:lineRule="auto" w:before="0" w:after="0"/>
        <w:ind w:left="4509" w:right="163" w:firstLine="0"/>
        <w:jc w:val="both"/>
        <w:rPr>
          <w:sz w:val="22"/>
        </w:rPr>
      </w:pPr>
      <w:r>
        <w:rPr>
          <w:sz w:val="22"/>
        </w:rPr>
        <w:t>Construcción selectiva: En esta categoría debemos incluir todos los hechos que nos refieran la violencia de género existente, la discriminación de la indiciada por su condición de ser mujer y las relaciones de poder en las que se encontró inmersa, que pudieran haber inducido a nuestra defendida a cometer la conducta delictiva que se le imputa. En ese sentido, se deben tomar en cuenta los diversos</w:t>
      </w:r>
      <w:r>
        <w:rPr>
          <w:spacing w:val="-12"/>
          <w:sz w:val="22"/>
        </w:rPr>
        <w:t> </w:t>
      </w:r>
      <w:r>
        <w:rPr>
          <w:sz w:val="22"/>
        </w:rPr>
        <w:t>tipos</w:t>
      </w:r>
      <w:r>
        <w:rPr>
          <w:spacing w:val="-12"/>
          <w:sz w:val="22"/>
        </w:rPr>
        <w:t> </w:t>
      </w:r>
      <w:r>
        <w:rPr>
          <w:sz w:val="22"/>
        </w:rPr>
        <w:t>de</w:t>
      </w:r>
      <w:r>
        <w:rPr>
          <w:spacing w:val="-13"/>
          <w:sz w:val="22"/>
        </w:rPr>
        <w:t> </w:t>
      </w:r>
      <w:r>
        <w:rPr>
          <w:sz w:val="22"/>
        </w:rPr>
        <w:t>violencia</w:t>
      </w:r>
      <w:r>
        <w:rPr>
          <w:spacing w:val="-12"/>
          <w:sz w:val="22"/>
        </w:rPr>
        <w:t> </w:t>
      </w:r>
      <w:r>
        <w:rPr>
          <w:sz w:val="22"/>
        </w:rPr>
        <w:t>de</w:t>
      </w:r>
      <w:r>
        <w:rPr>
          <w:spacing w:val="-13"/>
          <w:sz w:val="22"/>
        </w:rPr>
        <w:t> </w:t>
      </w:r>
      <w:r>
        <w:rPr>
          <w:sz w:val="22"/>
        </w:rPr>
        <w:t>género</w:t>
      </w:r>
      <w:r>
        <w:rPr>
          <w:spacing w:val="-12"/>
          <w:sz w:val="22"/>
        </w:rPr>
        <w:t> </w:t>
      </w:r>
      <w:r>
        <w:rPr>
          <w:sz w:val="22"/>
        </w:rPr>
        <w:t>de</w:t>
      </w:r>
      <w:r>
        <w:rPr>
          <w:spacing w:val="-13"/>
          <w:sz w:val="22"/>
        </w:rPr>
        <w:t> </w:t>
      </w:r>
      <w:r>
        <w:rPr>
          <w:sz w:val="22"/>
        </w:rPr>
        <w:t>la</w:t>
      </w:r>
      <w:r>
        <w:rPr>
          <w:spacing w:val="-15"/>
          <w:sz w:val="22"/>
        </w:rPr>
        <w:t> </w:t>
      </w:r>
      <w:r>
        <w:rPr>
          <w:sz w:val="22"/>
        </w:rPr>
        <w:t>que</w:t>
      </w:r>
      <w:r>
        <w:rPr>
          <w:spacing w:val="-15"/>
          <w:sz w:val="22"/>
        </w:rPr>
        <w:t> </w:t>
      </w:r>
      <w:r>
        <w:rPr>
          <w:sz w:val="22"/>
        </w:rPr>
        <w:t>fue</w:t>
      </w:r>
      <w:r>
        <w:rPr>
          <w:spacing w:val="-15"/>
          <w:sz w:val="22"/>
        </w:rPr>
        <w:t> </w:t>
      </w:r>
      <w:r>
        <w:rPr>
          <w:sz w:val="22"/>
        </w:rPr>
        <w:t>víctima nuestra indiciada, si presenta el síndrome de mujer agredida, si el esposo de la indiciada es</w:t>
      </w:r>
      <w:r>
        <w:rPr>
          <w:spacing w:val="-13"/>
          <w:sz w:val="22"/>
        </w:rPr>
        <w:t> </w:t>
      </w:r>
      <w:r>
        <w:rPr>
          <w:sz w:val="22"/>
        </w:rPr>
        <w:t>delincuente.</w:t>
      </w:r>
    </w:p>
    <w:p>
      <w:pPr>
        <w:pStyle w:val="BodyText"/>
        <w:spacing w:line="360" w:lineRule="auto" w:before="3"/>
        <w:ind w:left="4509" w:right="165"/>
        <w:jc w:val="both"/>
      </w:pPr>
      <w:r>
        <w:rPr/>
        <w:t>En el caso de que nuestra defendida previa a la comisión del</w:t>
      </w:r>
      <w:r>
        <w:rPr>
          <w:spacing w:val="-7"/>
        </w:rPr>
        <w:t> </w:t>
      </w:r>
      <w:r>
        <w:rPr/>
        <w:t>delito</w:t>
      </w:r>
      <w:r>
        <w:rPr>
          <w:spacing w:val="-6"/>
        </w:rPr>
        <w:t> </w:t>
      </w:r>
      <w:r>
        <w:rPr/>
        <w:t>e</w:t>
      </w:r>
      <w:r>
        <w:rPr>
          <w:spacing w:val="-9"/>
        </w:rPr>
        <w:t> </w:t>
      </w:r>
      <w:r>
        <w:rPr/>
        <w:t>haya</w:t>
      </w:r>
      <w:r>
        <w:rPr>
          <w:spacing w:val="-6"/>
        </w:rPr>
        <w:t> </w:t>
      </w:r>
      <w:r>
        <w:rPr/>
        <w:t>encontrado</w:t>
      </w:r>
      <w:r>
        <w:rPr>
          <w:spacing w:val="-6"/>
        </w:rPr>
        <w:t> </w:t>
      </w:r>
      <w:r>
        <w:rPr/>
        <w:t>en</w:t>
      </w:r>
      <w:r>
        <w:rPr>
          <w:spacing w:val="-9"/>
        </w:rPr>
        <w:t> </w:t>
      </w:r>
      <w:r>
        <w:rPr/>
        <w:t>una</w:t>
      </w:r>
      <w:r>
        <w:rPr>
          <w:spacing w:val="-9"/>
        </w:rPr>
        <w:t> </w:t>
      </w:r>
      <w:r>
        <w:rPr/>
        <w:t>situación</w:t>
      </w:r>
      <w:r>
        <w:rPr>
          <w:spacing w:val="-9"/>
        </w:rPr>
        <w:t> </w:t>
      </w:r>
      <w:r>
        <w:rPr/>
        <w:t>de</w:t>
      </w:r>
      <w:r>
        <w:rPr>
          <w:spacing w:val="-9"/>
        </w:rPr>
        <w:t> </w:t>
      </w:r>
      <w:r>
        <w:rPr/>
        <w:t>violencia familiar, en la que es víctima de agresión física por parte de su pareja, debemos de tomar muy en cuenta estos datos, y relacionarlos con la comisión del delito, y determinar la conexión entre</w:t>
      </w:r>
      <w:r>
        <w:rPr>
          <w:spacing w:val="-11"/>
        </w:rPr>
        <w:t> </w:t>
      </w:r>
      <w:r>
        <w:rPr/>
        <w:t>estos.</w:t>
      </w:r>
    </w:p>
    <w:p>
      <w:pPr>
        <w:pStyle w:val="BodyText"/>
      </w:pPr>
    </w:p>
    <w:p>
      <w:pPr>
        <w:pStyle w:val="ListParagraph"/>
        <w:numPr>
          <w:ilvl w:val="2"/>
          <w:numId w:val="11"/>
        </w:numPr>
        <w:tabs>
          <w:tab w:pos="4863" w:val="left" w:leader="none"/>
        </w:tabs>
        <w:spacing w:line="360" w:lineRule="auto" w:before="132" w:after="0"/>
        <w:ind w:left="4509" w:right="164" w:firstLine="0"/>
        <w:jc w:val="both"/>
        <w:rPr>
          <w:sz w:val="22"/>
        </w:rPr>
      </w:pPr>
      <w:r>
        <w:rPr>
          <w:sz w:val="22"/>
        </w:rPr>
        <w:t>Construcción</w:t>
      </w:r>
      <w:r>
        <w:rPr>
          <w:spacing w:val="-13"/>
          <w:sz w:val="22"/>
        </w:rPr>
        <w:t> </w:t>
      </w:r>
      <w:r>
        <w:rPr>
          <w:sz w:val="22"/>
        </w:rPr>
        <w:t>semántica</w:t>
      </w:r>
      <w:r>
        <w:rPr>
          <w:spacing w:val="-12"/>
          <w:sz w:val="22"/>
        </w:rPr>
        <w:t> </w:t>
      </w:r>
      <w:r>
        <w:rPr>
          <w:sz w:val="22"/>
        </w:rPr>
        <w:t>del</w:t>
      </w:r>
      <w:r>
        <w:rPr>
          <w:spacing w:val="-11"/>
          <w:sz w:val="22"/>
        </w:rPr>
        <w:t> </w:t>
      </w:r>
      <w:r>
        <w:rPr>
          <w:sz w:val="22"/>
        </w:rPr>
        <w:t>enunciado</w:t>
      </w:r>
      <w:r>
        <w:rPr>
          <w:spacing w:val="-12"/>
          <w:sz w:val="22"/>
        </w:rPr>
        <w:t> </w:t>
      </w:r>
      <w:r>
        <w:rPr>
          <w:sz w:val="22"/>
        </w:rPr>
        <w:t>fáctico:</w:t>
      </w:r>
      <w:r>
        <w:rPr>
          <w:spacing w:val="-12"/>
          <w:sz w:val="22"/>
        </w:rPr>
        <w:t> </w:t>
      </w:r>
      <w:r>
        <w:rPr>
          <w:sz w:val="22"/>
        </w:rPr>
        <w:t>A</w:t>
      </w:r>
      <w:r>
        <w:rPr>
          <w:spacing w:val="-13"/>
          <w:sz w:val="22"/>
        </w:rPr>
        <w:t> </w:t>
      </w:r>
      <w:r>
        <w:rPr>
          <w:sz w:val="22"/>
        </w:rPr>
        <w:t>partir de</w:t>
      </w:r>
      <w:r>
        <w:rPr>
          <w:spacing w:val="-11"/>
          <w:sz w:val="22"/>
        </w:rPr>
        <w:t> </w:t>
      </w:r>
      <w:r>
        <w:rPr>
          <w:sz w:val="22"/>
        </w:rPr>
        <w:t>las</w:t>
      </w:r>
      <w:r>
        <w:rPr>
          <w:spacing w:val="-11"/>
          <w:sz w:val="22"/>
        </w:rPr>
        <w:t> </w:t>
      </w:r>
      <w:r>
        <w:rPr>
          <w:sz w:val="22"/>
        </w:rPr>
        <w:t>reglas</w:t>
      </w:r>
      <w:r>
        <w:rPr>
          <w:spacing w:val="-14"/>
          <w:sz w:val="22"/>
        </w:rPr>
        <w:t> </w:t>
      </w:r>
      <w:r>
        <w:rPr>
          <w:sz w:val="22"/>
        </w:rPr>
        <w:t>del</w:t>
      </w:r>
      <w:r>
        <w:rPr>
          <w:spacing w:val="-12"/>
          <w:sz w:val="22"/>
        </w:rPr>
        <w:t> </w:t>
      </w:r>
      <w:r>
        <w:rPr>
          <w:sz w:val="22"/>
        </w:rPr>
        <w:t>lenguaje,</w:t>
      </w:r>
      <w:r>
        <w:rPr>
          <w:spacing w:val="-10"/>
          <w:sz w:val="22"/>
        </w:rPr>
        <w:t> </w:t>
      </w:r>
      <w:r>
        <w:rPr>
          <w:sz w:val="22"/>
        </w:rPr>
        <w:t>se</w:t>
      </w:r>
      <w:r>
        <w:rPr>
          <w:spacing w:val="-14"/>
          <w:sz w:val="22"/>
        </w:rPr>
        <w:t> </w:t>
      </w:r>
      <w:r>
        <w:rPr>
          <w:sz w:val="22"/>
        </w:rPr>
        <w:t>deberán</w:t>
      </w:r>
      <w:r>
        <w:rPr>
          <w:spacing w:val="-14"/>
          <w:sz w:val="22"/>
        </w:rPr>
        <w:t> </w:t>
      </w:r>
      <w:r>
        <w:rPr>
          <w:sz w:val="22"/>
        </w:rPr>
        <w:t>exponer</w:t>
      </w:r>
      <w:r>
        <w:rPr>
          <w:spacing w:val="-10"/>
          <w:sz w:val="22"/>
        </w:rPr>
        <w:t> </w:t>
      </w:r>
      <w:r>
        <w:rPr>
          <w:sz w:val="22"/>
        </w:rPr>
        <w:t>los</w:t>
      </w:r>
      <w:r>
        <w:rPr>
          <w:spacing w:val="-11"/>
          <w:sz w:val="22"/>
        </w:rPr>
        <w:t> </w:t>
      </w:r>
      <w:r>
        <w:rPr>
          <w:sz w:val="22"/>
        </w:rPr>
        <w:t>hechos de violencia de género y discriminación de las indiciadas, a partir de la descripción y valoración de estos, estableciendo de qué manera, la violencia de género ha tenido</w:t>
      </w:r>
      <w:r>
        <w:rPr>
          <w:spacing w:val="-8"/>
          <w:sz w:val="22"/>
        </w:rPr>
        <w:t> </w:t>
      </w:r>
      <w:r>
        <w:rPr>
          <w:sz w:val="22"/>
        </w:rPr>
        <w:t>influencia</w:t>
      </w:r>
      <w:r>
        <w:rPr>
          <w:spacing w:val="-7"/>
          <w:sz w:val="22"/>
        </w:rPr>
        <w:t> </w:t>
      </w:r>
      <w:r>
        <w:rPr>
          <w:sz w:val="22"/>
        </w:rPr>
        <w:t>en</w:t>
      </w:r>
      <w:r>
        <w:rPr>
          <w:spacing w:val="-8"/>
          <w:sz w:val="22"/>
        </w:rPr>
        <w:t> </w:t>
      </w:r>
      <w:r>
        <w:rPr>
          <w:sz w:val="22"/>
        </w:rPr>
        <w:t>la</w:t>
      </w:r>
      <w:r>
        <w:rPr>
          <w:spacing w:val="-7"/>
          <w:sz w:val="22"/>
        </w:rPr>
        <w:t> </w:t>
      </w:r>
      <w:r>
        <w:rPr>
          <w:sz w:val="22"/>
        </w:rPr>
        <w:t>comisión</w:t>
      </w:r>
      <w:r>
        <w:rPr>
          <w:spacing w:val="-8"/>
          <w:sz w:val="22"/>
        </w:rPr>
        <w:t> </w:t>
      </w:r>
      <w:r>
        <w:rPr>
          <w:sz w:val="22"/>
        </w:rPr>
        <w:t>de</w:t>
      </w:r>
      <w:r>
        <w:rPr>
          <w:spacing w:val="-8"/>
          <w:sz w:val="22"/>
        </w:rPr>
        <w:t> </w:t>
      </w:r>
      <w:r>
        <w:rPr>
          <w:sz w:val="22"/>
        </w:rPr>
        <w:t>la</w:t>
      </w:r>
      <w:r>
        <w:rPr>
          <w:spacing w:val="-7"/>
          <w:sz w:val="22"/>
        </w:rPr>
        <w:t> </w:t>
      </w:r>
      <w:r>
        <w:rPr>
          <w:sz w:val="22"/>
        </w:rPr>
        <w:t>conducta</w:t>
      </w:r>
      <w:r>
        <w:rPr>
          <w:spacing w:val="-9"/>
          <w:sz w:val="22"/>
        </w:rPr>
        <w:t> </w:t>
      </w:r>
      <w:r>
        <w:rPr>
          <w:sz w:val="22"/>
        </w:rPr>
        <w:t>delictiva,</w:t>
      </w:r>
      <w:r>
        <w:rPr>
          <w:spacing w:val="-4"/>
          <w:sz w:val="22"/>
        </w:rPr>
        <w:t> </w:t>
      </w:r>
      <w:r>
        <w:rPr>
          <w:sz w:val="22"/>
        </w:rPr>
        <w:t>y</w:t>
      </w:r>
    </w:p>
    <w:p>
      <w:pPr>
        <w:spacing w:after="0" w:line="360" w:lineRule="auto"/>
        <w:jc w:val="both"/>
        <w:rPr>
          <w:sz w:val="22"/>
        </w:rPr>
        <w:sectPr>
          <w:pgSz w:w="12240" w:h="15840"/>
          <w:pgMar w:header="0" w:footer="0" w:top="760" w:bottom="1200" w:left="380" w:right="1580"/>
        </w:sectPr>
      </w:pPr>
    </w:p>
    <w:p>
      <w:pPr>
        <w:pStyle w:val="BodyText"/>
        <w:rPr>
          <w:sz w:val="20"/>
        </w:rPr>
      </w:pPr>
    </w:p>
    <w:p>
      <w:pPr>
        <w:pStyle w:val="BodyText"/>
        <w:spacing w:before="10"/>
        <w:rPr>
          <w:sz w:val="27"/>
        </w:rPr>
      </w:pPr>
    </w:p>
    <w:p>
      <w:pPr>
        <w:spacing w:after="0"/>
        <w:rPr>
          <w:sz w:val="27"/>
        </w:rPr>
        <w:sectPr>
          <w:pgSz w:w="12240" w:h="15840"/>
          <w:pgMar w:header="0" w:footer="0" w:top="400" w:bottom="1200" w:left="300" w:right="1580"/>
        </w:sectPr>
      </w:pPr>
    </w:p>
    <w:p>
      <w:pPr>
        <w:pStyle w:val="Heading5"/>
        <w:ind w:left="686"/>
        <w:rPr>
          <w:b w:val="0"/>
        </w:rPr>
      </w:pPr>
      <w:r>
        <w:rPr/>
        <w:pict>
          <v:group style="position:absolute;margin-left:20.040001pt;margin-top:19.799999pt;width:201.4pt;height:751.8pt;mso-position-horizontal-relative:page;mso-position-vertical-relative:page;z-index:-96040" coordorigin="401,396" coordsize="4028,15036">
            <v:shape style="position:absolute;left:698;top:396;width:3730;height:15036" type="#_x0000_t75" stroked="false">
              <v:imagedata r:id="rId115" o:title=""/>
            </v:shape>
            <v:shape style="position:absolute;left:703;top:1841;width:3720;height:13298" type="#_x0000_t75" stroked="false">
              <v:imagedata r:id="rId116" o:title=""/>
            </v:shape>
            <v:rect style="position:absolute;left:401;top:396;width:298;height:15036" filled="true" fillcolor="#44536a" stroked="false">
              <v:fill type="solid"/>
            </v:rect>
            <v:shape style="position:absolute;left:401;top:989;width:3862;height:701" coordorigin="401,989" coordsize="3862,701" path="m3912,989l401,989,401,1690,3912,1690,4262,1339,3912,989xe" filled="true" fillcolor="#5b9bd4" stroked="false">
              <v:path arrowok="t"/>
              <v:fill type="solid"/>
            </v:shape>
            <v:shape style="position:absolute;left:410;top:998;width:3667;height:682" type="#_x0000_t75" stroked="false">
              <v:imagedata r:id="rId117" o:title=""/>
            </v:shape>
            <w10:wrap type="none"/>
          </v:group>
        </w:pict>
      </w:r>
      <w:r>
        <w:rPr>
          <w:b w:val="0"/>
          <w:color w:val="FFFFFF"/>
        </w:rPr>
        <w:t>Elaboración de una Teoría</w:t>
      </w:r>
    </w:p>
    <w:p>
      <w:pPr>
        <w:spacing w:before="0"/>
        <w:ind w:left="686" w:right="0" w:firstLine="0"/>
        <w:jc w:val="left"/>
        <w:rPr>
          <w:rFonts w:ascii="Calibri Light"/>
          <w:b w:val="0"/>
          <w:sz w:val="26"/>
        </w:rPr>
      </w:pPr>
      <w:r>
        <w:rPr>
          <w:rFonts w:ascii="Calibri Light"/>
          <w:b w:val="0"/>
          <w:color w:val="FFFFFF"/>
          <w:sz w:val="26"/>
        </w:rPr>
        <w:t>del Caso con Perspectiva</w:t>
      </w:r>
    </w:p>
    <w:p>
      <w:pPr>
        <w:spacing w:before="210"/>
        <w:ind w:left="691" w:right="0" w:firstLine="0"/>
        <w:jc w:val="left"/>
        <w:rPr>
          <w:rFonts w:ascii="Calibri" w:hAnsi="Calibri"/>
          <w:sz w:val="20"/>
        </w:rPr>
      </w:pPr>
      <w:r>
        <w:rPr>
          <w:rFonts w:ascii="Calibri" w:hAnsi="Calibri"/>
          <w:color w:val="585858"/>
          <w:sz w:val="20"/>
        </w:rPr>
        <w:t>Continuación Paso #2…</w:t>
      </w:r>
    </w:p>
    <w:p>
      <w:pPr>
        <w:pStyle w:val="BodyText"/>
        <w:spacing w:before="2"/>
        <w:rPr>
          <w:rFonts w:ascii="Calibri"/>
          <w:sz w:val="19"/>
        </w:rPr>
      </w:pPr>
    </w:p>
    <w:p>
      <w:pPr>
        <w:pStyle w:val="ListParagraph"/>
        <w:numPr>
          <w:ilvl w:val="0"/>
          <w:numId w:val="16"/>
        </w:numPr>
        <w:tabs>
          <w:tab w:pos="1412" w:val="left" w:leader="none"/>
        </w:tabs>
        <w:spacing w:line="259" w:lineRule="auto" w:before="1" w:after="0"/>
        <w:ind w:left="1411" w:right="1" w:hanging="360"/>
        <w:jc w:val="both"/>
        <w:rPr>
          <w:rFonts w:ascii="Calibri" w:hAnsi="Calibri"/>
          <w:sz w:val="20"/>
        </w:rPr>
      </w:pPr>
      <w:r>
        <w:rPr>
          <w:rFonts w:ascii="Calibri" w:hAnsi="Calibri"/>
          <w:color w:val="585858"/>
          <w:sz w:val="20"/>
        </w:rPr>
        <w:t>Varias personas en repetidas ocasiones injuriaron a María, por el hecho de encontrarse embarazada de un hombre que no es su esposo, injurias que causaban perjuicios psicológicos para</w:t>
      </w:r>
      <w:r>
        <w:rPr>
          <w:rFonts w:ascii="Calibri" w:hAnsi="Calibri"/>
          <w:color w:val="585858"/>
          <w:spacing w:val="-12"/>
          <w:sz w:val="20"/>
        </w:rPr>
        <w:t> </w:t>
      </w:r>
      <w:r>
        <w:rPr>
          <w:rFonts w:ascii="Calibri" w:hAnsi="Calibri"/>
          <w:color w:val="585858"/>
          <w:sz w:val="20"/>
        </w:rPr>
        <w:t>María.</w:t>
      </w:r>
    </w:p>
    <w:p>
      <w:pPr>
        <w:pStyle w:val="ListParagraph"/>
        <w:numPr>
          <w:ilvl w:val="0"/>
          <w:numId w:val="16"/>
        </w:numPr>
        <w:tabs>
          <w:tab w:pos="1412" w:val="left" w:leader="none"/>
        </w:tabs>
        <w:spacing w:line="259" w:lineRule="auto" w:before="0" w:after="0"/>
        <w:ind w:left="1411" w:right="0" w:hanging="360"/>
        <w:jc w:val="both"/>
        <w:rPr>
          <w:rFonts w:ascii="Calibri" w:hAnsi="Calibri"/>
          <w:sz w:val="20"/>
        </w:rPr>
      </w:pPr>
      <w:r>
        <w:rPr>
          <w:rFonts w:ascii="Calibri" w:hAnsi="Calibri"/>
          <w:color w:val="585858"/>
          <w:sz w:val="20"/>
        </w:rPr>
        <w:t>María Cruz López ha sido educada a partir de la</w:t>
      </w:r>
      <w:r>
        <w:rPr>
          <w:rFonts w:ascii="Calibri" w:hAnsi="Calibri"/>
          <w:color w:val="585858"/>
          <w:spacing w:val="-12"/>
          <w:sz w:val="20"/>
        </w:rPr>
        <w:t> </w:t>
      </w:r>
      <w:r>
        <w:rPr>
          <w:rFonts w:ascii="Calibri" w:hAnsi="Calibri"/>
          <w:color w:val="585858"/>
          <w:sz w:val="20"/>
        </w:rPr>
        <w:t>religión de</w:t>
      </w:r>
      <w:r>
        <w:rPr>
          <w:rFonts w:ascii="Calibri" w:hAnsi="Calibri"/>
          <w:color w:val="585858"/>
          <w:spacing w:val="-11"/>
          <w:sz w:val="20"/>
        </w:rPr>
        <w:t> </w:t>
      </w:r>
      <w:r>
        <w:rPr>
          <w:rFonts w:ascii="Calibri" w:hAnsi="Calibri"/>
          <w:color w:val="585858"/>
          <w:sz w:val="20"/>
        </w:rPr>
        <w:t>manera</w:t>
      </w:r>
      <w:r>
        <w:rPr>
          <w:rFonts w:ascii="Calibri" w:hAnsi="Calibri"/>
          <w:color w:val="585858"/>
          <w:spacing w:val="-10"/>
          <w:sz w:val="20"/>
        </w:rPr>
        <w:t> </w:t>
      </w:r>
      <w:r>
        <w:rPr>
          <w:rFonts w:ascii="Calibri" w:hAnsi="Calibri"/>
          <w:color w:val="585858"/>
          <w:sz w:val="20"/>
        </w:rPr>
        <w:t>rígida,</w:t>
      </w:r>
      <w:r>
        <w:rPr>
          <w:rFonts w:ascii="Calibri" w:hAnsi="Calibri"/>
          <w:color w:val="585858"/>
          <w:spacing w:val="-10"/>
          <w:sz w:val="20"/>
        </w:rPr>
        <w:t> </w:t>
      </w:r>
      <w:r>
        <w:rPr>
          <w:rFonts w:ascii="Calibri" w:hAnsi="Calibri"/>
          <w:color w:val="585858"/>
          <w:sz w:val="20"/>
        </w:rPr>
        <w:t>en</w:t>
      </w:r>
      <w:r>
        <w:rPr>
          <w:rFonts w:ascii="Calibri" w:hAnsi="Calibri"/>
          <w:color w:val="585858"/>
          <w:spacing w:val="-10"/>
          <w:sz w:val="20"/>
        </w:rPr>
        <w:t> </w:t>
      </w:r>
      <w:r>
        <w:rPr>
          <w:rFonts w:ascii="Calibri" w:hAnsi="Calibri"/>
          <w:color w:val="585858"/>
          <w:sz w:val="20"/>
        </w:rPr>
        <w:t>dónde</w:t>
      </w:r>
      <w:r>
        <w:rPr>
          <w:rFonts w:ascii="Calibri" w:hAnsi="Calibri"/>
          <w:color w:val="585858"/>
          <w:spacing w:val="-11"/>
          <w:sz w:val="20"/>
        </w:rPr>
        <w:t> </w:t>
      </w:r>
      <w:r>
        <w:rPr>
          <w:rFonts w:ascii="Calibri" w:hAnsi="Calibri"/>
          <w:color w:val="585858"/>
          <w:sz w:val="20"/>
        </w:rPr>
        <w:t>se valora a las mujeres con un modo “honesto de</w:t>
      </w:r>
      <w:r>
        <w:rPr>
          <w:rFonts w:ascii="Calibri" w:hAnsi="Calibri"/>
          <w:color w:val="585858"/>
          <w:spacing w:val="-11"/>
          <w:sz w:val="20"/>
        </w:rPr>
        <w:t> </w:t>
      </w:r>
      <w:r>
        <w:rPr>
          <w:rFonts w:ascii="Calibri" w:hAnsi="Calibri"/>
          <w:color w:val="585858"/>
          <w:sz w:val="20"/>
        </w:rPr>
        <w:t>vivir”.</w:t>
      </w:r>
    </w:p>
    <w:p>
      <w:pPr>
        <w:spacing w:before="161"/>
        <w:ind w:left="691" w:right="0" w:firstLine="0"/>
        <w:jc w:val="left"/>
        <w:rPr>
          <w:rFonts w:ascii="Calibri"/>
          <w:sz w:val="20"/>
        </w:rPr>
      </w:pPr>
      <w:r>
        <w:rPr>
          <w:rFonts w:ascii="Calibri"/>
          <w:color w:val="585858"/>
          <w:sz w:val="20"/>
        </w:rPr>
        <w:t>Hechos Principales:</w:t>
      </w:r>
    </w:p>
    <w:p>
      <w:pPr>
        <w:pStyle w:val="BodyText"/>
        <w:spacing w:before="3"/>
        <w:rPr>
          <w:rFonts w:ascii="Calibri"/>
          <w:sz w:val="19"/>
        </w:rPr>
      </w:pPr>
    </w:p>
    <w:p>
      <w:pPr>
        <w:pStyle w:val="ListParagraph"/>
        <w:numPr>
          <w:ilvl w:val="0"/>
          <w:numId w:val="17"/>
        </w:numPr>
        <w:tabs>
          <w:tab w:pos="1412" w:val="left" w:leader="none"/>
        </w:tabs>
        <w:spacing w:line="259" w:lineRule="auto" w:before="1" w:after="0"/>
        <w:ind w:left="1411" w:right="0" w:hanging="360"/>
        <w:jc w:val="both"/>
        <w:rPr>
          <w:rFonts w:ascii="Calibri" w:hAnsi="Calibri"/>
          <w:sz w:val="20"/>
        </w:rPr>
      </w:pPr>
      <w:r>
        <w:rPr>
          <w:rFonts w:ascii="Calibri" w:hAnsi="Calibri"/>
          <w:color w:val="585858"/>
          <w:sz w:val="20"/>
        </w:rPr>
        <w:t>María Cruz López, contaba con nueve meses de embarazo.</w:t>
      </w:r>
    </w:p>
    <w:p>
      <w:pPr>
        <w:pStyle w:val="ListParagraph"/>
        <w:numPr>
          <w:ilvl w:val="0"/>
          <w:numId w:val="17"/>
        </w:numPr>
        <w:tabs>
          <w:tab w:pos="1412" w:val="left" w:leader="none"/>
        </w:tabs>
        <w:spacing w:line="259" w:lineRule="auto" w:before="0" w:after="0"/>
        <w:ind w:left="1411" w:right="1" w:hanging="360"/>
        <w:jc w:val="both"/>
        <w:rPr>
          <w:rFonts w:ascii="Calibri" w:hAnsi="Calibri"/>
          <w:sz w:val="20"/>
        </w:rPr>
      </w:pPr>
      <w:r>
        <w:rPr>
          <w:rFonts w:ascii="Calibri" w:hAnsi="Calibri"/>
          <w:color w:val="585858"/>
          <w:sz w:val="20"/>
        </w:rPr>
        <w:t>María Cruz López priva de la vida a su bebé debido a un traumatismo</w:t>
      </w:r>
      <w:r>
        <w:rPr>
          <w:rFonts w:ascii="Calibri" w:hAnsi="Calibri"/>
          <w:color w:val="585858"/>
          <w:spacing w:val="-10"/>
          <w:sz w:val="20"/>
        </w:rPr>
        <w:t> </w:t>
      </w:r>
      <w:r>
        <w:rPr>
          <w:rFonts w:ascii="Calibri" w:hAnsi="Calibri"/>
          <w:color w:val="585858"/>
          <w:sz w:val="20"/>
        </w:rPr>
        <w:t>encefálico.</w:t>
      </w:r>
    </w:p>
    <w:p>
      <w:pPr>
        <w:pStyle w:val="ListParagraph"/>
        <w:numPr>
          <w:ilvl w:val="0"/>
          <w:numId w:val="17"/>
        </w:numPr>
        <w:tabs>
          <w:tab w:pos="1412" w:val="left" w:leader="none"/>
        </w:tabs>
        <w:spacing w:line="259" w:lineRule="auto" w:before="0" w:after="0"/>
        <w:ind w:left="1411" w:right="1" w:hanging="360"/>
        <w:jc w:val="both"/>
        <w:rPr>
          <w:rFonts w:ascii="Calibri" w:hAnsi="Calibri"/>
          <w:sz w:val="20"/>
        </w:rPr>
      </w:pPr>
      <w:r>
        <w:rPr>
          <w:rFonts w:ascii="Calibri" w:hAnsi="Calibri"/>
          <w:color w:val="585858"/>
          <w:sz w:val="20"/>
        </w:rPr>
        <w:t>María Cruz López, a raíz de la presión social a la que se encontraba sujeta, dado el contexto cultural en el que se encontraba inmersa, decidió privar de la vida al recién nacido.</w:t>
      </w:r>
    </w:p>
    <w:p>
      <w:pPr>
        <w:spacing w:before="161"/>
        <w:ind w:left="1051" w:right="0" w:firstLine="0"/>
        <w:jc w:val="both"/>
        <w:rPr>
          <w:rFonts w:ascii="Calibri"/>
          <w:sz w:val="20"/>
        </w:rPr>
      </w:pPr>
      <w:r>
        <w:rPr>
          <w:rFonts w:ascii="Calibri"/>
          <w:color w:val="585858"/>
          <w:sz w:val="20"/>
        </w:rPr>
        <w:t>Hechos secundarios:</w:t>
      </w:r>
    </w:p>
    <w:p>
      <w:pPr>
        <w:pStyle w:val="BodyText"/>
        <w:spacing w:before="4"/>
        <w:rPr>
          <w:rFonts w:ascii="Calibri"/>
          <w:sz w:val="19"/>
        </w:rPr>
      </w:pPr>
    </w:p>
    <w:p>
      <w:pPr>
        <w:spacing w:line="276" w:lineRule="auto" w:before="0"/>
        <w:ind w:left="1051" w:right="0" w:firstLine="0"/>
        <w:jc w:val="both"/>
        <w:rPr>
          <w:rFonts w:ascii="Calibri" w:hAnsi="Calibri"/>
          <w:sz w:val="20"/>
        </w:rPr>
      </w:pPr>
      <w:r>
        <w:rPr>
          <w:rFonts w:ascii="Calibri" w:hAnsi="Calibri"/>
          <w:color w:val="585858"/>
          <w:sz w:val="20"/>
        </w:rPr>
        <w:t>María Cruz López era víctima de los estereotipos de género, arraigados en la cultura en la que se encontraba, así mismo la presión económica que ejercía su esposo la orilló a actuar de la forma en la que lo hizo. La tacha social que sufría por parte de los habitantes de la población que constantemente ejercían</w:t>
      </w:r>
      <w:r>
        <w:rPr>
          <w:rFonts w:ascii="Calibri" w:hAnsi="Calibri"/>
          <w:color w:val="585858"/>
          <w:spacing w:val="-22"/>
          <w:sz w:val="20"/>
        </w:rPr>
        <w:t> </w:t>
      </w:r>
      <w:r>
        <w:rPr>
          <w:rFonts w:ascii="Calibri" w:hAnsi="Calibri"/>
          <w:color w:val="585858"/>
          <w:sz w:val="20"/>
        </w:rPr>
        <w:t>violencia de manera verbal en contra de ella, ocasionaron que María Cruz López, privara de la vida al recién nacido, a fin de “ocultar su deshonra”.</w:t>
      </w:r>
    </w:p>
    <w:p>
      <w:pPr>
        <w:pStyle w:val="BodyText"/>
        <w:rPr>
          <w:rFonts w:ascii="Calibri"/>
        </w:rPr>
      </w:pPr>
      <w:r>
        <w:rPr/>
        <w:br w:type="column"/>
      </w:r>
      <w:r>
        <w:rPr>
          <w:rFonts w:ascii="Calibri"/>
        </w:rPr>
      </w:r>
    </w:p>
    <w:p>
      <w:pPr>
        <w:pStyle w:val="BodyText"/>
        <w:spacing w:line="360" w:lineRule="auto" w:before="195"/>
        <w:ind w:left="625" w:right="164"/>
        <w:jc w:val="both"/>
      </w:pPr>
      <w:r>
        <w:rPr/>
        <w:t>por qué es necesario tomar en consideración las circunstancias</w:t>
      </w:r>
      <w:r>
        <w:rPr>
          <w:spacing w:val="-8"/>
        </w:rPr>
        <w:t> </w:t>
      </w:r>
      <w:r>
        <w:rPr/>
        <w:t>de</w:t>
      </w:r>
      <w:r>
        <w:rPr>
          <w:spacing w:val="-10"/>
        </w:rPr>
        <w:t> </w:t>
      </w:r>
      <w:r>
        <w:rPr/>
        <w:t>discriminación</w:t>
      </w:r>
      <w:r>
        <w:rPr>
          <w:spacing w:val="-8"/>
        </w:rPr>
        <w:t> </w:t>
      </w:r>
      <w:r>
        <w:rPr/>
        <w:t>por</w:t>
      </w:r>
      <w:r>
        <w:rPr>
          <w:spacing w:val="-7"/>
        </w:rPr>
        <w:t> </w:t>
      </w:r>
      <w:r>
        <w:rPr/>
        <w:t>razones</w:t>
      </w:r>
      <w:r>
        <w:rPr>
          <w:spacing w:val="-8"/>
        </w:rPr>
        <w:t> </w:t>
      </w:r>
      <w:r>
        <w:rPr/>
        <w:t>de</w:t>
      </w:r>
      <w:r>
        <w:rPr>
          <w:spacing w:val="-10"/>
        </w:rPr>
        <w:t> </w:t>
      </w:r>
      <w:r>
        <w:rPr/>
        <w:t>género</w:t>
      </w:r>
      <w:r>
        <w:rPr>
          <w:spacing w:val="-8"/>
        </w:rPr>
        <w:t> </w:t>
      </w:r>
      <w:r>
        <w:rPr/>
        <w:t>en el caso</w:t>
      </w:r>
      <w:r>
        <w:rPr>
          <w:spacing w:val="-3"/>
        </w:rPr>
        <w:t> </w:t>
      </w:r>
      <w:r>
        <w:rPr/>
        <w:t>concreto.</w:t>
      </w:r>
    </w:p>
    <w:p>
      <w:pPr>
        <w:pStyle w:val="BodyText"/>
      </w:pPr>
    </w:p>
    <w:p>
      <w:pPr>
        <w:pStyle w:val="ListParagraph"/>
        <w:numPr>
          <w:ilvl w:val="0"/>
          <w:numId w:val="18"/>
        </w:numPr>
        <w:tabs>
          <w:tab w:pos="1067" w:val="left" w:leader="none"/>
        </w:tabs>
        <w:spacing w:line="360" w:lineRule="auto" w:before="129" w:after="0"/>
        <w:ind w:left="625" w:right="165" w:firstLine="0"/>
        <w:jc w:val="both"/>
        <w:rPr>
          <w:sz w:val="22"/>
        </w:rPr>
      </w:pPr>
      <w:r>
        <w:rPr>
          <w:sz w:val="22"/>
        </w:rPr>
        <w:t>Construcción cultural del enunciado fáctico: Nuestros enunciados fácticos se deberán tomar en consideración a partir</w:t>
      </w:r>
      <w:r>
        <w:rPr>
          <w:spacing w:val="-4"/>
          <w:sz w:val="22"/>
        </w:rPr>
        <w:t> </w:t>
      </w:r>
      <w:r>
        <w:rPr>
          <w:sz w:val="22"/>
        </w:rPr>
        <w:t>de</w:t>
      </w:r>
      <w:r>
        <w:rPr>
          <w:spacing w:val="-8"/>
          <w:sz w:val="22"/>
        </w:rPr>
        <w:t> </w:t>
      </w:r>
      <w:r>
        <w:rPr>
          <w:sz w:val="22"/>
        </w:rPr>
        <w:t>la</w:t>
      </w:r>
      <w:r>
        <w:rPr>
          <w:spacing w:val="-5"/>
          <w:sz w:val="22"/>
        </w:rPr>
        <w:t> </w:t>
      </w:r>
      <w:r>
        <w:rPr>
          <w:sz w:val="22"/>
        </w:rPr>
        <w:t>construcción</w:t>
      </w:r>
      <w:r>
        <w:rPr>
          <w:spacing w:val="-8"/>
          <w:sz w:val="22"/>
        </w:rPr>
        <w:t> </w:t>
      </w:r>
      <w:r>
        <w:rPr>
          <w:sz w:val="22"/>
        </w:rPr>
        <w:t>cultural</w:t>
      </w:r>
      <w:r>
        <w:rPr>
          <w:spacing w:val="-8"/>
          <w:sz w:val="22"/>
        </w:rPr>
        <w:t> </w:t>
      </w:r>
      <w:r>
        <w:rPr>
          <w:sz w:val="22"/>
        </w:rPr>
        <w:t>que</w:t>
      </w:r>
      <w:r>
        <w:rPr>
          <w:spacing w:val="-6"/>
          <w:sz w:val="22"/>
        </w:rPr>
        <w:t> </w:t>
      </w:r>
      <w:r>
        <w:rPr>
          <w:sz w:val="22"/>
        </w:rPr>
        <w:t>se</w:t>
      </w:r>
      <w:r>
        <w:rPr>
          <w:spacing w:val="-5"/>
          <w:sz w:val="22"/>
        </w:rPr>
        <w:t> </w:t>
      </w:r>
      <w:r>
        <w:rPr>
          <w:sz w:val="22"/>
        </w:rPr>
        <w:t>le</w:t>
      </w:r>
      <w:r>
        <w:rPr>
          <w:spacing w:val="-5"/>
          <w:sz w:val="22"/>
        </w:rPr>
        <w:t> </w:t>
      </w:r>
      <w:r>
        <w:rPr>
          <w:sz w:val="22"/>
        </w:rPr>
        <w:t>ha</w:t>
      </w:r>
      <w:r>
        <w:rPr>
          <w:spacing w:val="-6"/>
          <w:sz w:val="22"/>
        </w:rPr>
        <w:t> </w:t>
      </w:r>
      <w:r>
        <w:rPr>
          <w:sz w:val="22"/>
        </w:rPr>
        <w:t>dado</w:t>
      </w:r>
      <w:r>
        <w:rPr>
          <w:spacing w:val="-5"/>
          <w:sz w:val="22"/>
        </w:rPr>
        <w:t> </w:t>
      </w:r>
      <w:r>
        <w:rPr>
          <w:sz w:val="22"/>
        </w:rPr>
        <w:t>al</w:t>
      </w:r>
      <w:r>
        <w:rPr>
          <w:spacing w:val="-6"/>
          <w:sz w:val="22"/>
        </w:rPr>
        <w:t> </w:t>
      </w:r>
      <w:r>
        <w:rPr>
          <w:sz w:val="22"/>
        </w:rPr>
        <w:t>sexo, y</w:t>
      </w:r>
      <w:r>
        <w:rPr>
          <w:spacing w:val="-16"/>
          <w:sz w:val="22"/>
        </w:rPr>
        <w:t> </w:t>
      </w:r>
      <w:r>
        <w:rPr>
          <w:sz w:val="22"/>
        </w:rPr>
        <w:t>que</w:t>
      </w:r>
      <w:r>
        <w:rPr>
          <w:spacing w:val="-16"/>
          <w:sz w:val="22"/>
        </w:rPr>
        <w:t> </w:t>
      </w:r>
      <w:r>
        <w:rPr>
          <w:sz w:val="22"/>
        </w:rPr>
        <w:t>ha</w:t>
      </w:r>
      <w:r>
        <w:rPr>
          <w:spacing w:val="-19"/>
          <w:sz w:val="22"/>
        </w:rPr>
        <w:t> </w:t>
      </w:r>
      <w:r>
        <w:rPr>
          <w:sz w:val="22"/>
        </w:rPr>
        <w:t>traído</w:t>
      </w:r>
      <w:r>
        <w:rPr>
          <w:spacing w:val="-14"/>
          <w:sz w:val="22"/>
        </w:rPr>
        <w:t> </w:t>
      </w:r>
      <w:r>
        <w:rPr>
          <w:sz w:val="22"/>
        </w:rPr>
        <w:t>como</w:t>
      </w:r>
      <w:r>
        <w:rPr>
          <w:spacing w:val="-16"/>
          <w:sz w:val="22"/>
        </w:rPr>
        <w:t> </w:t>
      </w:r>
      <w:r>
        <w:rPr>
          <w:sz w:val="22"/>
        </w:rPr>
        <w:t>consecuencia</w:t>
      </w:r>
      <w:r>
        <w:rPr>
          <w:spacing w:val="-13"/>
          <w:sz w:val="22"/>
        </w:rPr>
        <w:t> </w:t>
      </w:r>
      <w:r>
        <w:rPr>
          <w:sz w:val="22"/>
        </w:rPr>
        <w:t>la</w:t>
      </w:r>
      <w:r>
        <w:rPr>
          <w:spacing w:val="-16"/>
          <w:sz w:val="22"/>
        </w:rPr>
        <w:t> </w:t>
      </w:r>
      <w:r>
        <w:rPr>
          <w:sz w:val="22"/>
        </w:rPr>
        <w:t>discriminación</w:t>
      </w:r>
      <w:r>
        <w:rPr>
          <w:spacing w:val="-14"/>
          <w:sz w:val="22"/>
        </w:rPr>
        <w:t> </w:t>
      </w:r>
      <w:r>
        <w:rPr>
          <w:sz w:val="22"/>
        </w:rPr>
        <w:t>de</w:t>
      </w:r>
      <w:r>
        <w:rPr>
          <w:spacing w:val="-16"/>
          <w:sz w:val="22"/>
        </w:rPr>
        <w:t> </w:t>
      </w:r>
      <w:r>
        <w:rPr>
          <w:sz w:val="22"/>
        </w:rPr>
        <w:t>las mujeres, asimismo, la situación de exclusión social de la que son objetos. Además de tomar en consideración la forma en que ha sido educada nuestra</w:t>
      </w:r>
      <w:r>
        <w:rPr>
          <w:spacing w:val="-12"/>
          <w:sz w:val="22"/>
        </w:rPr>
        <w:t> </w:t>
      </w:r>
      <w:r>
        <w:rPr>
          <w:sz w:val="22"/>
        </w:rPr>
        <w:t>defendida.</w:t>
      </w:r>
    </w:p>
    <w:p>
      <w:pPr>
        <w:pStyle w:val="BodyText"/>
        <w:spacing w:line="276" w:lineRule="auto" w:before="164"/>
        <w:ind w:left="625" w:right="116"/>
        <w:jc w:val="both"/>
      </w:pPr>
      <w:r>
        <w:rPr/>
        <w:t>Es importante que hagamos un análisis de la cultura en la que creció nuestra defendida, y en la que se desenvolvió previa la comisión del delito.</w:t>
      </w:r>
    </w:p>
    <w:p>
      <w:pPr>
        <w:pStyle w:val="BodyText"/>
      </w:pPr>
    </w:p>
    <w:p>
      <w:pPr>
        <w:pStyle w:val="BodyText"/>
        <w:spacing w:before="4"/>
        <w:rPr>
          <w:sz w:val="28"/>
        </w:rPr>
      </w:pPr>
    </w:p>
    <w:p>
      <w:pPr>
        <w:pStyle w:val="ListParagraph"/>
        <w:numPr>
          <w:ilvl w:val="0"/>
          <w:numId w:val="18"/>
        </w:numPr>
        <w:tabs>
          <w:tab w:pos="1067" w:val="left" w:leader="none"/>
        </w:tabs>
        <w:spacing w:line="360" w:lineRule="auto" w:before="0" w:after="0"/>
        <w:ind w:left="625" w:right="164" w:firstLine="0"/>
        <w:jc w:val="both"/>
        <w:rPr>
          <w:sz w:val="22"/>
        </w:rPr>
      </w:pPr>
      <w:r>
        <w:rPr>
          <w:sz w:val="22"/>
        </w:rPr>
        <w:t>Construcción social del enunciado fáctico: En esta categoría</w:t>
      </w:r>
      <w:r>
        <w:rPr>
          <w:spacing w:val="-12"/>
          <w:sz w:val="22"/>
        </w:rPr>
        <w:t> </w:t>
      </w:r>
      <w:r>
        <w:rPr>
          <w:sz w:val="22"/>
        </w:rPr>
        <w:t>se</w:t>
      </w:r>
      <w:r>
        <w:rPr>
          <w:spacing w:val="-12"/>
          <w:sz w:val="22"/>
        </w:rPr>
        <w:t> </w:t>
      </w:r>
      <w:r>
        <w:rPr>
          <w:sz w:val="22"/>
        </w:rPr>
        <w:t>utiliza</w:t>
      </w:r>
      <w:r>
        <w:rPr>
          <w:spacing w:val="-12"/>
          <w:sz w:val="22"/>
        </w:rPr>
        <w:t> </w:t>
      </w:r>
      <w:r>
        <w:rPr>
          <w:sz w:val="22"/>
        </w:rPr>
        <w:t>el</w:t>
      </w:r>
      <w:r>
        <w:rPr>
          <w:spacing w:val="-13"/>
          <w:sz w:val="22"/>
        </w:rPr>
        <w:t> </w:t>
      </w:r>
      <w:r>
        <w:rPr>
          <w:sz w:val="22"/>
        </w:rPr>
        <w:t>contexto</w:t>
      </w:r>
      <w:r>
        <w:rPr>
          <w:spacing w:val="-12"/>
          <w:sz w:val="22"/>
        </w:rPr>
        <w:t> </w:t>
      </w:r>
      <w:r>
        <w:rPr>
          <w:sz w:val="22"/>
        </w:rPr>
        <w:t>social</w:t>
      </w:r>
      <w:r>
        <w:rPr>
          <w:spacing w:val="-13"/>
          <w:sz w:val="22"/>
        </w:rPr>
        <w:t> </w:t>
      </w:r>
      <w:r>
        <w:rPr>
          <w:sz w:val="22"/>
        </w:rPr>
        <w:t>de</w:t>
      </w:r>
      <w:r>
        <w:rPr>
          <w:spacing w:val="-15"/>
          <w:sz w:val="22"/>
        </w:rPr>
        <w:t> </w:t>
      </w:r>
      <w:r>
        <w:rPr>
          <w:sz w:val="22"/>
        </w:rPr>
        <w:t>discriminación</w:t>
      </w:r>
      <w:r>
        <w:rPr>
          <w:spacing w:val="-15"/>
          <w:sz w:val="22"/>
        </w:rPr>
        <w:t> </w:t>
      </w:r>
      <w:r>
        <w:rPr>
          <w:sz w:val="22"/>
        </w:rPr>
        <w:t>que sufren las mujeres y de manera particular la indiciada, como la explicación de ciertos hechos que no pueden ser explicados a partir de la referencia empírica o</w:t>
      </w:r>
      <w:r>
        <w:rPr>
          <w:spacing w:val="-20"/>
          <w:sz w:val="22"/>
        </w:rPr>
        <w:t> </w:t>
      </w:r>
      <w:r>
        <w:rPr>
          <w:sz w:val="22"/>
        </w:rPr>
        <w:t>material.</w:t>
      </w:r>
    </w:p>
    <w:p>
      <w:pPr>
        <w:pStyle w:val="BodyText"/>
        <w:spacing w:line="360" w:lineRule="auto" w:before="166"/>
        <w:ind w:left="625" w:right="164"/>
        <w:jc w:val="both"/>
      </w:pPr>
      <w:r>
        <w:rPr/>
        <w:t>Para</w:t>
      </w:r>
      <w:r>
        <w:rPr>
          <w:spacing w:val="-14"/>
        </w:rPr>
        <w:t> </w:t>
      </w:r>
      <w:r>
        <w:rPr/>
        <w:t>que</w:t>
      </w:r>
      <w:r>
        <w:rPr>
          <w:spacing w:val="-15"/>
        </w:rPr>
        <w:t> </w:t>
      </w:r>
      <w:r>
        <w:rPr/>
        <w:t>podamos</w:t>
      </w:r>
      <w:r>
        <w:rPr>
          <w:spacing w:val="-15"/>
        </w:rPr>
        <w:t> </w:t>
      </w:r>
      <w:r>
        <w:rPr/>
        <w:t>obtener</w:t>
      </w:r>
      <w:r>
        <w:rPr>
          <w:spacing w:val="-14"/>
        </w:rPr>
        <w:t> </w:t>
      </w:r>
      <w:r>
        <w:rPr/>
        <w:t>todos</w:t>
      </w:r>
      <w:r>
        <w:rPr>
          <w:spacing w:val="-15"/>
        </w:rPr>
        <w:t> </w:t>
      </w:r>
      <w:r>
        <w:rPr/>
        <w:t>y</w:t>
      </w:r>
      <w:r>
        <w:rPr>
          <w:spacing w:val="-15"/>
        </w:rPr>
        <w:t> </w:t>
      </w:r>
      <w:r>
        <w:rPr/>
        <w:t>cada</w:t>
      </w:r>
      <w:r>
        <w:rPr>
          <w:spacing w:val="-15"/>
        </w:rPr>
        <w:t> </w:t>
      </w:r>
      <w:r>
        <w:rPr/>
        <w:t>uno</w:t>
      </w:r>
      <w:r>
        <w:rPr>
          <w:spacing w:val="-15"/>
        </w:rPr>
        <w:t> </w:t>
      </w:r>
      <w:r>
        <w:rPr/>
        <w:t>de</w:t>
      </w:r>
      <w:r>
        <w:rPr>
          <w:spacing w:val="-15"/>
        </w:rPr>
        <w:t> </w:t>
      </w:r>
      <w:r>
        <w:rPr/>
        <w:t>los</w:t>
      </w:r>
      <w:r>
        <w:rPr>
          <w:spacing w:val="-12"/>
        </w:rPr>
        <w:t> </w:t>
      </w:r>
      <w:r>
        <w:rPr/>
        <w:t>hechos que refieran situaciones de violencia de género y discriminación en contra de las indiciadas se propone, analizar</w:t>
      </w:r>
      <w:r>
        <w:rPr>
          <w:spacing w:val="-7"/>
        </w:rPr>
        <w:t> </w:t>
      </w:r>
      <w:r>
        <w:rPr/>
        <w:t>los</w:t>
      </w:r>
      <w:r>
        <w:rPr>
          <w:spacing w:val="-7"/>
        </w:rPr>
        <w:t> </w:t>
      </w:r>
      <w:r>
        <w:rPr/>
        <w:t>hechos</w:t>
      </w:r>
      <w:r>
        <w:rPr>
          <w:spacing w:val="-9"/>
        </w:rPr>
        <w:t> </w:t>
      </w:r>
      <w:r>
        <w:rPr/>
        <w:t>a</w:t>
      </w:r>
      <w:r>
        <w:rPr>
          <w:spacing w:val="-10"/>
        </w:rPr>
        <w:t> </w:t>
      </w:r>
      <w:r>
        <w:rPr/>
        <w:t>partir</w:t>
      </w:r>
      <w:r>
        <w:rPr>
          <w:spacing w:val="-6"/>
        </w:rPr>
        <w:t> </w:t>
      </w:r>
      <w:r>
        <w:rPr/>
        <w:t>de</w:t>
      </w:r>
      <w:r>
        <w:rPr>
          <w:spacing w:val="-7"/>
        </w:rPr>
        <w:t> </w:t>
      </w:r>
      <w:r>
        <w:rPr/>
        <w:t>las</w:t>
      </w:r>
      <w:r>
        <w:rPr>
          <w:spacing w:val="-10"/>
        </w:rPr>
        <w:t> </w:t>
      </w:r>
      <w:r>
        <w:rPr/>
        <w:t>siguientes</w:t>
      </w:r>
      <w:r>
        <w:rPr>
          <w:spacing w:val="-10"/>
        </w:rPr>
        <w:t> </w:t>
      </w:r>
      <w:r>
        <w:rPr/>
        <w:t>herramientas:</w:t>
      </w:r>
    </w:p>
    <w:p>
      <w:pPr>
        <w:pStyle w:val="BodyText"/>
        <w:spacing w:before="7"/>
        <w:rPr>
          <w:sz w:val="17"/>
        </w:rPr>
      </w:pPr>
    </w:p>
    <w:p>
      <w:pPr>
        <w:pStyle w:val="ListParagraph"/>
        <w:numPr>
          <w:ilvl w:val="0"/>
          <w:numId w:val="19"/>
        </w:numPr>
        <w:tabs>
          <w:tab w:pos="1067" w:val="left" w:leader="none"/>
        </w:tabs>
        <w:spacing w:line="360" w:lineRule="auto" w:before="0" w:after="0"/>
        <w:ind w:left="625" w:right="165" w:firstLine="0"/>
        <w:jc w:val="both"/>
        <w:rPr>
          <w:sz w:val="22"/>
        </w:rPr>
      </w:pPr>
      <w:r>
        <w:rPr>
          <w:sz w:val="22"/>
        </w:rPr>
        <w:t>La herramienta de detección de violencia, emitida por el</w:t>
      </w:r>
      <w:r>
        <w:rPr>
          <w:spacing w:val="-7"/>
          <w:sz w:val="22"/>
        </w:rPr>
        <w:t> </w:t>
      </w:r>
      <w:r>
        <w:rPr>
          <w:sz w:val="22"/>
        </w:rPr>
        <w:t>programa</w:t>
      </w:r>
      <w:r>
        <w:rPr>
          <w:spacing w:val="-9"/>
          <w:sz w:val="22"/>
        </w:rPr>
        <w:t> </w:t>
      </w:r>
      <w:r>
        <w:rPr>
          <w:sz w:val="22"/>
        </w:rPr>
        <w:t>de</w:t>
      </w:r>
      <w:r>
        <w:rPr>
          <w:spacing w:val="-9"/>
          <w:sz w:val="22"/>
        </w:rPr>
        <w:t> </w:t>
      </w:r>
      <w:r>
        <w:rPr>
          <w:sz w:val="22"/>
        </w:rPr>
        <w:t>atención</w:t>
      </w:r>
      <w:r>
        <w:rPr>
          <w:spacing w:val="-9"/>
          <w:sz w:val="22"/>
        </w:rPr>
        <w:t> </w:t>
      </w:r>
      <w:r>
        <w:rPr>
          <w:sz w:val="22"/>
        </w:rPr>
        <w:t>y</w:t>
      </w:r>
      <w:r>
        <w:rPr>
          <w:spacing w:val="-8"/>
          <w:sz w:val="22"/>
        </w:rPr>
        <w:t> </w:t>
      </w:r>
      <w:r>
        <w:rPr>
          <w:sz w:val="22"/>
        </w:rPr>
        <w:t>prevención</w:t>
      </w:r>
      <w:r>
        <w:rPr>
          <w:spacing w:val="-7"/>
          <w:sz w:val="22"/>
        </w:rPr>
        <w:t> </w:t>
      </w:r>
      <w:r>
        <w:rPr>
          <w:sz w:val="22"/>
        </w:rPr>
        <w:t>de</w:t>
      </w:r>
      <w:r>
        <w:rPr>
          <w:spacing w:val="-7"/>
          <w:sz w:val="22"/>
        </w:rPr>
        <w:t> </w:t>
      </w:r>
      <w:r>
        <w:rPr>
          <w:sz w:val="22"/>
        </w:rPr>
        <w:t>violencia</w:t>
      </w:r>
      <w:r>
        <w:rPr>
          <w:spacing w:val="-9"/>
          <w:sz w:val="22"/>
        </w:rPr>
        <w:t> </w:t>
      </w:r>
      <w:r>
        <w:rPr>
          <w:sz w:val="22"/>
        </w:rPr>
        <w:t>familiar, sexual</w:t>
      </w:r>
      <w:r>
        <w:rPr>
          <w:spacing w:val="-11"/>
          <w:sz w:val="22"/>
        </w:rPr>
        <w:t> </w:t>
      </w:r>
      <w:r>
        <w:rPr>
          <w:sz w:val="22"/>
        </w:rPr>
        <w:t>y</w:t>
      </w:r>
      <w:r>
        <w:rPr>
          <w:spacing w:val="-12"/>
          <w:sz w:val="22"/>
        </w:rPr>
        <w:t> </w:t>
      </w:r>
      <w:r>
        <w:rPr>
          <w:sz w:val="22"/>
        </w:rPr>
        <w:t>contra</w:t>
      </w:r>
      <w:r>
        <w:rPr>
          <w:spacing w:val="-10"/>
          <w:sz w:val="22"/>
        </w:rPr>
        <w:t> </w:t>
      </w:r>
      <w:r>
        <w:rPr>
          <w:sz w:val="22"/>
        </w:rPr>
        <w:t>las</w:t>
      </w:r>
      <w:r>
        <w:rPr>
          <w:spacing w:val="-10"/>
          <w:sz w:val="22"/>
        </w:rPr>
        <w:t> </w:t>
      </w:r>
      <w:r>
        <w:rPr>
          <w:sz w:val="22"/>
        </w:rPr>
        <w:t>mujeres.</w:t>
      </w:r>
      <w:r>
        <w:rPr>
          <w:spacing w:val="-9"/>
          <w:sz w:val="22"/>
        </w:rPr>
        <w:t> </w:t>
      </w:r>
      <w:r>
        <w:rPr>
          <w:sz w:val="22"/>
        </w:rPr>
        <w:t>Con</w:t>
      </w:r>
      <w:r>
        <w:rPr>
          <w:spacing w:val="-10"/>
          <w:sz w:val="22"/>
        </w:rPr>
        <w:t> </w:t>
      </w:r>
      <w:r>
        <w:rPr>
          <w:sz w:val="22"/>
        </w:rPr>
        <w:t>la</w:t>
      </w:r>
      <w:r>
        <w:rPr>
          <w:spacing w:val="-12"/>
          <w:sz w:val="22"/>
        </w:rPr>
        <w:t> </w:t>
      </w:r>
      <w:r>
        <w:rPr>
          <w:sz w:val="22"/>
        </w:rPr>
        <w:t>cual</w:t>
      </w:r>
      <w:r>
        <w:rPr>
          <w:spacing w:val="-11"/>
          <w:sz w:val="22"/>
        </w:rPr>
        <w:t> </w:t>
      </w:r>
      <w:r>
        <w:rPr>
          <w:sz w:val="22"/>
        </w:rPr>
        <w:t>se</w:t>
      </w:r>
      <w:r>
        <w:rPr>
          <w:spacing w:val="-10"/>
          <w:sz w:val="22"/>
        </w:rPr>
        <w:t> </w:t>
      </w:r>
      <w:r>
        <w:rPr>
          <w:sz w:val="22"/>
        </w:rPr>
        <w:t>podrán</w:t>
      </w:r>
      <w:r>
        <w:rPr>
          <w:spacing w:val="-13"/>
          <w:sz w:val="22"/>
        </w:rPr>
        <w:t> </w:t>
      </w:r>
      <w:r>
        <w:rPr>
          <w:sz w:val="22"/>
        </w:rPr>
        <w:t>detectar ciertas circunstancias de violencia de género, que pudo haber sufrido nuestra</w:t>
      </w:r>
      <w:r>
        <w:rPr>
          <w:spacing w:val="-11"/>
          <w:sz w:val="22"/>
        </w:rPr>
        <w:t> </w:t>
      </w:r>
      <w:r>
        <w:rPr>
          <w:sz w:val="22"/>
        </w:rPr>
        <w:t>defendida.</w:t>
      </w:r>
    </w:p>
    <w:p>
      <w:pPr>
        <w:pStyle w:val="BodyText"/>
      </w:pPr>
    </w:p>
    <w:p>
      <w:pPr>
        <w:pStyle w:val="ListParagraph"/>
        <w:numPr>
          <w:ilvl w:val="0"/>
          <w:numId w:val="19"/>
        </w:numPr>
        <w:tabs>
          <w:tab w:pos="1067" w:val="left" w:leader="none"/>
        </w:tabs>
        <w:spacing w:line="360" w:lineRule="auto" w:before="130" w:after="0"/>
        <w:ind w:left="625" w:right="165" w:firstLine="0"/>
        <w:jc w:val="both"/>
        <w:rPr>
          <w:sz w:val="22"/>
        </w:rPr>
      </w:pPr>
      <w:r>
        <w:rPr>
          <w:sz w:val="22"/>
        </w:rPr>
        <w:t>El Marco ecológico, el cual es una herramienta para organizar las bases de una investigación en un todo inteligible,</w:t>
      </w:r>
      <w:r>
        <w:rPr>
          <w:spacing w:val="33"/>
          <w:sz w:val="22"/>
        </w:rPr>
        <w:t> </w:t>
      </w:r>
      <w:r>
        <w:rPr>
          <w:sz w:val="22"/>
        </w:rPr>
        <w:t>propuesto</w:t>
      </w:r>
      <w:r>
        <w:rPr>
          <w:spacing w:val="-16"/>
          <w:sz w:val="22"/>
        </w:rPr>
        <w:t> </w:t>
      </w:r>
      <w:r>
        <w:rPr>
          <w:sz w:val="22"/>
        </w:rPr>
        <w:t>por</w:t>
      </w:r>
      <w:r>
        <w:rPr>
          <w:spacing w:val="-15"/>
          <w:sz w:val="22"/>
        </w:rPr>
        <w:t> </w:t>
      </w:r>
      <w:r>
        <w:rPr>
          <w:sz w:val="22"/>
        </w:rPr>
        <w:t>Lori</w:t>
      </w:r>
      <w:r>
        <w:rPr>
          <w:spacing w:val="-17"/>
          <w:sz w:val="22"/>
        </w:rPr>
        <w:t> </w:t>
      </w:r>
      <w:r>
        <w:rPr>
          <w:sz w:val="22"/>
        </w:rPr>
        <w:t>L.</w:t>
      </w:r>
      <w:r>
        <w:rPr>
          <w:spacing w:val="-15"/>
          <w:sz w:val="22"/>
        </w:rPr>
        <w:t> </w:t>
      </w:r>
      <w:r>
        <w:rPr>
          <w:sz w:val="22"/>
        </w:rPr>
        <w:t>Heise</w:t>
      </w:r>
      <w:r>
        <w:rPr>
          <w:spacing w:val="-16"/>
          <w:sz w:val="22"/>
        </w:rPr>
        <w:t> </w:t>
      </w:r>
      <w:r>
        <w:rPr>
          <w:sz w:val="22"/>
        </w:rPr>
        <w:t>(1999),</w:t>
      </w:r>
      <w:r>
        <w:rPr>
          <w:spacing w:val="-17"/>
          <w:sz w:val="22"/>
        </w:rPr>
        <w:t> </w:t>
      </w:r>
      <w:r>
        <w:rPr>
          <w:sz w:val="22"/>
        </w:rPr>
        <w:t>que</w:t>
      </w:r>
      <w:r>
        <w:rPr>
          <w:spacing w:val="-16"/>
          <w:sz w:val="22"/>
        </w:rPr>
        <w:t> </w:t>
      </w:r>
      <w:r>
        <w:rPr>
          <w:sz w:val="22"/>
        </w:rPr>
        <w:t>consiste</w:t>
      </w:r>
    </w:p>
    <w:p>
      <w:pPr>
        <w:spacing w:after="0" w:line="360" w:lineRule="auto"/>
        <w:jc w:val="both"/>
        <w:rPr>
          <w:sz w:val="22"/>
        </w:rPr>
        <w:sectPr>
          <w:type w:val="continuous"/>
          <w:pgSz w:w="12240" w:h="15840"/>
          <w:pgMar w:top="1400" w:bottom="280" w:left="300" w:right="1580"/>
          <w:cols w:num="2" w:equalWidth="0">
            <w:col w:w="3836" w:space="40"/>
            <w:col w:w="6484"/>
          </w:cols>
        </w:sectPr>
      </w:pPr>
    </w:p>
    <w:p>
      <w:pPr>
        <w:pStyle w:val="BodyText"/>
        <w:rPr>
          <w:sz w:val="20"/>
        </w:rPr>
      </w:pPr>
    </w:p>
    <w:p>
      <w:pPr>
        <w:pStyle w:val="BodyText"/>
        <w:rPr>
          <w:sz w:val="20"/>
        </w:rPr>
      </w:pPr>
    </w:p>
    <w:p>
      <w:pPr>
        <w:pStyle w:val="BodyText"/>
        <w:spacing w:before="2"/>
        <w:rPr>
          <w:sz w:val="20"/>
        </w:rPr>
      </w:pPr>
    </w:p>
    <w:p>
      <w:pPr>
        <w:spacing w:after="0"/>
        <w:rPr>
          <w:sz w:val="20"/>
        </w:rPr>
        <w:sectPr>
          <w:footerReference w:type="default" r:id="rId121"/>
          <w:pgSz w:w="12240" w:h="15840"/>
          <w:pgMar w:footer="0" w:header="0" w:top="0" w:bottom="0" w:left="0" w:right="760"/>
        </w:sectPr>
      </w:pPr>
    </w:p>
    <w:p>
      <w:pPr>
        <w:pStyle w:val="Heading5"/>
        <w:ind w:left="585" w:right="568"/>
        <w:jc w:val="both"/>
        <w:rPr>
          <w:b w:val="0"/>
        </w:rPr>
      </w:pPr>
      <w:r>
        <w:rPr>
          <w:b w:val="0"/>
          <w:color w:val="FFFFFF"/>
        </w:rPr>
        <w:t>Elaboración de la Teoría del Caso con Perspectiva de Género</w:t>
      </w:r>
    </w:p>
    <w:p>
      <w:pPr>
        <w:pStyle w:val="BodyText"/>
        <w:spacing w:before="7"/>
        <w:rPr>
          <w:rFonts w:ascii="Calibri Light"/>
          <w:b w:val="0"/>
          <w:sz w:val="19"/>
        </w:rPr>
      </w:pPr>
    </w:p>
    <w:p>
      <w:pPr>
        <w:spacing w:before="0"/>
        <w:ind w:left="590" w:right="0" w:firstLine="0"/>
        <w:jc w:val="both"/>
        <w:rPr>
          <w:rFonts w:ascii="Calibri"/>
          <w:sz w:val="20"/>
        </w:rPr>
      </w:pPr>
      <w:r>
        <w:rPr>
          <w:rFonts w:ascii="Calibri"/>
          <w:color w:val="585858"/>
          <w:sz w:val="20"/>
        </w:rPr>
        <w:t>PASO #3:</w:t>
      </w:r>
    </w:p>
    <w:p>
      <w:pPr>
        <w:pStyle w:val="BodyText"/>
        <w:spacing w:before="3"/>
        <w:rPr>
          <w:rFonts w:ascii="Calibri"/>
          <w:sz w:val="19"/>
        </w:rPr>
      </w:pPr>
    </w:p>
    <w:p>
      <w:pPr>
        <w:spacing w:line="276" w:lineRule="auto" w:before="0"/>
        <w:ind w:left="590" w:right="0" w:firstLine="0"/>
        <w:jc w:val="both"/>
        <w:rPr>
          <w:rFonts w:ascii="Calibri" w:hAnsi="Calibri"/>
          <w:sz w:val="18"/>
        </w:rPr>
      </w:pPr>
      <w:r>
        <w:rPr>
          <w:rFonts w:ascii="Calibri" w:hAnsi="Calibri"/>
          <w:color w:val="585858"/>
          <w:sz w:val="18"/>
        </w:rPr>
        <w:t>TIPICIDAD: Artículo 241. Comete delito de homicidio el que priva de la vida a otro. Artículo 242 fracción III. Al responsable de Homicidio en contra de su cónyuge, concubina, ascendientes, descendientes, consanguíneos en línea recta o hermanos, teniendo conocimiento el inculpado del parentesco se le impondrán de cuarenta a setenta años de prisión y de setecientos a cinco mil días de multa.</w:t>
      </w:r>
    </w:p>
    <w:p>
      <w:pPr>
        <w:pStyle w:val="BodyText"/>
        <w:spacing w:before="5"/>
        <w:rPr>
          <w:rFonts w:ascii="Calibri"/>
          <w:sz w:val="16"/>
        </w:rPr>
      </w:pPr>
    </w:p>
    <w:p>
      <w:pPr>
        <w:spacing w:line="276" w:lineRule="auto" w:before="0"/>
        <w:ind w:left="590" w:right="1" w:firstLine="0"/>
        <w:jc w:val="both"/>
        <w:rPr>
          <w:rFonts w:ascii="Calibri" w:hAnsi="Calibri"/>
          <w:sz w:val="18"/>
        </w:rPr>
      </w:pPr>
      <w:r>
        <w:rPr>
          <w:rFonts w:ascii="Calibri" w:hAnsi="Calibri"/>
          <w:color w:val="585858"/>
          <w:sz w:val="18"/>
        </w:rPr>
        <w:t>María Cruz López tenía nueve meses de embarazo y se encontraba en su casa escogiendo maíz, cuando le dieron ganas de ir al baño y fue en ese momento en el que nació su bebé y lo privo de la vida, y colocó el cadáver en un suéter y removió tierra para colocar el cadáver debajo de la tierra removida.</w:t>
      </w:r>
    </w:p>
    <w:p>
      <w:pPr>
        <w:pStyle w:val="BodyText"/>
        <w:spacing w:before="6"/>
        <w:rPr>
          <w:rFonts w:ascii="Calibri"/>
          <w:sz w:val="16"/>
        </w:rPr>
      </w:pPr>
    </w:p>
    <w:p>
      <w:pPr>
        <w:spacing w:line="276" w:lineRule="auto" w:before="0"/>
        <w:ind w:left="590" w:right="0" w:firstLine="0"/>
        <w:jc w:val="both"/>
        <w:rPr>
          <w:rFonts w:ascii="Calibri" w:hAnsi="Calibri"/>
          <w:sz w:val="18"/>
        </w:rPr>
      </w:pPr>
      <w:r>
        <w:rPr>
          <w:rFonts w:ascii="Calibri" w:hAnsi="Calibri"/>
          <w:color w:val="585858"/>
          <w:sz w:val="18"/>
        </w:rPr>
        <w:t>ANTIJURIDICIDAD: María Cruz López trasgredió la norma del legislador, al afectar el bien jurídico tutelado, esto es la vida del menor.</w:t>
      </w:r>
    </w:p>
    <w:p>
      <w:pPr>
        <w:pStyle w:val="BodyText"/>
        <w:spacing w:before="5"/>
        <w:rPr>
          <w:rFonts w:ascii="Calibri"/>
          <w:sz w:val="16"/>
        </w:rPr>
      </w:pPr>
    </w:p>
    <w:p>
      <w:pPr>
        <w:spacing w:line="276" w:lineRule="auto" w:before="0"/>
        <w:ind w:left="590" w:right="2" w:firstLine="0"/>
        <w:jc w:val="both"/>
        <w:rPr>
          <w:rFonts w:ascii="Calibri" w:hAnsi="Calibri"/>
          <w:sz w:val="18"/>
        </w:rPr>
      </w:pPr>
      <w:r>
        <w:rPr>
          <w:rFonts w:ascii="Calibri" w:hAnsi="Calibri"/>
          <w:color w:val="585858"/>
          <w:sz w:val="18"/>
        </w:rPr>
        <w:t>CULPABILIDAD: María Cruz López sabía del parentesco que tenía con su descendiente y</w:t>
      </w:r>
      <w:r>
        <w:rPr>
          <w:rFonts w:ascii="Calibri" w:hAnsi="Calibri"/>
          <w:color w:val="585858"/>
          <w:spacing w:val="-5"/>
          <w:sz w:val="18"/>
        </w:rPr>
        <w:t> </w:t>
      </w:r>
      <w:r>
        <w:rPr>
          <w:rFonts w:ascii="Calibri" w:hAnsi="Calibri"/>
          <w:color w:val="585858"/>
          <w:sz w:val="18"/>
        </w:rPr>
        <w:t>realizó</w:t>
      </w:r>
      <w:r>
        <w:rPr>
          <w:rFonts w:ascii="Calibri" w:hAnsi="Calibri"/>
          <w:color w:val="585858"/>
          <w:spacing w:val="-4"/>
          <w:sz w:val="18"/>
        </w:rPr>
        <w:t> </w:t>
      </w:r>
      <w:r>
        <w:rPr>
          <w:rFonts w:ascii="Calibri" w:hAnsi="Calibri"/>
          <w:color w:val="585858"/>
          <w:sz w:val="18"/>
        </w:rPr>
        <w:t>todos</w:t>
      </w:r>
      <w:r>
        <w:rPr>
          <w:rFonts w:ascii="Calibri" w:hAnsi="Calibri"/>
          <w:color w:val="585858"/>
          <w:spacing w:val="-6"/>
          <w:sz w:val="18"/>
        </w:rPr>
        <w:t> </w:t>
      </w:r>
      <w:r>
        <w:rPr>
          <w:rFonts w:ascii="Calibri" w:hAnsi="Calibri"/>
          <w:color w:val="585858"/>
          <w:sz w:val="18"/>
        </w:rPr>
        <w:t>los</w:t>
      </w:r>
      <w:r>
        <w:rPr>
          <w:rFonts w:ascii="Calibri" w:hAnsi="Calibri"/>
          <w:color w:val="585858"/>
          <w:spacing w:val="-6"/>
          <w:sz w:val="18"/>
        </w:rPr>
        <w:t> </w:t>
      </w:r>
      <w:r>
        <w:rPr>
          <w:rFonts w:ascii="Calibri" w:hAnsi="Calibri"/>
          <w:color w:val="585858"/>
          <w:sz w:val="18"/>
        </w:rPr>
        <w:t>actos</w:t>
      </w:r>
      <w:r>
        <w:rPr>
          <w:rFonts w:ascii="Calibri" w:hAnsi="Calibri"/>
          <w:color w:val="585858"/>
          <w:spacing w:val="-6"/>
          <w:sz w:val="18"/>
        </w:rPr>
        <w:t> </w:t>
      </w:r>
      <w:r>
        <w:rPr>
          <w:rFonts w:ascii="Calibri" w:hAnsi="Calibri"/>
          <w:color w:val="585858"/>
          <w:sz w:val="18"/>
        </w:rPr>
        <w:t>tendientes</w:t>
      </w:r>
      <w:r>
        <w:rPr>
          <w:rFonts w:ascii="Calibri" w:hAnsi="Calibri"/>
          <w:color w:val="585858"/>
          <w:spacing w:val="-6"/>
          <w:sz w:val="18"/>
        </w:rPr>
        <w:t> </w:t>
      </w:r>
      <w:r>
        <w:rPr>
          <w:rFonts w:ascii="Calibri" w:hAnsi="Calibri"/>
          <w:color w:val="585858"/>
          <w:sz w:val="18"/>
        </w:rPr>
        <w:t>a</w:t>
      </w:r>
      <w:r>
        <w:rPr>
          <w:rFonts w:ascii="Calibri" w:hAnsi="Calibri"/>
          <w:color w:val="585858"/>
          <w:spacing w:val="-5"/>
          <w:sz w:val="18"/>
        </w:rPr>
        <w:t> </w:t>
      </w:r>
      <w:r>
        <w:rPr>
          <w:rFonts w:ascii="Calibri" w:hAnsi="Calibri"/>
          <w:color w:val="585858"/>
          <w:sz w:val="18"/>
        </w:rPr>
        <w:t>privar de la vida al recién</w:t>
      </w:r>
      <w:r>
        <w:rPr>
          <w:rFonts w:ascii="Calibri" w:hAnsi="Calibri"/>
          <w:color w:val="585858"/>
          <w:spacing w:val="-9"/>
          <w:sz w:val="18"/>
        </w:rPr>
        <w:t> </w:t>
      </w:r>
      <w:r>
        <w:rPr>
          <w:rFonts w:ascii="Calibri" w:hAnsi="Calibri"/>
          <w:color w:val="585858"/>
          <w:sz w:val="18"/>
        </w:rPr>
        <w:t>nacido.</w:t>
      </w:r>
    </w:p>
    <w:p>
      <w:pPr>
        <w:pStyle w:val="BodyText"/>
        <w:spacing w:before="3"/>
        <w:rPr>
          <w:rFonts w:ascii="Calibri"/>
          <w:sz w:val="16"/>
        </w:rPr>
      </w:pPr>
    </w:p>
    <w:p>
      <w:pPr>
        <w:spacing w:line="276" w:lineRule="auto" w:before="0"/>
        <w:ind w:left="590" w:right="1" w:firstLine="0"/>
        <w:jc w:val="both"/>
        <w:rPr>
          <w:rFonts w:ascii="Calibri" w:hAnsi="Calibri"/>
          <w:sz w:val="18"/>
        </w:rPr>
      </w:pPr>
      <w:r>
        <w:rPr>
          <w:rFonts w:ascii="Calibri" w:hAnsi="Calibri"/>
          <w:color w:val="585858"/>
          <w:sz w:val="18"/>
        </w:rPr>
        <w:t>AGRAVANTES: El delito de homicidio, se agrava en razón de que María Cruz López ascendiente del menor.</w:t>
      </w:r>
    </w:p>
    <w:p>
      <w:pPr>
        <w:pStyle w:val="BodyText"/>
        <w:spacing w:before="5"/>
        <w:rPr>
          <w:rFonts w:ascii="Calibri"/>
          <w:sz w:val="16"/>
        </w:rPr>
      </w:pPr>
    </w:p>
    <w:p>
      <w:pPr>
        <w:spacing w:before="0"/>
        <w:ind w:left="590" w:right="0" w:firstLine="0"/>
        <w:jc w:val="both"/>
        <w:rPr>
          <w:rFonts w:ascii="Calibri" w:hAnsi="Calibri"/>
          <w:sz w:val="18"/>
        </w:rPr>
      </w:pPr>
      <w:r>
        <w:rPr>
          <w:rFonts w:ascii="Calibri" w:hAnsi="Calibri"/>
          <w:color w:val="585858"/>
          <w:sz w:val="18"/>
        </w:rPr>
        <w:t>CAUSAS  EXCLUYENTES  DE  DELITO: María</w:t>
      </w:r>
    </w:p>
    <w:p>
      <w:pPr>
        <w:spacing w:line="276" w:lineRule="auto" w:before="32"/>
        <w:ind w:left="590" w:right="1" w:firstLine="0"/>
        <w:jc w:val="both"/>
        <w:rPr>
          <w:rFonts w:ascii="Calibri" w:hAnsi="Calibri"/>
          <w:sz w:val="18"/>
        </w:rPr>
      </w:pPr>
      <w:r>
        <w:rPr>
          <w:rFonts w:ascii="Calibri" w:hAnsi="Calibri"/>
          <w:color w:val="585858"/>
          <w:sz w:val="18"/>
        </w:rPr>
        <w:t>Cruz López, al momento de cometer la conducta</w:t>
      </w:r>
      <w:r>
        <w:rPr>
          <w:rFonts w:ascii="Calibri" w:hAnsi="Calibri"/>
          <w:color w:val="585858"/>
          <w:spacing w:val="-13"/>
          <w:sz w:val="18"/>
        </w:rPr>
        <w:t> </w:t>
      </w:r>
      <w:r>
        <w:rPr>
          <w:rFonts w:ascii="Calibri" w:hAnsi="Calibri"/>
          <w:color w:val="585858"/>
          <w:sz w:val="18"/>
        </w:rPr>
        <w:t>delictiva,</w:t>
      </w:r>
      <w:r>
        <w:rPr>
          <w:rFonts w:ascii="Calibri" w:hAnsi="Calibri"/>
          <w:color w:val="585858"/>
          <w:spacing w:val="-12"/>
          <w:sz w:val="18"/>
        </w:rPr>
        <w:t> </w:t>
      </w:r>
      <w:r>
        <w:rPr>
          <w:rFonts w:ascii="Calibri" w:hAnsi="Calibri"/>
          <w:color w:val="585858"/>
          <w:sz w:val="18"/>
        </w:rPr>
        <w:t>no</w:t>
      </w:r>
      <w:r>
        <w:rPr>
          <w:rFonts w:ascii="Calibri" w:hAnsi="Calibri"/>
          <w:color w:val="585858"/>
          <w:spacing w:val="-12"/>
          <w:sz w:val="18"/>
        </w:rPr>
        <w:t> </w:t>
      </w:r>
      <w:r>
        <w:rPr>
          <w:rFonts w:ascii="Calibri" w:hAnsi="Calibri"/>
          <w:color w:val="585858"/>
          <w:sz w:val="18"/>
        </w:rPr>
        <w:t>se</w:t>
      </w:r>
      <w:r>
        <w:rPr>
          <w:rFonts w:ascii="Calibri" w:hAnsi="Calibri"/>
          <w:color w:val="585858"/>
          <w:spacing w:val="-14"/>
          <w:sz w:val="18"/>
        </w:rPr>
        <w:t> </w:t>
      </w:r>
      <w:r>
        <w:rPr>
          <w:rFonts w:ascii="Calibri" w:hAnsi="Calibri"/>
          <w:color w:val="585858"/>
          <w:sz w:val="18"/>
        </w:rPr>
        <w:t>le</w:t>
      </w:r>
      <w:r>
        <w:rPr>
          <w:rFonts w:ascii="Calibri" w:hAnsi="Calibri"/>
          <w:color w:val="585858"/>
          <w:spacing w:val="-14"/>
          <w:sz w:val="18"/>
        </w:rPr>
        <w:t> </w:t>
      </w:r>
      <w:r>
        <w:rPr>
          <w:rFonts w:ascii="Calibri" w:hAnsi="Calibri"/>
          <w:color w:val="585858"/>
          <w:sz w:val="18"/>
        </w:rPr>
        <w:t>podía</w:t>
      </w:r>
      <w:r>
        <w:rPr>
          <w:rFonts w:ascii="Calibri" w:hAnsi="Calibri"/>
          <w:color w:val="585858"/>
          <w:spacing w:val="-10"/>
          <w:sz w:val="18"/>
        </w:rPr>
        <w:t> </w:t>
      </w:r>
      <w:r>
        <w:rPr>
          <w:rFonts w:ascii="Calibri" w:hAnsi="Calibri"/>
          <w:color w:val="585858"/>
          <w:sz w:val="18"/>
        </w:rPr>
        <w:t>exigir</w:t>
      </w:r>
      <w:r>
        <w:rPr>
          <w:rFonts w:ascii="Calibri" w:hAnsi="Calibri"/>
          <w:color w:val="585858"/>
          <w:spacing w:val="-13"/>
          <w:sz w:val="18"/>
        </w:rPr>
        <w:t> </w:t>
      </w:r>
      <w:r>
        <w:rPr>
          <w:rFonts w:ascii="Calibri" w:hAnsi="Calibri"/>
          <w:color w:val="585858"/>
          <w:sz w:val="18"/>
        </w:rPr>
        <w:t>otra conducta, en virtud de que debido a la presión social que sufría y los estereotipos de género de los que era víctima, buscó en todo</w:t>
      </w:r>
      <w:r>
        <w:rPr>
          <w:rFonts w:ascii="Calibri" w:hAnsi="Calibri"/>
          <w:color w:val="585858"/>
          <w:spacing w:val="-10"/>
          <w:sz w:val="18"/>
        </w:rPr>
        <w:t> </w:t>
      </w:r>
      <w:r>
        <w:rPr>
          <w:rFonts w:ascii="Calibri" w:hAnsi="Calibri"/>
          <w:color w:val="585858"/>
          <w:sz w:val="18"/>
        </w:rPr>
        <w:t>momento</w:t>
      </w:r>
      <w:r>
        <w:rPr>
          <w:rFonts w:ascii="Calibri" w:hAnsi="Calibri"/>
          <w:color w:val="585858"/>
          <w:spacing w:val="-10"/>
          <w:sz w:val="18"/>
        </w:rPr>
        <w:t> </w:t>
      </w:r>
      <w:r>
        <w:rPr>
          <w:rFonts w:ascii="Calibri" w:hAnsi="Calibri"/>
          <w:color w:val="585858"/>
          <w:sz w:val="18"/>
        </w:rPr>
        <w:t>proteger</w:t>
      </w:r>
      <w:r>
        <w:rPr>
          <w:rFonts w:ascii="Calibri" w:hAnsi="Calibri"/>
          <w:color w:val="585858"/>
          <w:spacing w:val="-7"/>
          <w:sz w:val="18"/>
        </w:rPr>
        <w:t> </w:t>
      </w:r>
      <w:r>
        <w:rPr>
          <w:rFonts w:ascii="Calibri" w:hAnsi="Calibri"/>
          <w:color w:val="585858"/>
          <w:sz w:val="18"/>
        </w:rPr>
        <w:t>su</w:t>
      </w:r>
      <w:r>
        <w:rPr>
          <w:rFonts w:ascii="Calibri" w:hAnsi="Calibri"/>
          <w:color w:val="585858"/>
          <w:spacing w:val="-9"/>
          <w:sz w:val="18"/>
        </w:rPr>
        <w:t> </w:t>
      </w:r>
      <w:r>
        <w:rPr>
          <w:rFonts w:ascii="Calibri" w:hAnsi="Calibri"/>
          <w:color w:val="585858"/>
          <w:sz w:val="18"/>
        </w:rPr>
        <w:t>honorabilidad</w:t>
      </w:r>
      <w:r>
        <w:rPr>
          <w:rFonts w:ascii="Calibri" w:hAnsi="Calibri"/>
          <w:color w:val="585858"/>
          <w:spacing w:val="-11"/>
          <w:sz w:val="18"/>
        </w:rPr>
        <w:t> </w:t>
      </w:r>
      <w:r>
        <w:rPr>
          <w:rFonts w:ascii="Calibri" w:hAnsi="Calibri"/>
          <w:color w:val="585858"/>
          <w:sz w:val="18"/>
        </w:rPr>
        <w:t>y su honra como mujer, tal y como fue educada a lo largo de su vida por la cultura y la</w:t>
      </w:r>
      <w:r>
        <w:rPr>
          <w:rFonts w:ascii="Calibri" w:hAnsi="Calibri"/>
          <w:color w:val="585858"/>
          <w:spacing w:val="-8"/>
          <w:sz w:val="18"/>
        </w:rPr>
        <w:t> </w:t>
      </w:r>
      <w:r>
        <w:rPr>
          <w:rFonts w:ascii="Calibri" w:hAnsi="Calibri"/>
          <w:color w:val="585858"/>
          <w:sz w:val="18"/>
        </w:rPr>
        <w:t>religión.</w:t>
      </w:r>
    </w:p>
    <w:p>
      <w:pPr>
        <w:pStyle w:val="BodyText"/>
        <w:rPr>
          <w:rFonts w:ascii="Calibri"/>
        </w:rPr>
      </w:pPr>
      <w:r>
        <w:rPr/>
        <w:br w:type="column"/>
      </w:r>
      <w:r>
        <w:rPr>
          <w:rFonts w:ascii="Calibri"/>
        </w:rPr>
      </w:r>
    </w:p>
    <w:p>
      <w:pPr>
        <w:pStyle w:val="BodyText"/>
        <w:rPr>
          <w:rFonts w:ascii="Calibri"/>
        </w:rPr>
      </w:pPr>
    </w:p>
    <w:p>
      <w:pPr>
        <w:pStyle w:val="BodyText"/>
        <w:spacing w:line="360" w:lineRule="auto" w:before="185"/>
        <w:ind w:left="585" w:right="984"/>
        <w:jc w:val="both"/>
      </w:pPr>
      <w:r>
        <w:rPr/>
        <w:t>en establecer cuales factores emergen para establecer el abuso en cada nivel de ecología social (Heise, 1999), ésta herramienta es muy útil para la investigación de la historia de vida de las indiciadas, y que nos permitirá determinar de una manera integral todos y cada uno de los factores que han intervenido</w:t>
      </w:r>
      <w:r>
        <w:rPr>
          <w:spacing w:val="-6"/>
        </w:rPr>
        <w:t> </w:t>
      </w:r>
      <w:r>
        <w:rPr/>
        <w:t>en</w:t>
      </w:r>
      <w:r>
        <w:rPr>
          <w:spacing w:val="-6"/>
        </w:rPr>
        <w:t> </w:t>
      </w:r>
      <w:r>
        <w:rPr/>
        <w:t>los</w:t>
      </w:r>
      <w:r>
        <w:rPr>
          <w:spacing w:val="-5"/>
        </w:rPr>
        <w:t> </w:t>
      </w:r>
      <w:r>
        <w:rPr/>
        <w:t>diversos</w:t>
      </w:r>
      <w:r>
        <w:rPr>
          <w:spacing w:val="-5"/>
        </w:rPr>
        <w:t> </w:t>
      </w:r>
      <w:r>
        <w:rPr/>
        <w:t>niveles</w:t>
      </w:r>
      <w:r>
        <w:rPr>
          <w:spacing w:val="-5"/>
        </w:rPr>
        <w:t> </w:t>
      </w:r>
      <w:r>
        <w:rPr/>
        <w:t>de</w:t>
      </w:r>
      <w:r>
        <w:rPr>
          <w:spacing w:val="-6"/>
        </w:rPr>
        <w:t> </w:t>
      </w:r>
      <w:r>
        <w:rPr/>
        <w:t>la</w:t>
      </w:r>
      <w:r>
        <w:rPr>
          <w:spacing w:val="-5"/>
        </w:rPr>
        <w:t> </w:t>
      </w:r>
      <w:r>
        <w:rPr/>
        <w:t>sociedad,</w:t>
      </w:r>
      <w:r>
        <w:rPr>
          <w:spacing w:val="-4"/>
        </w:rPr>
        <w:t> </w:t>
      </w:r>
      <w:r>
        <w:rPr/>
        <w:t>y</w:t>
      </w:r>
      <w:r>
        <w:rPr>
          <w:spacing w:val="-7"/>
        </w:rPr>
        <w:t> </w:t>
      </w:r>
      <w:r>
        <w:rPr/>
        <w:t>que</w:t>
      </w:r>
      <w:r>
        <w:rPr>
          <w:spacing w:val="-8"/>
        </w:rPr>
        <w:t> </w:t>
      </w:r>
      <w:r>
        <w:rPr/>
        <w:t>son</w:t>
      </w:r>
      <w:r>
        <w:rPr>
          <w:spacing w:val="-6"/>
        </w:rPr>
        <w:t> </w:t>
      </w:r>
      <w:r>
        <w:rPr/>
        <w:t>la base para la perpetración de conductas violentas, a saber, la historia personal, el microsistema, el exosistema, y el macrosistema.</w:t>
      </w:r>
    </w:p>
    <w:p>
      <w:pPr>
        <w:pStyle w:val="BodyText"/>
      </w:pPr>
    </w:p>
    <w:p>
      <w:pPr>
        <w:pStyle w:val="ListParagraph"/>
        <w:numPr>
          <w:ilvl w:val="0"/>
          <w:numId w:val="19"/>
        </w:numPr>
        <w:tabs>
          <w:tab w:pos="1427" w:val="left" w:leader="none"/>
          <w:tab w:pos="1428" w:val="left" w:leader="none"/>
        </w:tabs>
        <w:spacing w:line="360" w:lineRule="auto" w:before="132" w:after="0"/>
        <w:ind w:left="585" w:right="987" w:firstLine="0"/>
        <w:jc w:val="both"/>
        <w:rPr>
          <w:sz w:val="22"/>
        </w:rPr>
      </w:pPr>
      <w:r>
        <w:rPr/>
        <w:pict>
          <v:group style="position:absolute;margin-left:228.345001pt;margin-top:64.372856pt;width:340.6pt;height:434.55pt;mso-position-horizontal-relative:page;mso-position-vertical-relative:paragraph;z-index:-95992" coordorigin="4567,1287" coordsize="6812,8691">
            <v:shape style="position:absolute;left:4574;top:1295;width:6797;height:8676" type="#_x0000_t75" stroked="false">
              <v:imagedata r:id="rId122" o:title=""/>
            </v:shape>
            <v:rect style="position:absolute;left:4574;top:1295;width:6797;height:8676" filled="false" stroked="true" strokeweight=".72pt" strokecolor="#000000"/>
            <w10:wrap type="none"/>
          </v:group>
        </w:pict>
      </w:r>
      <w:r>
        <w:rPr>
          <w:sz w:val="22"/>
        </w:rPr>
        <w:t>La herramienta de análisis, propuesta por la Criminología Crítica, referente a los controles informales ejercido en contra de las</w:t>
      </w:r>
      <w:r>
        <w:rPr>
          <w:spacing w:val="-8"/>
          <w:sz w:val="22"/>
        </w:rPr>
        <w:t> </w:t>
      </w:r>
      <w:r>
        <w:rPr>
          <w:sz w:val="22"/>
        </w:rPr>
        <w:t>mujeres.</w:t>
      </w:r>
    </w:p>
    <w:p>
      <w:pPr>
        <w:pStyle w:val="Heading6"/>
        <w:spacing w:line="276" w:lineRule="auto" w:before="108"/>
        <w:ind w:left="1174" w:right="529" w:firstLine="0"/>
        <w:jc w:val="center"/>
        <w:rPr>
          <w:rFonts w:ascii="Calibri" w:hAnsi="Calibri"/>
        </w:rPr>
      </w:pPr>
      <w:r>
        <w:rPr>
          <w:rFonts w:ascii="Calibri" w:hAnsi="Calibri"/>
        </w:rPr>
        <w:t>PARA DIRIGIR LA INCORPORACIÓN DE LA PERSPECTICVA DE GÉNERO EN NUESTROS ENUNCIADOS FÁCTICOS, DEBEMOS PLANTEARNOS LAS SIGUIENTES PREGUNTAS</w:t>
      </w:r>
    </w:p>
    <w:p>
      <w:pPr>
        <w:pStyle w:val="Heading8"/>
        <w:spacing w:before="200"/>
      </w:pPr>
      <w:r>
        <w:rPr/>
        <w:t>¿Por qué el caso requiere un análisis de género?</w:t>
      </w:r>
    </w:p>
    <w:p>
      <w:pPr>
        <w:pStyle w:val="BodyText"/>
        <w:spacing w:before="8"/>
        <w:rPr>
          <w:rFonts w:ascii="Calibri"/>
          <w:b/>
          <w:sz w:val="19"/>
        </w:rPr>
      </w:pPr>
    </w:p>
    <w:p>
      <w:pPr>
        <w:spacing w:before="0"/>
        <w:ind w:left="912" w:right="0" w:firstLine="0"/>
        <w:jc w:val="both"/>
        <w:rPr>
          <w:rFonts w:ascii="Calibri" w:hAnsi="Calibri"/>
          <w:b/>
          <w:sz w:val="22"/>
        </w:rPr>
      </w:pPr>
      <w:r>
        <w:rPr>
          <w:rFonts w:ascii="Calibri" w:hAnsi="Calibri"/>
          <w:b/>
          <w:sz w:val="22"/>
        </w:rPr>
        <w:t>¿Cuál es el contexto sociocultural en el que se desarrollan los hechos?</w:t>
      </w:r>
    </w:p>
    <w:p>
      <w:pPr>
        <w:pStyle w:val="BodyText"/>
        <w:spacing w:before="5"/>
        <w:rPr>
          <w:rFonts w:ascii="Calibri"/>
          <w:b/>
          <w:sz w:val="19"/>
        </w:rPr>
      </w:pPr>
    </w:p>
    <w:p>
      <w:pPr>
        <w:spacing w:line="276" w:lineRule="auto" w:before="1"/>
        <w:ind w:left="912" w:right="255" w:firstLine="0"/>
        <w:jc w:val="both"/>
        <w:rPr>
          <w:rFonts w:ascii="Calibri" w:hAnsi="Calibri"/>
          <w:b/>
          <w:sz w:val="22"/>
        </w:rPr>
      </w:pPr>
      <w:r>
        <w:rPr>
          <w:rFonts w:ascii="Calibri" w:hAnsi="Calibri"/>
          <w:b/>
          <w:sz w:val="22"/>
        </w:rPr>
        <w:t>Nuestra</w:t>
      </w:r>
      <w:r>
        <w:rPr>
          <w:rFonts w:ascii="Calibri" w:hAnsi="Calibri"/>
          <w:b/>
          <w:spacing w:val="-11"/>
          <w:sz w:val="22"/>
        </w:rPr>
        <w:t> </w:t>
      </w:r>
      <w:r>
        <w:rPr>
          <w:rFonts w:ascii="Calibri" w:hAnsi="Calibri"/>
          <w:b/>
          <w:sz w:val="22"/>
        </w:rPr>
        <w:t>defendida</w:t>
      </w:r>
      <w:r>
        <w:rPr>
          <w:rFonts w:ascii="Calibri" w:hAnsi="Calibri"/>
          <w:b/>
          <w:spacing w:val="-11"/>
          <w:sz w:val="22"/>
        </w:rPr>
        <w:t> </w:t>
      </w:r>
      <w:r>
        <w:rPr>
          <w:rFonts w:ascii="Calibri" w:hAnsi="Calibri"/>
          <w:b/>
          <w:sz w:val="22"/>
        </w:rPr>
        <w:t>¿se</w:t>
      </w:r>
      <w:r>
        <w:rPr>
          <w:rFonts w:ascii="Calibri" w:hAnsi="Calibri"/>
          <w:b/>
          <w:spacing w:val="-11"/>
          <w:sz w:val="22"/>
        </w:rPr>
        <w:t> </w:t>
      </w:r>
      <w:r>
        <w:rPr>
          <w:rFonts w:ascii="Calibri" w:hAnsi="Calibri"/>
          <w:b/>
          <w:sz w:val="22"/>
        </w:rPr>
        <w:t>encuentra</w:t>
      </w:r>
      <w:r>
        <w:rPr>
          <w:rFonts w:ascii="Calibri" w:hAnsi="Calibri"/>
          <w:b/>
          <w:spacing w:val="-11"/>
          <w:sz w:val="22"/>
        </w:rPr>
        <w:t> </w:t>
      </w:r>
      <w:r>
        <w:rPr>
          <w:rFonts w:ascii="Calibri" w:hAnsi="Calibri"/>
          <w:b/>
          <w:sz w:val="22"/>
        </w:rPr>
        <w:t>en</w:t>
      </w:r>
      <w:r>
        <w:rPr>
          <w:rFonts w:ascii="Calibri" w:hAnsi="Calibri"/>
          <w:b/>
          <w:spacing w:val="-11"/>
          <w:sz w:val="22"/>
        </w:rPr>
        <w:t> </w:t>
      </w:r>
      <w:r>
        <w:rPr>
          <w:rFonts w:ascii="Calibri" w:hAnsi="Calibri"/>
          <w:b/>
          <w:sz w:val="22"/>
        </w:rPr>
        <w:t>situación</w:t>
      </w:r>
      <w:r>
        <w:rPr>
          <w:rFonts w:ascii="Calibri" w:hAnsi="Calibri"/>
          <w:b/>
          <w:spacing w:val="-11"/>
          <w:sz w:val="22"/>
        </w:rPr>
        <w:t> </w:t>
      </w:r>
      <w:r>
        <w:rPr>
          <w:rFonts w:ascii="Calibri" w:hAnsi="Calibri"/>
          <w:b/>
          <w:sz w:val="22"/>
        </w:rPr>
        <w:t>de</w:t>
      </w:r>
      <w:r>
        <w:rPr>
          <w:rFonts w:ascii="Calibri" w:hAnsi="Calibri"/>
          <w:b/>
          <w:spacing w:val="-11"/>
          <w:sz w:val="22"/>
        </w:rPr>
        <w:t> </w:t>
      </w:r>
      <w:r>
        <w:rPr>
          <w:rFonts w:ascii="Calibri" w:hAnsi="Calibri"/>
          <w:b/>
          <w:sz w:val="22"/>
        </w:rPr>
        <w:t>pobreza,</w:t>
      </w:r>
      <w:r>
        <w:rPr>
          <w:rFonts w:ascii="Calibri" w:hAnsi="Calibri"/>
          <w:b/>
          <w:spacing w:val="-12"/>
          <w:sz w:val="22"/>
        </w:rPr>
        <w:t> </w:t>
      </w:r>
      <w:r>
        <w:rPr>
          <w:rFonts w:ascii="Calibri" w:hAnsi="Calibri"/>
          <w:b/>
          <w:sz w:val="22"/>
        </w:rPr>
        <w:t>marginación, vulnerabilidad</w:t>
      </w:r>
      <w:r>
        <w:rPr>
          <w:rFonts w:ascii="Calibri" w:hAnsi="Calibri"/>
          <w:b/>
          <w:spacing w:val="-8"/>
          <w:sz w:val="22"/>
        </w:rPr>
        <w:t> </w:t>
      </w:r>
      <w:r>
        <w:rPr>
          <w:rFonts w:ascii="Calibri" w:hAnsi="Calibri"/>
          <w:b/>
          <w:sz w:val="22"/>
        </w:rPr>
        <w:t>o</w:t>
      </w:r>
      <w:r>
        <w:rPr>
          <w:rFonts w:ascii="Calibri" w:hAnsi="Calibri"/>
          <w:b/>
          <w:spacing w:val="-9"/>
          <w:sz w:val="22"/>
        </w:rPr>
        <w:t> </w:t>
      </w:r>
      <w:r>
        <w:rPr>
          <w:rFonts w:ascii="Calibri" w:hAnsi="Calibri"/>
          <w:b/>
          <w:sz w:val="22"/>
        </w:rPr>
        <w:t>discriminación</w:t>
      </w:r>
      <w:r>
        <w:rPr>
          <w:rFonts w:ascii="Calibri" w:hAnsi="Calibri"/>
          <w:b/>
          <w:spacing w:val="-8"/>
          <w:sz w:val="22"/>
        </w:rPr>
        <w:t> </w:t>
      </w:r>
      <w:r>
        <w:rPr>
          <w:rFonts w:ascii="Calibri" w:hAnsi="Calibri"/>
          <w:b/>
          <w:sz w:val="22"/>
        </w:rPr>
        <w:t>basada</w:t>
      </w:r>
      <w:r>
        <w:rPr>
          <w:rFonts w:ascii="Calibri" w:hAnsi="Calibri"/>
          <w:b/>
          <w:spacing w:val="-9"/>
          <w:sz w:val="22"/>
        </w:rPr>
        <w:t> </w:t>
      </w:r>
      <w:r>
        <w:rPr>
          <w:rFonts w:ascii="Calibri" w:hAnsi="Calibri"/>
          <w:b/>
          <w:sz w:val="22"/>
        </w:rPr>
        <w:t>en</w:t>
      </w:r>
      <w:r>
        <w:rPr>
          <w:rFonts w:ascii="Calibri" w:hAnsi="Calibri"/>
          <w:b/>
          <w:spacing w:val="-8"/>
          <w:sz w:val="22"/>
        </w:rPr>
        <w:t> </w:t>
      </w:r>
      <w:r>
        <w:rPr>
          <w:rFonts w:ascii="Calibri" w:hAnsi="Calibri"/>
          <w:b/>
          <w:sz w:val="22"/>
        </w:rPr>
        <w:t>el</w:t>
      </w:r>
      <w:r>
        <w:rPr>
          <w:rFonts w:ascii="Calibri" w:hAnsi="Calibri"/>
          <w:b/>
          <w:spacing w:val="-7"/>
          <w:sz w:val="22"/>
        </w:rPr>
        <w:t> </w:t>
      </w:r>
      <w:r>
        <w:rPr>
          <w:rFonts w:ascii="Calibri" w:hAnsi="Calibri"/>
          <w:b/>
          <w:sz w:val="22"/>
        </w:rPr>
        <w:t>sexo,</w:t>
      </w:r>
      <w:r>
        <w:rPr>
          <w:rFonts w:ascii="Calibri" w:hAnsi="Calibri"/>
          <w:b/>
          <w:spacing w:val="-7"/>
          <w:sz w:val="22"/>
        </w:rPr>
        <w:t> </w:t>
      </w:r>
      <w:r>
        <w:rPr>
          <w:rFonts w:ascii="Calibri" w:hAnsi="Calibri"/>
          <w:b/>
          <w:sz w:val="22"/>
        </w:rPr>
        <w:t>género</w:t>
      </w:r>
      <w:r>
        <w:rPr>
          <w:rFonts w:ascii="Calibri" w:hAnsi="Calibri"/>
          <w:b/>
          <w:spacing w:val="-9"/>
          <w:sz w:val="22"/>
        </w:rPr>
        <w:t> </w:t>
      </w:r>
      <w:r>
        <w:rPr>
          <w:rFonts w:ascii="Calibri" w:hAnsi="Calibri"/>
          <w:b/>
          <w:sz w:val="22"/>
        </w:rPr>
        <w:t>o</w:t>
      </w:r>
      <w:r>
        <w:rPr>
          <w:rFonts w:ascii="Calibri" w:hAnsi="Calibri"/>
          <w:b/>
          <w:spacing w:val="-9"/>
          <w:sz w:val="22"/>
        </w:rPr>
        <w:t> </w:t>
      </w:r>
      <w:r>
        <w:rPr>
          <w:rFonts w:ascii="Calibri" w:hAnsi="Calibri"/>
          <w:b/>
          <w:sz w:val="22"/>
        </w:rPr>
        <w:t>preferencia sexual?</w:t>
      </w:r>
    </w:p>
    <w:p>
      <w:pPr>
        <w:pStyle w:val="BodyText"/>
        <w:spacing w:before="2"/>
        <w:rPr>
          <w:rFonts w:ascii="Calibri"/>
          <w:b/>
          <w:sz w:val="16"/>
        </w:rPr>
      </w:pPr>
    </w:p>
    <w:p>
      <w:pPr>
        <w:spacing w:before="1"/>
        <w:ind w:left="912" w:right="0" w:firstLine="0"/>
        <w:jc w:val="both"/>
        <w:rPr>
          <w:rFonts w:ascii="Calibri" w:hAnsi="Calibri"/>
          <w:b/>
          <w:sz w:val="22"/>
        </w:rPr>
      </w:pPr>
      <w:r>
        <w:rPr>
          <w:rFonts w:ascii="Calibri" w:hAnsi="Calibri"/>
          <w:b/>
          <w:sz w:val="22"/>
        </w:rPr>
        <w:t>Nuestra defendida ¿se encuentra en una relación asimétrica de poder?</w:t>
      </w:r>
    </w:p>
    <w:p>
      <w:pPr>
        <w:spacing w:before="43"/>
        <w:ind w:left="912" w:right="0" w:firstLine="0"/>
        <w:jc w:val="both"/>
        <w:rPr>
          <w:rFonts w:ascii="Calibri" w:hAnsi="Calibri"/>
          <w:b/>
          <w:sz w:val="22"/>
        </w:rPr>
      </w:pPr>
      <w:r>
        <w:rPr>
          <w:rFonts w:ascii="Calibri" w:hAnsi="Calibri"/>
          <w:b/>
          <w:sz w:val="22"/>
        </w:rPr>
        <w:t>¿Cómo influye ésta relación en la comisión de la conducta delictiva?</w:t>
      </w:r>
    </w:p>
    <w:p>
      <w:pPr>
        <w:pStyle w:val="BodyText"/>
        <w:spacing w:before="5"/>
        <w:rPr>
          <w:rFonts w:ascii="Calibri"/>
          <w:b/>
          <w:sz w:val="19"/>
        </w:rPr>
      </w:pPr>
    </w:p>
    <w:p>
      <w:pPr>
        <w:spacing w:line="276" w:lineRule="auto" w:before="1"/>
        <w:ind w:left="912" w:right="263" w:firstLine="0"/>
        <w:jc w:val="both"/>
        <w:rPr>
          <w:rFonts w:ascii="Calibri" w:hAnsi="Calibri"/>
          <w:b/>
          <w:sz w:val="22"/>
        </w:rPr>
      </w:pPr>
      <w:r>
        <w:rPr>
          <w:rFonts w:ascii="Calibri" w:hAnsi="Calibri"/>
          <w:b/>
          <w:sz w:val="22"/>
        </w:rPr>
        <w:t>¿La indiciada pertenece a un grupo socialmente discriminatorio por categorizarse como sospechoso?</w:t>
      </w:r>
    </w:p>
    <w:p>
      <w:pPr>
        <w:spacing w:line="278" w:lineRule="auto" w:before="197"/>
        <w:ind w:left="912" w:right="262" w:firstLine="0"/>
        <w:jc w:val="both"/>
        <w:rPr>
          <w:rFonts w:ascii="Calibri" w:hAnsi="Calibri"/>
          <w:b/>
          <w:sz w:val="22"/>
        </w:rPr>
      </w:pPr>
      <w:r>
        <w:rPr>
          <w:rFonts w:ascii="Calibri" w:hAnsi="Calibri"/>
          <w:b/>
          <w:sz w:val="22"/>
        </w:rPr>
        <w:t>¿La indiciada pertenece a un grupo históricamente desaventajado? Por ejemplo: grupos indígenas, disidentes sexuales, etc.</w:t>
      </w:r>
    </w:p>
    <w:p>
      <w:pPr>
        <w:spacing w:line="278" w:lineRule="auto" w:before="195"/>
        <w:ind w:left="912" w:right="263" w:firstLine="0"/>
        <w:jc w:val="both"/>
        <w:rPr>
          <w:rFonts w:ascii="Calibri" w:hAnsi="Calibri"/>
          <w:b/>
          <w:sz w:val="22"/>
        </w:rPr>
      </w:pPr>
      <w:r>
        <w:rPr>
          <w:rFonts w:ascii="Calibri" w:hAnsi="Calibri"/>
          <w:b/>
          <w:sz w:val="22"/>
        </w:rPr>
        <w:t>¿La conducta delictiva cometida por la indiciada, se justificaría si se cometiera por un varón?</w:t>
      </w:r>
    </w:p>
    <w:p>
      <w:pPr>
        <w:spacing w:line="280" w:lineRule="auto" w:before="195"/>
        <w:ind w:left="912" w:right="259" w:firstLine="0"/>
        <w:jc w:val="both"/>
        <w:rPr>
          <w:rFonts w:ascii="Calibri" w:hAnsi="Calibri"/>
          <w:b/>
          <w:sz w:val="22"/>
        </w:rPr>
      </w:pPr>
      <w:r>
        <w:rPr>
          <w:rFonts w:ascii="Calibri" w:hAnsi="Calibri"/>
          <w:b/>
          <w:sz w:val="22"/>
        </w:rPr>
        <w:t>¿El comportamiento de la indiciada es contrario a las expectativas de comportamientos estereotipados como femeninos?</w:t>
      </w:r>
    </w:p>
    <w:p>
      <w:pPr>
        <w:spacing w:after="0" w:line="280" w:lineRule="auto"/>
        <w:jc w:val="both"/>
        <w:rPr>
          <w:rFonts w:ascii="Calibri" w:hAnsi="Calibri"/>
          <w:sz w:val="22"/>
        </w:rPr>
        <w:sectPr>
          <w:type w:val="continuous"/>
          <w:pgSz w:w="12240" w:h="15840"/>
          <w:pgMar w:top="1400" w:bottom="280" w:left="0" w:right="760"/>
          <w:cols w:num="2" w:equalWidth="0">
            <w:col w:w="3737" w:space="77"/>
            <w:col w:w="7666"/>
          </w:cols>
        </w:sectPr>
      </w:pPr>
    </w:p>
    <w:p>
      <w:pPr>
        <w:pStyle w:val="BodyText"/>
        <w:rPr>
          <w:rFonts w:ascii="Calibri"/>
          <w:b/>
          <w:sz w:val="20"/>
        </w:rPr>
      </w:pPr>
      <w:r>
        <w:rPr/>
        <w:pict>
          <v:group style="position:absolute;margin-left:0pt;margin-top:0pt;width:201.4pt;height:792pt;mso-position-horizontal-relative:page;mso-position-vertical-relative:page;z-index:-96016" coordorigin="0,0" coordsize="4028,15840">
            <v:shape style="position:absolute;left:298;top:0;width:3730;height:15840" type="#_x0000_t75" stroked="false">
              <v:imagedata r:id="rId123" o:title=""/>
            </v:shape>
            <v:shape style="position:absolute;left:302;top:1445;width:3720;height:14395" type="#_x0000_t75" stroked="false">
              <v:imagedata r:id="rId124" o:title=""/>
            </v:shape>
            <v:rect style="position:absolute;left:0;top:0;width:298;height:15840" filled="true" fillcolor="#44536a" stroked="false">
              <v:fill type="solid"/>
            </v:rect>
            <v:shape style="position:absolute;left:0;top:701;width:3864;height:1028" coordorigin="0,701" coordsize="3864,1028" path="m3350,701l0,701,0,1728,3350,1728,3864,1214,3350,701xe" filled="true" fillcolor="#5b9bd4" stroked="false">
              <v:path arrowok="t"/>
              <v:fill type="solid"/>
            </v:shape>
            <v:shape style="position:absolute;left:10;top:713;width:3588;height:1006" type="#_x0000_t75" stroked="false">
              <v:imagedata r:id="rId125" o:title=""/>
            </v:shape>
            <w10:wrap type="none"/>
          </v:group>
        </w:pict>
      </w:r>
    </w:p>
    <w:p>
      <w:pPr>
        <w:pStyle w:val="BodyText"/>
        <w:rPr>
          <w:rFonts w:ascii="Calibri"/>
          <w:b/>
          <w:sz w:val="20"/>
        </w:rPr>
      </w:pPr>
    </w:p>
    <w:p>
      <w:pPr>
        <w:pStyle w:val="BodyText"/>
        <w:spacing w:before="11"/>
        <w:rPr>
          <w:rFonts w:ascii="Calibri"/>
          <w:b/>
          <w:sz w:val="27"/>
        </w:rPr>
      </w:pPr>
    </w:p>
    <w:p>
      <w:pPr>
        <w:pStyle w:val="BodyText"/>
        <w:spacing w:before="57"/>
        <w:ind w:right="935"/>
        <w:jc w:val="right"/>
        <w:rPr>
          <w:rFonts w:ascii="Calibri"/>
        </w:rPr>
      </w:pPr>
      <w:r>
        <w:rPr>
          <w:rFonts w:ascii="Calibri"/>
        </w:rPr>
        <w:t>99</w:t>
      </w:r>
    </w:p>
    <w:p>
      <w:pPr>
        <w:spacing w:after="0"/>
        <w:jc w:val="right"/>
        <w:rPr>
          <w:rFonts w:ascii="Calibri"/>
        </w:rPr>
        <w:sectPr>
          <w:type w:val="continuous"/>
          <w:pgSz w:w="12240" w:h="15840"/>
          <w:pgMar w:top="1400" w:bottom="280" w:left="0" w:right="760"/>
        </w:sectPr>
      </w:pPr>
    </w:p>
    <w:p>
      <w:pPr>
        <w:pStyle w:val="BodyText"/>
        <w:rPr>
          <w:rFonts w:ascii="Calibri"/>
          <w:sz w:val="20"/>
        </w:rPr>
      </w:pPr>
    </w:p>
    <w:p>
      <w:pPr>
        <w:pStyle w:val="BodyText"/>
        <w:rPr>
          <w:rFonts w:ascii="Calibri"/>
          <w:sz w:val="20"/>
        </w:rPr>
      </w:pPr>
    </w:p>
    <w:p>
      <w:pPr>
        <w:pStyle w:val="BodyText"/>
        <w:spacing w:before="7"/>
        <w:rPr>
          <w:rFonts w:ascii="Calibri"/>
          <w:sz w:val="17"/>
        </w:rPr>
      </w:pPr>
    </w:p>
    <w:p>
      <w:pPr>
        <w:spacing w:after="0"/>
        <w:rPr>
          <w:rFonts w:ascii="Calibri"/>
          <w:sz w:val="17"/>
        </w:rPr>
        <w:sectPr>
          <w:footerReference w:type="default" r:id="rId126"/>
          <w:pgSz w:w="12240" w:h="15840"/>
          <w:pgMar w:footer="1002" w:header="0" w:top="400" w:bottom="1200" w:left="0" w:right="1580"/>
          <w:pgNumType w:start="100"/>
        </w:sectPr>
      </w:pPr>
    </w:p>
    <w:p>
      <w:pPr>
        <w:pStyle w:val="Heading5"/>
        <w:spacing w:line="237" w:lineRule="auto" w:before="49"/>
        <w:ind w:left="585" w:right="765"/>
        <w:rPr>
          <w:b w:val="0"/>
        </w:rPr>
      </w:pPr>
      <w:r>
        <w:rPr/>
        <w:pict>
          <v:group style="position:absolute;margin-left:0pt;margin-top:19.799999pt;width:201.4pt;height:751.8pt;mso-position-horizontal-relative:page;mso-position-vertical-relative:page;z-index:-95896" coordorigin="0,396" coordsize="4028,15036">
            <v:shape style="position:absolute;left:298;top:396;width:3730;height:15036" type="#_x0000_t75" stroked="false">
              <v:imagedata r:id="rId115" o:title=""/>
            </v:shape>
            <v:shape style="position:absolute;left:302;top:1841;width:3720;height:13298" type="#_x0000_t75" stroked="false">
              <v:imagedata r:id="rId116" o:title=""/>
            </v:shape>
            <v:shape style="position:absolute;left:593;top:8858;width:3139;height:5369" type="#_x0000_t75" stroked="false">
              <v:imagedata r:id="rId127" o:title=""/>
            </v:shape>
            <v:rect style="position:absolute;left:0;top:396;width:298;height:15036" filled="true" fillcolor="#44536a" stroked="false">
              <v:fill type="solid"/>
            </v:rect>
            <v:shape style="position:absolute;left:0;top:1054;width:3864;height:1145" coordorigin="0,1054" coordsize="3864,1145" path="m3292,1054l0,1054,0,2198,3292,2198,3864,1626,3292,1054xe" filled="true" fillcolor="#5b9bd4" stroked="false">
              <v:path arrowok="t"/>
              <v:fill type="solid"/>
            </v:shape>
            <v:shape style="position:absolute;left:10;top:1063;width:3557;height:1123" type="#_x0000_t75" stroked="false">
              <v:imagedata r:id="rId128" o:title=""/>
            </v:shape>
            <w10:wrap type="none"/>
          </v:group>
        </w:pict>
      </w:r>
      <w:r>
        <w:rPr>
          <w:b w:val="0"/>
          <w:color w:val="FFFFFF"/>
        </w:rPr>
        <w:t>Elaboración de una Teoría del Caso con Perspectiva de Género</w:t>
      </w:r>
    </w:p>
    <w:p>
      <w:pPr>
        <w:pStyle w:val="BodyText"/>
        <w:rPr>
          <w:rFonts w:ascii="Calibri Light"/>
          <w:b w:val="0"/>
          <w:sz w:val="26"/>
        </w:rPr>
      </w:pPr>
    </w:p>
    <w:p>
      <w:pPr>
        <w:pStyle w:val="BodyText"/>
        <w:spacing w:before="9"/>
        <w:rPr>
          <w:rFonts w:ascii="Calibri Light"/>
          <w:b w:val="0"/>
          <w:sz w:val="31"/>
        </w:rPr>
      </w:pPr>
    </w:p>
    <w:p>
      <w:pPr>
        <w:spacing w:line="276" w:lineRule="auto" w:before="0"/>
        <w:ind w:left="590" w:right="258" w:firstLine="0"/>
        <w:jc w:val="left"/>
        <w:rPr>
          <w:rFonts w:ascii="Calibri" w:hAnsi="Calibri"/>
          <w:sz w:val="18"/>
        </w:rPr>
      </w:pPr>
      <w:r>
        <w:rPr>
          <w:rFonts w:ascii="Calibri" w:hAnsi="Calibri"/>
          <w:color w:val="585858"/>
          <w:sz w:val="18"/>
        </w:rPr>
        <w:t>PASO #4: Como sustento probatorio de nuestra Teoría del Caso, tenemos:</w:t>
      </w:r>
    </w:p>
    <w:p>
      <w:pPr>
        <w:pStyle w:val="BodyText"/>
        <w:spacing w:before="5"/>
        <w:rPr>
          <w:rFonts w:ascii="Calibri"/>
          <w:sz w:val="16"/>
        </w:rPr>
      </w:pPr>
    </w:p>
    <w:p>
      <w:pPr>
        <w:spacing w:line="276" w:lineRule="auto" w:before="0"/>
        <w:ind w:left="590" w:right="0" w:firstLine="0"/>
        <w:jc w:val="both"/>
        <w:rPr>
          <w:rFonts w:ascii="Calibri" w:hAnsi="Calibri"/>
          <w:sz w:val="18"/>
        </w:rPr>
      </w:pPr>
      <w:r>
        <w:rPr>
          <w:rFonts w:ascii="Calibri" w:hAnsi="Calibri"/>
          <w:color w:val="585858"/>
          <w:sz w:val="18"/>
        </w:rPr>
        <w:t>La pericial en materia de Psicología, con la finalidad</w:t>
      </w:r>
      <w:r>
        <w:rPr>
          <w:rFonts w:ascii="Calibri" w:hAnsi="Calibri"/>
          <w:color w:val="585858"/>
          <w:spacing w:val="-13"/>
          <w:sz w:val="18"/>
        </w:rPr>
        <w:t> </w:t>
      </w:r>
      <w:r>
        <w:rPr>
          <w:rFonts w:ascii="Calibri" w:hAnsi="Calibri"/>
          <w:color w:val="585858"/>
          <w:sz w:val="18"/>
        </w:rPr>
        <w:t>de</w:t>
      </w:r>
      <w:r>
        <w:rPr>
          <w:rFonts w:ascii="Calibri" w:hAnsi="Calibri"/>
          <w:color w:val="585858"/>
          <w:spacing w:val="-13"/>
          <w:sz w:val="18"/>
        </w:rPr>
        <w:t> </w:t>
      </w:r>
      <w:r>
        <w:rPr>
          <w:rFonts w:ascii="Calibri" w:hAnsi="Calibri"/>
          <w:color w:val="585858"/>
          <w:sz w:val="18"/>
        </w:rPr>
        <w:t>acreditar</w:t>
      </w:r>
      <w:r>
        <w:rPr>
          <w:rFonts w:ascii="Calibri" w:hAnsi="Calibri"/>
          <w:color w:val="585858"/>
          <w:spacing w:val="-10"/>
          <w:sz w:val="18"/>
        </w:rPr>
        <w:t> </w:t>
      </w:r>
      <w:r>
        <w:rPr>
          <w:rFonts w:ascii="Calibri" w:hAnsi="Calibri"/>
          <w:color w:val="585858"/>
          <w:sz w:val="18"/>
        </w:rPr>
        <w:t>la</w:t>
      </w:r>
      <w:r>
        <w:rPr>
          <w:rFonts w:ascii="Calibri" w:hAnsi="Calibri"/>
          <w:color w:val="585858"/>
          <w:spacing w:val="-9"/>
          <w:sz w:val="18"/>
        </w:rPr>
        <w:t> </w:t>
      </w:r>
      <w:r>
        <w:rPr>
          <w:rFonts w:ascii="Calibri" w:hAnsi="Calibri"/>
          <w:color w:val="585858"/>
          <w:sz w:val="18"/>
        </w:rPr>
        <w:t>presión</w:t>
      </w:r>
      <w:r>
        <w:rPr>
          <w:rFonts w:ascii="Calibri" w:hAnsi="Calibri"/>
          <w:color w:val="585858"/>
          <w:spacing w:val="-13"/>
          <w:sz w:val="18"/>
        </w:rPr>
        <w:t> </w:t>
      </w:r>
      <w:r>
        <w:rPr>
          <w:rFonts w:ascii="Calibri" w:hAnsi="Calibri"/>
          <w:color w:val="585858"/>
          <w:sz w:val="18"/>
        </w:rPr>
        <w:t>a</w:t>
      </w:r>
      <w:r>
        <w:rPr>
          <w:rFonts w:ascii="Calibri" w:hAnsi="Calibri"/>
          <w:color w:val="585858"/>
          <w:spacing w:val="-9"/>
          <w:sz w:val="18"/>
        </w:rPr>
        <w:t> </w:t>
      </w:r>
      <w:r>
        <w:rPr>
          <w:rFonts w:ascii="Calibri" w:hAnsi="Calibri"/>
          <w:color w:val="585858"/>
          <w:sz w:val="18"/>
        </w:rPr>
        <w:t>la</w:t>
      </w:r>
      <w:r>
        <w:rPr>
          <w:rFonts w:ascii="Calibri" w:hAnsi="Calibri"/>
          <w:color w:val="585858"/>
          <w:spacing w:val="-12"/>
          <w:sz w:val="18"/>
        </w:rPr>
        <w:t> </w:t>
      </w:r>
      <w:r>
        <w:rPr>
          <w:rFonts w:ascii="Calibri" w:hAnsi="Calibri"/>
          <w:color w:val="585858"/>
          <w:sz w:val="18"/>
        </w:rPr>
        <w:t>que</w:t>
      </w:r>
      <w:r>
        <w:rPr>
          <w:rFonts w:ascii="Calibri" w:hAnsi="Calibri"/>
          <w:color w:val="585858"/>
          <w:spacing w:val="-13"/>
          <w:sz w:val="18"/>
        </w:rPr>
        <w:t> </w:t>
      </w:r>
      <w:r>
        <w:rPr>
          <w:rFonts w:ascii="Calibri" w:hAnsi="Calibri"/>
          <w:color w:val="585858"/>
          <w:sz w:val="18"/>
        </w:rPr>
        <w:t>fue sujeta María Cruz López y cómo influyó para que María cometiera la conducta delictiva.</w:t>
      </w:r>
    </w:p>
    <w:p>
      <w:pPr>
        <w:pStyle w:val="BodyText"/>
        <w:spacing w:before="3"/>
        <w:rPr>
          <w:rFonts w:ascii="Calibri"/>
          <w:sz w:val="16"/>
        </w:rPr>
      </w:pPr>
    </w:p>
    <w:p>
      <w:pPr>
        <w:spacing w:line="276" w:lineRule="auto" w:before="0"/>
        <w:ind w:left="590" w:right="1" w:firstLine="0"/>
        <w:jc w:val="both"/>
        <w:rPr>
          <w:rFonts w:ascii="Calibri" w:hAnsi="Calibri"/>
          <w:sz w:val="18"/>
        </w:rPr>
      </w:pPr>
      <w:r>
        <w:rPr>
          <w:rFonts w:ascii="Calibri" w:hAnsi="Calibri"/>
          <w:color w:val="585858"/>
          <w:sz w:val="18"/>
        </w:rPr>
        <w:t>La pericial en materia de Trabajo Social, que acredite el contexto socioeconómico en el que vivía María Cruz López y su importancia en la comisión del delito.</w:t>
      </w:r>
    </w:p>
    <w:p>
      <w:pPr>
        <w:pStyle w:val="BodyText"/>
        <w:spacing w:before="5"/>
        <w:rPr>
          <w:rFonts w:ascii="Calibri"/>
          <w:sz w:val="16"/>
        </w:rPr>
      </w:pPr>
    </w:p>
    <w:p>
      <w:pPr>
        <w:spacing w:line="276" w:lineRule="auto" w:before="0"/>
        <w:ind w:left="590" w:right="1" w:firstLine="0"/>
        <w:jc w:val="both"/>
        <w:rPr>
          <w:rFonts w:ascii="Calibri" w:hAnsi="Calibri"/>
          <w:sz w:val="18"/>
        </w:rPr>
      </w:pPr>
      <w:r>
        <w:rPr>
          <w:rFonts w:ascii="Calibri" w:hAnsi="Calibri"/>
          <w:color w:val="585858"/>
          <w:sz w:val="18"/>
        </w:rPr>
        <w:t>Las</w:t>
      </w:r>
      <w:r>
        <w:rPr>
          <w:rFonts w:ascii="Calibri" w:hAnsi="Calibri"/>
          <w:color w:val="585858"/>
          <w:spacing w:val="-8"/>
          <w:sz w:val="18"/>
        </w:rPr>
        <w:t> </w:t>
      </w:r>
      <w:r>
        <w:rPr>
          <w:rFonts w:ascii="Calibri" w:hAnsi="Calibri"/>
          <w:color w:val="585858"/>
          <w:sz w:val="18"/>
        </w:rPr>
        <w:t>testimoniales</w:t>
      </w:r>
      <w:r>
        <w:rPr>
          <w:rFonts w:ascii="Calibri" w:hAnsi="Calibri"/>
          <w:color w:val="585858"/>
          <w:spacing w:val="-8"/>
          <w:sz w:val="18"/>
        </w:rPr>
        <w:t> </w:t>
      </w:r>
      <w:r>
        <w:rPr>
          <w:rFonts w:ascii="Calibri" w:hAnsi="Calibri"/>
          <w:color w:val="585858"/>
          <w:sz w:val="18"/>
        </w:rPr>
        <w:t>de</w:t>
      </w:r>
      <w:r>
        <w:rPr>
          <w:rFonts w:ascii="Calibri" w:hAnsi="Calibri"/>
          <w:color w:val="585858"/>
          <w:spacing w:val="-8"/>
          <w:sz w:val="18"/>
        </w:rPr>
        <w:t> </w:t>
      </w:r>
      <w:r>
        <w:rPr>
          <w:rFonts w:ascii="Calibri" w:hAnsi="Calibri"/>
          <w:color w:val="585858"/>
          <w:sz w:val="18"/>
        </w:rPr>
        <w:t>Petra</w:t>
      </w:r>
      <w:r>
        <w:rPr>
          <w:rFonts w:ascii="Calibri" w:hAnsi="Calibri"/>
          <w:color w:val="585858"/>
          <w:spacing w:val="-7"/>
          <w:sz w:val="18"/>
        </w:rPr>
        <w:t> </w:t>
      </w:r>
      <w:r>
        <w:rPr>
          <w:rFonts w:ascii="Calibri" w:hAnsi="Calibri"/>
          <w:color w:val="585858"/>
          <w:sz w:val="18"/>
        </w:rPr>
        <w:t>García</w:t>
      </w:r>
      <w:r>
        <w:rPr>
          <w:rFonts w:ascii="Calibri" w:hAnsi="Calibri"/>
          <w:color w:val="585858"/>
          <w:spacing w:val="-7"/>
          <w:sz w:val="18"/>
        </w:rPr>
        <w:t> </w:t>
      </w:r>
      <w:r>
        <w:rPr>
          <w:rFonts w:ascii="Calibri" w:hAnsi="Calibri"/>
          <w:color w:val="585858"/>
          <w:sz w:val="18"/>
        </w:rPr>
        <w:t>Sánchez</w:t>
      </w:r>
      <w:r>
        <w:rPr>
          <w:rFonts w:ascii="Calibri" w:hAnsi="Calibri"/>
          <w:color w:val="585858"/>
          <w:spacing w:val="-6"/>
          <w:sz w:val="18"/>
        </w:rPr>
        <w:t> </w:t>
      </w:r>
      <w:r>
        <w:rPr>
          <w:rFonts w:ascii="Calibri" w:hAnsi="Calibri"/>
          <w:color w:val="585858"/>
          <w:sz w:val="18"/>
        </w:rPr>
        <w:t>y Juana Hernández Sánchez, con la finalidad de acreditar la violencia y la discriminación que sufrió María Cruz López por parte de los habitantes de su</w:t>
      </w:r>
      <w:r>
        <w:rPr>
          <w:rFonts w:ascii="Calibri" w:hAnsi="Calibri"/>
          <w:color w:val="585858"/>
          <w:spacing w:val="-8"/>
          <w:sz w:val="18"/>
        </w:rPr>
        <w:t> </w:t>
      </w:r>
      <w:r>
        <w:rPr>
          <w:rFonts w:ascii="Calibri" w:hAnsi="Calibri"/>
          <w:color w:val="585858"/>
          <w:sz w:val="18"/>
        </w:rPr>
        <w:t>comunidad.</w:t>
      </w:r>
    </w:p>
    <w:p>
      <w:pPr>
        <w:pStyle w:val="BodyText"/>
        <w:spacing w:before="5"/>
        <w:rPr>
          <w:rFonts w:ascii="Calibri"/>
          <w:sz w:val="16"/>
        </w:rPr>
      </w:pPr>
    </w:p>
    <w:p>
      <w:pPr>
        <w:spacing w:line="276" w:lineRule="auto" w:before="0"/>
        <w:ind w:left="590" w:right="1" w:firstLine="0"/>
        <w:jc w:val="both"/>
        <w:rPr>
          <w:rFonts w:ascii="Calibri" w:hAnsi="Calibri"/>
          <w:sz w:val="18"/>
        </w:rPr>
      </w:pPr>
      <w:r>
        <w:rPr>
          <w:rFonts w:ascii="Calibri" w:hAnsi="Calibri"/>
          <w:color w:val="585858"/>
          <w:sz w:val="18"/>
        </w:rPr>
        <w:t>La sabana de mensajes que recibió María Cruz López por parte de su esposo, en donde la presionaba económicamente por estar embarazada de otro hombre.</w:t>
      </w:r>
    </w:p>
    <w:p>
      <w:pPr>
        <w:pStyle w:val="BodyText"/>
        <w:rPr>
          <w:rFonts w:ascii="Calibri"/>
        </w:rPr>
      </w:pPr>
      <w:r>
        <w:rPr/>
        <w:br w:type="column"/>
      </w:r>
      <w:r>
        <w:rPr>
          <w:rFonts w:ascii="Calibri"/>
        </w:rPr>
      </w:r>
    </w:p>
    <w:p>
      <w:pPr>
        <w:pStyle w:val="BodyText"/>
        <w:rPr>
          <w:rFonts w:ascii="Calibri"/>
        </w:rPr>
      </w:pPr>
    </w:p>
    <w:p>
      <w:pPr>
        <w:pStyle w:val="BodyText"/>
        <w:rPr>
          <w:rFonts w:ascii="Calibri"/>
          <w:sz w:val="20"/>
        </w:rPr>
      </w:pPr>
    </w:p>
    <w:p>
      <w:pPr>
        <w:pStyle w:val="BodyText"/>
        <w:ind w:left="585" w:firstLine="3665"/>
      </w:pPr>
      <w:r>
        <w:rPr/>
        <w:t>Elección de la teoría  del</w:t>
      </w:r>
    </w:p>
    <w:p>
      <w:pPr>
        <w:pStyle w:val="BodyText"/>
      </w:pPr>
    </w:p>
    <w:p>
      <w:pPr>
        <w:pStyle w:val="BodyText"/>
        <w:spacing w:before="11"/>
        <w:rPr>
          <w:sz w:val="31"/>
        </w:rPr>
      </w:pPr>
    </w:p>
    <w:p>
      <w:pPr>
        <w:pStyle w:val="BodyText"/>
        <w:spacing w:line="360" w:lineRule="auto"/>
        <w:ind w:left="585" w:right="164"/>
        <w:jc w:val="both"/>
      </w:pPr>
      <w:r>
        <w:rPr/>
        <w:pict>
          <v:group style="position:absolute;margin-left:228.960007pt;margin-top:-59.612099pt;width:158.4pt;height:50.35pt;mso-position-horizontal-relative:page;mso-position-vertical-relative:paragraph;z-index:-95920" coordorigin="4579,-1192" coordsize="3168,1007">
            <v:shape style="position:absolute;left:4579;top:-677;width:3168;height:492" type="#_x0000_t75" stroked="false">
              <v:imagedata r:id="rId129" o:title=""/>
            </v:shape>
            <v:shape style="position:absolute;left:4589;top:-1192;width:3149;height:534" type="#_x0000_t75" stroked="false">
              <v:imagedata r:id="rId130" o:title=""/>
            </v:shape>
            <w10:wrap type="none"/>
          </v:group>
        </w:pict>
      </w:r>
      <w:r>
        <w:rPr/>
        <w:t>delito a aplicar, así como del ordenamientos jurídicos aplicables.</w:t>
      </w:r>
      <w:r>
        <w:rPr>
          <w:spacing w:val="-3"/>
        </w:rPr>
        <w:t> </w:t>
      </w:r>
      <w:r>
        <w:rPr/>
        <w:t>En</w:t>
      </w:r>
      <w:r>
        <w:rPr>
          <w:spacing w:val="-4"/>
        </w:rPr>
        <w:t> </w:t>
      </w:r>
      <w:r>
        <w:rPr/>
        <w:t>este</w:t>
      </w:r>
      <w:r>
        <w:rPr>
          <w:spacing w:val="-6"/>
        </w:rPr>
        <w:t> </w:t>
      </w:r>
      <w:r>
        <w:rPr/>
        <w:t>paso</w:t>
      </w:r>
      <w:r>
        <w:rPr>
          <w:spacing w:val="-9"/>
        </w:rPr>
        <w:t> </w:t>
      </w:r>
      <w:r>
        <w:rPr/>
        <w:t>se</w:t>
      </w:r>
      <w:r>
        <w:rPr>
          <w:spacing w:val="-4"/>
        </w:rPr>
        <w:t> </w:t>
      </w:r>
      <w:r>
        <w:rPr/>
        <w:t>debe</w:t>
      </w:r>
      <w:r>
        <w:rPr>
          <w:spacing w:val="-4"/>
        </w:rPr>
        <w:t> </w:t>
      </w:r>
      <w:r>
        <w:rPr/>
        <w:t>considerar</w:t>
      </w:r>
      <w:r>
        <w:rPr>
          <w:spacing w:val="-6"/>
        </w:rPr>
        <w:t> </w:t>
      </w:r>
      <w:r>
        <w:rPr/>
        <w:t>la</w:t>
      </w:r>
      <w:r>
        <w:rPr>
          <w:spacing w:val="-6"/>
        </w:rPr>
        <w:t> </w:t>
      </w:r>
      <w:r>
        <w:rPr/>
        <w:t>teoría</w:t>
      </w:r>
      <w:r>
        <w:rPr>
          <w:spacing w:val="-4"/>
        </w:rPr>
        <w:t> </w:t>
      </w:r>
      <w:r>
        <w:rPr/>
        <w:t>del</w:t>
      </w:r>
      <w:r>
        <w:rPr>
          <w:spacing w:val="-5"/>
        </w:rPr>
        <w:t> </w:t>
      </w:r>
      <w:r>
        <w:rPr/>
        <w:t>delito que opere en el país con la finalidad de evitar contradicciones. A partir de esto se deberán analizar los elementos del delito, como</w:t>
      </w:r>
      <w:r>
        <w:rPr>
          <w:spacing w:val="-11"/>
        </w:rPr>
        <w:t> </w:t>
      </w:r>
      <w:r>
        <w:rPr/>
        <w:t>la</w:t>
      </w:r>
      <w:r>
        <w:rPr>
          <w:spacing w:val="-13"/>
        </w:rPr>
        <w:t> </w:t>
      </w:r>
      <w:r>
        <w:rPr/>
        <w:t>tipicidad,</w:t>
      </w:r>
      <w:r>
        <w:rPr>
          <w:spacing w:val="-10"/>
        </w:rPr>
        <w:t> </w:t>
      </w:r>
      <w:r>
        <w:rPr/>
        <w:t>punibilidad,</w:t>
      </w:r>
      <w:r>
        <w:rPr>
          <w:spacing w:val="-10"/>
        </w:rPr>
        <w:t> </w:t>
      </w:r>
      <w:r>
        <w:rPr/>
        <w:t>los</w:t>
      </w:r>
      <w:r>
        <w:rPr>
          <w:spacing w:val="-11"/>
        </w:rPr>
        <w:t> </w:t>
      </w:r>
      <w:r>
        <w:rPr/>
        <w:t>elementos</w:t>
      </w:r>
      <w:r>
        <w:rPr>
          <w:spacing w:val="-11"/>
        </w:rPr>
        <w:t> </w:t>
      </w:r>
      <w:r>
        <w:rPr/>
        <w:t>subjetivos</w:t>
      </w:r>
      <w:r>
        <w:rPr>
          <w:spacing w:val="-11"/>
        </w:rPr>
        <w:t> </w:t>
      </w:r>
      <w:r>
        <w:rPr/>
        <w:t>como</w:t>
      </w:r>
      <w:r>
        <w:rPr>
          <w:spacing w:val="-11"/>
        </w:rPr>
        <w:t> </w:t>
      </w:r>
      <w:r>
        <w:rPr/>
        <w:t>el dolo o la culpa, los elementos subjetivos distintos al dolo, la antijuridicidad, las circunstancias excluyentes del delito. Asimismo, se deberán subsumir los elementos fácticos a la teoría del delito, así como a los ordenamientos jurídicos aplicables. Esto se debe realizar a partir de los conocimientos previos de la dogmática penal, y dependen del caso en concreto que vayamos a</w:t>
      </w:r>
      <w:r>
        <w:rPr>
          <w:spacing w:val="-6"/>
        </w:rPr>
        <w:t> </w:t>
      </w:r>
      <w:r>
        <w:rPr/>
        <w:t>defender.</w:t>
      </w:r>
    </w:p>
    <w:p>
      <w:pPr>
        <w:pStyle w:val="BodyText"/>
        <w:rPr>
          <w:sz w:val="20"/>
        </w:rPr>
      </w:pPr>
    </w:p>
    <w:p>
      <w:pPr>
        <w:pStyle w:val="BodyText"/>
        <w:spacing w:before="2"/>
        <w:rPr>
          <w:sz w:val="11"/>
        </w:rPr>
      </w:pPr>
      <w:r>
        <w:rPr/>
        <w:pict>
          <v:group style="position:absolute;margin-left:239.625pt;margin-top:8.380383pt;width:285.75pt;height:228.75pt;mso-position-horizontal-relative:page;mso-position-vertical-relative:paragraph;z-index:5536;mso-wrap-distance-left:0;mso-wrap-distance-right:0" coordorigin="4793,168" coordsize="5715,4575">
            <v:shape style="position:absolute;left:4800;top:175;width:5700;height:4560" type="#_x0000_t75" stroked="false">
              <v:imagedata r:id="rId131" o:title=""/>
            </v:shape>
            <v:shape style="position:absolute;left:4800;top:175;width:5700;height:4560" type="#_x0000_t202" filled="false" stroked="true" strokeweight=".72pt" strokecolor="#000000">
              <v:textbox inset="0,0,0,0">
                <w:txbxContent>
                  <w:p>
                    <w:pPr>
                      <w:spacing w:line="276" w:lineRule="auto" w:before="73"/>
                      <w:ind w:left="145" w:right="141" w:firstLine="0"/>
                      <w:jc w:val="both"/>
                      <w:rPr>
                        <w:rFonts w:ascii="Calibri" w:hAnsi="Calibri"/>
                        <w:b/>
                        <w:sz w:val="24"/>
                      </w:rPr>
                    </w:pPr>
                    <w:r>
                      <w:rPr>
                        <w:rFonts w:ascii="Calibri" w:hAnsi="Calibri"/>
                        <w:b/>
                        <w:sz w:val="24"/>
                      </w:rPr>
                      <w:t>En</w:t>
                    </w:r>
                    <w:r>
                      <w:rPr>
                        <w:rFonts w:ascii="Calibri" w:hAnsi="Calibri"/>
                        <w:b/>
                        <w:spacing w:val="-4"/>
                        <w:sz w:val="24"/>
                      </w:rPr>
                      <w:t> </w:t>
                    </w:r>
                    <w:r>
                      <w:rPr>
                        <w:rFonts w:ascii="Calibri" w:hAnsi="Calibri"/>
                        <w:b/>
                        <w:sz w:val="24"/>
                      </w:rPr>
                      <w:t>esta</w:t>
                    </w:r>
                    <w:r>
                      <w:rPr>
                        <w:rFonts w:ascii="Calibri" w:hAnsi="Calibri"/>
                        <w:b/>
                        <w:spacing w:val="-8"/>
                        <w:sz w:val="24"/>
                      </w:rPr>
                      <w:t> </w:t>
                    </w:r>
                    <w:r>
                      <w:rPr>
                        <w:rFonts w:ascii="Calibri" w:hAnsi="Calibri"/>
                        <w:b/>
                        <w:sz w:val="24"/>
                      </w:rPr>
                      <w:t>parte</w:t>
                    </w:r>
                    <w:r>
                      <w:rPr>
                        <w:rFonts w:ascii="Calibri" w:hAnsi="Calibri"/>
                        <w:b/>
                        <w:spacing w:val="-8"/>
                        <w:sz w:val="24"/>
                      </w:rPr>
                      <w:t> </w:t>
                    </w:r>
                    <w:r>
                      <w:rPr>
                        <w:rFonts w:ascii="Calibri" w:hAnsi="Calibri"/>
                        <w:b/>
                        <w:sz w:val="24"/>
                      </w:rPr>
                      <w:t>debemos</w:t>
                    </w:r>
                    <w:r>
                      <w:rPr>
                        <w:rFonts w:ascii="Calibri" w:hAnsi="Calibri"/>
                        <w:b/>
                        <w:spacing w:val="-4"/>
                        <w:sz w:val="24"/>
                      </w:rPr>
                      <w:t> </w:t>
                    </w:r>
                    <w:r>
                      <w:rPr>
                        <w:rFonts w:ascii="Calibri" w:hAnsi="Calibri"/>
                        <w:b/>
                        <w:sz w:val="24"/>
                      </w:rPr>
                      <w:t>determinar</w:t>
                    </w:r>
                    <w:r>
                      <w:rPr>
                        <w:rFonts w:ascii="Calibri" w:hAnsi="Calibri"/>
                        <w:b/>
                        <w:spacing w:val="-6"/>
                        <w:sz w:val="24"/>
                      </w:rPr>
                      <w:t> </w:t>
                    </w:r>
                    <w:r>
                      <w:rPr>
                        <w:rFonts w:ascii="Calibri" w:hAnsi="Calibri"/>
                        <w:b/>
                        <w:sz w:val="24"/>
                      </w:rPr>
                      <w:t>si</w:t>
                    </w:r>
                    <w:r>
                      <w:rPr>
                        <w:rFonts w:ascii="Calibri" w:hAnsi="Calibri"/>
                        <w:b/>
                        <w:spacing w:val="-6"/>
                        <w:sz w:val="24"/>
                      </w:rPr>
                      <w:t> </w:t>
                    </w:r>
                    <w:r>
                      <w:rPr>
                        <w:rFonts w:ascii="Calibri" w:hAnsi="Calibri"/>
                        <w:b/>
                        <w:sz w:val="24"/>
                      </w:rPr>
                      <w:t>nuestra</w:t>
                    </w:r>
                    <w:r>
                      <w:rPr>
                        <w:rFonts w:ascii="Calibri" w:hAnsi="Calibri"/>
                        <w:b/>
                        <w:spacing w:val="-8"/>
                        <w:sz w:val="24"/>
                      </w:rPr>
                      <w:t> </w:t>
                    </w:r>
                    <w:r>
                      <w:rPr>
                        <w:rFonts w:ascii="Calibri" w:hAnsi="Calibri"/>
                        <w:b/>
                        <w:sz w:val="24"/>
                      </w:rPr>
                      <w:t>defendía es autora o participe en la comisión de la conducta delictiva, y en su caso determinar el grado de participación de la</w:t>
                    </w:r>
                    <w:r>
                      <w:rPr>
                        <w:rFonts w:ascii="Calibri" w:hAnsi="Calibri"/>
                        <w:b/>
                        <w:spacing w:val="-17"/>
                        <w:sz w:val="24"/>
                      </w:rPr>
                      <w:t> </w:t>
                    </w:r>
                    <w:r>
                      <w:rPr>
                        <w:rFonts w:ascii="Calibri" w:hAnsi="Calibri"/>
                        <w:b/>
                        <w:sz w:val="24"/>
                      </w:rPr>
                      <w:t>indiciada.</w:t>
                    </w:r>
                  </w:p>
                  <w:p>
                    <w:pPr>
                      <w:spacing w:line="276" w:lineRule="auto" w:before="200"/>
                      <w:ind w:left="145" w:right="138" w:firstLine="0"/>
                      <w:jc w:val="both"/>
                      <w:rPr>
                        <w:rFonts w:ascii="Calibri" w:hAnsi="Calibri"/>
                        <w:b/>
                        <w:sz w:val="24"/>
                      </w:rPr>
                    </w:pPr>
                    <w:r>
                      <w:rPr>
                        <w:rFonts w:ascii="Calibri" w:hAnsi="Calibri"/>
                        <w:b/>
                        <w:sz w:val="24"/>
                      </w:rPr>
                      <w:t>Generalmente, en casos de narcotráfico y secuestro, las indiciadas son esposas o parejas de los autores del delito,</w:t>
                    </w:r>
                    <w:r>
                      <w:rPr>
                        <w:rFonts w:ascii="Calibri" w:hAnsi="Calibri"/>
                        <w:b/>
                        <w:spacing w:val="-7"/>
                        <w:sz w:val="24"/>
                      </w:rPr>
                      <w:t> </w:t>
                    </w:r>
                    <w:r>
                      <w:rPr>
                        <w:rFonts w:ascii="Calibri" w:hAnsi="Calibri"/>
                        <w:b/>
                        <w:sz w:val="24"/>
                      </w:rPr>
                      <w:t>y</w:t>
                    </w:r>
                    <w:r>
                      <w:rPr>
                        <w:rFonts w:ascii="Calibri" w:hAnsi="Calibri"/>
                        <w:b/>
                        <w:spacing w:val="-11"/>
                        <w:sz w:val="24"/>
                      </w:rPr>
                      <w:t> </w:t>
                    </w:r>
                    <w:r>
                      <w:rPr>
                        <w:rFonts w:ascii="Calibri" w:hAnsi="Calibri"/>
                        <w:b/>
                        <w:sz w:val="24"/>
                      </w:rPr>
                      <w:t>la</w:t>
                    </w:r>
                    <w:r>
                      <w:rPr>
                        <w:rFonts w:ascii="Calibri" w:hAnsi="Calibri"/>
                        <w:b/>
                        <w:spacing w:val="-8"/>
                        <w:sz w:val="24"/>
                      </w:rPr>
                      <w:t> </w:t>
                    </w:r>
                    <w:r>
                      <w:rPr>
                        <w:rFonts w:ascii="Calibri" w:hAnsi="Calibri"/>
                        <w:b/>
                        <w:sz w:val="24"/>
                      </w:rPr>
                      <w:t>participación</w:t>
                    </w:r>
                    <w:r>
                      <w:rPr>
                        <w:rFonts w:ascii="Calibri" w:hAnsi="Calibri"/>
                        <w:b/>
                        <w:spacing w:val="-9"/>
                        <w:sz w:val="24"/>
                      </w:rPr>
                      <w:t> </w:t>
                    </w:r>
                    <w:r>
                      <w:rPr>
                        <w:rFonts w:ascii="Calibri" w:hAnsi="Calibri"/>
                        <w:b/>
                        <w:sz w:val="24"/>
                      </w:rPr>
                      <w:t>de</w:t>
                    </w:r>
                    <w:r>
                      <w:rPr>
                        <w:rFonts w:ascii="Calibri" w:hAnsi="Calibri"/>
                        <w:b/>
                        <w:spacing w:val="-8"/>
                        <w:sz w:val="24"/>
                      </w:rPr>
                      <w:t> </w:t>
                    </w:r>
                    <w:r>
                      <w:rPr>
                        <w:rFonts w:ascii="Calibri" w:hAnsi="Calibri"/>
                        <w:b/>
                        <w:sz w:val="24"/>
                      </w:rPr>
                      <w:t>ellas</w:t>
                    </w:r>
                    <w:r>
                      <w:rPr>
                        <w:rFonts w:ascii="Calibri" w:hAnsi="Calibri"/>
                        <w:b/>
                        <w:spacing w:val="-7"/>
                        <w:sz w:val="24"/>
                      </w:rPr>
                      <w:t> </w:t>
                    </w:r>
                    <w:r>
                      <w:rPr>
                        <w:rFonts w:ascii="Calibri" w:hAnsi="Calibri"/>
                        <w:b/>
                        <w:sz w:val="24"/>
                      </w:rPr>
                      <w:t>tienen</w:t>
                    </w:r>
                    <w:r>
                      <w:rPr>
                        <w:rFonts w:ascii="Calibri" w:hAnsi="Calibri"/>
                        <w:b/>
                        <w:spacing w:val="-9"/>
                        <w:sz w:val="24"/>
                      </w:rPr>
                      <w:t> </w:t>
                    </w:r>
                    <w:r>
                      <w:rPr>
                        <w:rFonts w:ascii="Calibri" w:hAnsi="Calibri"/>
                        <w:b/>
                        <w:sz w:val="24"/>
                      </w:rPr>
                      <w:t>que</w:t>
                    </w:r>
                    <w:r>
                      <w:rPr>
                        <w:rFonts w:ascii="Calibri" w:hAnsi="Calibri"/>
                        <w:b/>
                        <w:spacing w:val="-8"/>
                        <w:sz w:val="24"/>
                      </w:rPr>
                      <w:t> </w:t>
                    </w:r>
                    <w:r>
                      <w:rPr>
                        <w:rFonts w:ascii="Calibri" w:hAnsi="Calibri"/>
                        <w:b/>
                        <w:sz w:val="24"/>
                      </w:rPr>
                      <w:t>ver</w:t>
                    </w:r>
                    <w:r>
                      <w:rPr>
                        <w:rFonts w:ascii="Calibri" w:hAnsi="Calibri"/>
                        <w:b/>
                        <w:spacing w:val="-6"/>
                        <w:sz w:val="24"/>
                      </w:rPr>
                      <w:t> </w:t>
                    </w:r>
                    <w:r>
                      <w:rPr>
                        <w:rFonts w:ascii="Calibri" w:hAnsi="Calibri"/>
                        <w:b/>
                        <w:sz w:val="24"/>
                      </w:rPr>
                      <w:t>con</w:t>
                    </w:r>
                    <w:r>
                      <w:rPr>
                        <w:rFonts w:ascii="Calibri" w:hAnsi="Calibri"/>
                        <w:b/>
                        <w:spacing w:val="-6"/>
                        <w:sz w:val="24"/>
                      </w:rPr>
                      <w:t> </w:t>
                    </w:r>
                    <w:r>
                      <w:rPr>
                        <w:rFonts w:ascii="Calibri" w:hAnsi="Calibri"/>
                        <w:b/>
                        <w:sz w:val="24"/>
                      </w:rPr>
                      <w:t>las relaciones de poder existentes entre estos, por lo que habrá de prestar principal atención en cómo influyen dichas relaciones en su grado de participación, afectando directamente la voluntariedad de las indiciadas.</w:t>
                    </w:r>
                  </w:p>
                </w:txbxContent>
              </v:textbox>
              <w10:wrap type="none"/>
            </v:shape>
            <w10:wrap type="topAndBottom"/>
          </v:group>
        </w:pict>
      </w:r>
    </w:p>
    <w:p>
      <w:pPr>
        <w:pStyle w:val="BodyText"/>
        <w:spacing w:line="360" w:lineRule="auto" w:before="114"/>
        <w:ind w:left="585" w:right="165"/>
        <w:jc w:val="both"/>
      </w:pPr>
      <w:r>
        <w:rPr/>
        <w:t>Asimismo, se debe tomar en consideración la legislación aplicable</w:t>
      </w:r>
      <w:r>
        <w:rPr>
          <w:spacing w:val="-8"/>
        </w:rPr>
        <w:t> </w:t>
      </w:r>
      <w:r>
        <w:rPr/>
        <w:t>para</w:t>
      </w:r>
      <w:r>
        <w:rPr>
          <w:spacing w:val="-8"/>
        </w:rPr>
        <w:t> </w:t>
      </w:r>
      <w:r>
        <w:rPr/>
        <w:t>el</w:t>
      </w:r>
      <w:r>
        <w:rPr>
          <w:spacing w:val="-9"/>
        </w:rPr>
        <w:t> </w:t>
      </w:r>
      <w:r>
        <w:rPr/>
        <w:t>caso</w:t>
      </w:r>
      <w:r>
        <w:rPr>
          <w:spacing w:val="-10"/>
        </w:rPr>
        <w:t> </w:t>
      </w:r>
      <w:r>
        <w:rPr/>
        <w:t>concreto</w:t>
      </w:r>
      <w:r>
        <w:rPr>
          <w:spacing w:val="-10"/>
        </w:rPr>
        <w:t> </w:t>
      </w:r>
      <w:r>
        <w:rPr/>
        <w:t>y</w:t>
      </w:r>
      <w:r>
        <w:rPr>
          <w:spacing w:val="-10"/>
        </w:rPr>
        <w:t> </w:t>
      </w:r>
      <w:r>
        <w:rPr/>
        <w:t>que</w:t>
      </w:r>
      <w:r>
        <w:rPr>
          <w:spacing w:val="-8"/>
        </w:rPr>
        <w:t> </w:t>
      </w:r>
      <w:r>
        <w:rPr/>
        <w:t>permitirá</w:t>
      </w:r>
      <w:r>
        <w:rPr>
          <w:spacing w:val="-10"/>
        </w:rPr>
        <w:t> </w:t>
      </w:r>
      <w:r>
        <w:rPr/>
        <w:t>la</w:t>
      </w:r>
      <w:r>
        <w:rPr>
          <w:spacing w:val="-10"/>
        </w:rPr>
        <w:t> </w:t>
      </w:r>
      <w:r>
        <w:rPr/>
        <w:t>protección</w:t>
      </w:r>
      <w:r>
        <w:rPr>
          <w:spacing w:val="-10"/>
        </w:rPr>
        <w:t> </w:t>
      </w:r>
      <w:r>
        <w:rPr/>
        <w:t>de los derechos humanos de las mujeres, subsumiendo también las</w:t>
      </w:r>
      <w:r>
        <w:rPr>
          <w:spacing w:val="-11"/>
        </w:rPr>
        <w:t> </w:t>
      </w:r>
      <w:r>
        <w:rPr/>
        <w:t>consideraciones</w:t>
      </w:r>
      <w:r>
        <w:rPr>
          <w:spacing w:val="-16"/>
        </w:rPr>
        <w:t> </w:t>
      </w:r>
      <w:r>
        <w:rPr/>
        <w:t>fácticas</w:t>
      </w:r>
      <w:r>
        <w:rPr>
          <w:spacing w:val="-11"/>
        </w:rPr>
        <w:t> </w:t>
      </w:r>
      <w:r>
        <w:rPr/>
        <w:t>de</w:t>
      </w:r>
      <w:r>
        <w:rPr>
          <w:spacing w:val="-16"/>
        </w:rPr>
        <w:t> </w:t>
      </w:r>
      <w:r>
        <w:rPr/>
        <w:t>género,</w:t>
      </w:r>
      <w:r>
        <w:rPr>
          <w:spacing w:val="-15"/>
        </w:rPr>
        <w:t> </w:t>
      </w:r>
      <w:r>
        <w:rPr/>
        <w:t>a</w:t>
      </w:r>
      <w:r>
        <w:rPr>
          <w:spacing w:val="-14"/>
        </w:rPr>
        <w:t> </w:t>
      </w:r>
      <w:r>
        <w:rPr/>
        <w:t>partir</w:t>
      </w:r>
      <w:r>
        <w:rPr>
          <w:spacing w:val="-12"/>
        </w:rPr>
        <w:t> </w:t>
      </w:r>
      <w:r>
        <w:rPr/>
        <w:t>de</w:t>
      </w:r>
      <w:r>
        <w:rPr>
          <w:spacing w:val="-14"/>
        </w:rPr>
        <w:t> </w:t>
      </w:r>
      <w:r>
        <w:rPr/>
        <w:t>un</w:t>
      </w:r>
      <w:r>
        <w:rPr>
          <w:spacing w:val="-14"/>
        </w:rPr>
        <w:t> </w:t>
      </w:r>
      <w:r>
        <w:rPr/>
        <w:t>silogismo lógico</w:t>
      </w:r>
      <w:r>
        <w:rPr>
          <w:spacing w:val="-6"/>
        </w:rPr>
        <w:t> </w:t>
      </w:r>
      <w:r>
        <w:rPr/>
        <w:t>jurídico.</w:t>
      </w:r>
    </w:p>
    <w:p>
      <w:pPr>
        <w:spacing w:after="0" w:line="360" w:lineRule="auto"/>
        <w:jc w:val="both"/>
        <w:sectPr>
          <w:type w:val="continuous"/>
          <w:pgSz w:w="12240" w:h="15840"/>
          <w:pgMar w:top="1400" w:bottom="280" w:left="0" w:right="1580"/>
          <w:cols w:num="2" w:equalWidth="0">
            <w:col w:w="3736" w:space="78"/>
            <w:col w:w="6846"/>
          </w:cols>
        </w:sectPr>
      </w:pPr>
    </w:p>
    <w:p>
      <w:pPr>
        <w:pStyle w:val="BodyText"/>
        <w:rPr>
          <w:sz w:val="20"/>
        </w:rPr>
      </w:pPr>
      <w:r>
        <w:rPr/>
        <w:pict>
          <v:group style="position:absolute;margin-left:24.48pt;margin-top:19.799999pt;width:201.4pt;height:751.8pt;mso-position-horizontal-relative:page;mso-position-vertical-relative:page;z-index:-95776" coordorigin="490,396" coordsize="4028,15036">
            <v:shape style="position:absolute;left:787;top:396;width:3730;height:15036" type="#_x0000_t75" stroked="false">
              <v:imagedata r:id="rId115" o:title=""/>
            </v:shape>
            <v:shape style="position:absolute;left:792;top:1841;width:3720;height:13298" type="#_x0000_t75" stroked="false">
              <v:imagedata r:id="rId116" o:title=""/>
            </v:shape>
            <v:rect style="position:absolute;left:535;top:396;width:298;height:15036" filled="true" fillcolor="#44536a" stroked="false">
              <v:fill type="solid"/>
            </v:rect>
            <v:shape style="position:absolute;left:490;top:1020;width:3864;height:958" coordorigin="490,1020" coordsize="3864,958" path="m3875,1020l490,1020,490,1978,3875,1978,4354,1499,3875,1020xe" filled="true" fillcolor="#5b9bd4" stroked="false">
              <v:path arrowok="t"/>
              <v:fill type="solid"/>
            </v:shape>
            <v:shape style="position:absolute;left:499;top:1030;width:3605;height:938" type="#_x0000_t75" stroked="false">
              <v:imagedata r:id="rId132" o:title=""/>
            </v:shape>
            <w10:wrap type="none"/>
          </v:group>
        </w:pict>
      </w:r>
    </w:p>
    <w:p>
      <w:pPr>
        <w:pStyle w:val="BodyText"/>
        <w:rPr>
          <w:sz w:val="20"/>
        </w:rPr>
      </w:pPr>
    </w:p>
    <w:p>
      <w:pPr>
        <w:pStyle w:val="Heading5"/>
        <w:spacing w:before="169"/>
        <w:ind w:right="8005"/>
        <w:rPr>
          <w:b w:val="0"/>
        </w:rPr>
      </w:pPr>
      <w:r>
        <w:rPr>
          <w:b w:val="0"/>
          <w:color w:val="FFFFFF"/>
        </w:rPr>
        <w:t>Elaboración de una Teoría del Caso con Perspectiva de Género</w:t>
      </w:r>
    </w:p>
    <w:p>
      <w:pPr>
        <w:pStyle w:val="BodyText"/>
        <w:spacing w:before="9"/>
        <w:rPr>
          <w:rFonts w:ascii="Calibri Light"/>
          <w:b w:val="0"/>
        </w:rPr>
      </w:pPr>
    </w:p>
    <w:p>
      <w:pPr>
        <w:spacing w:line="276" w:lineRule="auto" w:before="59"/>
        <w:ind w:left="700" w:right="7593" w:firstLine="0"/>
        <w:jc w:val="both"/>
        <w:rPr>
          <w:rFonts w:ascii="Calibri" w:hAnsi="Calibri"/>
          <w:sz w:val="20"/>
        </w:rPr>
      </w:pPr>
      <w:r>
        <w:rPr/>
        <w:pict>
          <v:group style="position:absolute;margin-left:260.625pt;margin-top:-11.563494pt;width:324.75pt;height:200.35pt;mso-position-horizontal-relative:page;mso-position-vertical-relative:paragraph;z-index:5680" coordorigin="5213,-231" coordsize="6495,4007">
            <v:shape style="position:absolute;left:5220;top:-224;width:6480;height:3991" type="#_x0000_t75" stroked="false">
              <v:imagedata r:id="rId133" o:title=""/>
            </v:shape>
            <v:shape style="position:absolute;left:5220;top:-224;width:6480;height:3992" type="#_x0000_t202" filled="false" stroked="true" strokeweight=".72pt" strokecolor="#000000">
              <v:textbox inset="0,0,0,0">
                <w:txbxContent>
                  <w:p>
                    <w:pPr>
                      <w:spacing w:line="278" w:lineRule="auto" w:before="69"/>
                      <w:ind w:left="145" w:right="140" w:firstLine="0"/>
                      <w:jc w:val="both"/>
                      <w:rPr>
                        <w:rFonts w:ascii="Calibri" w:hAnsi="Calibri"/>
                        <w:sz w:val="22"/>
                      </w:rPr>
                    </w:pPr>
                    <w:r>
                      <w:rPr>
                        <w:rFonts w:ascii="Calibri" w:hAnsi="Calibri"/>
                        <w:sz w:val="22"/>
                      </w:rPr>
                      <w:t>Las diversas manifestaciones de la violencia de género pueden constituir causas de justificación del delito.</w:t>
                    </w:r>
                  </w:p>
                  <w:p>
                    <w:pPr>
                      <w:spacing w:before="197"/>
                      <w:ind w:left="145" w:right="0" w:firstLine="0"/>
                      <w:jc w:val="both"/>
                      <w:rPr>
                        <w:rFonts w:ascii="Calibri"/>
                        <w:sz w:val="22"/>
                      </w:rPr>
                    </w:pPr>
                    <w:r>
                      <w:rPr>
                        <w:rFonts w:ascii="Calibri"/>
                        <w:sz w:val="22"/>
                      </w:rPr>
                      <w:t>Por ejemplo:</w:t>
                    </w:r>
                  </w:p>
                  <w:p>
                    <w:pPr>
                      <w:spacing w:line="240" w:lineRule="auto" w:before="5"/>
                      <w:rPr>
                        <w:rFonts w:ascii="Calibri"/>
                        <w:sz w:val="19"/>
                      </w:rPr>
                    </w:pPr>
                  </w:p>
                  <w:p>
                    <w:pPr>
                      <w:spacing w:line="276" w:lineRule="auto" w:before="1"/>
                      <w:ind w:left="145" w:right="137" w:firstLine="0"/>
                      <w:jc w:val="both"/>
                      <w:rPr>
                        <w:rFonts w:ascii="Calibri" w:hAnsi="Calibri"/>
                        <w:sz w:val="22"/>
                      </w:rPr>
                    </w:pPr>
                    <w:r>
                      <w:rPr>
                        <w:rFonts w:ascii="Calibri" w:hAnsi="Calibri"/>
                        <w:sz w:val="22"/>
                      </w:rPr>
                      <w:t>En el caso en el que una mujer priva de la vida a su pareja, quien la agredía físicamente, se actualiza el supuesto de la legítima defensa.</w:t>
                    </w:r>
                  </w:p>
                  <w:p>
                    <w:pPr>
                      <w:spacing w:line="240" w:lineRule="auto" w:before="2"/>
                      <w:rPr>
                        <w:rFonts w:ascii="Calibri"/>
                        <w:sz w:val="16"/>
                      </w:rPr>
                    </w:pPr>
                  </w:p>
                  <w:p>
                    <w:pPr>
                      <w:spacing w:line="276" w:lineRule="auto" w:before="1"/>
                      <w:ind w:left="145" w:right="139" w:firstLine="0"/>
                      <w:jc w:val="both"/>
                      <w:rPr>
                        <w:rFonts w:ascii="Calibri" w:hAnsi="Calibri"/>
                        <w:sz w:val="22"/>
                      </w:rPr>
                    </w:pPr>
                    <w:r>
                      <w:rPr>
                        <w:rFonts w:ascii="Calibri" w:hAnsi="Calibri"/>
                        <w:sz w:val="22"/>
                      </w:rPr>
                      <w:t>Asimismo en el caso de que una mujer es violentada patrimonialmente por su pareja, al no otorgarle dinero para su alimentación y la de sus hijos, y se ve en la necesidad de cometer alguna</w:t>
                    </w:r>
                    <w:r>
                      <w:rPr>
                        <w:rFonts w:ascii="Calibri" w:hAnsi="Calibri"/>
                        <w:spacing w:val="-14"/>
                        <w:sz w:val="22"/>
                      </w:rPr>
                      <w:t> </w:t>
                    </w:r>
                    <w:r>
                      <w:rPr>
                        <w:rFonts w:ascii="Calibri" w:hAnsi="Calibri"/>
                        <w:sz w:val="22"/>
                      </w:rPr>
                      <w:t>conducta</w:t>
                    </w:r>
                    <w:r>
                      <w:rPr>
                        <w:rFonts w:ascii="Calibri" w:hAnsi="Calibri"/>
                        <w:spacing w:val="-13"/>
                        <w:sz w:val="22"/>
                      </w:rPr>
                      <w:t> </w:t>
                    </w:r>
                    <w:r>
                      <w:rPr>
                        <w:rFonts w:ascii="Calibri" w:hAnsi="Calibri"/>
                        <w:sz w:val="22"/>
                      </w:rPr>
                      <w:t>delictiva</w:t>
                    </w:r>
                    <w:r>
                      <w:rPr>
                        <w:rFonts w:ascii="Calibri" w:hAnsi="Calibri"/>
                        <w:spacing w:val="-14"/>
                        <w:sz w:val="22"/>
                      </w:rPr>
                      <w:t> </w:t>
                    </w:r>
                    <w:r>
                      <w:rPr>
                        <w:rFonts w:ascii="Calibri" w:hAnsi="Calibri"/>
                        <w:sz w:val="22"/>
                      </w:rPr>
                      <w:t>para</w:t>
                    </w:r>
                    <w:r>
                      <w:rPr>
                        <w:rFonts w:ascii="Calibri" w:hAnsi="Calibri"/>
                        <w:spacing w:val="-14"/>
                        <w:sz w:val="22"/>
                      </w:rPr>
                      <w:t> </w:t>
                    </w:r>
                    <w:r>
                      <w:rPr>
                        <w:rFonts w:ascii="Calibri" w:hAnsi="Calibri"/>
                        <w:sz w:val="22"/>
                      </w:rPr>
                      <w:t>obtener</w:t>
                    </w:r>
                    <w:r>
                      <w:rPr>
                        <w:rFonts w:ascii="Calibri" w:hAnsi="Calibri"/>
                        <w:spacing w:val="-14"/>
                        <w:sz w:val="22"/>
                      </w:rPr>
                      <w:t> </w:t>
                    </w:r>
                    <w:r>
                      <w:rPr>
                        <w:rFonts w:ascii="Calibri" w:hAnsi="Calibri"/>
                        <w:sz w:val="22"/>
                      </w:rPr>
                      <w:t>ingresos</w:t>
                    </w:r>
                    <w:r>
                      <w:rPr>
                        <w:rFonts w:ascii="Calibri" w:hAnsi="Calibri"/>
                        <w:spacing w:val="-16"/>
                        <w:sz w:val="22"/>
                      </w:rPr>
                      <w:t> </w:t>
                    </w:r>
                    <w:r>
                      <w:rPr>
                        <w:rFonts w:ascii="Calibri" w:hAnsi="Calibri"/>
                        <w:sz w:val="22"/>
                      </w:rPr>
                      <w:t>como</w:t>
                    </w:r>
                    <w:r>
                      <w:rPr>
                        <w:rFonts w:ascii="Calibri" w:hAnsi="Calibri"/>
                        <w:spacing w:val="-15"/>
                        <w:sz w:val="22"/>
                      </w:rPr>
                      <w:t> </w:t>
                    </w:r>
                    <w:r>
                      <w:rPr>
                        <w:rFonts w:ascii="Calibri" w:hAnsi="Calibri"/>
                        <w:sz w:val="22"/>
                      </w:rPr>
                      <w:t>robar</w:t>
                    </w:r>
                    <w:r>
                      <w:rPr>
                        <w:rFonts w:ascii="Calibri" w:hAnsi="Calibri"/>
                        <w:spacing w:val="-16"/>
                        <w:sz w:val="22"/>
                      </w:rPr>
                      <w:t> </w:t>
                    </w:r>
                    <w:r>
                      <w:rPr>
                        <w:rFonts w:ascii="Calibri" w:hAnsi="Calibri"/>
                        <w:sz w:val="22"/>
                      </w:rPr>
                      <w:t>o</w:t>
                    </w:r>
                    <w:r>
                      <w:rPr>
                        <w:rFonts w:ascii="Calibri" w:hAnsi="Calibri"/>
                        <w:spacing w:val="-13"/>
                        <w:sz w:val="22"/>
                      </w:rPr>
                      <w:t> </w:t>
                    </w:r>
                    <w:r>
                      <w:rPr>
                        <w:rFonts w:ascii="Calibri" w:hAnsi="Calibri"/>
                        <w:sz w:val="22"/>
                      </w:rPr>
                      <w:t>la</w:t>
                    </w:r>
                    <w:r>
                      <w:rPr>
                        <w:rFonts w:ascii="Calibri" w:hAnsi="Calibri"/>
                        <w:spacing w:val="-16"/>
                        <w:sz w:val="22"/>
                      </w:rPr>
                      <w:t> </w:t>
                    </w:r>
                    <w:r>
                      <w:rPr>
                        <w:rFonts w:ascii="Calibri" w:hAnsi="Calibri"/>
                        <w:sz w:val="22"/>
                      </w:rPr>
                      <w:t>venta de droga, se puede acreditar un estado de</w:t>
                    </w:r>
                    <w:r>
                      <w:rPr>
                        <w:rFonts w:ascii="Calibri" w:hAnsi="Calibri"/>
                        <w:spacing w:val="-21"/>
                        <w:sz w:val="22"/>
                      </w:rPr>
                      <w:t> </w:t>
                    </w:r>
                    <w:r>
                      <w:rPr>
                        <w:rFonts w:ascii="Calibri" w:hAnsi="Calibri"/>
                        <w:sz w:val="22"/>
                      </w:rPr>
                      <w:t>necesidad.</w:t>
                    </w:r>
                  </w:p>
                </w:txbxContent>
              </v:textbox>
              <w10:wrap type="none"/>
            </v:shape>
            <w10:wrap type="none"/>
          </v:group>
        </w:pict>
      </w:r>
      <w:r>
        <w:rPr>
          <w:rFonts w:ascii="Calibri" w:hAnsi="Calibri"/>
          <w:color w:val="585858"/>
          <w:sz w:val="20"/>
        </w:rPr>
        <w:t>PASO 5: Elaboración de las conclusiones a partir de las consideraciones referidas en el quinto paso, que para nuestro ejemplo quedarían de la siguiente forma:</w:t>
      </w:r>
    </w:p>
    <w:p>
      <w:pPr>
        <w:pStyle w:val="BodyText"/>
        <w:spacing w:before="3"/>
        <w:rPr>
          <w:rFonts w:ascii="Calibri"/>
          <w:sz w:val="16"/>
        </w:rPr>
      </w:pPr>
    </w:p>
    <w:p>
      <w:pPr>
        <w:spacing w:line="276" w:lineRule="auto" w:before="1"/>
        <w:ind w:left="700" w:right="7595" w:firstLine="0"/>
        <w:jc w:val="both"/>
        <w:rPr>
          <w:rFonts w:ascii="Calibri" w:hAnsi="Calibri"/>
          <w:sz w:val="20"/>
        </w:rPr>
      </w:pPr>
      <w:r>
        <w:rPr/>
        <w:pict>
          <v:group style="position:absolute;margin-left:273.345001pt;margin-top:146.576477pt;width:269.350pt;height:330.75pt;mso-position-horizontal-relative:page;mso-position-vertical-relative:paragraph;z-index:5632" coordorigin="5467,2932" coordsize="5387,6615">
            <v:shape style="position:absolute;left:5474;top:2939;width:5371;height:6600" type="#_x0000_t75" stroked="false">
              <v:imagedata r:id="rId134" o:title=""/>
            </v:shape>
            <v:shape style="position:absolute;left:5474;top:2939;width:5372;height:6600" type="#_x0000_t202" filled="false" stroked="true" strokeweight=".72pt" strokecolor="#000000">
              <v:textbox inset="0,0,0,0">
                <w:txbxContent>
                  <w:p>
                    <w:pPr>
                      <w:spacing w:line="276" w:lineRule="auto" w:before="70"/>
                      <w:ind w:left="144" w:right="699" w:firstLine="0"/>
                      <w:jc w:val="both"/>
                      <w:rPr>
                        <w:rFonts w:ascii="Calibri" w:hAnsi="Calibri"/>
                        <w:b/>
                        <w:sz w:val="22"/>
                      </w:rPr>
                    </w:pPr>
                    <w:r>
                      <w:rPr>
                        <w:rFonts w:ascii="Calibri" w:hAnsi="Calibri"/>
                        <w:b/>
                        <w:sz w:val="22"/>
                      </w:rPr>
                      <w:t>PARA LA DETERMINACIÓN DEL MARCO JURÍDICO APLICABLE, ES IMPORTANTE CONTESTARNOS LAS SIGUIENTES PREGUNTAS</w:t>
                    </w:r>
                  </w:p>
                  <w:p>
                    <w:pPr>
                      <w:spacing w:line="240" w:lineRule="auto" w:before="4"/>
                      <w:rPr>
                        <w:rFonts w:ascii="Calibri"/>
                        <w:sz w:val="16"/>
                      </w:rPr>
                    </w:pPr>
                  </w:p>
                  <w:p>
                    <w:pPr>
                      <w:spacing w:line="278" w:lineRule="auto" w:before="0"/>
                      <w:ind w:left="144" w:right="814" w:firstLine="0"/>
                      <w:jc w:val="left"/>
                      <w:rPr>
                        <w:rFonts w:ascii="Calibri" w:hAnsi="Calibri"/>
                        <w:b/>
                        <w:sz w:val="20"/>
                      </w:rPr>
                    </w:pPr>
                    <w:r>
                      <w:rPr>
                        <w:rFonts w:ascii="Calibri" w:hAnsi="Calibri"/>
                        <w:b/>
                        <w:sz w:val="20"/>
                      </w:rPr>
                      <w:t>¿Cuál es el marco normativo nacional e internacional aplicable al caso?</w:t>
                    </w:r>
                  </w:p>
                  <w:p>
                    <w:pPr>
                      <w:spacing w:line="240" w:lineRule="auto" w:before="1"/>
                      <w:rPr>
                        <w:rFonts w:ascii="Calibri"/>
                        <w:sz w:val="16"/>
                      </w:rPr>
                    </w:pPr>
                  </w:p>
                  <w:p>
                    <w:pPr>
                      <w:spacing w:line="278" w:lineRule="auto" w:before="0"/>
                      <w:ind w:left="144" w:right="492" w:firstLine="0"/>
                      <w:jc w:val="left"/>
                      <w:rPr>
                        <w:rFonts w:ascii="Calibri" w:hAnsi="Calibri"/>
                        <w:b/>
                        <w:sz w:val="20"/>
                      </w:rPr>
                    </w:pPr>
                    <w:r>
                      <w:rPr>
                        <w:rFonts w:ascii="Calibri" w:hAnsi="Calibri"/>
                        <w:b/>
                        <w:sz w:val="20"/>
                      </w:rPr>
                      <w:t>¿Existen resoluciones o sentencias de organismos internacionales que brinden argumentos para resolver el asunto en cuestión?</w:t>
                    </w:r>
                  </w:p>
                  <w:p>
                    <w:pPr>
                      <w:spacing w:line="240" w:lineRule="auto" w:before="11"/>
                      <w:rPr>
                        <w:rFonts w:ascii="Calibri"/>
                        <w:sz w:val="15"/>
                      </w:rPr>
                    </w:pPr>
                  </w:p>
                  <w:p>
                    <w:pPr>
                      <w:spacing w:line="278" w:lineRule="auto" w:before="1"/>
                      <w:ind w:left="144" w:right="170" w:firstLine="0"/>
                      <w:jc w:val="left"/>
                      <w:rPr>
                        <w:rFonts w:ascii="Calibri" w:hAnsi="Calibri"/>
                        <w:b/>
                        <w:sz w:val="20"/>
                      </w:rPr>
                    </w:pPr>
                    <w:r>
                      <w:rPr>
                        <w:rFonts w:ascii="Calibri" w:hAnsi="Calibri"/>
                        <w:b/>
                        <w:sz w:val="20"/>
                      </w:rPr>
                      <w:t>¿Existen sentencias internacionales en contra de México que puedan aplicarse al caso concreto?</w:t>
                    </w:r>
                  </w:p>
                  <w:p>
                    <w:pPr>
                      <w:spacing w:line="240" w:lineRule="auto" w:before="11"/>
                      <w:rPr>
                        <w:rFonts w:ascii="Calibri"/>
                        <w:sz w:val="15"/>
                      </w:rPr>
                    </w:pPr>
                  </w:p>
                  <w:p>
                    <w:pPr>
                      <w:spacing w:line="278" w:lineRule="auto" w:before="0"/>
                      <w:ind w:left="144" w:right="230" w:firstLine="0"/>
                      <w:jc w:val="left"/>
                      <w:rPr>
                        <w:rFonts w:ascii="Calibri" w:hAnsi="Calibri"/>
                        <w:b/>
                        <w:sz w:val="20"/>
                      </w:rPr>
                    </w:pPr>
                    <w:r>
                      <w:rPr>
                        <w:rFonts w:ascii="Calibri" w:hAnsi="Calibri"/>
                        <w:b/>
                        <w:sz w:val="20"/>
                      </w:rPr>
                      <w:t>¿Qué observaciones generales de Naciones Unidas y a Corte Interamericana de Derechos Humanos aportan elementos valiosos para el caso concreto?</w:t>
                    </w:r>
                  </w:p>
                  <w:p>
                    <w:pPr>
                      <w:spacing w:line="240" w:lineRule="auto" w:before="11"/>
                      <w:rPr>
                        <w:rFonts w:ascii="Calibri"/>
                        <w:sz w:val="15"/>
                      </w:rPr>
                    </w:pPr>
                  </w:p>
                  <w:p>
                    <w:pPr>
                      <w:spacing w:line="278" w:lineRule="auto" w:before="0"/>
                      <w:ind w:left="144" w:right="775" w:firstLine="0"/>
                      <w:jc w:val="left"/>
                      <w:rPr>
                        <w:rFonts w:ascii="Calibri" w:hAnsi="Calibri"/>
                        <w:b/>
                        <w:sz w:val="20"/>
                      </w:rPr>
                    </w:pPr>
                    <w:r>
                      <w:rPr>
                        <w:rFonts w:ascii="Calibri" w:hAnsi="Calibri"/>
                        <w:b/>
                        <w:sz w:val="20"/>
                      </w:rPr>
                      <w:t>¿Cuál es la norma que garantiza mejor el derecho a la igualdad de la indiciada?</w:t>
                    </w:r>
                  </w:p>
                  <w:p>
                    <w:pPr>
                      <w:spacing w:line="240" w:lineRule="auto" w:before="1"/>
                      <w:rPr>
                        <w:rFonts w:ascii="Calibri"/>
                        <w:sz w:val="16"/>
                      </w:rPr>
                    </w:pPr>
                  </w:p>
                  <w:p>
                    <w:pPr>
                      <w:spacing w:line="276" w:lineRule="auto" w:before="0"/>
                      <w:ind w:left="144" w:right="373" w:firstLine="0"/>
                      <w:jc w:val="left"/>
                      <w:rPr>
                        <w:rFonts w:ascii="Calibri" w:hAnsi="Calibri"/>
                        <w:b/>
                        <w:sz w:val="20"/>
                      </w:rPr>
                    </w:pPr>
                    <w:r>
                      <w:rPr>
                        <w:rFonts w:ascii="Calibri" w:hAnsi="Calibri"/>
                        <w:b/>
                        <w:sz w:val="20"/>
                      </w:rPr>
                      <w:t>Si el caso amerita un trato diferenciado para nuestra indiciada ¿qué normas permiten dicho trato diferenciado?</w:t>
                    </w:r>
                  </w:p>
                </w:txbxContent>
              </v:textbox>
              <w10:wrap type="none"/>
            </v:shape>
            <w10:wrap type="none"/>
          </v:group>
        </w:pict>
      </w:r>
      <w:r>
        <w:rPr>
          <w:rFonts w:ascii="Calibri" w:hAnsi="Calibri"/>
          <w:color w:val="585858"/>
          <w:sz w:val="20"/>
        </w:rPr>
        <w:t>1.- El artículo primero de la Constitución Política de los Estados Unidos Mexicanos, establece que todas las personas que vivan en el territorio mexicano gozarán de los derechos humanos consagrados en la Constitución Federal y los Tratados Internacionales de los que el Estado Mexicano es parte, y en consecuencia la obligatoriedad del Estado de vigilar el estricto cumplimiento derechos human, no solo de los reconocidos por la Constitución, sino también los reconocidos en los instrumentos internacionales de los que el Estado Mexicano  es parte.</w:t>
      </w:r>
    </w:p>
    <w:p>
      <w:pPr>
        <w:pStyle w:val="BodyText"/>
        <w:spacing w:before="3"/>
        <w:rPr>
          <w:rFonts w:ascii="Calibri"/>
          <w:sz w:val="16"/>
        </w:rPr>
      </w:pPr>
    </w:p>
    <w:p>
      <w:pPr>
        <w:spacing w:line="276" w:lineRule="auto" w:before="1"/>
        <w:ind w:left="700" w:right="7593" w:firstLine="0"/>
        <w:jc w:val="both"/>
        <w:rPr>
          <w:rFonts w:ascii="Calibri"/>
          <w:sz w:val="20"/>
        </w:rPr>
      </w:pPr>
      <w:r>
        <w:rPr>
          <w:rFonts w:ascii="Calibri"/>
          <w:color w:val="585858"/>
          <w:sz w:val="20"/>
        </w:rPr>
        <w:t>2.- En ese sentido, el Estado Mexicano ha suscrito diversos instrumentos internacionales que protegen los derechos</w:t>
      </w:r>
      <w:r>
        <w:rPr>
          <w:rFonts w:ascii="Calibri"/>
          <w:color w:val="585858"/>
          <w:spacing w:val="-13"/>
          <w:sz w:val="20"/>
        </w:rPr>
        <w:t> </w:t>
      </w:r>
      <w:r>
        <w:rPr>
          <w:rFonts w:ascii="Calibri"/>
          <w:color w:val="585858"/>
          <w:sz w:val="20"/>
        </w:rPr>
        <w:t>humanos</w:t>
      </w:r>
      <w:r>
        <w:rPr>
          <w:rFonts w:ascii="Calibri"/>
          <w:color w:val="585858"/>
          <w:spacing w:val="-13"/>
          <w:sz w:val="20"/>
        </w:rPr>
        <w:t> </w:t>
      </w:r>
      <w:r>
        <w:rPr>
          <w:rFonts w:ascii="Calibri"/>
          <w:color w:val="585858"/>
          <w:sz w:val="20"/>
        </w:rPr>
        <w:t>de</w:t>
      </w:r>
      <w:r>
        <w:rPr>
          <w:rFonts w:ascii="Calibri"/>
          <w:color w:val="585858"/>
          <w:spacing w:val="-12"/>
          <w:sz w:val="20"/>
        </w:rPr>
        <w:t> </w:t>
      </w:r>
      <w:r>
        <w:rPr>
          <w:rFonts w:ascii="Calibri"/>
          <w:color w:val="585858"/>
          <w:sz w:val="20"/>
        </w:rPr>
        <w:t>las</w:t>
      </w:r>
      <w:r>
        <w:rPr>
          <w:rFonts w:ascii="Calibri"/>
          <w:color w:val="585858"/>
          <w:spacing w:val="-13"/>
          <w:sz w:val="20"/>
        </w:rPr>
        <w:t> </w:t>
      </w:r>
      <w:r>
        <w:rPr>
          <w:rFonts w:ascii="Calibri"/>
          <w:color w:val="585858"/>
          <w:sz w:val="20"/>
        </w:rPr>
        <w:t>mujeres,</w:t>
      </w:r>
      <w:r>
        <w:rPr>
          <w:rFonts w:ascii="Calibri"/>
          <w:color w:val="585858"/>
          <w:spacing w:val="-11"/>
          <w:sz w:val="20"/>
        </w:rPr>
        <w:t> </w:t>
      </w:r>
      <w:r>
        <w:rPr>
          <w:rFonts w:ascii="Calibri"/>
          <w:color w:val="585858"/>
          <w:sz w:val="20"/>
        </w:rPr>
        <w:t>y</w:t>
      </w:r>
      <w:r>
        <w:rPr>
          <w:rFonts w:ascii="Calibri"/>
          <w:color w:val="585858"/>
          <w:spacing w:val="-11"/>
          <w:sz w:val="20"/>
        </w:rPr>
        <w:t> </w:t>
      </w:r>
      <w:r>
        <w:rPr>
          <w:rFonts w:ascii="Calibri"/>
          <w:color w:val="585858"/>
          <w:sz w:val="20"/>
        </w:rPr>
        <w:t>de manera particular su derecho a la igualdad, y  acceso a la</w:t>
      </w:r>
      <w:r>
        <w:rPr>
          <w:rFonts w:ascii="Calibri"/>
          <w:color w:val="585858"/>
          <w:spacing w:val="-8"/>
          <w:sz w:val="20"/>
        </w:rPr>
        <w:t> </w:t>
      </w:r>
      <w:r>
        <w:rPr>
          <w:rFonts w:ascii="Calibri"/>
          <w:color w:val="585858"/>
          <w:sz w:val="20"/>
        </w:rPr>
        <w:t>justicia.</w:t>
      </w:r>
    </w:p>
    <w:p>
      <w:pPr>
        <w:pStyle w:val="BodyText"/>
        <w:spacing w:before="1"/>
        <w:rPr>
          <w:rFonts w:ascii="Calibri"/>
          <w:sz w:val="16"/>
        </w:rPr>
      </w:pPr>
    </w:p>
    <w:p>
      <w:pPr>
        <w:spacing w:line="276" w:lineRule="auto" w:before="0"/>
        <w:ind w:left="700" w:right="7596" w:firstLine="0"/>
        <w:jc w:val="both"/>
        <w:rPr>
          <w:rFonts w:ascii="Calibri" w:hAnsi="Calibri"/>
          <w:sz w:val="20"/>
        </w:rPr>
      </w:pPr>
      <w:r>
        <w:rPr>
          <w:rFonts w:ascii="Calibri" w:hAnsi="Calibri"/>
          <w:color w:val="585858"/>
          <w:sz w:val="20"/>
        </w:rPr>
        <w:t>Al respecto la Convención Americana de los Derechos Humanos en sus artículos 8 y 24, así como la Convención sobre todas las formas de eliminación de discriminación en contra de las mujer en sus artículos 2, 4 y 15, y la Convención</w:t>
      </w:r>
      <w:r>
        <w:rPr>
          <w:rFonts w:ascii="Calibri" w:hAnsi="Calibri"/>
          <w:color w:val="585858"/>
          <w:spacing w:val="-13"/>
          <w:sz w:val="20"/>
        </w:rPr>
        <w:t> </w:t>
      </w:r>
      <w:r>
        <w:rPr>
          <w:rFonts w:ascii="Calibri" w:hAnsi="Calibri"/>
          <w:color w:val="585858"/>
          <w:sz w:val="20"/>
        </w:rPr>
        <w:t>Interamericana para prevenir, sancionar y erradicar la violencia en contra de la mujer en sus artículo 4 y 7, establecen el derecho humano a la igualdad que tienen las mujeres.</w:t>
      </w:r>
    </w:p>
    <w:p>
      <w:pPr>
        <w:pStyle w:val="BodyText"/>
        <w:spacing w:before="11"/>
        <w:rPr>
          <w:rFonts w:ascii="Calibri"/>
          <w:sz w:val="15"/>
        </w:rPr>
      </w:pPr>
    </w:p>
    <w:p>
      <w:pPr>
        <w:spacing w:before="0"/>
        <w:ind w:left="700" w:right="0" w:firstLine="0"/>
        <w:jc w:val="both"/>
        <w:rPr>
          <w:rFonts w:ascii="Calibri" w:hAnsi="Calibri"/>
          <w:sz w:val="20"/>
        </w:rPr>
      </w:pPr>
      <w:r>
        <w:rPr>
          <w:rFonts w:ascii="Calibri" w:hAnsi="Calibri"/>
          <w:color w:val="585858"/>
          <w:sz w:val="20"/>
        </w:rPr>
        <w:t>Continua…</w:t>
      </w:r>
    </w:p>
    <w:p>
      <w:pPr>
        <w:spacing w:after="0"/>
        <w:jc w:val="both"/>
        <w:rPr>
          <w:rFonts w:ascii="Calibri" w:hAnsi="Calibri"/>
          <w:sz w:val="20"/>
        </w:rPr>
        <w:sectPr>
          <w:pgSz w:w="12240" w:h="15840"/>
          <w:pgMar w:header="0" w:footer="1002" w:top="400" w:bottom="1200" w:left="380" w:right="420"/>
        </w:sectPr>
      </w:pPr>
    </w:p>
    <w:p>
      <w:pPr>
        <w:pStyle w:val="BodyText"/>
        <w:rPr>
          <w:rFonts w:ascii="Calibri"/>
          <w:sz w:val="20"/>
        </w:rPr>
      </w:pPr>
    </w:p>
    <w:p>
      <w:pPr>
        <w:pStyle w:val="BodyText"/>
        <w:rPr>
          <w:rFonts w:ascii="Calibri"/>
          <w:sz w:val="23"/>
        </w:rPr>
      </w:pPr>
    </w:p>
    <w:p>
      <w:pPr>
        <w:spacing w:after="0"/>
        <w:rPr>
          <w:rFonts w:ascii="Calibri"/>
          <w:sz w:val="23"/>
        </w:rPr>
        <w:sectPr>
          <w:pgSz w:w="12240" w:h="15840"/>
          <w:pgMar w:header="0" w:footer="1002" w:top="760" w:bottom="1200" w:left="0" w:right="1580"/>
        </w:sectPr>
      </w:pPr>
    </w:p>
    <w:p>
      <w:pPr>
        <w:pStyle w:val="Heading5"/>
        <w:ind w:left="691" w:right="770"/>
        <w:rPr>
          <w:b w:val="0"/>
        </w:rPr>
      </w:pPr>
      <w:r>
        <w:rPr/>
        <w:pict>
          <v:group style="position:absolute;margin-left:5.28pt;margin-top:38.040001pt;width:404.55pt;height:715.8pt;mso-position-horizontal-relative:page;mso-position-vertical-relative:page;z-index:-95752" coordorigin="106,761" coordsize="8091,14316">
            <v:shape style="position:absolute;left:4118;top:2081;width:4078;height:787" type="#_x0000_t75" stroked="false">
              <v:imagedata r:id="rId135" o:title=""/>
            </v:shape>
            <v:shape style="position:absolute;left:458;top:821;width:3672;height:14256" type="#_x0000_t75" stroked="false">
              <v:imagedata r:id="rId136" o:title=""/>
            </v:shape>
            <v:shape style="position:absolute;left:463;top:2268;width:3662;height:12516" type="#_x0000_t75" stroked="false">
              <v:imagedata r:id="rId137" o:title=""/>
            </v:shape>
            <v:rect style="position:absolute;left:106;top:761;width:293;height:14256" filled="true" fillcolor="#44536a" stroked="false">
              <v:fill type="solid"/>
            </v:rect>
            <v:shape style="position:absolute;left:106;top:1322;width:3804;height:910" coordorigin="106,1322" coordsize="3804,910" path="m3455,1322l106,1322,106,2232,3455,2232,3910,1777,3455,1322xe" filled="true" fillcolor="#5b9bd4" stroked="false">
              <v:path arrowok="t"/>
              <v:fill type="solid"/>
            </v:shape>
            <v:shape style="position:absolute;left:115;top:1332;width:3557;height:890" type="#_x0000_t75" stroked="false">
              <v:imagedata r:id="rId138" o:title=""/>
            </v:shape>
            <w10:wrap type="none"/>
          </v:group>
        </w:pict>
      </w:r>
      <w:r>
        <w:rPr>
          <w:b w:val="0"/>
          <w:color w:val="FFFFFF"/>
        </w:rPr>
        <w:t>Elaboración de una Teoría del Caso con Perspectiva de Género</w:t>
      </w:r>
    </w:p>
    <w:p>
      <w:pPr>
        <w:spacing w:line="229" w:lineRule="exact" w:before="0"/>
        <w:ind w:left="751" w:right="0" w:firstLine="0"/>
        <w:jc w:val="both"/>
        <w:rPr>
          <w:rFonts w:ascii="Calibri" w:hAnsi="Calibri"/>
          <w:sz w:val="20"/>
        </w:rPr>
      </w:pPr>
      <w:r>
        <w:rPr>
          <w:rFonts w:ascii="Calibri" w:hAnsi="Calibri"/>
          <w:color w:val="585858"/>
          <w:sz w:val="20"/>
        </w:rPr>
        <w:t>Continuación…</w:t>
      </w:r>
    </w:p>
    <w:p>
      <w:pPr>
        <w:pStyle w:val="BodyText"/>
        <w:spacing w:before="1"/>
        <w:rPr>
          <w:rFonts w:ascii="Calibri"/>
          <w:sz w:val="19"/>
        </w:rPr>
      </w:pPr>
    </w:p>
    <w:p>
      <w:pPr>
        <w:spacing w:line="276" w:lineRule="auto" w:before="0"/>
        <w:ind w:left="751" w:right="5" w:firstLine="0"/>
        <w:jc w:val="both"/>
        <w:rPr>
          <w:rFonts w:ascii="Calibri" w:hAnsi="Calibri"/>
          <w:sz w:val="18"/>
        </w:rPr>
      </w:pPr>
      <w:r>
        <w:rPr>
          <w:rFonts w:ascii="Calibri" w:hAnsi="Calibri"/>
          <w:color w:val="585858"/>
          <w:sz w:val="18"/>
        </w:rPr>
        <w:t>4.- En ese orden de ideas y a partir de un análisis del caso desde la perspectiva de género, tenemos que María Cruz López, cometió el delito de Homicidio por razón de parentesco a partir de la presión social de la cultura en la que vivía, que coloca a las mueres en papeles secundarios y las valora por su honor, lo que implica que</w:t>
      </w:r>
      <w:r>
        <w:rPr>
          <w:rFonts w:ascii="Calibri" w:hAnsi="Calibri"/>
          <w:color w:val="585858"/>
          <w:spacing w:val="-18"/>
          <w:sz w:val="18"/>
        </w:rPr>
        <w:t> </w:t>
      </w:r>
      <w:r>
        <w:rPr>
          <w:rFonts w:ascii="Calibri" w:hAnsi="Calibri"/>
          <w:color w:val="585858"/>
          <w:sz w:val="18"/>
        </w:rPr>
        <w:t>no tengan libertad de decisión. El contexto social de una cultura patriarcal, en el que se encuentra María Cruz López, constriñe a las mujeres de manera a que se obsesionen con su honorabilidad, y sean capaces</w:t>
      </w:r>
      <w:r>
        <w:rPr>
          <w:rFonts w:ascii="Calibri" w:hAnsi="Calibri"/>
          <w:color w:val="585858"/>
          <w:spacing w:val="-6"/>
          <w:sz w:val="18"/>
        </w:rPr>
        <w:t> </w:t>
      </w:r>
      <w:r>
        <w:rPr>
          <w:rFonts w:ascii="Calibri" w:hAnsi="Calibri"/>
          <w:color w:val="585858"/>
          <w:sz w:val="18"/>
        </w:rPr>
        <w:t>de</w:t>
      </w:r>
      <w:r>
        <w:rPr>
          <w:rFonts w:ascii="Calibri" w:hAnsi="Calibri"/>
          <w:color w:val="585858"/>
          <w:spacing w:val="-6"/>
          <w:sz w:val="18"/>
        </w:rPr>
        <w:t> </w:t>
      </w:r>
      <w:r>
        <w:rPr>
          <w:rFonts w:ascii="Calibri" w:hAnsi="Calibri"/>
          <w:color w:val="585858"/>
          <w:sz w:val="18"/>
        </w:rPr>
        <w:t>hacer</w:t>
      </w:r>
      <w:r>
        <w:rPr>
          <w:rFonts w:ascii="Calibri" w:hAnsi="Calibri"/>
          <w:color w:val="585858"/>
          <w:spacing w:val="-5"/>
          <w:sz w:val="18"/>
        </w:rPr>
        <w:t> </w:t>
      </w:r>
      <w:r>
        <w:rPr>
          <w:rFonts w:ascii="Calibri" w:hAnsi="Calibri"/>
          <w:color w:val="585858"/>
          <w:sz w:val="18"/>
        </w:rPr>
        <w:t>cualquier</w:t>
      </w:r>
      <w:r>
        <w:rPr>
          <w:rFonts w:ascii="Calibri" w:hAnsi="Calibri"/>
          <w:color w:val="585858"/>
          <w:spacing w:val="-5"/>
          <w:sz w:val="18"/>
        </w:rPr>
        <w:t> </w:t>
      </w:r>
      <w:r>
        <w:rPr>
          <w:rFonts w:ascii="Calibri" w:hAnsi="Calibri"/>
          <w:color w:val="585858"/>
          <w:sz w:val="18"/>
        </w:rPr>
        <w:t>cosa</w:t>
      </w:r>
      <w:r>
        <w:rPr>
          <w:rFonts w:ascii="Calibri" w:hAnsi="Calibri"/>
          <w:color w:val="585858"/>
          <w:spacing w:val="-5"/>
          <w:sz w:val="18"/>
        </w:rPr>
        <w:t> </w:t>
      </w:r>
      <w:r>
        <w:rPr>
          <w:rFonts w:ascii="Calibri" w:hAnsi="Calibri"/>
          <w:color w:val="585858"/>
          <w:sz w:val="18"/>
        </w:rPr>
        <w:t>con</w:t>
      </w:r>
      <w:r>
        <w:rPr>
          <w:rFonts w:ascii="Calibri" w:hAnsi="Calibri"/>
          <w:color w:val="585858"/>
          <w:spacing w:val="-6"/>
          <w:sz w:val="18"/>
        </w:rPr>
        <w:t> </w:t>
      </w:r>
      <w:r>
        <w:rPr>
          <w:rFonts w:ascii="Calibri" w:hAnsi="Calibri"/>
          <w:color w:val="585858"/>
          <w:sz w:val="18"/>
        </w:rPr>
        <w:t>tal</w:t>
      </w:r>
      <w:r>
        <w:rPr>
          <w:rFonts w:ascii="Calibri" w:hAnsi="Calibri"/>
          <w:color w:val="585858"/>
          <w:spacing w:val="-5"/>
          <w:sz w:val="18"/>
        </w:rPr>
        <w:t> </w:t>
      </w:r>
      <w:r>
        <w:rPr>
          <w:rFonts w:ascii="Calibri" w:hAnsi="Calibri"/>
          <w:color w:val="585858"/>
          <w:sz w:val="18"/>
        </w:rPr>
        <w:t>de protegerla, inclusive privar de la vida a</w:t>
      </w:r>
      <w:r>
        <w:rPr>
          <w:rFonts w:ascii="Calibri" w:hAnsi="Calibri"/>
          <w:color w:val="585858"/>
          <w:spacing w:val="-18"/>
          <w:sz w:val="18"/>
        </w:rPr>
        <w:t> </w:t>
      </w:r>
      <w:r>
        <w:rPr>
          <w:rFonts w:ascii="Calibri" w:hAnsi="Calibri"/>
          <w:color w:val="585858"/>
          <w:sz w:val="18"/>
        </w:rPr>
        <w:t>sus a sus descendientes. Aunado a que María Cruz López, pertenece a una comunidad católica,</w:t>
      </w:r>
      <w:r>
        <w:rPr>
          <w:rFonts w:ascii="Calibri" w:hAnsi="Calibri"/>
          <w:color w:val="585858"/>
          <w:spacing w:val="-4"/>
          <w:sz w:val="18"/>
        </w:rPr>
        <w:t> </w:t>
      </w:r>
      <w:r>
        <w:rPr>
          <w:rFonts w:ascii="Calibri" w:hAnsi="Calibri"/>
          <w:color w:val="585858"/>
          <w:sz w:val="18"/>
        </w:rPr>
        <w:t>en</w:t>
      </w:r>
      <w:r>
        <w:rPr>
          <w:rFonts w:ascii="Calibri" w:hAnsi="Calibri"/>
          <w:color w:val="585858"/>
          <w:spacing w:val="-6"/>
          <w:sz w:val="18"/>
        </w:rPr>
        <w:t> </w:t>
      </w:r>
      <w:r>
        <w:rPr>
          <w:rFonts w:ascii="Calibri" w:hAnsi="Calibri"/>
          <w:color w:val="585858"/>
          <w:sz w:val="18"/>
        </w:rPr>
        <w:t>a</w:t>
      </w:r>
      <w:r>
        <w:rPr>
          <w:rFonts w:ascii="Calibri" w:hAnsi="Calibri"/>
          <w:color w:val="585858"/>
          <w:spacing w:val="-5"/>
          <w:sz w:val="18"/>
        </w:rPr>
        <w:t> </w:t>
      </w:r>
      <w:r>
        <w:rPr>
          <w:rFonts w:ascii="Calibri" w:hAnsi="Calibri"/>
          <w:color w:val="585858"/>
          <w:sz w:val="18"/>
        </w:rPr>
        <w:t>que</w:t>
      </w:r>
      <w:r>
        <w:rPr>
          <w:rFonts w:ascii="Calibri" w:hAnsi="Calibri"/>
          <w:color w:val="585858"/>
          <w:spacing w:val="-6"/>
          <w:sz w:val="18"/>
        </w:rPr>
        <w:t> </w:t>
      </w:r>
      <w:r>
        <w:rPr>
          <w:rFonts w:ascii="Calibri" w:hAnsi="Calibri"/>
          <w:color w:val="585858"/>
          <w:sz w:val="18"/>
        </w:rPr>
        <w:t>se</w:t>
      </w:r>
      <w:r>
        <w:rPr>
          <w:rFonts w:ascii="Calibri" w:hAnsi="Calibri"/>
          <w:color w:val="585858"/>
          <w:spacing w:val="-6"/>
          <w:sz w:val="18"/>
        </w:rPr>
        <w:t> </w:t>
      </w:r>
      <w:r>
        <w:rPr>
          <w:rFonts w:ascii="Calibri" w:hAnsi="Calibri"/>
          <w:color w:val="585858"/>
          <w:sz w:val="18"/>
        </w:rPr>
        <w:t>valora</w:t>
      </w:r>
      <w:r>
        <w:rPr>
          <w:rFonts w:ascii="Calibri" w:hAnsi="Calibri"/>
          <w:color w:val="585858"/>
          <w:spacing w:val="-5"/>
          <w:sz w:val="18"/>
        </w:rPr>
        <w:t> </w:t>
      </w:r>
      <w:r>
        <w:rPr>
          <w:rFonts w:ascii="Calibri" w:hAnsi="Calibri"/>
          <w:color w:val="585858"/>
          <w:sz w:val="18"/>
        </w:rPr>
        <w:t>la</w:t>
      </w:r>
      <w:r>
        <w:rPr>
          <w:rFonts w:ascii="Calibri" w:hAnsi="Calibri"/>
          <w:color w:val="585858"/>
          <w:spacing w:val="-5"/>
          <w:sz w:val="18"/>
        </w:rPr>
        <w:t> </w:t>
      </w:r>
      <w:r>
        <w:rPr>
          <w:rFonts w:ascii="Calibri" w:hAnsi="Calibri"/>
          <w:color w:val="585858"/>
          <w:sz w:val="18"/>
        </w:rPr>
        <w:t>fidelidad</w:t>
      </w:r>
      <w:r>
        <w:rPr>
          <w:rFonts w:ascii="Calibri" w:hAnsi="Calibri"/>
          <w:color w:val="585858"/>
          <w:spacing w:val="-6"/>
          <w:sz w:val="18"/>
        </w:rPr>
        <w:t> </w:t>
      </w:r>
      <w:r>
        <w:rPr>
          <w:rFonts w:ascii="Calibri" w:hAnsi="Calibri"/>
          <w:color w:val="585858"/>
          <w:sz w:val="18"/>
        </w:rPr>
        <w:t>y</w:t>
      </w:r>
      <w:r>
        <w:rPr>
          <w:rFonts w:ascii="Calibri" w:hAnsi="Calibri"/>
          <w:color w:val="585858"/>
          <w:spacing w:val="-5"/>
          <w:sz w:val="18"/>
        </w:rPr>
        <w:t> </w:t>
      </w:r>
      <w:r>
        <w:rPr>
          <w:rFonts w:ascii="Calibri" w:hAnsi="Calibri"/>
          <w:color w:val="585858"/>
          <w:sz w:val="18"/>
        </w:rPr>
        <w:t>el matrimonio, y la tacha social de las personas que infringen dichos principios es</w:t>
      </w:r>
      <w:r>
        <w:rPr>
          <w:rFonts w:ascii="Calibri" w:hAnsi="Calibri"/>
          <w:color w:val="585858"/>
          <w:spacing w:val="-6"/>
          <w:sz w:val="18"/>
        </w:rPr>
        <w:t> </w:t>
      </w:r>
      <w:r>
        <w:rPr>
          <w:rFonts w:ascii="Calibri" w:hAnsi="Calibri"/>
          <w:color w:val="585858"/>
          <w:sz w:val="18"/>
        </w:rPr>
        <w:t>cruel.</w:t>
      </w:r>
    </w:p>
    <w:p>
      <w:pPr>
        <w:pStyle w:val="BodyText"/>
        <w:spacing w:before="3"/>
        <w:rPr>
          <w:rFonts w:ascii="Calibri"/>
          <w:sz w:val="16"/>
        </w:rPr>
      </w:pPr>
    </w:p>
    <w:p>
      <w:pPr>
        <w:spacing w:line="276" w:lineRule="auto" w:before="0"/>
        <w:ind w:left="751" w:right="0" w:firstLine="0"/>
        <w:jc w:val="both"/>
        <w:rPr>
          <w:rFonts w:ascii="Calibri" w:hAnsi="Calibri"/>
          <w:sz w:val="18"/>
        </w:rPr>
      </w:pPr>
      <w:r>
        <w:rPr>
          <w:rFonts w:ascii="Calibri" w:hAnsi="Calibri"/>
          <w:color w:val="585858"/>
          <w:sz w:val="18"/>
        </w:rPr>
        <w:t>Lo anterior es una causa excluyente de delito en los términos del artículo 15 fracción IV inciso C, YA QUE EN LAS CIRCUNSTANCIAS</w:t>
      </w:r>
      <w:r>
        <w:rPr>
          <w:rFonts w:ascii="Calibri" w:hAnsi="Calibri"/>
          <w:color w:val="585858"/>
          <w:spacing w:val="-14"/>
          <w:sz w:val="18"/>
        </w:rPr>
        <w:t> </w:t>
      </w:r>
      <w:r>
        <w:rPr>
          <w:rFonts w:ascii="Calibri" w:hAnsi="Calibri"/>
          <w:color w:val="585858"/>
          <w:sz w:val="18"/>
        </w:rPr>
        <w:t>SOCIOCUTURALS</w:t>
      </w:r>
      <w:r>
        <w:rPr>
          <w:rFonts w:ascii="Calibri" w:hAnsi="Calibri"/>
          <w:color w:val="585858"/>
          <w:spacing w:val="-16"/>
          <w:sz w:val="18"/>
        </w:rPr>
        <w:t> </w:t>
      </w:r>
      <w:r>
        <w:rPr>
          <w:rFonts w:ascii="Calibri" w:hAnsi="Calibri"/>
          <w:color w:val="585858"/>
          <w:sz w:val="18"/>
        </w:rPr>
        <w:t>EN</w:t>
      </w:r>
      <w:r>
        <w:rPr>
          <w:rFonts w:ascii="Calibri" w:hAnsi="Calibri"/>
          <w:color w:val="585858"/>
          <w:spacing w:val="-16"/>
          <w:sz w:val="18"/>
        </w:rPr>
        <w:t> </w:t>
      </w:r>
      <w:r>
        <w:rPr>
          <w:rFonts w:ascii="Calibri" w:hAnsi="Calibri"/>
          <w:color w:val="585858"/>
          <w:sz w:val="18"/>
        </w:rPr>
        <w:t>LAS QUE SE DIERON LOS HECHOS, NO ERA RACIONALMENTE EXIGIBLE OTRA CCONDUCTA A MARÍA CRUZ LÓPEZ, DERIVADA DE LA PRESIÓN SOCIAL A LA QUE ESTABA</w:t>
      </w:r>
      <w:r>
        <w:rPr>
          <w:rFonts w:ascii="Calibri" w:hAnsi="Calibri"/>
          <w:color w:val="585858"/>
          <w:spacing w:val="-9"/>
          <w:sz w:val="18"/>
        </w:rPr>
        <w:t> </w:t>
      </w:r>
      <w:r>
        <w:rPr>
          <w:rFonts w:ascii="Calibri" w:hAnsi="Calibri"/>
          <w:color w:val="585858"/>
          <w:sz w:val="18"/>
        </w:rPr>
        <w:t>SOMETIDA.</w:t>
      </w:r>
    </w:p>
    <w:p>
      <w:pPr>
        <w:pStyle w:val="BodyText"/>
        <w:spacing w:before="3"/>
        <w:rPr>
          <w:rFonts w:ascii="Calibri"/>
          <w:sz w:val="16"/>
        </w:rPr>
      </w:pPr>
    </w:p>
    <w:p>
      <w:pPr>
        <w:spacing w:line="276" w:lineRule="auto" w:before="0"/>
        <w:ind w:left="751" w:right="9" w:firstLine="0"/>
        <w:jc w:val="both"/>
        <w:rPr>
          <w:rFonts w:ascii="Calibri" w:hAnsi="Calibri"/>
          <w:sz w:val="18"/>
        </w:rPr>
      </w:pPr>
      <w:r>
        <w:rPr>
          <w:rFonts w:ascii="Calibri" w:hAnsi="Calibri"/>
          <w:color w:val="585858"/>
          <w:sz w:val="18"/>
        </w:rPr>
        <w:t>5.- En consecuencia se deberá absolver a María Cruz López, en virtud de que su voluntariedad estuvo afectada por la presión social a la que estaba sometida, derivada de las creencias y principios de</w:t>
      </w:r>
      <w:r>
        <w:rPr>
          <w:rFonts w:ascii="Calibri" w:hAnsi="Calibri"/>
          <w:color w:val="585858"/>
          <w:spacing w:val="-24"/>
          <w:sz w:val="18"/>
        </w:rPr>
        <w:t> </w:t>
      </w:r>
      <w:r>
        <w:rPr>
          <w:rFonts w:ascii="Calibri" w:hAnsi="Calibri"/>
          <w:color w:val="585858"/>
          <w:sz w:val="18"/>
        </w:rPr>
        <w:t>la sociedad a la que pertenecía, y no se le podía exigir otra</w:t>
      </w:r>
      <w:r>
        <w:rPr>
          <w:rFonts w:ascii="Calibri" w:hAnsi="Calibri"/>
          <w:color w:val="585858"/>
          <w:spacing w:val="-11"/>
          <w:sz w:val="18"/>
        </w:rPr>
        <w:t> </w:t>
      </w:r>
      <w:r>
        <w:rPr>
          <w:rFonts w:ascii="Calibri" w:hAnsi="Calibri"/>
          <w:color w:val="585858"/>
          <w:sz w:val="18"/>
        </w:rPr>
        <w:t>conducta.</w:t>
      </w:r>
    </w:p>
    <w:p>
      <w:pPr>
        <w:pStyle w:val="BodyText"/>
        <w:spacing w:line="379" w:lineRule="auto" w:before="130"/>
        <w:ind w:left="604" w:right="166" w:firstLine="40"/>
        <w:jc w:val="both"/>
      </w:pPr>
      <w:r>
        <w:rPr/>
        <w:br w:type="column"/>
      </w:r>
      <w:r>
        <w:rPr>
          <w:color w:val="6F2F9F"/>
          <w:sz w:val="72"/>
        </w:rPr>
        <w:t>PASO #4: </w:t>
      </w:r>
      <w:r>
        <w:rPr/>
        <w:t>La etapa de investigación preparatoria es tanto para el ministerio público, la víctima y la defensa.</w:t>
      </w:r>
      <w:r>
        <w:rPr>
          <w:spacing w:val="-7"/>
        </w:rPr>
        <w:t> </w:t>
      </w:r>
      <w:r>
        <w:rPr/>
        <w:t>Es</w:t>
      </w:r>
      <w:r>
        <w:rPr>
          <w:spacing w:val="-7"/>
        </w:rPr>
        <w:t> </w:t>
      </w:r>
      <w:r>
        <w:rPr/>
        <w:t>el</w:t>
      </w:r>
      <w:r>
        <w:rPr>
          <w:spacing w:val="-9"/>
        </w:rPr>
        <w:t> </w:t>
      </w:r>
      <w:r>
        <w:rPr/>
        <w:t>momento</w:t>
      </w:r>
      <w:r>
        <w:rPr>
          <w:spacing w:val="-10"/>
        </w:rPr>
        <w:t> </w:t>
      </w:r>
      <w:r>
        <w:rPr/>
        <w:t>procesal</w:t>
      </w:r>
      <w:r>
        <w:rPr>
          <w:spacing w:val="-9"/>
        </w:rPr>
        <w:t> </w:t>
      </w:r>
      <w:r>
        <w:rPr/>
        <w:t>que</w:t>
      </w:r>
      <w:r>
        <w:rPr>
          <w:spacing w:val="-10"/>
        </w:rPr>
        <w:t> </w:t>
      </w:r>
      <w:r>
        <w:rPr/>
        <w:t>tienen</w:t>
      </w:r>
      <w:r>
        <w:rPr>
          <w:spacing w:val="-6"/>
        </w:rPr>
        <w:t> </w:t>
      </w:r>
      <w:r>
        <w:rPr/>
        <w:t>las</w:t>
      </w:r>
      <w:r>
        <w:rPr>
          <w:spacing w:val="-8"/>
        </w:rPr>
        <w:t> </w:t>
      </w:r>
      <w:r>
        <w:rPr/>
        <w:t>partes</w:t>
      </w:r>
      <w:r>
        <w:rPr>
          <w:spacing w:val="-5"/>
        </w:rPr>
        <w:t> </w:t>
      </w:r>
      <w:r>
        <w:rPr/>
        <w:t>para</w:t>
      </w:r>
      <w:r>
        <w:rPr>
          <w:spacing w:val="-5"/>
        </w:rPr>
        <w:t> </w:t>
      </w:r>
      <w:r>
        <w:rPr/>
        <w:t>ir recabando la evidencia</w:t>
      </w:r>
      <w:r>
        <w:rPr>
          <w:spacing w:val="-5"/>
        </w:rPr>
        <w:t> </w:t>
      </w:r>
      <w:r>
        <w:rPr/>
        <w:t>idónea.</w:t>
      </w:r>
    </w:p>
    <w:p>
      <w:pPr>
        <w:pStyle w:val="BodyText"/>
        <w:spacing w:line="360" w:lineRule="auto" w:before="183"/>
        <w:ind w:left="604" w:right="168"/>
        <w:jc w:val="both"/>
      </w:pPr>
      <w:r>
        <w:rPr/>
        <w:t>Éstas, se deben realizar a partir de las entrevistas,</w:t>
      </w:r>
      <w:r>
        <w:rPr>
          <w:spacing w:val="-36"/>
        </w:rPr>
        <w:t> </w:t>
      </w:r>
      <w:r>
        <w:rPr/>
        <w:t>exámenes o pruebas de carácter científico, peritajes, incautación, levantamiento de cadáveres, entre</w:t>
      </w:r>
      <w:r>
        <w:rPr>
          <w:spacing w:val="-10"/>
        </w:rPr>
        <w:t> </w:t>
      </w:r>
      <w:r>
        <w:rPr/>
        <w:t>otras.</w:t>
      </w:r>
    </w:p>
    <w:p>
      <w:pPr>
        <w:pStyle w:val="BodyText"/>
        <w:spacing w:before="9"/>
        <w:rPr>
          <w:sz w:val="17"/>
        </w:rPr>
      </w:pPr>
    </w:p>
    <w:p>
      <w:pPr>
        <w:pStyle w:val="BodyText"/>
        <w:spacing w:line="360" w:lineRule="auto"/>
        <w:ind w:left="604" w:right="165"/>
        <w:jc w:val="both"/>
      </w:pPr>
      <w:r>
        <w:rPr/>
        <w:t>En</w:t>
      </w:r>
      <w:r>
        <w:rPr>
          <w:spacing w:val="-9"/>
        </w:rPr>
        <w:t> </w:t>
      </w:r>
      <w:r>
        <w:rPr/>
        <w:t>este</w:t>
      </w:r>
      <w:r>
        <w:rPr>
          <w:spacing w:val="-8"/>
        </w:rPr>
        <w:t> </w:t>
      </w:r>
      <w:r>
        <w:rPr/>
        <w:t>paso,</w:t>
      </w:r>
      <w:r>
        <w:rPr>
          <w:spacing w:val="-10"/>
        </w:rPr>
        <w:t> </w:t>
      </w:r>
      <w:r>
        <w:rPr/>
        <w:t>además</w:t>
      </w:r>
      <w:r>
        <w:rPr>
          <w:spacing w:val="-8"/>
        </w:rPr>
        <w:t> </w:t>
      </w:r>
      <w:r>
        <w:rPr/>
        <w:t>de</w:t>
      </w:r>
      <w:r>
        <w:rPr>
          <w:spacing w:val="-9"/>
        </w:rPr>
        <w:t> </w:t>
      </w:r>
      <w:r>
        <w:rPr/>
        <w:t>determinar</w:t>
      </w:r>
      <w:r>
        <w:rPr>
          <w:spacing w:val="-8"/>
        </w:rPr>
        <w:t> </w:t>
      </w:r>
      <w:r>
        <w:rPr/>
        <w:t>la</w:t>
      </w:r>
      <w:r>
        <w:rPr>
          <w:spacing w:val="-9"/>
        </w:rPr>
        <w:t> </w:t>
      </w:r>
      <w:r>
        <w:rPr/>
        <w:t>evidencia</w:t>
      </w:r>
      <w:r>
        <w:rPr>
          <w:spacing w:val="-7"/>
        </w:rPr>
        <w:t> </w:t>
      </w:r>
      <w:r>
        <w:rPr/>
        <w:t>directa</w:t>
      </w:r>
      <w:r>
        <w:rPr>
          <w:spacing w:val="-9"/>
        </w:rPr>
        <w:t> </w:t>
      </w:r>
      <w:r>
        <w:rPr/>
        <w:t>para el</w:t>
      </w:r>
      <w:r>
        <w:rPr>
          <w:spacing w:val="-15"/>
        </w:rPr>
        <w:t> </w:t>
      </w:r>
      <w:r>
        <w:rPr/>
        <w:t>caso</w:t>
      </w:r>
      <w:r>
        <w:rPr>
          <w:spacing w:val="-16"/>
        </w:rPr>
        <w:t> </w:t>
      </w:r>
      <w:r>
        <w:rPr/>
        <w:t>en</w:t>
      </w:r>
      <w:r>
        <w:rPr>
          <w:spacing w:val="-16"/>
        </w:rPr>
        <w:t> </w:t>
      </w:r>
      <w:r>
        <w:rPr/>
        <w:t>concreto,</w:t>
      </w:r>
      <w:r>
        <w:rPr>
          <w:spacing w:val="-15"/>
        </w:rPr>
        <w:t> </w:t>
      </w:r>
      <w:r>
        <w:rPr/>
        <w:t>debemos</w:t>
      </w:r>
      <w:r>
        <w:rPr>
          <w:spacing w:val="-15"/>
        </w:rPr>
        <w:t> </w:t>
      </w:r>
      <w:r>
        <w:rPr/>
        <w:t>de</w:t>
      </w:r>
      <w:r>
        <w:rPr>
          <w:spacing w:val="-16"/>
        </w:rPr>
        <w:t> </w:t>
      </w:r>
      <w:r>
        <w:rPr/>
        <w:t>recabar</w:t>
      </w:r>
      <w:r>
        <w:rPr>
          <w:spacing w:val="-15"/>
        </w:rPr>
        <w:t> </w:t>
      </w:r>
      <w:r>
        <w:rPr/>
        <w:t>también</w:t>
      </w:r>
      <w:r>
        <w:rPr>
          <w:spacing w:val="-16"/>
        </w:rPr>
        <w:t> </w:t>
      </w:r>
      <w:r>
        <w:rPr/>
        <w:t>la</w:t>
      </w:r>
      <w:r>
        <w:rPr>
          <w:spacing w:val="-13"/>
        </w:rPr>
        <w:t> </w:t>
      </w:r>
      <w:r>
        <w:rPr/>
        <w:t>evidencia que demuestre la presencia de factores de discriminación derivados de la construcción social del sexo, como los diferentes tipos de violencia género. Estas evidencias serían de carácter secundario, pero darían soporte probatorio a nuestra teoría del caso con perspectiva de</w:t>
      </w:r>
      <w:r>
        <w:rPr>
          <w:spacing w:val="-12"/>
        </w:rPr>
        <w:t> </w:t>
      </w:r>
      <w:r>
        <w:rPr/>
        <w:t>género.</w:t>
      </w:r>
    </w:p>
    <w:p>
      <w:pPr>
        <w:pStyle w:val="BodyText"/>
        <w:spacing w:before="9"/>
        <w:rPr>
          <w:sz w:val="17"/>
        </w:rPr>
      </w:pPr>
    </w:p>
    <w:p>
      <w:pPr>
        <w:pStyle w:val="BodyText"/>
        <w:spacing w:line="360" w:lineRule="auto"/>
        <w:ind w:left="604" w:right="167" w:firstLine="67"/>
        <w:jc w:val="both"/>
      </w:pPr>
      <w:r>
        <w:rPr/>
        <w:t>Para el caso de la defensa con perspectiva de género, se deben practicar las periciales en psicología y trabajo social, a fin de acreditar el contexto de violencia que pudieran vivir las indiciadas,</w:t>
      </w:r>
      <w:r>
        <w:rPr>
          <w:spacing w:val="-10"/>
        </w:rPr>
        <w:t> </w:t>
      </w:r>
      <w:r>
        <w:rPr/>
        <w:t>y</w:t>
      </w:r>
      <w:r>
        <w:rPr>
          <w:spacing w:val="-16"/>
        </w:rPr>
        <w:t> </w:t>
      </w:r>
      <w:r>
        <w:rPr/>
        <w:t>que</w:t>
      </w:r>
      <w:r>
        <w:rPr>
          <w:spacing w:val="-11"/>
        </w:rPr>
        <w:t> </w:t>
      </w:r>
      <w:r>
        <w:rPr/>
        <w:t>las</w:t>
      </w:r>
      <w:r>
        <w:rPr>
          <w:spacing w:val="-14"/>
        </w:rPr>
        <w:t> </w:t>
      </w:r>
      <w:r>
        <w:rPr/>
        <w:t>indujeron</w:t>
      </w:r>
      <w:r>
        <w:rPr>
          <w:spacing w:val="-13"/>
        </w:rPr>
        <w:t> </w:t>
      </w:r>
      <w:r>
        <w:rPr/>
        <w:t>a</w:t>
      </w:r>
      <w:r>
        <w:rPr>
          <w:spacing w:val="-14"/>
        </w:rPr>
        <w:t> </w:t>
      </w:r>
      <w:r>
        <w:rPr/>
        <w:t>cometer</w:t>
      </w:r>
      <w:r>
        <w:rPr>
          <w:spacing w:val="-10"/>
        </w:rPr>
        <w:t> </w:t>
      </w:r>
      <w:r>
        <w:rPr/>
        <w:t>la</w:t>
      </w:r>
      <w:r>
        <w:rPr>
          <w:spacing w:val="-14"/>
        </w:rPr>
        <w:t> </w:t>
      </w:r>
      <w:r>
        <w:rPr/>
        <w:t>conducta</w:t>
      </w:r>
      <w:r>
        <w:rPr>
          <w:spacing w:val="-11"/>
        </w:rPr>
        <w:t> </w:t>
      </w:r>
      <w:r>
        <w:rPr/>
        <w:t>delictiva, con la finalidad de acreditar causas de justificación del</w:t>
      </w:r>
      <w:r>
        <w:rPr>
          <w:spacing w:val="-16"/>
        </w:rPr>
        <w:t> </w:t>
      </w:r>
      <w:r>
        <w:rPr/>
        <w:t>delito.</w:t>
      </w:r>
    </w:p>
    <w:p>
      <w:pPr>
        <w:pStyle w:val="BodyText"/>
        <w:spacing w:before="8"/>
        <w:rPr>
          <w:sz w:val="29"/>
        </w:rPr>
      </w:pPr>
    </w:p>
    <w:p>
      <w:pPr>
        <w:pStyle w:val="BodyText"/>
        <w:ind w:left="604" w:firstLine="1816"/>
      </w:pPr>
      <w:r>
        <w:rPr/>
        <w:pict>
          <v:group style="position:absolute;margin-left:225.600006pt;margin-top:-2.892134pt;width:80.650pt;height:25.25pt;mso-position-horizontal-relative:page;mso-position-vertical-relative:paragraph;z-index:-95728" coordorigin="4512,-58" coordsize="1613,505">
            <v:shape style="position:absolute;left:4512;top:197;width:1613;height:250" type="#_x0000_t75" stroked="false">
              <v:imagedata r:id="rId139" o:title=""/>
            </v:shape>
            <v:shape style="position:absolute;left:4518;top:-58;width:1598;height:267" type="#_x0000_t75" stroked="false">
              <v:imagedata r:id="rId140" o:title=""/>
            </v:shape>
            <w10:wrap type="none"/>
          </v:group>
        </w:pict>
      </w:r>
      <w:r>
        <w:rPr/>
        <w:t>Elaborar las conclusiones, a partir de    los</w:t>
      </w:r>
    </w:p>
    <w:p>
      <w:pPr>
        <w:pStyle w:val="BodyText"/>
        <w:spacing w:before="6"/>
        <w:rPr>
          <w:sz w:val="24"/>
        </w:rPr>
      </w:pPr>
    </w:p>
    <w:p>
      <w:pPr>
        <w:pStyle w:val="BodyText"/>
        <w:spacing w:line="360" w:lineRule="auto"/>
        <w:ind w:left="604" w:right="167"/>
        <w:jc w:val="both"/>
      </w:pPr>
      <w:r>
        <w:rPr/>
        <w:t>elementos fácticos, jurídicos y probatorios establecidos, con la</w:t>
      </w:r>
      <w:r>
        <w:rPr>
          <w:spacing w:val="-8"/>
        </w:rPr>
        <w:t> </w:t>
      </w:r>
      <w:r>
        <w:rPr/>
        <w:t>cual</w:t>
      </w:r>
      <w:r>
        <w:rPr>
          <w:spacing w:val="-9"/>
        </w:rPr>
        <w:t> </w:t>
      </w:r>
      <w:r>
        <w:rPr/>
        <w:t>se</w:t>
      </w:r>
      <w:r>
        <w:rPr>
          <w:spacing w:val="-8"/>
        </w:rPr>
        <w:t> </w:t>
      </w:r>
      <w:r>
        <w:rPr/>
        <w:t>deberá</w:t>
      </w:r>
      <w:r>
        <w:rPr>
          <w:spacing w:val="-8"/>
        </w:rPr>
        <w:t> </w:t>
      </w:r>
      <w:r>
        <w:rPr/>
        <w:t>aclarar</w:t>
      </w:r>
      <w:r>
        <w:rPr>
          <w:spacing w:val="-9"/>
        </w:rPr>
        <w:t> </w:t>
      </w:r>
      <w:r>
        <w:rPr/>
        <w:t>lo</w:t>
      </w:r>
      <w:r>
        <w:rPr>
          <w:spacing w:val="-8"/>
        </w:rPr>
        <w:t> </w:t>
      </w:r>
      <w:r>
        <w:rPr/>
        <w:t>que</w:t>
      </w:r>
      <w:r>
        <w:rPr>
          <w:spacing w:val="-8"/>
        </w:rPr>
        <w:t> </w:t>
      </w:r>
      <w:r>
        <w:rPr/>
        <w:t>ocurrió,</w:t>
      </w:r>
      <w:r>
        <w:rPr>
          <w:spacing w:val="-7"/>
        </w:rPr>
        <w:t> </w:t>
      </w:r>
      <w:r>
        <w:rPr/>
        <w:t>por</w:t>
      </w:r>
      <w:r>
        <w:rPr>
          <w:spacing w:val="-9"/>
        </w:rPr>
        <w:t> </w:t>
      </w:r>
      <w:r>
        <w:rPr/>
        <w:t>qué</w:t>
      </w:r>
      <w:r>
        <w:rPr>
          <w:spacing w:val="-8"/>
        </w:rPr>
        <w:t> </w:t>
      </w:r>
      <w:r>
        <w:rPr/>
        <w:t>ocurrió,</w:t>
      </w:r>
      <w:r>
        <w:rPr>
          <w:spacing w:val="-9"/>
        </w:rPr>
        <w:t> </w:t>
      </w:r>
      <w:r>
        <w:rPr/>
        <w:t>cómo se acreditan los hechos, los elementos jurídicos relacionados en la controversia, así como la influencia de la construcción cultural del género, en la comisión de los hechos</w:t>
      </w:r>
      <w:r>
        <w:rPr>
          <w:spacing w:val="-13"/>
        </w:rPr>
        <w:t> </w:t>
      </w:r>
      <w:r>
        <w:rPr/>
        <w:t>aducidos.</w:t>
      </w:r>
    </w:p>
    <w:p>
      <w:pPr>
        <w:pStyle w:val="BodyText"/>
        <w:spacing w:before="9"/>
        <w:rPr>
          <w:sz w:val="17"/>
        </w:rPr>
      </w:pPr>
    </w:p>
    <w:p>
      <w:pPr>
        <w:pStyle w:val="BodyText"/>
        <w:spacing w:line="360" w:lineRule="auto" w:before="1"/>
        <w:ind w:left="604" w:right="168"/>
        <w:jc w:val="both"/>
      </w:pPr>
      <w:r>
        <w:rPr/>
        <w:t>Para incorporar la perspectiva de género dentro de nuestras construcciones, es necesario que lo hagamos a partir de una</w:t>
      </w:r>
    </w:p>
    <w:p>
      <w:pPr>
        <w:spacing w:after="0" w:line="360" w:lineRule="auto"/>
        <w:jc w:val="both"/>
        <w:sectPr>
          <w:type w:val="continuous"/>
          <w:pgSz w:w="12240" w:h="15840"/>
          <w:pgMar w:top="1400" w:bottom="280" w:left="0" w:right="1580"/>
          <w:cols w:num="2" w:equalWidth="0">
            <w:col w:w="3847" w:space="40"/>
            <w:col w:w="6773"/>
          </w:cols>
        </w:sectPr>
      </w:pPr>
    </w:p>
    <w:p>
      <w:pPr>
        <w:pStyle w:val="BodyText"/>
        <w:rPr>
          <w:sz w:val="20"/>
        </w:rPr>
      </w:pPr>
    </w:p>
    <w:p>
      <w:pPr>
        <w:pStyle w:val="BodyText"/>
        <w:rPr>
          <w:sz w:val="20"/>
        </w:rPr>
      </w:pPr>
    </w:p>
    <w:p>
      <w:pPr>
        <w:spacing w:after="0"/>
        <w:rPr>
          <w:sz w:val="20"/>
        </w:rPr>
        <w:sectPr>
          <w:pgSz w:w="12240" w:h="15840"/>
          <w:pgMar w:header="0" w:footer="1002" w:top="400" w:bottom="1200" w:left="380" w:right="1580"/>
        </w:sectPr>
      </w:pPr>
    </w:p>
    <w:p>
      <w:pPr>
        <w:pStyle w:val="Heading5"/>
        <w:spacing w:before="186"/>
        <w:ind w:right="-13"/>
        <w:rPr>
          <w:b w:val="0"/>
        </w:rPr>
      </w:pPr>
      <w:r>
        <w:rPr>
          <w:b w:val="0"/>
          <w:color w:val="FFFFFF"/>
        </w:rPr>
        <w:t>Elaboración de una</w:t>
      </w:r>
      <w:r>
        <w:rPr>
          <w:b w:val="0"/>
          <w:color w:val="FFFFFF"/>
          <w:spacing w:val="-8"/>
        </w:rPr>
        <w:t> </w:t>
      </w:r>
      <w:r>
        <w:rPr>
          <w:b w:val="0"/>
          <w:color w:val="FFFFFF"/>
        </w:rPr>
        <w:t>Teoría del Caso con Perspectiva de</w:t>
      </w:r>
      <w:r>
        <w:rPr>
          <w:b w:val="0"/>
          <w:color w:val="FFFFFF"/>
          <w:spacing w:val="-5"/>
        </w:rPr>
        <w:t> </w:t>
      </w:r>
      <w:r>
        <w:rPr>
          <w:b w:val="0"/>
          <w:color w:val="FFFFFF"/>
        </w:rPr>
        <w:t>Género</w:t>
      </w:r>
    </w:p>
    <w:p>
      <w:pPr>
        <w:pStyle w:val="BodyText"/>
        <w:rPr>
          <w:rFonts w:ascii="Calibri Light"/>
          <w:b w:val="0"/>
        </w:rPr>
      </w:pPr>
      <w:r>
        <w:rPr/>
        <w:br w:type="column"/>
      </w:r>
      <w:r>
        <w:rPr>
          <w:rFonts w:ascii="Calibri Light"/>
          <w:b w:val="0"/>
        </w:rPr>
      </w:r>
    </w:p>
    <w:p>
      <w:pPr>
        <w:pStyle w:val="BodyText"/>
        <w:spacing w:before="4"/>
        <w:rPr>
          <w:rFonts w:ascii="Calibri Light"/>
          <w:b w:val="0"/>
          <w:sz w:val="23"/>
        </w:rPr>
      </w:pPr>
    </w:p>
    <w:p>
      <w:pPr>
        <w:pStyle w:val="BodyText"/>
        <w:spacing w:line="362" w:lineRule="auto"/>
        <w:ind w:left="695" w:right="87"/>
      </w:pPr>
      <w:r>
        <w:rPr/>
        <w:t>argumentación con enfoque de género, para lo cual debemos tomar en cuenta las siguientes consideraciones:</w:t>
      </w:r>
    </w:p>
    <w:p>
      <w:pPr>
        <w:spacing w:after="0" w:line="362" w:lineRule="auto"/>
        <w:sectPr>
          <w:type w:val="continuous"/>
          <w:pgSz w:w="12240" w:h="15840"/>
          <w:pgMar w:top="1400" w:bottom="280" w:left="380" w:right="1580"/>
          <w:cols w:num="2" w:equalWidth="0">
            <w:col w:w="3414" w:space="401"/>
            <w:col w:w="6465"/>
          </w:cols>
        </w:sectPr>
      </w:pPr>
    </w:p>
    <w:p>
      <w:pPr>
        <w:spacing w:before="149"/>
        <w:ind w:left="700" w:right="0" w:firstLine="0"/>
        <w:jc w:val="left"/>
        <w:rPr>
          <w:rFonts w:ascii="Calibri" w:hAnsi="Calibri"/>
          <w:sz w:val="20"/>
        </w:rPr>
      </w:pPr>
      <w:r>
        <w:rPr>
          <w:rFonts w:ascii="Calibri" w:hAnsi="Calibri"/>
          <w:color w:val="585858"/>
          <w:sz w:val="20"/>
        </w:rPr>
        <w:t>Continuación…</w:t>
      </w:r>
    </w:p>
    <w:p>
      <w:pPr>
        <w:pStyle w:val="BodyText"/>
        <w:spacing w:before="6"/>
        <w:rPr>
          <w:rFonts w:ascii="Calibri"/>
          <w:sz w:val="14"/>
        </w:rPr>
      </w:pPr>
    </w:p>
    <w:p>
      <w:pPr>
        <w:spacing w:after="0"/>
        <w:rPr>
          <w:rFonts w:ascii="Calibri"/>
          <w:sz w:val="14"/>
        </w:rPr>
        <w:sectPr>
          <w:type w:val="continuous"/>
          <w:pgSz w:w="12240" w:h="15840"/>
          <w:pgMar w:top="1400" w:bottom="280" w:left="380" w:right="1580"/>
        </w:sectPr>
      </w:pPr>
    </w:p>
    <w:p>
      <w:pPr>
        <w:tabs>
          <w:tab w:pos="1995" w:val="left" w:leader="none"/>
          <w:tab w:pos="3638" w:val="left" w:leader="none"/>
        </w:tabs>
        <w:spacing w:line="276" w:lineRule="auto" w:before="59"/>
        <w:ind w:left="700" w:right="0" w:firstLine="0"/>
        <w:jc w:val="both"/>
        <w:rPr>
          <w:rFonts w:ascii="Calibri" w:hAnsi="Calibri"/>
          <w:sz w:val="20"/>
        </w:rPr>
      </w:pPr>
      <w:r>
        <w:rPr/>
        <w:pict>
          <v:group style="position:absolute;margin-left:24.48pt;margin-top:19.799999pt;width:201.4pt;height:751.8pt;mso-position-horizontal-relative:page;mso-position-vertical-relative:page;z-index:-95704" coordorigin="490,396" coordsize="4028,15036">
            <v:shape style="position:absolute;left:787;top:396;width:3730;height:15036" type="#_x0000_t75" stroked="false">
              <v:imagedata r:id="rId115" o:title=""/>
            </v:shape>
            <v:shape style="position:absolute;left:792;top:1841;width:3720;height:13298" type="#_x0000_t75" stroked="false">
              <v:imagedata r:id="rId116" o:title=""/>
            </v:shape>
            <v:rect style="position:absolute;left:490;top:396;width:298;height:15036" filled="true" fillcolor="#44536a" stroked="false">
              <v:fill type="solid"/>
            </v:rect>
            <v:shape style="position:absolute;left:490;top:1020;width:3864;height:1006" coordorigin="490,1020" coordsize="3864,1006" path="m3851,1020l490,1020,490,2026,3851,2026,4354,1523,3851,1020xe" filled="true" fillcolor="#5b9bd4" stroked="false">
              <v:path arrowok="t"/>
              <v:fill type="solid"/>
            </v:shape>
            <v:shape style="position:absolute;left:499;top:1030;width:3593;height:986" type="#_x0000_t75" stroked="false">
              <v:imagedata r:id="rId141" o:title=""/>
            </v:shape>
            <w10:wrap type="none"/>
          </v:group>
        </w:pict>
      </w:r>
      <w:r>
        <w:rPr>
          <w:rFonts w:ascii="Calibri" w:hAnsi="Calibri"/>
          <w:color w:val="585858"/>
          <w:sz w:val="20"/>
        </w:rPr>
        <w:t>Ahora bien, tomando en</w:t>
      </w:r>
      <w:r>
        <w:rPr>
          <w:rFonts w:ascii="Calibri" w:hAnsi="Calibri"/>
          <w:color w:val="585858"/>
          <w:spacing w:val="-24"/>
          <w:sz w:val="20"/>
        </w:rPr>
        <w:t> </w:t>
      </w:r>
      <w:r>
        <w:rPr>
          <w:rFonts w:ascii="Calibri" w:hAnsi="Calibri"/>
          <w:color w:val="585858"/>
          <w:sz w:val="20"/>
        </w:rPr>
        <w:t>consideración que el logro efectivo de la igualdad es un mandato constitucional y convencional, dirigido a quienes imparten justicia. Por lo cual, es necesario que las mujeres sean juzgadas partir de la perspectiva de género, cuando se encuentran presentes</w:t>
        <w:tab/>
        <w:t>circunstancias</w:t>
        <w:tab/>
        <w:t>de discriminación a causa de la construcción social del sexo, esto con la finalidad de no vulnerar sus derecho a lo no discriminación por motivos de género.</w:t>
      </w:r>
    </w:p>
    <w:p>
      <w:pPr>
        <w:pStyle w:val="BodyText"/>
        <w:spacing w:before="1"/>
        <w:rPr>
          <w:rFonts w:ascii="Calibri"/>
          <w:sz w:val="16"/>
        </w:rPr>
      </w:pPr>
    </w:p>
    <w:p>
      <w:pPr>
        <w:spacing w:line="276" w:lineRule="auto" w:before="1"/>
        <w:ind w:left="700" w:right="0" w:firstLine="0"/>
        <w:jc w:val="both"/>
        <w:rPr>
          <w:rFonts w:ascii="Calibri" w:hAnsi="Calibri"/>
          <w:sz w:val="18"/>
        </w:rPr>
      </w:pPr>
      <w:r>
        <w:rPr>
          <w:rFonts w:ascii="Calibri" w:hAnsi="Calibri"/>
          <w:color w:val="585858"/>
          <w:sz w:val="20"/>
        </w:rPr>
        <w:t>3.- Para el caso que nos atañe se encuentran presentes ciertas condiciones, derivadas de las condiciones biológicas,  físicas, sexuales</w:t>
      </w:r>
      <w:r>
        <w:rPr>
          <w:rFonts w:ascii="Calibri" w:hAnsi="Calibri"/>
          <w:color w:val="585858"/>
          <w:spacing w:val="-14"/>
          <w:sz w:val="20"/>
        </w:rPr>
        <w:t> </w:t>
      </w:r>
      <w:r>
        <w:rPr>
          <w:rFonts w:ascii="Calibri" w:hAnsi="Calibri"/>
          <w:color w:val="585858"/>
          <w:sz w:val="20"/>
        </w:rPr>
        <w:t>y</w:t>
      </w:r>
      <w:r>
        <w:rPr>
          <w:rFonts w:ascii="Calibri" w:hAnsi="Calibri"/>
          <w:color w:val="585858"/>
          <w:spacing w:val="-12"/>
          <w:sz w:val="20"/>
        </w:rPr>
        <w:t> </w:t>
      </w:r>
      <w:r>
        <w:rPr>
          <w:rFonts w:ascii="Calibri" w:hAnsi="Calibri"/>
          <w:color w:val="585858"/>
          <w:sz w:val="20"/>
        </w:rPr>
        <w:t>de</w:t>
      </w:r>
      <w:r>
        <w:rPr>
          <w:rFonts w:ascii="Calibri" w:hAnsi="Calibri"/>
          <w:color w:val="585858"/>
          <w:spacing w:val="-13"/>
          <w:sz w:val="20"/>
        </w:rPr>
        <w:t> </w:t>
      </w:r>
      <w:r>
        <w:rPr>
          <w:rFonts w:ascii="Calibri" w:hAnsi="Calibri"/>
          <w:color w:val="585858"/>
          <w:sz w:val="20"/>
        </w:rPr>
        <w:t>género,</w:t>
      </w:r>
      <w:r>
        <w:rPr>
          <w:rFonts w:ascii="Calibri" w:hAnsi="Calibri"/>
          <w:color w:val="585858"/>
          <w:spacing w:val="-12"/>
          <w:sz w:val="20"/>
        </w:rPr>
        <w:t> </w:t>
      </w:r>
      <w:r>
        <w:rPr>
          <w:rFonts w:ascii="Calibri" w:hAnsi="Calibri"/>
          <w:color w:val="585858"/>
          <w:sz w:val="20"/>
        </w:rPr>
        <w:t>colocan</w:t>
      </w:r>
      <w:r>
        <w:rPr>
          <w:rFonts w:ascii="Calibri" w:hAnsi="Calibri"/>
          <w:color w:val="585858"/>
          <w:spacing w:val="-9"/>
          <w:sz w:val="20"/>
        </w:rPr>
        <w:t> </w:t>
      </w:r>
      <w:r>
        <w:rPr>
          <w:rFonts w:ascii="Calibri" w:hAnsi="Calibri"/>
          <w:color w:val="585858"/>
          <w:sz w:val="20"/>
        </w:rPr>
        <w:t>en</w:t>
      </w:r>
      <w:r>
        <w:rPr>
          <w:rFonts w:ascii="Calibri" w:hAnsi="Calibri"/>
          <w:color w:val="585858"/>
          <w:spacing w:val="-12"/>
          <w:sz w:val="20"/>
        </w:rPr>
        <w:t> </w:t>
      </w:r>
      <w:r>
        <w:rPr>
          <w:rFonts w:ascii="Calibri" w:hAnsi="Calibri"/>
          <w:color w:val="585858"/>
          <w:sz w:val="20"/>
        </w:rPr>
        <w:t>riesgo el reconocimiento de los derechos humanos de la indiciada MARÍA CRUZ LÓPEZ, como lo son el derecho a la igualdad y al debido proceso; ya que como puede desprenderse de los hechos acaecidos, </w:t>
      </w:r>
      <w:r>
        <w:rPr>
          <w:rFonts w:ascii="Calibri" w:hAnsi="Calibri"/>
          <w:color w:val="585858"/>
          <w:sz w:val="18"/>
        </w:rPr>
        <w:t>MARÍA CRUZ LÓPEZ, actuó</w:t>
      </w:r>
      <w:r>
        <w:rPr>
          <w:rFonts w:ascii="Calibri" w:hAnsi="Calibri"/>
          <w:color w:val="585858"/>
          <w:spacing w:val="-5"/>
          <w:sz w:val="18"/>
        </w:rPr>
        <w:t> </w:t>
      </w:r>
      <w:r>
        <w:rPr>
          <w:rFonts w:ascii="Calibri" w:hAnsi="Calibri"/>
          <w:color w:val="585858"/>
          <w:sz w:val="18"/>
        </w:rPr>
        <w:t>de</w:t>
      </w:r>
      <w:r>
        <w:rPr>
          <w:rFonts w:ascii="Calibri" w:hAnsi="Calibri"/>
          <w:color w:val="585858"/>
          <w:spacing w:val="-7"/>
          <w:sz w:val="18"/>
        </w:rPr>
        <w:t> </w:t>
      </w:r>
      <w:r>
        <w:rPr>
          <w:rFonts w:ascii="Calibri" w:hAnsi="Calibri"/>
          <w:color w:val="585858"/>
          <w:sz w:val="18"/>
        </w:rPr>
        <w:t>la</w:t>
      </w:r>
      <w:r>
        <w:rPr>
          <w:rFonts w:ascii="Calibri" w:hAnsi="Calibri"/>
          <w:color w:val="585858"/>
          <w:spacing w:val="-6"/>
          <w:sz w:val="18"/>
        </w:rPr>
        <w:t> </w:t>
      </w:r>
      <w:r>
        <w:rPr>
          <w:rFonts w:ascii="Calibri" w:hAnsi="Calibri"/>
          <w:color w:val="585858"/>
          <w:sz w:val="18"/>
        </w:rPr>
        <w:t>presión</w:t>
      </w:r>
      <w:r>
        <w:rPr>
          <w:rFonts w:ascii="Calibri" w:hAnsi="Calibri"/>
          <w:color w:val="585858"/>
          <w:spacing w:val="-7"/>
          <w:sz w:val="18"/>
        </w:rPr>
        <w:t> </w:t>
      </w:r>
      <w:r>
        <w:rPr>
          <w:rFonts w:ascii="Calibri" w:hAnsi="Calibri"/>
          <w:color w:val="585858"/>
          <w:sz w:val="18"/>
        </w:rPr>
        <w:t>social</w:t>
      </w:r>
      <w:r>
        <w:rPr>
          <w:rFonts w:ascii="Calibri" w:hAnsi="Calibri"/>
          <w:color w:val="585858"/>
          <w:spacing w:val="-6"/>
          <w:sz w:val="18"/>
        </w:rPr>
        <w:t> </w:t>
      </w:r>
      <w:r>
        <w:rPr>
          <w:rFonts w:ascii="Calibri" w:hAnsi="Calibri"/>
          <w:color w:val="585858"/>
          <w:sz w:val="18"/>
        </w:rPr>
        <w:t>de</w:t>
      </w:r>
      <w:r>
        <w:rPr>
          <w:rFonts w:ascii="Calibri" w:hAnsi="Calibri"/>
          <w:color w:val="585858"/>
          <w:spacing w:val="-4"/>
          <w:sz w:val="18"/>
        </w:rPr>
        <w:t> </w:t>
      </w:r>
      <w:r>
        <w:rPr>
          <w:rFonts w:ascii="Calibri" w:hAnsi="Calibri"/>
          <w:color w:val="585858"/>
          <w:sz w:val="18"/>
        </w:rPr>
        <w:t>una</w:t>
      </w:r>
      <w:r>
        <w:rPr>
          <w:rFonts w:ascii="Calibri" w:hAnsi="Calibri"/>
          <w:color w:val="585858"/>
          <w:spacing w:val="-3"/>
          <w:sz w:val="18"/>
        </w:rPr>
        <w:t> </w:t>
      </w:r>
      <w:r>
        <w:rPr>
          <w:rFonts w:ascii="Calibri" w:hAnsi="Calibri"/>
          <w:color w:val="585858"/>
          <w:sz w:val="18"/>
        </w:rPr>
        <w:t>cultura</w:t>
      </w:r>
      <w:r>
        <w:rPr>
          <w:rFonts w:ascii="Calibri" w:hAnsi="Calibri"/>
          <w:color w:val="585858"/>
          <w:spacing w:val="-6"/>
          <w:sz w:val="18"/>
        </w:rPr>
        <w:t> </w:t>
      </w:r>
      <w:r>
        <w:rPr>
          <w:rFonts w:ascii="Calibri" w:hAnsi="Calibri"/>
          <w:color w:val="585858"/>
          <w:sz w:val="18"/>
        </w:rPr>
        <w:t>en la</w:t>
      </w:r>
      <w:r>
        <w:rPr>
          <w:rFonts w:ascii="Calibri" w:hAnsi="Calibri"/>
          <w:color w:val="585858"/>
          <w:spacing w:val="-4"/>
          <w:sz w:val="18"/>
        </w:rPr>
        <w:t> </w:t>
      </w:r>
      <w:r>
        <w:rPr>
          <w:rFonts w:ascii="Calibri" w:hAnsi="Calibri"/>
          <w:color w:val="585858"/>
          <w:sz w:val="18"/>
        </w:rPr>
        <w:t>que</w:t>
      </w:r>
      <w:r>
        <w:rPr>
          <w:rFonts w:ascii="Calibri" w:hAnsi="Calibri"/>
          <w:color w:val="585858"/>
          <w:spacing w:val="-4"/>
          <w:sz w:val="18"/>
        </w:rPr>
        <w:t> </w:t>
      </w:r>
      <w:r>
        <w:rPr>
          <w:rFonts w:ascii="Calibri" w:hAnsi="Calibri"/>
          <w:color w:val="585858"/>
          <w:sz w:val="18"/>
        </w:rPr>
        <w:t>se</w:t>
      </w:r>
      <w:r>
        <w:rPr>
          <w:rFonts w:ascii="Calibri" w:hAnsi="Calibri"/>
          <w:color w:val="585858"/>
          <w:spacing w:val="-4"/>
          <w:sz w:val="18"/>
        </w:rPr>
        <w:t> </w:t>
      </w:r>
      <w:r>
        <w:rPr>
          <w:rFonts w:ascii="Calibri" w:hAnsi="Calibri"/>
          <w:color w:val="585858"/>
          <w:sz w:val="18"/>
        </w:rPr>
        <w:t>valora</w:t>
      </w:r>
      <w:r>
        <w:rPr>
          <w:rFonts w:ascii="Calibri" w:hAnsi="Calibri"/>
          <w:color w:val="585858"/>
          <w:spacing w:val="-4"/>
          <w:sz w:val="18"/>
        </w:rPr>
        <w:t> </w:t>
      </w:r>
      <w:r>
        <w:rPr>
          <w:rFonts w:ascii="Calibri" w:hAnsi="Calibri"/>
          <w:color w:val="585858"/>
          <w:sz w:val="18"/>
        </w:rPr>
        <w:t>a</w:t>
      </w:r>
      <w:r>
        <w:rPr>
          <w:rFonts w:ascii="Calibri" w:hAnsi="Calibri"/>
          <w:color w:val="585858"/>
          <w:spacing w:val="-4"/>
          <w:sz w:val="18"/>
        </w:rPr>
        <w:t> </w:t>
      </w:r>
      <w:r>
        <w:rPr>
          <w:rFonts w:ascii="Calibri" w:hAnsi="Calibri"/>
          <w:color w:val="585858"/>
          <w:sz w:val="18"/>
        </w:rPr>
        <w:t>las</w:t>
      </w:r>
      <w:r>
        <w:rPr>
          <w:rFonts w:ascii="Calibri" w:hAnsi="Calibri"/>
          <w:color w:val="585858"/>
          <w:spacing w:val="-4"/>
          <w:sz w:val="18"/>
        </w:rPr>
        <w:t> </w:t>
      </w:r>
      <w:r>
        <w:rPr>
          <w:rFonts w:ascii="Calibri" w:hAnsi="Calibri"/>
          <w:color w:val="585858"/>
          <w:sz w:val="18"/>
        </w:rPr>
        <w:t>mujeres</w:t>
      </w:r>
      <w:r>
        <w:rPr>
          <w:rFonts w:ascii="Calibri" w:hAnsi="Calibri"/>
          <w:color w:val="585858"/>
          <w:spacing w:val="-5"/>
          <w:sz w:val="18"/>
        </w:rPr>
        <w:t> </w:t>
      </w:r>
      <w:r>
        <w:rPr>
          <w:rFonts w:ascii="Calibri" w:hAnsi="Calibri"/>
          <w:color w:val="585858"/>
          <w:sz w:val="18"/>
        </w:rPr>
        <w:t>por</w:t>
      </w:r>
      <w:r>
        <w:rPr>
          <w:rFonts w:ascii="Calibri" w:hAnsi="Calibri"/>
          <w:color w:val="585858"/>
          <w:spacing w:val="-1"/>
          <w:sz w:val="18"/>
        </w:rPr>
        <w:t> </w:t>
      </w:r>
      <w:r>
        <w:rPr>
          <w:rFonts w:ascii="Calibri" w:hAnsi="Calibri"/>
          <w:color w:val="585858"/>
          <w:sz w:val="18"/>
        </w:rPr>
        <w:t>su</w:t>
      </w:r>
      <w:r>
        <w:rPr>
          <w:rFonts w:ascii="Calibri" w:hAnsi="Calibri"/>
          <w:color w:val="585858"/>
          <w:spacing w:val="-4"/>
          <w:sz w:val="18"/>
        </w:rPr>
        <w:t> </w:t>
      </w:r>
      <w:r>
        <w:rPr>
          <w:rFonts w:ascii="Calibri" w:hAnsi="Calibri"/>
          <w:color w:val="585858"/>
          <w:sz w:val="18"/>
        </w:rPr>
        <w:t>honor, sin que tengan libertad de decisión, se obsesionen con su honorabilidad y sean capaces de hacer cualquier cosa con tal de protegerla. Por lo tanto, la autoridad jurisdiccional deberá analizar el caso a partir de la perspectiva de género, en los términos del protocolo para juzgar con perspectiva de género, emitido por la Suprema Corte de Justicia de la Nación en 2013, con la finalidad de garantizar el acceso a la justicia a la</w:t>
      </w:r>
      <w:r>
        <w:rPr>
          <w:rFonts w:ascii="Calibri" w:hAnsi="Calibri"/>
          <w:color w:val="585858"/>
          <w:spacing w:val="-13"/>
          <w:sz w:val="18"/>
        </w:rPr>
        <w:t> </w:t>
      </w:r>
      <w:r>
        <w:rPr>
          <w:rFonts w:ascii="Calibri" w:hAnsi="Calibri"/>
          <w:color w:val="585858"/>
          <w:sz w:val="18"/>
        </w:rPr>
        <w:t>indiciada.</w:t>
      </w:r>
    </w:p>
    <w:p>
      <w:pPr>
        <w:pStyle w:val="BodyText"/>
        <w:rPr>
          <w:rFonts w:ascii="Calibri"/>
        </w:rPr>
      </w:pPr>
      <w:r>
        <w:rPr/>
        <w:br w:type="column"/>
      </w:r>
      <w:r>
        <w:rPr>
          <w:rFonts w:ascii="Calibri"/>
        </w:rPr>
      </w:r>
    </w:p>
    <w:p>
      <w:pPr>
        <w:pStyle w:val="BodyText"/>
        <w:rPr>
          <w:rFonts w:ascii="Calibri"/>
        </w:rPr>
      </w:pPr>
    </w:p>
    <w:p>
      <w:pPr>
        <w:pStyle w:val="BodyText"/>
        <w:spacing w:before="4"/>
        <w:rPr>
          <w:rFonts w:ascii="Calibri"/>
          <w:sz w:val="26"/>
        </w:rPr>
      </w:pPr>
    </w:p>
    <w:p>
      <w:pPr>
        <w:pStyle w:val="ListParagraph"/>
        <w:numPr>
          <w:ilvl w:val="0"/>
          <w:numId w:val="20"/>
        </w:numPr>
        <w:tabs>
          <w:tab w:pos="973" w:val="left" w:leader="none"/>
        </w:tabs>
        <w:spacing w:line="360" w:lineRule="auto" w:before="0" w:after="0"/>
        <w:ind w:left="619" w:right="166" w:firstLine="0"/>
        <w:jc w:val="both"/>
        <w:rPr>
          <w:sz w:val="22"/>
        </w:rPr>
      </w:pPr>
      <w:r>
        <w:rPr>
          <w:sz w:val="22"/>
        </w:rPr>
        <w:t>Aplicar los principios de los derechos humanos, de igualdad,</w:t>
      </w:r>
      <w:r>
        <w:rPr>
          <w:spacing w:val="-18"/>
          <w:sz w:val="22"/>
        </w:rPr>
        <w:t> </w:t>
      </w:r>
      <w:r>
        <w:rPr>
          <w:sz w:val="22"/>
        </w:rPr>
        <w:t>universalidad,</w:t>
      </w:r>
      <w:r>
        <w:rPr>
          <w:spacing w:val="-16"/>
          <w:sz w:val="22"/>
        </w:rPr>
        <w:t> </w:t>
      </w:r>
      <w:r>
        <w:rPr>
          <w:sz w:val="22"/>
        </w:rPr>
        <w:t>interdependencia,</w:t>
      </w:r>
      <w:r>
        <w:rPr>
          <w:spacing w:val="-18"/>
          <w:sz w:val="22"/>
        </w:rPr>
        <w:t> </w:t>
      </w:r>
      <w:r>
        <w:rPr>
          <w:sz w:val="22"/>
        </w:rPr>
        <w:t>indivisibilidad</w:t>
      </w:r>
      <w:r>
        <w:rPr>
          <w:spacing w:val="-16"/>
          <w:sz w:val="22"/>
        </w:rPr>
        <w:t> </w:t>
      </w:r>
      <w:r>
        <w:rPr>
          <w:sz w:val="22"/>
        </w:rPr>
        <w:t>y progresividad.</w:t>
      </w:r>
    </w:p>
    <w:p>
      <w:pPr>
        <w:pStyle w:val="ListParagraph"/>
        <w:numPr>
          <w:ilvl w:val="0"/>
          <w:numId w:val="20"/>
        </w:numPr>
        <w:tabs>
          <w:tab w:pos="973" w:val="left" w:leader="none"/>
        </w:tabs>
        <w:spacing w:line="360" w:lineRule="auto" w:before="3" w:after="0"/>
        <w:ind w:left="619" w:right="165" w:firstLine="0"/>
        <w:jc w:val="both"/>
        <w:rPr>
          <w:sz w:val="22"/>
        </w:rPr>
      </w:pPr>
      <w:r>
        <w:rPr>
          <w:sz w:val="22"/>
        </w:rPr>
        <w:t>Justificar el uso de la ley más favorable para nuestra defendida, atendiendo a la situación de desigualdad de género, haciendo referencia a los tratados internacionales, pero no sólo citarlos sino exponer las razones por las cuales deben tomarse en consideración en el caso</w:t>
      </w:r>
      <w:r>
        <w:rPr>
          <w:spacing w:val="-4"/>
          <w:sz w:val="22"/>
        </w:rPr>
        <w:t> </w:t>
      </w:r>
      <w:r>
        <w:rPr>
          <w:sz w:val="22"/>
        </w:rPr>
        <w:t>concreto.</w:t>
      </w:r>
    </w:p>
    <w:p>
      <w:pPr>
        <w:pStyle w:val="ListParagraph"/>
        <w:numPr>
          <w:ilvl w:val="0"/>
          <w:numId w:val="20"/>
        </w:numPr>
        <w:tabs>
          <w:tab w:pos="973" w:val="left" w:leader="none"/>
        </w:tabs>
        <w:spacing w:line="360" w:lineRule="auto" w:before="3" w:after="0"/>
        <w:ind w:left="619" w:right="165" w:firstLine="0"/>
        <w:jc w:val="both"/>
        <w:rPr>
          <w:sz w:val="22"/>
        </w:rPr>
      </w:pPr>
      <w:r>
        <w:rPr>
          <w:sz w:val="22"/>
        </w:rPr>
        <w:t>Señalar la violación a los derechos humanos de nuestra defendida para el caso de que no se tomen en consideración los tratados internacionales protectores de los derechos de las</w:t>
      </w:r>
      <w:r>
        <w:rPr>
          <w:spacing w:val="-6"/>
          <w:sz w:val="22"/>
        </w:rPr>
        <w:t> </w:t>
      </w:r>
      <w:r>
        <w:rPr>
          <w:sz w:val="22"/>
        </w:rPr>
        <w:t>mujeres.</w:t>
      </w:r>
    </w:p>
    <w:p>
      <w:pPr>
        <w:pStyle w:val="ListParagraph"/>
        <w:numPr>
          <w:ilvl w:val="0"/>
          <w:numId w:val="20"/>
        </w:numPr>
        <w:tabs>
          <w:tab w:pos="973" w:val="left" w:leader="none"/>
        </w:tabs>
        <w:spacing w:line="360" w:lineRule="auto" w:before="3" w:after="0"/>
        <w:ind w:left="619" w:right="163" w:firstLine="0"/>
        <w:jc w:val="both"/>
        <w:rPr>
          <w:sz w:val="22"/>
        </w:rPr>
      </w:pPr>
      <w:r>
        <w:rPr>
          <w:sz w:val="22"/>
        </w:rPr>
        <w:t>Hacer referencia a la jurisprudencia de la Corte Interamericana en casos similares, así como a la</w:t>
      </w:r>
      <w:r>
        <w:rPr>
          <w:spacing w:val="-26"/>
          <w:sz w:val="22"/>
        </w:rPr>
        <w:t> </w:t>
      </w:r>
      <w:r>
        <w:rPr>
          <w:sz w:val="22"/>
        </w:rPr>
        <w:t>doctrina existente en materia de género, autoras como Martha Lamas, Alda Facio, entre otras, así como recurrir a la figura del </w:t>
      </w:r>
      <w:r>
        <w:rPr>
          <w:i/>
          <w:sz w:val="22"/>
        </w:rPr>
        <w:t>amicus curiae, </w:t>
      </w:r>
      <w:r>
        <w:rPr>
          <w:sz w:val="22"/>
        </w:rPr>
        <w:t>(el cual trataremos en el siguiente</w:t>
      </w:r>
      <w:r>
        <w:rPr>
          <w:spacing w:val="-7"/>
          <w:sz w:val="22"/>
        </w:rPr>
        <w:t> </w:t>
      </w:r>
      <w:r>
        <w:rPr>
          <w:sz w:val="22"/>
        </w:rPr>
        <w:t>capítulo).</w:t>
      </w:r>
    </w:p>
    <w:p>
      <w:pPr>
        <w:pStyle w:val="ListParagraph"/>
        <w:numPr>
          <w:ilvl w:val="0"/>
          <w:numId w:val="20"/>
        </w:numPr>
        <w:tabs>
          <w:tab w:pos="973" w:val="left" w:leader="none"/>
        </w:tabs>
        <w:spacing w:line="360" w:lineRule="auto" w:before="3" w:after="0"/>
        <w:ind w:left="619" w:right="165" w:firstLine="0"/>
        <w:jc w:val="both"/>
        <w:rPr>
          <w:sz w:val="22"/>
        </w:rPr>
      </w:pPr>
      <w:r>
        <w:rPr>
          <w:sz w:val="22"/>
        </w:rPr>
        <w:t>Debemos especificar las razones por las que en el caso concreto se debe dar un trato diferenciado, es</w:t>
      </w:r>
      <w:r>
        <w:rPr>
          <w:spacing w:val="-22"/>
          <w:sz w:val="22"/>
        </w:rPr>
        <w:t> </w:t>
      </w:r>
      <w:r>
        <w:rPr>
          <w:sz w:val="22"/>
        </w:rPr>
        <w:t>decir, a partir de las circunstancias de discriminación por género, podremos referir el por qué debe juzgarse con perspectiva de género, señalando detalladamente, como influyo la desigualdad de género en la comisión de la conducta</w:t>
      </w:r>
      <w:r>
        <w:rPr>
          <w:spacing w:val="-5"/>
          <w:sz w:val="22"/>
        </w:rPr>
        <w:t> </w:t>
      </w:r>
      <w:r>
        <w:rPr>
          <w:sz w:val="22"/>
        </w:rPr>
        <w:t>delictiva.</w:t>
      </w:r>
    </w:p>
    <w:p>
      <w:pPr>
        <w:pStyle w:val="ListParagraph"/>
        <w:numPr>
          <w:ilvl w:val="0"/>
          <w:numId w:val="20"/>
        </w:numPr>
        <w:tabs>
          <w:tab w:pos="973" w:val="left" w:leader="none"/>
        </w:tabs>
        <w:spacing w:line="360" w:lineRule="auto" w:before="5" w:after="0"/>
        <w:ind w:left="619" w:right="166" w:firstLine="0"/>
        <w:jc w:val="both"/>
        <w:rPr>
          <w:sz w:val="22"/>
        </w:rPr>
      </w:pPr>
      <w:r>
        <w:rPr>
          <w:sz w:val="22"/>
        </w:rPr>
        <w:t>Evidenciar los estereotipos de género por parte de</w:t>
      </w:r>
      <w:r>
        <w:rPr>
          <w:spacing w:val="-38"/>
          <w:sz w:val="22"/>
        </w:rPr>
        <w:t> </w:t>
      </w:r>
      <w:r>
        <w:rPr>
          <w:sz w:val="22"/>
        </w:rPr>
        <w:t>las autoridades ministerial y judicial.  Es  decir  debemos </w:t>
      </w:r>
      <w:r>
        <w:rPr>
          <w:spacing w:val="49"/>
          <w:sz w:val="22"/>
        </w:rPr>
        <w:t> </w:t>
      </w:r>
      <w:r>
        <w:rPr>
          <w:sz w:val="22"/>
        </w:rPr>
        <w:t>de</w:t>
      </w:r>
    </w:p>
    <w:p>
      <w:pPr>
        <w:spacing w:after="0" w:line="360" w:lineRule="auto"/>
        <w:jc w:val="both"/>
        <w:rPr>
          <w:sz w:val="22"/>
        </w:rPr>
        <w:sectPr>
          <w:type w:val="continuous"/>
          <w:pgSz w:w="12240" w:h="15840"/>
          <w:pgMar w:top="1400" w:bottom="280" w:left="380" w:right="1580"/>
          <w:cols w:num="2" w:equalWidth="0">
            <w:col w:w="3851" w:space="40"/>
            <w:col w:w="6389"/>
          </w:cols>
        </w:sectPr>
      </w:pPr>
    </w:p>
    <w:p>
      <w:pPr>
        <w:pStyle w:val="BodyText"/>
        <w:spacing w:line="362" w:lineRule="auto" w:before="54"/>
        <w:ind w:left="821" w:right="96"/>
      </w:pPr>
      <w:r>
        <w:rPr/>
        <w:t>reconocer los sesgos de género que estuvieron presentes a lo largo del proceso y dejarlos al juzgador o la juzgadora.</w:t>
      </w:r>
    </w:p>
    <w:p>
      <w:pPr>
        <w:pStyle w:val="ListParagraph"/>
        <w:numPr>
          <w:ilvl w:val="0"/>
          <w:numId w:val="20"/>
        </w:numPr>
        <w:tabs>
          <w:tab w:pos="822" w:val="left" w:leader="none"/>
        </w:tabs>
        <w:spacing w:line="360" w:lineRule="auto" w:before="1" w:after="0"/>
        <w:ind w:left="822" w:right="162" w:hanging="360"/>
        <w:jc w:val="both"/>
        <w:rPr>
          <w:sz w:val="22"/>
        </w:rPr>
      </w:pPr>
      <w:r>
        <w:rPr>
          <w:sz w:val="22"/>
        </w:rPr>
        <w:t>Como conclusión principal, tenemos la obligatoriedad de la autoridad jurisdiccional de</w:t>
      </w:r>
      <w:r>
        <w:rPr>
          <w:spacing w:val="-7"/>
          <w:sz w:val="22"/>
        </w:rPr>
        <w:t> </w:t>
      </w:r>
      <w:r>
        <w:rPr>
          <w:sz w:val="22"/>
        </w:rPr>
        <w:t>analizar</w:t>
      </w:r>
      <w:r>
        <w:rPr>
          <w:spacing w:val="-6"/>
          <w:sz w:val="22"/>
        </w:rPr>
        <w:t> </w:t>
      </w:r>
      <w:r>
        <w:rPr>
          <w:sz w:val="22"/>
        </w:rPr>
        <w:t>el</w:t>
      </w:r>
      <w:r>
        <w:rPr>
          <w:spacing w:val="-7"/>
          <w:sz w:val="22"/>
        </w:rPr>
        <w:t> </w:t>
      </w:r>
      <w:r>
        <w:rPr>
          <w:sz w:val="22"/>
        </w:rPr>
        <w:t>caso</w:t>
      </w:r>
      <w:r>
        <w:rPr>
          <w:spacing w:val="-9"/>
          <w:sz w:val="22"/>
        </w:rPr>
        <w:t> </w:t>
      </w:r>
      <w:r>
        <w:rPr>
          <w:sz w:val="22"/>
        </w:rPr>
        <w:t>y</w:t>
      </w:r>
      <w:r>
        <w:rPr>
          <w:spacing w:val="-8"/>
          <w:sz w:val="22"/>
        </w:rPr>
        <w:t> </w:t>
      </w:r>
      <w:r>
        <w:rPr>
          <w:sz w:val="22"/>
        </w:rPr>
        <w:t>emitir</w:t>
      </w:r>
      <w:r>
        <w:rPr>
          <w:spacing w:val="-5"/>
          <w:sz w:val="22"/>
        </w:rPr>
        <w:t> </w:t>
      </w:r>
      <w:r>
        <w:rPr>
          <w:sz w:val="22"/>
        </w:rPr>
        <w:t>una</w:t>
      </w:r>
      <w:r>
        <w:rPr>
          <w:spacing w:val="-9"/>
          <w:sz w:val="22"/>
        </w:rPr>
        <w:t> </w:t>
      </w:r>
      <w:r>
        <w:rPr>
          <w:sz w:val="22"/>
        </w:rPr>
        <w:t>sentencia</w:t>
      </w:r>
      <w:r>
        <w:rPr>
          <w:spacing w:val="-6"/>
          <w:sz w:val="22"/>
        </w:rPr>
        <w:t> </w:t>
      </w:r>
      <w:r>
        <w:rPr>
          <w:sz w:val="22"/>
        </w:rPr>
        <w:t>basada</w:t>
      </w:r>
      <w:r>
        <w:rPr>
          <w:spacing w:val="-11"/>
          <w:sz w:val="22"/>
        </w:rPr>
        <w:t> </w:t>
      </w:r>
      <w:r>
        <w:rPr>
          <w:sz w:val="22"/>
        </w:rPr>
        <w:t>en</w:t>
      </w:r>
      <w:r>
        <w:rPr>
          <w:spacing w:val="-7"/>
          <w:sz w:val="22"/>
        </w:rPr>
        <w:t> </w:t>
      </w:r>
      <w:r>
        <w:rPr>
          <w:sz w:val="22"/>
        </w:rPr>
        <w:t>la</w:t>
      </w:r>
      <w:r>
        <w:rPr>
          <w:spacing w:val="-6"/>
          <w:sz w:val="22"/>
        </w:rPr>
        <w:t> </w:t>
      </w:r>
      <w:r>
        <w:rPr>
          <w:sz w:val="22"/>
        </w:rPr>
        <w:t>perspectiva</w:t>
      </w:r>
      <w:r>
        <w:rPr>
          <w:spacing w:val="-6"/>
          <w:sz w:val="22"/>
        </w:rPr>
        <w:t> </w:t>
      </w:r>
      <w:r>
        <w:rPr>
          <w:sz w:val="22"/>
        </w:rPr>
        <w:t>de</w:t>
      </w:r>
      <w:r>
        <w:rPr>
          <w:spacing w:val="-9"/>
          <w:sz w:val="22"/>
        </w:rPr>
        <w:t> </w:t>
      </w:r>
      <w:r>
        <w:rPr>
          <w:sz w:val="22"/>
        </w:rPr>
        <w:t>género,</w:t>
      </w:r>
      <w:r>
        <w:rPr>
          <w:spacing w:val="-4"/>
          <w:sz w:val="22"/>
        </w:rPr>
        <w:t> </w:t>
      </w:r>
      <w:r>
        <w:rPr>
          <w:sz w:val="22"/>
        </w:rPr>
        <w:t>toda vez que, en el caso concreto se encuentran presentes circunstancias de desigualdad</w:t>
      </w:r>
      <w:r>
        <w:rPr>
          <w:spacing w:val="-7"/>
          <w:sz w:val="22"/>
        </w:rPr>
        <w:t> </w:t>
      </w:r>
      <w:r>
        <w:rPr>
          <w:sz w:val="22"/>
        </w:rPr>
        <w:t>de</w:t>
      </w:r>
      <w:r>
        <w:rPr>
          <w:spacing w:val="-12"/>
          <w:sz w:val="22"/>
        </w:rPr>
        <w:t> </w:t>
      </w:r>
      <w:r>
        <w:rPr>
          <w:sz w:val="22"/>
        </w:rPr>
        <w:t>género,</w:t>
      </w:r>
      <w:r>
        <w:rPr>
          <w:spacing w:val="-11"/>
          <w:sz w:val="22"/>
        </w:rPr>
        <w:t> </w:t>
      </w:r>
      <w:r>
        <w:rPr>
          <w:sz w:val="22"/>
        </w:rPr>
        <w:t>mismas</w:t>
      </w:r>
      <w:r>
        <w:rPr>
          <w:spacing w:val="-12"/>
          <w:sz w:val="22"/>
        </w:rPr>
        <w:t> </w:t>
      </w:r>
      <w:r>
        <w:rPr>
          <w:sz w:val="22"/>
        </w:rPr>
        <w:t>que</w:t>
      </w:r>
      <w:r>
        <w:rPr>
          <w:spacing w:val="-9"/>
          <w:sz w:val="22"/>
        </w:rPr>
        <w:t> </w:t>
      </w:r>
      <w:r>
        <w:rPr>
          <w:sz w:val="22"/>
        </w:rPr>
        <w:t>se</w:t>
      </w:r>
      <w:r>
        <w:rPr>
          <w:spacing w:val="-9"/>
          <w:sz w:val="22"/>
        </w:rPr>
        <w:t> </w:t>
      </w:r>
      <w:r>
        <w:rPr>
          <w:sz w:val="22"/>
        </w:rPr>
        <w:t>deben</w:t>
      </w:r>
      <w:r>
        <w:rPr>
          <w:spacing w:val="-9"/>
          <w:sz w:val="22"/>
        </w:rPr>
        <w:t> </w:t>
      </w:r>
      <w:r>
        <w:rPr>
          <w:sz w:val="22"/>
        </w:rPr>
        <w:t>de</w:t>
      </w:r>
      <w:r>
        <w:rPr>
          <w:spacing w:val="-9"/>
          <w:sz w:val="22"/>
        </w:rPr>
        <w:t> </w:t>
      </w:r>
      <w:r>
        <w:rPr>
          <w:sz w:val="22"/>
        </w:rPr>
        <w:t>atender</w:t>
      </w:r>
      <w:r>
        <w:rPr>
          <w:spacing w:val="-8"/>
          <w:sz w:val="22"/>
        </w:rPr>
        <w:t> </w:t>
      </w:r>
      <w:r>
        <w:rPr>
          <w:sz w:val="22"/>
        </w:rPr>
        <w:t>a</w:t>
      </w:r>
      <w:r>
        <w:rPr>
          <w:spacing w:val="-12"/>
          <w:sz w:val="22"/>
        </w:rPr>
        <w:t> </w:t>
      </w:r>
      <w:r>
        <w:rPr>
          <w:sz w:val="22"/>
        </w:rPr>
        <w:t>fin</w:t>
      </w:r>
      <w:r>
        <w:rPr>
          <w:spacing w:val="-9"/>
          <w:sz w:val="22"/>
        </w:rPr>
        <w:t> </w:t>
      </w:r>
      <w:r>
        <w:rPr>
          <w:sz w:val="22"/>
        </w:rPr>
        <w:t>de</w:t>
      </w:r>
      <w:r>
        <w:rPr>
          <w:spacing w:val="-12"/>
          <w:sz w:val="22"/>
        </w:rPr>
        <w:t> </w:t>
      </w:r>
      <w:r>
        <w:rPr>
          <w:sz w:val="22"/>
        </w:rPr>
        <w:t>garantizar</w:t>
      </w:r>
      <w:r>
        <w:rPr>
          <w:spacing w:val="-6"/>
          <w:sz w:val="22"/>
        </w:rPr>
        <w:t> </w:t>
      </w:r>
      <w:r>
        <w:rPr>
          <w:sz w:val="22"/>
        </w:rPr>
        <w:t>el</w:t>
      </w:r>
      <w:r>
        <w:rPr>
          <w:spacing w:val="-10"/>
          <w:sz w:val="22"/>
        </w:rPr>
        <w:t> </w:t>
      </w:r>
      <w:r>
        <w:rPr>
          <w:sz w:val="22"/>
        </w:rPr>
        <w:t>trato igualitario de nuestra defendida en el acceso a la justicia, refiriendo a partir del enfoque de género, cuál debe ser el sentido de la</w:t>
      </w:r>
      <w:r>
        <w:rPr>
          <w:spacing w:val="-17"/>
          <w:sz w:val="22"/>
        </w:rPr>
        <w:t> </w:t>
      </w:r>
      <w:r>
        <w:rPr>
          <w:sz w:val="22"/>
        </w:rPr>
        <w:t>sentencia.</w:t>
      </w:r>
    </w:p>
    <w:p>
      <w:pPr>
        <w:pStyle w:val="BodyText"/>
        <w:rPr>
          <w:sz w:val="20"/>
        </w:rPr>
      </w:pPr>
    </w:p>
    <w:p>
      <w:pPr>
        <w:pStyle w:val="BodyText"/>
        <w:rPr>
          <w:sz w:val="20"/>
        </w:rPr>
      </w:pPr>
    </w:p>
    <w:p>
      <w:pPr>
        <w:pStyle w:val="BodyText"/>
        <w:spacing w:before="6"/>
        <w:rPr>
          <w:sz w:val="24"/>
        </w:rPr>
      </w:pPr>
      <w:r>
        <w:rPr/>
        <w:pict>
          <v:shape style="position:absolute;margin-left:85.919998pt;margin-top:16.476353pt;width:439.6pt;height:213.85pt;mso-position-horizontal-relative:page;mso-position-vertical-relative:paragraph;z-index:5800;mso-wrap-distance-left:0;mso-wrap-distance-right:0" type="#_x0000_t202" filled="true" fillcolor="#ec7c30" stroked="true" strokeweight=".72pt" strokecolor="#000000">
            <v:textbox inset="0,0,0,0">
              <w:txbxContent>
                <w:p>
                  <w:pPr>
                    <w:spacing w:before="72"/>
                    <w:ind w:left="3859" w:right="3808" w:firstLine="0"/>
                    <w:jc w:val="center"/>
                    <w:rPr>
                      <w:rFonts w:ascii="Calibri"/>
                      <w:b/>
                      <w:sz w:val="24"/>
                    </w:rPr>
                  </w:pPr>
                  <w:r>
                    <w:rPr>
                      <w:rFonts w:ascii="Calibri"/>
                      <w:b/>
                      <w:sz w:val="24"/>
                    </w:rPr>
                    <w:t>RECUERDA</w:t>
                  </w:r>
                </w:p>
                <w:p>
                  <w:pPr>
                    <w:pStyle w:val="BodyText"/>
                    <w:spacing w:before="3"/>
                    <w:rPr>
                      <w:sz w:val="21"/>
                    </w:rPr>
                  </w:pPr>
                </w:p>
                <w:p>
                  <w:pPr>
                    <w:spacing w:line="276" w:lineRule="auto" w:before="0"/>
                    <w:ind w:left="144" w:right="144" w:firstLine="0"/>
                    <w:jc w:val="both"/>
                    <w:rPr>
                      <w:rFonts w:ascii="Calibri" w:hAnsi="Calibri"/>
                      <w:b/>
                      <w:sz w:val="24"/>
                    </w:rPr>
                  </w:pPr>
                  <w:r>
                    <w:rPr>
                      <w:rFonts w:ascii="Calibri" w:hAnsi="Calibri"/>
                      <w:b/>
                      <w:sz w:val="24"/>
                    </w:rPr>
                    <w:t>La teoría del caso es la estrategia metodológica que debemos utilizar para organizar nuestra</w:t>
                  </w:r>
                  <w:r>
                    <w:rPr>
                      <w:rFonts w:ascii="Calibri" w:hAnsi="Calibri"/>
                      <w:b/>
                      <w:spacing w:val="-8"/>
                      <w:sz w:val="24"/>
                    </w:rPr>
                    <w:t> </w:t>
                  </w:r>
                  <w:r>
                    <w:rPr>
                      <w:rFonts w:ascii="Calibri" w:hAnsi="Calibri"/>
                      <w:b/>
                      <w:sz w:val="24"/>
                    </w:rPr>
                    <w:t>defensa,</w:t>
                  </w:r>
                  <w:r>
                    <w:rPr>
                      <w:rFonts w:ascii="Calibri" w:hAnsi="Calibri"/>
                      <w:b/>
                      <w:spacing w:val="-9"/>
                      <w:sz w:val="24"/>
                    </w:rPr>
                    <w:t> </w:t>
                  </w:r>
                  <w:r>
                    <w:rPr>
                      <w:rFonts w:ascii="Calibri" w:hAnsi="Calibri"/>
                      <w:b/>
                      <w:sz w:val="24"/>
                    </w:rPr>
                    <w:t>incorporar</w:t>
                  </w:r>
                  <w:r>
                    <w:rPr>
                      <w:rFonts w:ascii="Calibri" w:hAnsi="Calibri"/>
                      <w:b/>
                      <w:spacing w:val="-6"/>
                      <w:sz w:val="24"/>
                    </w:rPr>
                    <w:t> </w:t>
                  </w:r>
                  <w:r>
                    <w:rPr>
                      <w:rFonts w:ascii="Calibri" w:hAnsi="Calibri"/>
                      <w:b/>
                      <w:sz w:val="24"/>
                    </w:rPr>
                    <w:t>la</w:t>
                  </w:r>
                  <w:r>
                    <w:rPr>
                      <w:rFonts w:ascii="Calibri" w:hAnsi="Calibri"/>
                      <w:b/>
                      <w:spacing w:val="-11"/>
                      <w:sz w:val="24"/>
                    </w:rPr>
                    <w:t> </w:t>
                  </w:r>
                  <w:r>
                    <w:rPr>
                      <w:rFonts w:ascii="Calibri" w:hAnsi="Calibri"/>
                      <w:b/>
                      <w:sz w:val="24"/>
                    </w:rPr>
                    <w:t>perspectiva</w:t>
                  </w:r>
                  <w:r>
                    <w:rPr>
                      <w:rFonts w:ascii="Calibri" w:hAnsi="Calibri"/>
                      <w:b/>
                      <w:spacing w:val="-9"/>
                      <w:sz w:val="24"/>
                    </w:rPr>
                    <w:t> </w:t>
                  </w:r>
                  <w:r>
                    <w:rPr>
                      <w:rFonts w:ascii="Calibri" w:hAnsi="Calibri"/>
                      <w:b/>
                      <w:sz w:val="24"/>
                    </w:rPr>
                    <w:t>de</w:t>
                  </w:r>
                  <w:r>
                    <w:rPr>
                      <w:rFonts w:ascii="Calibri" w:hAnsi="Calibri"/>
                      <w:b/>
                      <w:spacing w:val="-8"/>
                      <w:sz w:val="24"/>
                    </w:rPr>
                    <w:t> </w:t>
                  </w:r>
                  <w:r>
                    <w:rPr>
                      <w:rFonts w:ascii="Calibri" w:hAnsi="Calibri"/>
                      <w:b/>
                      <w:sz w:val="24"/>
                    </w:rPr>
                    <w:t>género</w:t>
                  </w:r>
                  <w:r>
                    <w:rPr>
                      <w:rFonts w:ascii="Calibri" w:hAnsi="Calibri"/>
                      <w:b/>
                      <w:spacing w:val="-7"/>
                      <w:sz w:val="24"/>
                    </w:rPr>
                    <w:t> </w:t>
                  </w:r>
                  <w:r>
                    <w:rPr>
                      <w:rFonts w:ascii="Calibri" w:hAnsi="Calibri"/>
                      <w:b/>
                      <w:sz w:val="24"/>
                    </w:rPr>
                    <w:t>a</w:t>
                  </w:r>
                  <w:r>
                    <w:rPr>
                      <w:rFonts w:ascii="Calibri" w:hAnsi="Calibri"/>
                      <w:b/>
                      <w:spacing w:val="-8"/>
                      <w:sz w:val="24"/>
                    </w:rPr>
                    <w:t> </w:t>
                  </w:r>
                  <w:r>
                    <w:rPr>
                      <w:rFonts w:ascii="Calibri" w:hAnsi="Calibri"/>
                      <w:b/>
                      <w:sz w:val="24"/>
                    </w:rPr>
                    <w:t>nuestra</w:t>
                  </w:r>
                  <w:r>
                    <w:rPr>
                      <w:rFonts w:ascii="Calibri" w:hAnsi="Calibri"/>
                      <w:b/>
                      <w:spacing w:val="-8"/>
                      <w:sz w:val="24"/>
                    </w:rPr>
                    <w:t> </w:t>
                  </w:r>
                  <w:r>
                    <w:rPr>
                      <w:rFonts w:ascii="Calibri" w:hAnsi="Calibri"/>
                      <w:b/>
                      <w:sz w:val="24"/>
                    </w:rPr>
                    <w:t>teoría</w:t>
                  </w:r>
                  <w:r>
                    <w:rPr>
                      <w:rFonts w:ascii="Calibri" w:hAnsi="Calibri"/>
                      <w:b/>
                      <w:spacing w:val="-8"/>
                      <w:sz w:val="24"/>
                    </w:rPr>
                    <w:t> </w:t>
                  </w:r>
                  <w:r>
                    <w:rPr>
                      <w:rFonts w:ascii="Calibri" w:hAnsi="Calibri"/>
                      <w:b/>
                      <w:sz w:val="24"/>
                    </w:rPr>
                    <w:t>del</w:t>
                  </w:r>
                  <w:r>
                    <w:rPr>
                      <w:rFonts w:ascii="Calibri" w:hAnsi="Calibri"/>
                      <w:b/>
                      <w:spacing w:val="-9"/>
                      <w:sz w:val="24"/>
                    </w:rPr>
                    <w:t> </w:t>
                  </w:r>
                  <w:r>
                    <w:rPr>
                      <w:rFonts w:ascii="Calibri" w:hAnsi="Calibri"/>
                      <w:b/>
                      <w:sz w:val="24"/>
                    </w:rPr>
                    <w:t>caso</w:t>
                  </w:r>
                  <w:r>
                    <w:rPr>
                      <w:rFonts w:ascii="Calibri" w:hAnsi="Calibri"/>
                      <w:b/>
                      <w:spacing w:val="-6"/>
                      <w:sz w:val="24"/>
                    </w:rPr>
                    <w:t> </w:t>
                  </w:r>
                  <w:r>
                    <w:rPr>
                      <w:rFonts w:ascii="Calibri" w:hAnsi="Calibri"/>
                      <w:b/>
                      <w:sz w:val="24"/>
                    </w:rPr>
                    <w:t>implica analizar a partir de un enfoque de género, los elementos fácticos, jurídicos y probatorios,</w:t>
                  </w:r>
                  <w:r>
                    <w:rPr>
                      <w:rFonts w:ascii="Calibri" w:hAnsi="Calibri"/>
                      <w:b/>
                      <w:spacing w:val="-10"/>
                      <w:sz w:val="24"/>
                    </w:rPr>
                    <w:t> </w:t>
                  </w:r>
                  <w:r>
                    <w:rPr>
                      <w:rFonts w:ascii="Calibri" w:hAnsi="Calibri"/>
                      <w:b/>
                      <w:sz w:val="24"/>
                    </w:rPr>
                    <w:t>dejando</w:t>
                  </w:r>
                  <w:r>
                    <w:rPr>
                      <w:rFonts w:ascii="Calibri" w:hAnsi="Calibri"/>
                      <w:b/>
                      <w:spacing w:val="-10"/>
                      <w:sz w:val="24"/>
                    </w:rPr>
                    <w:t> </w:t>
                  </w:r>
                  <w:r>
                    <w:rPr>
                      <w:rFonts w:ascii="Calibri" w:hAnsi="Calibri"/>
                      <w:b/>
                      <w:sz w:val="24"/>
                    </w:rPr>
                    <w:t>de</w:t>
                  </w:r>
                  <w:r>
                    <w:rPr>
                      <w:rFonts w:ascii="Calibri" w:hAnsi="Calibri"/>
                      <w:b/>
                      <w:spacing w:val="-12"/>
                      <w:sz w:val="24"/>
                    </w:rPr>
                    <w:t> </w:t>
                  </w:r>
                  <w:r>
                    <w:rPr>
                      <w:rFonts w:ascii="Calibri" w:hAnsi="Calibri"/>
                      <w:b/>
                      <w:sz w:val="24"/>
                    </w:rPr>
                    <w:t>manifiesto</w:t>
                  </w:r>
                  <w:r>
                    <w:rPr>
                      <w:rFonts w:ascii="Calibri" w:hAnsi="Calibri"/>
                      <w:b/>
                      <w:spacing w:val="-10"/>
                      <w:sz w:val="24"/>
                    </w:rPr>
                    <w:t> </w:t>
                  </w:r>
                  <w:r>
                    <w:rPr>
                      <w:rFonts w:ascii="Calibri" w:hAnsi="Calibri"/>
                      <w:b/>
                      <w:sz w:val="24"/>
                    </w:rPr>
                    <w:t>las</w:t>
                  </w:r>
                  <w:r>
                    <w:rPr>
                      <w:rFonts w:ascii="Calibri" w:hAnsi="Calibri"/>
                      <w:b/>
                      <w:spacing w:val="-10"/>
                      <w:sz w:val="24"/>
                    </w:rPr>
                    <w:t> </w:t>
                  </w:r>
                  <w:r>
                    <w:rPr>
                      <w:rFonts w:ascii="Calibri" w:hAnsi="Calibri"/>
                      <w:b/>
                      <w:sz w:val="24"/>
                    </w:rPr>
                    <w:t>circunstancias</w:t>
                  </w:r>
                  <w:r>
                    <w:rPr>
                      <w:rFonts w:ascii="Calibri" w:hAnsi="Calibri"/>
                      <w:b/>
                      <w:spacing w:val="-10"/>
                      <w:sz w:val="24"/>
                    </w:rPr>
                    <w:t> </w:t>
                  </w:r>
                  <w:r>
                    <w:rPr>
                      <w:rFonts w:ascii="Calibri" w:hAnsi="Calibri"/>
                      <w:b/>
                      <w:sz w:val="24"/>
                    </w:rPr>
                    <w:t>de</w:t>
                  </w:r>
                  <w:r>
                    <w:rPr>
                      <w:rFonts w:ascii="Calibri" w:hAnsi="Calibri"/>
                      <w:b/>
                      <w:spacing w:val="-9"/>
                      <w:sz w:val="24"/>
                    </w:rPr>
                    <w:t> </w:t>
                  </w:r>
                  <w:r>
                    <w:rPr>
                      <w:rFonts w:ascii="Calibri" w:hAnsi="Calibri"/>
                      <w:b/>
                      <w:sz w:val="24"/>
                    </w:rPr>
                    <w:t>discriminación</w:t>
                  </w:r>
                  <w:r>
                    <w:rPr>
                      <w:rFonts w:ascii="Calibri" w:hAnsi="Calibri"/>
                      <w:b/>
                      <w:spacing w:val="-12"/>
                      <w:sz w:val="24"/>
                    </w:rPr>
                    <w:t> </w:t>
                  </w:r>
                  <w:r>
                    <w:rPr>
                      <w:rFonts w:ascii="Calibri" w:hAnsi="Calibri"/>
                      <w:b/>
                      <w:sz w:val="24"/>
                    </w:rPr>
                    <w:t>y</w:t>
                  </w:r>
                  <w:r>
                    <w:rPr>
                      <w:rFonts w:ascii="Calibri" w:hAnsi="Calibri"/>
                      <w:b/>
                      <w:spacing w:val="-9"/>
                      <w:sz w:val="24"/>
                    </w:rPr>
                    <w:t> </w:t>
                  </w:r>
                  <w:r>
                    <w:rPr>
                      <w:rFonts w:ascii="Calibri" w:hAnsi="Calibri"/>
                      <w:b/>
                      <w:sz w:val="24"/>
                    </w:rPr>
                    <w:t>desigualdad en la que se encuentran nuestras defendidas, dada la construcción social del sexo. Podemos ir modificando nuestra teoría del caso con perspectiva de género a lo largo del proceso, sin embargo, debemos tenerla debidamente detallada antes del juicio oral.</w:t>
                  </w:r>
                </w:p>
              </w:txbxContent>
            </v:textbox>
            <v:fill type="solid"/>
            <w10:wrap type="topAndBottom"/>
          </v:shape>
        </w:pict>
      </w:r>
    </w:p>
    <w:p>
      <w:pPr>
        <w:spacing w:after="0"/>
        <w:rPr>
          <w:sz w:val="24"/>
        </w:rPr>
        <w:sectPr>
          <w:pgSz w:w="12240" w:h="15840"/>
          <w:pgMar w:header="0" w:footer="1002" w:top="1360" w:bottom="1200" w:left="1600" w:right="1580"/>
        </w:sectPr>
      </w:pPr>
    </w:p>
    <w:p>
      <w:pPr>
        <w:pStyle w:val="BodyText"/>
        <w:ind w:left="60" w:right="-33"/>
        <w:rPr>
          <w:sz w:val="20"/>
        </w:rPr>
      </w:pPr>
      <w:r>
        <w:rPr/>
        <w:pict>
          <v:shape style="position:absolute;margin-left:3pt;margin-top:23.279871pt;width:609pt;height:767.3pt;mso-position-horizontal-relative:page;mso-position-vertical-relative:page;z-index:-95656"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8"/>
                    </w:rPr>
                  </w:pPr>
                </w:p>
                <w:p>
                  <w:pPr>
                    <w:pStyle w:val="BodyText"/>
                    <w:ind w:right="1696"/>
                    <w:jc w:val="right"/>
                    <w:rPr>
                      <w:rFonts w:ascii="Calibri"/>
                    </w:rPr>
                  </w:pPr>
                  <w:r>
                    <w:rPr>
                      <w:rFonts w:ascii="Calibri"/>
                    </w:rPr>
                    <w:t>105</w:t>
                  </w:r>
                </w:p>
              </w:txbxContent>
            </v:textbox>
            <w10:wrap type="none"/>
          </v:shape>
        </w:pict>
      </w:r>
      <w:r>
        <w:rPr>
          <w:sz w:val="20"/>
        </w:rPr>
        <w:drawing>
          <wp:inline distT="0" distB="0" distL="0" distR="0">
            <wp:extent cx="7729460" cy="9738360"/>
            <wp:effectExtent l="0" t="0" r="0" b="0"/>
            <wp:docPr id="31" name="image106.jpeg" descr=""/>
            <wp:cNvGraphicFramePr>
              <a:graphicFrameLocks noChangeAspect="1"/>
            </wp:cNvGraphicFramePr>
            <a:graphic>
              <a:graphicData uri="http://schemas.openxmlformats.org/drawingml/2006/picture">
                <pic:pic>
                  <pic:nvPicPr>
                    <pic:cNvPr id="32" name="image106.jpeg"/>
                    <pic:cNvPicPr/>
                  </pic:nvPicPr>
                  <pic:blipFill>
                    <a:blip r:embed="rId143" cstate="print"/>
                    <a:stretch>
                      <a:fillRect/>
                    </a:stretch>
                  </pic:blipFill>
                  <pic:spPr>
                    <a:xfrm>
                      <a:off x="0" y="0"/>
                      <a:ext cx="7729460" cy="9738360"/>
                    </a:xfrm>
                    <a:prstGeom prst="rect">
                      <a:avLst/>
                    </a:prstGeom>
                  </pic:spPr>
                </pic:pic>
              </a:graphicData>
            </a:graphic>
          </wp:inline>
        </w:drawing>
      </w:r>
      <w:r>
        <w:rPr>
          <w:sz w:val="20"/>
        </w:rPr>
      </w:r>
    </w:p>
    <w:p>
      <w:pPr>
        <w:spacing w:after="0"/>
        <w:rPr>
          <w:sz w:val="20"/>
        </w:rPr>
        <w:sectPr>
          <w:footerReference w:type="default" r:id="rId142"/>
          <w:pgSz w:w="12240" w:h="15840"/>
          <w:pgMar w:footer="0" w:header="0" w:top="460" w:bottom="0" w:left="0" w:right="0"/>
        </w:sectPr>
      </w:pPr>
    </w:p>
    <w:p>
      <w:pPr>
        <w:pStyle w:val="BodyText"/>
        <w:rPr>
          <w:sz w:val="20"/>
        </w:rPr>
      </w:pPr>
      <w:r>
        <w:rPr/>
        <w:pict>
          <v:group style="position:absolute;margin-left:-.5pt;margin-top:97.059998pt;width:611.35pt;height:205.75pt;mso-position-horizontal-relative:page;mso-position-vertical-relative:page;z-index:5944" coordorigin="-10,1941" coordsize="12227,4115">
            <v:rect style="position:absolute;left:0;top:1951;width:12206;height:4094" filled="true" fillcolor="#6f2f9f" stroked="false">
              <v:fill type="solid"/>
            </v:rect>
            <v:shape style="position:absolute;left:2102;top:4865;width:960;height:1039" type="#_x0000_t75" stroked="false">
              <v:imagedata r:id="rId145" o:title=""/>
            </v:shape>
            <v:shape style="position:absolute;left:0;top:1951;width:12207;height:4095" type="#_x0000_t202" filled="false" stroked="true" strokeweight=".96pt" strokecolor="#ec7c30">
              <v:textbox inset="0,0,0,0">
                <w:txbxContent>
                  <w:p>
                    <w:pPr>
                      <w:spacing w:line="1033" w:lineRule="exact" w:before="0"/>
                      <w:ind w:left="1104" w:right="532" w:firstLine="0"/>
                      <w:jc w:val="left"/>
                      <w:rPr>
                        <w:rFonts w:ascii="Aharoni" w:hAnsi="Aharoni"/>
                        <w:b/>
                        <w:sz w:val="96"/>
                      </w:rPr>
                    </w:pPr>
                    <w:r>
                      <w:rPr>
                        <w:rFonts w:ascii="Aharoni" w:hAnsi="Aharoni"/>
                        <w:b/>
                        <w:color w:val="FFFFFF"/>
                        <w:sz w:val="96"/>
                      </w:rPr>
                      <w:t>CAP</w:t>
                    </w:r>
                    <w:r>
                      <w:rPr>
                        <w:rFonts w:ascii="Cambria" w:hAnsi="Cambria"/>
                        <w:b/>
                        <w:color w:val="FFFFFF"/>
                        <w:sz w:val="96"/>
                      </w:rPr>
                      <w:t>Í </w:t>
                    </w:r>
                    <w:r>
                      <w:rPr>
                        <w:rFonts w:ascii="Aharoni" w:hAnsi="Aharoni"/>
                        <w:b/>
                        <w:color w:val="FFFFFF"/>
                        <w:sz w:val="96"/>
                      </w:rPr>
                      <w:t>TULO</w:t>
                    </w:r>
                    <w:r>
                      <w:rPr>
                        <w:rFonts w:ascii="Aharoni" w:hAnsi="Aharoni"/>
                        <w:b/>
                        <w:color w:val="FFFFFF"/>
                        <w:spacing w:val="-69"/>
                        <w:sz w:val="96"/>
                      </w:rPr>
                      <w:t> </w:t>
                    </w:r>
                    <w:r>
                      <w:rPr>
                        <w:rFonts w:ascii="Aharoni" w:hAnsi="Aharoni"/>
                        <w:b/>
                        <w:color w:val="FFFFFF"/>
                        <w:sz w:val="96"/>
                      </w:rPr>
                      <w:t>5:</w:t>
                    </w:r>
                  </w:p>
                  <w:p>
                    <w:pPr>
                      <w:spacing w:line="304" w:lineRule="auto" w:before="342"/>
                      <w:ind w:left="143" w:right="602" w:firstLine="0"/>
                      <w:jc w:val="both"/>
                      <w:rPr>
                        <w:rFonts w:ascii="Aharoni" w:hAnsi="Aharoni"/>
                        <w:b/>
                        <w:sz w:val="56"/>
                      </w:rPr>
                    </w:pPr>
                    <w:r>
                      <w:rPr>
                        <w:rFonts w:ascii="Aharoni" w:hAnsi="Aharoni"/>
                        <w:b/>
                        <w:color w:val="FFFFFF"/>
                        <w:sz w:val="56"/>
                      </w:rPr>
                      <w:t>AMICUS CURIAE: UNA HERRAMIENTA PARA LA TEOR</w:t>
                    </w:r>
                    <w:r>
                      <w:rPr>
                        <w:rFonts w:ascii="Cambria" w:hAnsi="Cambria"/>
                        <w:b/>
                        <w:color w:val="FFFFFF"/>
                        <w:sz w:val="56"/>
                      </w:rPr>
                      <w:t>Í </w:t>
                    </w:r>
                    <w:r>
                      <w:rPr>
                        <w:rFonts w:ascii="Aharoni" w:hAnsi="Aharoni"/>
                        <w:b/>
                        <w:color w:val="FFFFFF"/>
                        <w:sz w:val="56"/>
                      </w:rPr>
                      <w:t>A DEL CASO CON PERSPECTIVA DE G</w:t>
                    </w:r>
                    <w:r>
                      <w:rPr>
                        <w:rFonts w:ascii="Cambria" w:hAnsi="Cambria"/>
                        <w:b/>
                        <w:color w:val="FFFFFF"/>
                        <w:sz w:val="56"/>
                      </w:rPr>
                      <w:t>É</w:t>
                    </w:r>
                    <w:r>
                      <w:rPr>
                        <w:rFonts w:ascii="Aharoni" w:hAnsi="Aharoni"/>
                        <w:b/>
                        <w:color w:val="FFFFFF"/>
                        <w:sz w:val="56"/>
                      </w:rPr>
                      <w:t>NERO</w:t>
                    </w:r>
                  </w:p>
                </w:txbxContent>
              </v:textbox>
              <w10:wrap type="non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5"/>
        </w:rPr>
      </w:pPr>
    </w:p>
    <w:p>
      <w:pPr>
        <w:pStyle w:val="BodyText"/>
        <w:ind w:left="1665"/>
        <w:rPr>
          <w:sz w:val="20"/>
        </w:rPr>
      </w:pPr>
      <w:r>
        <w:rPr>
          <w:sz w:val="20"/>
        </w:rPr>
        <w:pict>
          <v:group style="width:443.7pt;height:241.5pt;mso-position-horizontal-relative:char;mso-position-vertical-relative:line" coordorigin="0,0" coordsize="8874,4830">
            <v:shape style="position:absolute;left:36;top:0;width:2100;height:4183" type="#_x0000_t75" stroked="false">
              <v:imagedata r:id="rId59" o:title=""/>
            </v:shape>
            <v:rect style="position:absolute;left:8;top:2736;width:8760;height:2086" filled="true" fillcolor="#ffffff" stroked="false">
              <v:fill type="solid"/>
            </v:rect>
            <v:shape style="position:absolute;left:8;top:0;width:8867;height:4822" type="#_x0000_t202" filled="false" stroked="false">
              <v:textbox inset="0,0,0,0">
                <w:txbxContent>
                  <w:p>
                    <w:pPr>
                      <w:spacing w:line="240" w:lineRule="auto" w:before="0"/>
                      <w:rPr>
                        <w:sz w:val="22"/>
                      </w:rPr>
                    </w:pPr>
                  </w:p>
                  <w:p>
                    <w:pPr>
                      <w:spacing w:line="240" w:lineRule="auto" w:before="0"/>
                      <w:rPr>
                        <w:sz w:val="22"/>
                      </w:rPr>
                    </w:pPr>
                  </w:p>
                  <w:p>
                    <w:pPr>
                      <w:spacing w:line="240" w:lineRule="auto" w:before="0"/>
                      <w:rPr>
                        <w:sz w:val="22"/>
                      </w:rPr>
                    </w:pPr>
                  </w:p>
                  <w:p>
                    <w:pPr>
                      <w:spacing w:line="259" w:lineRule="auto" w:before="152"/>
                      <w:ind w:left="29" w:right="-4" w:firstLine="707"/>
                      <w:jc w:val="both"/>
                      <w:rPr>
                        <w:sz w:val="22"/>
                      </w:rPr>
                    </w:pPr>
                    <w:r>
                      <w:rPr>
                        <w:sz w:val="22"/>
                      </w:rPr>
                      <w:t>En el presente capítulo se establecerá la importancia de utilizar la figura del </w:t>
                    </w:r>
                    <w:r>
                      <w:rPr>
                        <w:i/>
                        <w:sz w:val="22"/>
                      </w:rPr>
                      <w:t>amicus </w:t>
                    </w:r>
                    <w:r>
                      <w:rPr>
                        <w:i/>
                        <w:sz w:val="22"/>
                      </w:rPr>
                      <w:t>curiae,</w:t>
                    </w:r>
                    <w:r>
                      <w:rPr>
                        <w:i/>
                        <w:spacing w:val="-13"/>
                        <w:sz w:val="22"/>
                      </w:rPr>
                      <w:t> </w:t>
                    </w:r>
                    <w:r>
                      <w:rPr>
                        <w:sz w:val="22"/>
                      </w:rPr>
                      <w:t>dentro</w:t>
                    </w:r>
                    <w:r>
                      <w:rPr>
                        <w:spacing w:val="-14"/>
                        <w:sz w:val="22"/>
                      </w:rPr>
                      <w:t> </w:t>
                    </w:r>
                    <w:r>
                      <w:rPr>
                        <w:sz w:val="22"/>
                      </w:rPr>
                      <w:t>de</w:t>
                    </w:r>
                    <w:r>
                      <w:rPr>
                        <w:spacing w:val="-14"/>
                        <w:sz w:val="22"/>
                      </w:rPr>
                      <w:t> </w:t>
                    </w:r>
                    <w:r>
                      <w:rPr>
                        <w:sz w:val="22"/>
                      </w:rPr>
                      <w:t>la</w:t>
                    </w:r>
                    <w:r>
                      <w:rPr>
                        <w:spacing w:val="-14"/>
                        <w:sz w:val="22"/>
                      </w:rPr>
                      <w:t> </w:t>
                    </w:r>
                    <w:r>
                      <w:rPr>
                        <w:sz w:val="22"/>
                      </w:rPr>
                      <w:t>defensa</w:t>
                    </w:r>
                    <w:r>
                      <w:rPr>
                        <w:spacing w:val="-11"/>
                        <w:sz w:val="22"/>
                      </w:rPr>
                      <w:t> </w:t>
                    </w:r>
                    <w:r>
                      <w:rPr>
                        <w:sz w:val="22"/>
                      </w:rPr>
                      <w:t>de</w:t>
                    </w:r>
                    <w:r>
                      <w:rPr>
                        <w:spacing w:val="-12"/>
                        <w:sz w:val="22"/>
                      </w:rPr>
                      <w:t> </w:t>
                    </w:r>
                    <w:r>
                      <w:rPr>
                        <w:sz w:val="22"/>
                      </w:rPr>
                      <w:t>las</w:t>
                    </w:r>
                    <w:r>
                      <w:rPr>
                        <w:spacing w:val="-15"/>
                        <w:sz w:val="22"/>
                      </w:rPr>
                      <w:t> </w:t>
                    </w:r>
                    <w:r>
                      <w:rPr>
                        <w:sz w:val="22"/>
                      </w:rPr>
                      <w:t>mujeres</w:t>
                    </w:r>
                    <w:r>
                      <w:rPr>
                        <w:spacing w:val="-14"/>
                        <w:sz w:val="22"/>
                      </w:rPr>
                      <w:t> </w:t>
                    </w:r>
                    <w:r>
                      <w:rPr>
                        <w:sz w:val="22"/>
                      </w:rPr>
                      <w:t>con</w:t>
                    </w:r>
                    <w:r>
                      <w:rPr>
                        <w:spacing w:val="-14"/>
                        <w:sz w:val="22"/>
                      </w:rPr>
                      <w:t> </w:t>
                    </w:r>
                    <w:r>
                      <w:rPr>
                        <w:sz w:val="22"/>
                      </w:rPr>
                      <w:t>perspectiva</w:t>
                    </w:r>
                    <w:r>
                      <w:rPr>
                        <w:spacing w:val="-11"/>
                        <w:sz w:val="22"/>
                      </w:rPr>
                      <w:t> </w:t>
                    </w:r>
                    <w:r>
                      <w:rPr>
                        <w:sz w:val="22"/>
                      </w:rPr>
                      <w:t>de</w:t>
                    </w:r>
                    <w:r>
                      <w:rPr>
                        <w:spacing w:val="-15"/>
                        <w:sz w:val="22"/>
                      </w:rPr>
                      <w:t> </w:t>
                    </w:r>
                    <w:r>
                      <w:rPr>
                        <w:sz w:val="22"/>
                      </w:rPr>
                      <w:t>género,</w:t>
                    </w:r>
                    <w:r>
                      <w:rPr>
                        <w:spacing w:val="-15"/>
                        <w:sz w:val="22"/>
                      </w:rPr>
                      <w:t> </w:t>
                    </w:r>
                    <w:r>
                      <w:rPr>
                        <w:sz w:val="22"/>
                      </w:rPr>
                      <w:t>como</w:t>
                    </w:r>
                    <w:r>
                      <w:rPr>
                        <w:spacing w:val="-11"/>
                        <w:sz w:val="22"/>
                      </w:rPr>
                      <w:t> </w:t>
                    </w:r>
                    <w:r>
                      <w:rPr>
                        <w:sz w:val="22"/>
                      </w:rPr>
                      <w:t>una</w:t>
                    </w:r>
                    <w:r>
                      <w:rPr>
                        <w:spacing w:val="-14"/>
                        <w:sz w:val="22"/>
                      </w:rPr>
                      <w:t> </w:t>
                    </w:r>
                    <w:r>
                      <w:rPr>
                        <w:sz w:val="22"/>
                      </w:rPr>
                      <w:t>estrategia eficaz, para alcanzar mejores resultados en nuestro</w:t>
                    </w:r>
                    <w:r>
                      <w:rPr>
                        <w:spacing w:val="-20"/>
                        <w:sz w:val="22"/>
                      </w:rPr>
                      <w:t> </w:t>
                    </w:r>
                    <w:r>
                      <w:rPr>
                        <w:sz w:val="22"/>
                      </w:rPr>
                      <w:t>litigio.</w:t>
                    </w:r>
                  </w:p>
                </w:txbxContent>
              </v:textbox>
              <w10:wrap type="none"/>
            </v:shape>
            <v:shape style="position:absolute;left:8;top:2736;width:8760;height:2086" type="#_x0000_t202" filled="false" stroked="true" strokeweight=".72pt" strokecolor="#6f2f9f">
              <v:textbox inset="0,0,0,0">
                <w:txbxContent>
                  <w:p>
                    <w:pPr>
                      <w:spacing w:line="276" w:lineRule="auto" w:before="71"/>
                      <w:ind w:left="144" w:right="321" w:firstLine="0"/>
                      <w:jc w:val="left"/>
                      <w:rPr>
                        <w:rFonts w:ascii="Calibri" w:hAnsi="Calibri"/>
                        <w:sz w:val="22"/>
                      </w:rPr>
                    </w:pPr>
                    <w:r>
                      <w:rPr>
                        <w:rFonts w:ascii="Calibri" w:hAnsi="Calibri"/>
                        <w:sz w:val="22"/>
                      </w:rPr>
                      <w:t>Al finalizar el presente capítulo, los lectores y las lectoras de ésta guía tendrán una aproximación a la figura del </w:t>
                    </w:r>
                    <w:r>
                      <w:rPr>
                        <w:rFonts w:ascii="Calibri" w:hAnsi="Calibri"/>
                        <w:i/>
                        <w:sz w:val="22"/>
                      </w:rPr>
                      <w:t>amicus curiae, </w:t>
                    </w:r>
                    <w:r>
                      <w:rPr>
                        <w:rFonts w:ascii="Calibri" w:hAnsi="Calibri"/>
                        <w:sz w:val="22"/>
                      </w:rPr>
                      <w:t>y conocerán la importancia de incorporarlo en la defensa con perspectiva de género, además de que estarán en la posibilidad de integrar esta herramienta en su defensa de mujeres indiciadas.</w:t>
                    </w:r>
                  </w:p>
                </w:txbxContent>
              </v:textbox>
              <w10:wrap type="none"/>
            </v:shape>
          </v:group>
        </w:pict>
      </w:r>
      <w:r>
        <w:rPr>
          <w:sz w:val="20"/>
        </w:rPr>
      </w:r>
    </w:p>
    <w:p>
      <w:pPr>
        <w:pStyle w:val="BodyText"/>
        <w:rPr>
          <w:sz w:val="20"/>
        </w:rPr>
      </w:pPr>
    </w:p>
    <w:p>
      <w:pPr>
        <w:pStyle w:val="BodyText"/>
        <w:spacing w:before="2"/>
        <w:rPr>
          <w:sz w:val="21"/>
        </w:rPr>
      </w:pPr>
    </w:p>
    <w:p>
      <w:pPr>
        <w:pStyle w:val="BodyText"/>
        <w:spacing w:line="259" w:lineRule="auto" w:before="73"/>
        <w:ind w:left="1702" w:right="1696" w:firstLine="707"/>
        <w:jc w:val="both"/>
      </w:pPr>
      <w:r>
        <w:rPr/>
        <w:t>El </w:t>
      </w:r>
      <w:r>
        <w:rPr>
          <w:i/>
        </w:rPr>
        <w:t>amicus curiae </w:t>
      </w:r>
      <w:r>
        <w:rPr/>
        <w:t>(amigo de la corte), es una figura que refiere la intervención de un tercero en un procedimiento judicial, lo que implica que quién lo realiza no obtiene honorarios y no tienen efectos vinculantes para el tribunal, se trata de un interesado o comprometido, de ahí que se diga amigo de la corte (Mena, 2007).</w:t>
      </w:r>
    </w:p>
    <w:p>
      <w:pPr>
        <w:pStyle w:val="BodyText"/>
        <w:spacing w:line="259" w:lineRule="auto" w:before="159"/>
        <w:ind w:left="1702" w:right="1698" w:firstLine="707"/>
        <w:jc w:val="both"/>
      </w:pPr>
      <w:r>
        <w:rPr/>
        <w:t>Esta</w:t>
      </w:r>
      <w:r>
        <w:rPr>
          <w:spacing w:val="-16"/>
        </w:rPr>
        <w:t> </w:t>
      </w:r>
      <w:r>
        <w:rPr/>
        <w:t>figura</w:t>
      </w:r>
      <w:r>
        <w:rPr>
          <w:spacing w:val="-16"/>
        </w:rPr>
        <w:t> </w:t>
      </w:r>
      <w:r>
        <w:rPr/>
        <w:t>es</w:t>
      </w:r>
      <w:r>
        <w:rPr>
          <w:spacing w:val="-16"/>
        </w:rPr>
        <w:t> </w:t>
      </w:r>
      <w:r>
        <w:rPr/>
        <w:t>utilizada</w:t>
      </w:r>
      <w:r>
        <w:rPr>
          <w:spacing w:val="-13"/>
        </w:rPr>
        <w:t> </w:t>
      </w:r>
      <w:r>
        <w:rPr/>
        <w:t>en</w:t>
      </w:r>
      <w:r>
        <w:rPr>
          <w:spacing w:val="-14"/>
        </w:rPr>
        <w:t> </w:t>
      </w:r>
      <w:r>
        <w:rPr/>
        <w:t>el</w:t>
      </w:r>
      <w:r>
        <w:rPr>
          <w:spacing w:val="-15"/>
        </w:rPr>
        <w:t> </w:t>
      </w:r>
      <w:r>
        <w:rPr/>
        <w:t>ámbito</w:t>
      </w:r>
      <w:r>
        <w:rPr>
          <w:spacing w:val="-16"/>
        </w:rPr>
        <w:t> </w:t>
      </w:r>
      <w:r>
        <w:rPr/>
        <w:t>del</w:t>
      </w:r>
      <w:r>
        <w:rPr>
          <w:spacing w:val="-14"/>
        </w:rPr>
        <w:t> </w:t>
      </w:r>
      <w:r>
        <w:rPr/>
        <w:t>derecho</w:t>
      </w:r>
      <w:r>
        <w:rPr>
          <w:spacing w:val="-13"/>
        </w:rPr>
        <w:t> </w:t>
      </w:r>
      <w:r>
        <w:rPr/>
        <w:t>internacional,</w:t>
      </w:r>
      <w:r>
        <w:rPr>
          <w:spacing w:val="-15"/>
        </w:rPr>
        <w:t> </w:t>
      </w:r>
      <w:r>
        <w:rPr/>
        <w:t>permitiendo</w:t>
      </w:r>
      <w:r>
        <w:rPr>
          <w:spacing w:val="-13"/>
        </w:rPr>
        <w:t> </w:t>
      </w:r>
      <w:r>
        <w:rPr/>
        <w:t>a</w:t>
      </w:r>
      <w:r>
        <w:rPr>
          <w:spacing w:val="-16"/>
        </w:rPr>
        <w:t> </w:t>
      </w:r>
      <w:r>
        <w:rPr/>
        <w:t>quienes no forman parte de un litigio a intervenir de manera voluntaria, con una opinión técnica</w:t>
      </w:r>
      <w:r>
        <w:rPr>
          <w:spacing w:val="13"/>
        </w:rPr>
        <w:t> </w:t>
      </w:r>
      <w:r>
        <w:rPr/>
        <w:t>del</w:t>
      </w:r>
    </w:p>
    <w:p>
      <w:pPr>
        <w:spacing w:after="0" w:line="259" w:lineRule="auto"/>
        <w:jc w:val="both"/>
        <w:sectPr>
          <w:footerReference w:type="default" r:id="rId144"/>
          <w:pgSz w:w="12240" w:h="15840"/>
          <w:pgMar w:footer="1002" w:header="0" w:top="1500" w:bottom="1200" w:left="0" w:right="0"/>
          <w:pgNumType w:start="106"/>
        </w:sectPr>
      </w:pPr>
    </w:p>
    <w:p>
      <w:pPr>
        <w:pStyle w:val="BodyText"/>
        <w:spacing w:line="259" w:lineRule="auto" w:before="54"/>
        <w:ind w:left="102" w:right="116"/>
        <w:jc w:val="both"/>
      </w:pPr>
      <w:r>
        <w:rPr/>
        <w:t>caso, con la finalidad de aportar elementos jurídicamente relevantes a la persona encargada de impartir justicia, su fundamento legal lo encontramos en el artículo 1 y 133 constitucionales, así como en el artículo 23 inciso a), de la Convención Americana de Derechos Humanos (Santillán, </w:t>
      </w:r>
      <w:r>
        <w:rPr>
          <w:i/>
        </w:rPr>
        <w:t>etal., </w:t>
      </w:r>
      <w:r>
        <w:rPr/>
        <w:t>2014).</w:t>
      </w:r>
    </w:p>
    <w:p>
      <w:pPr>
        <w:pStyle w:val="BodyText"/>
        <w:spacing w:line="259" w:lineRule="auto" w:before="159"/>
        <w:ind w:left="102" w:right="116" w:firstLine="707"/>
        <w:jc w:val="both"/>
      </w:pPr>
      <w:r>
        <w:rPr/>
        <w:t>Si bien es cierto que el </w:t>
      </w:r>
      <w:r>
        <w:rPr>
          <w:i/>
        </w:rPr>
        <w:t>amicus curiae, </w:t>
      </w:r>
      <w:r>
        <w:rPr/>
        <w:t>es una estrategia de litigio, poco común, no menos</w:t>
      </w:r>
      <w:r>
        <w:rPr>
          <w:spacing w:val="-8"/>
        </w:rPr>
        <w:t> </w:t>
      </w:r>
      <w:r>
        <w:rPr/>
        <w:t>es</w:t>
      </w:r>
      <w:r>
        <w:rPr>
          <w:spacing w:val="-10"/>
        </w:rPr>
        <w:t> </w:t>
      </w:r>
      <w:r>
        <w:rPr/>
        <w:t>cierto</w:t>
      </w:r>
      <w:r>
        <w:rPr>
          <w:spacing w:val="-10"/>
        </w:rPr>
        <w:t> </w:t>
      </w:r>
      <w:r>
        <w:rPr/>
        <w:t>que,</w:t>
      </w:r>
      <w:r>
        <w:rPr>
          <w:spacing w:val="-6"/>
        </w:rPr>
        <w:t> </w:t>
      </w:r>
      <w:r>
        <w:rPr/>
        <w:t>es</w:t>
      </w:r>
      <w:r>
        <w:rPr>
          <w:spacing w:val="-13"/>
        </w:rPr>
        <w:t> </w:t>
      </w:r>
      <w:r>
        <w:rPr/>
        <w:t>una</w:t>
      </w:r>
      <w:r>
        <w:rPr>
          <w:spacing w:val="-8"/>
        </w:rPr>
        <w:t> </w:t>
      </w:r>
      <w:r>
        <w:rPr/>
        <w:t>herramienta</w:t>
      </w:r>
      <w:r>
        <w:rPr>
          <w:spacing w:val="-13"/>
        </w:rPr>
        <w:t> </w:t>
      </w:r>
      <w:r>
        <w:rPr/>
        <w:t>que</w:t>
      </w:r>
      <w:r>
        <w:rPr>
          <w:spacing w:val="-8"/>
        </w:rPr>
        <w:t> </w:t>
      </w:r>
      <w:r>
        <w:rPr/>
        <w:t>aporta</w:t>
      </w:r>
      <w:r>
        <w:rPr>
          <w:spacing w:val="-8"/>
        </w:rPr>
        <w:t> </w:t>
      </w:r>
      <w:r>
        <w:rPr/>
        <w:t>elementos</w:t>
      </w:r>
      <w:r>
        <w:rPr>
          <w:spacing w:val="-10"/>
        </w:rPr>
        <w:t> </w:t>
      </w:r>
      <w:r>
        <w:rPr/>
        <w:t>técnico-jurídicos</w:t>
      </w:r>
      <w:r>
        <w:rPr>
          <w:spacing w:val="-8"/>
        </w:rPr>
        <w:t> </w:t>
      </w:r>
      <w:r>
        <w:rPr/>
        <w:t>relevantes a la autoridad jurisdiccional, mismos que puede ocupar para fundamentar una sentencia a nuestro favor.</w:t>
      </w:r>
    </w:p>
    <w:p>
      <w:pPr>
        <w:pStyle w:val="BodyText"/>
        <w:spacing w:line="259" w:lineRule="auto" w:before="161"/>
        <w:ind w:left="102" w:right="115" w:firstLine="707"/>
        <w:jc w:val="both"/>
      </w:pPr>
      <w:r>
        <w:rPr/>
        <w:t>El</w:t>
      </w:r>
      <w:r>
        <w:rPr>
          <w:spacing w:val="-14"/>
        </w:rPr>
        <w:t> </w:t>
      </w:r>
      <w:r>
        <w:rPr/>
        <w:t>caso</w:t>
      </w:r>
      <w:r>
        <w:rPr>
          <w:spacing w:val="-14"/>
        </w:rPr>
        <w:t> </w:t>
      </w:r>
      <w:r>
        <w:rPr/>
        <w:t>de</w:t>
      </w:r>
      <w:r>
        <w:rPr>
          <w:spacing w:val="-16"/>
        </w:rPr>
        <w:t> </w:t>
      </w:r>
      <w:r>
        <w:rPr/>
        <w:t>la</w:t>
      </w:r>
      <w:r>
        <w:rPr>
          <w:spacing w:val="-13"/>
        </w:rPr>
        <w:t> </w:t>
      </w:r>
      <w:r>
        <w:rPr/>
        <w:t>defensa</w:t>
      </w:r>
      <w:r>
        <w:rPr>
          <w:spacing w:val="-16"/>
        </w:rPr>
        <w:t> </w:t>
      </w:r>
      <w:r>
        <w:rPr/>
        <w:t>con</w:t>
      </w:r>
      <w:r>
        <w:rPr>
          <w:spacing w:val="-13"/>
        </w:rPr>
        <w:t> </w:t>
      </w:r>
      <w:r>
        <w:rPr/>
        <w:t>perspectiva</w:t>
      </w:r>
      <w:r>
        <w:rPr>
          <w:spacing w:val="-13"/>
        </w:rPr>
        <w:t> </w:t>
      </w:r>
      <w:r>
        <w:rPr/>
        <w:t>de</w:t>
      </w:r>
      <w:r>
        <w:rPr>
          <w:spacing w:val="-16"/>
        </w:rPr>
        <w:t> </w:t>
      </w:r>
      <w:r>
        <w:rPr/>
        <w:t>género</w:t>
      </w:r>
      <w:r>
        <w:rPr>
          <w:spacing w:val="-19"/>
        </w:rPr>
        <w:t> </w:t>
      </w:r>
      <w:r>
        <w:rPr/>
        <w:t>no</w:t>
      </w:r>
      <w:r>
        <w:rPr>
          <w:spacing w:val="-14"/>
        </w:rPr>
        <w:t> </w:t>
      </w:r>
      <w:r>
        <w:rPr/>
        <w:t>es</w:t>
      </w:r>
      <w:r>
        <w:rPr>
          <w:spacing w:val="-16"/>
        </w:rPr>
        <w:t> </w:t>
      </w:r>
      <w:r>
        <w:rPr/>
        <w:t>la</w:t>
      </w:r>
      <w:r>
        <w:rPr>
          <w:spacing w:val="-13"/>
        </w:rPr>
        <w:t> </w:t>
      </w:r>
      <w:r>
        <w:rPr/>
        <w:t>excepción,</w:t>
      </w:r>
      <w:r>
        <w:rPr>
          <w:spacing w:val="-12"/>
        </w:rPr>
        <w:t> </w:t>
      </w:r>
      <w:r>
        <w:rPr/>
        <w:t>inclusive</w:t>
      </w:r>
      <w:r>
        <w:rPr>
          <w:spacing w:val="-13"/>
        </w:rPr>
        <w:t> </w:t>
      </w:r>
      <w:r>
        <w:rPr/>
        <w:t>utilizar esta herramienta permitirá que hagamos llegar a la autoridad jurisdiccional, elementos técnicos sobre la perspectiva de género, que muy difícilmente podríamos hacerle llegar</w:t>
      </w:r>
      <w:r>
        <w:rPr>
          <w:spacing w:val="-38"/>
        </w:rPr>
        <w:t> </w:t>
      </w:r>
      <w:r>
        <w:rPr/>
        <w:t>sin una especialización en el tema. Esto resultará muy favorable, ya que si el juzgador o la juzgadora</w:t>
      </w:r>
      <w:r>
        <w:rPr>
          <w:spacing w:val="-5"/>
        </w:rPr>
        <w:t> </w:t>
      </w:r>
      <w:r>
        <w:rPr/>
        <w:t>del</w:t>
      </w:r>
      <w:r>
        <w:rPr>
          <w:spacing w:val="-6"/>
        </w:rPr>
        <w:t> </w:t>
      </w:r>
      <w:r>
        <w:rPr/>
        <w:t>caso</w:t>
      </w:r>
      <w:r>
        <w:rPr>
          <w:spacing w:val="-6"/>
        </w:rPr>
        <w:t> </w:t>
      </w:r>
      <w:r>
        <w:rPr/>
        <w:t>concreto,</w:t>
      </w:r>
      <w:r>
        <w:rPr>
          <w:spacing w:val="-4"/>
        </w:rPr>
        <w:t> </w:t>
      </w:r>
      <w:r>
        <w:rPr/>
        <w:t>desconoce</w:t>
      </w:r>
      <w:r>
        <w:rPr>
          <w:spacing w:val="-6"/>
        </w:rPr>
        <w:t> </w:t>
      </w:r>
      <w:r>
        <w:rPr/>
        <w:t>el</w:t>
      </w:r>
      <w:r>
        <w:rPr>
          <w:spacing w:val="-6"/>
        </w:rPr>
        <w:t> </w:t>
      </w:r>
      <w:r>
        <w:rPr/>
        <w:t>sentido</w:t>
      </w:r>
      <w:r>
        <w:rPr>
          <w:spacing w:val="-3"/>
        </w:rPr>
        <w:t> </w:t>
      </w:r>
      <w:r>
        <w:rPr/>
        <w:t>de</w:t>
      </w:r>
      <w:r>
        <w:rPr>
          <w:spacing w:val="-6"/>
        </w:rPr>
        <w:t> </w:t>
      </w:r>
      <w:r>
        <w:rPr/>
        <w:t>la</w:t>
      </w:r>
      <w:r>
        <w:rPr>
          <w:spacing w:val="-3"/>
        </w:rPr>
        <w:t> </w:t>
      </w:r>
      <w:r>
        <w:rPr/>
        <w:t>perspectiva</w:t>
      </w:r>
      <w:r>
        <w:rPr>
          <w:spacing w:val="-3"/>
        </w:rPr>
        <w:t> </w:t>
      </w:r>
      <w:r>
        <w:rPr/>
        <w:t>de</w:t>
      </w:r>
      <w:r>
        <w:rPr>
          <w:spacing w:val="-8"/>
        </w:rPr>
        <w:t> </w:t>
      </w:r>
      <w:r>
        <w:rPr/>
        <w:t>género,</w:t>
      </w:r>
      <w:r>
        <w:rPr>
          <w:spacing w:val="-4"/>
        </w:rPr>
        <w:t> </w:t>
      </w:r>
      <w:r>
        <w:rPr/>
        <w:t>a</w:t>
      </w:r>
      <w:r>
        <w:rPr>
          <w:spacing w:val="-5"/>
        </w:rPr>
        <w:t> </w:t>
      </w:r>
      <w:r>
        <w:rPr/>
        <w:t>partir</w:t>
      </w:r>
      <w:r>
        <w:rPr>
          <w:spacing w:val="-2"/>
        </w:rPr>
        <w:t> </w:t>
      </w:r>
      <w:r>
        <w:rPr/>
        <w:t>del conocimiento técnico de los y las especialistas en el tema, reconocerán la importancia de analizar el caso concreto con un enfoque de género y juzgar con perspectiva de</w:t>
      </w:r>
      <w:r>
        <w:rPr>
          <w:spacing w:val="-19"/>
        </w:rPr>
        <w:t> </w:t>
      </w:r>
      <w:r>
        <w:rPr/>
        <w:t>género.</w:t>
      </w:r>
    </w:p>
    <w:p>
      <w:pPr>
        <w:pStyle w:val="BodyText"/>
        <w:spacing w:line="259" w:lineRule="auto" w:before="161"/>
        <w:ind w:left="102" w:right="116" w:firstLine="707"/>
        <w:jc w:val="both"/>
      </w:pPr>
      <w:r>
        <w:rPr/>
        <w:t>Para incluir el </w:t>
      </w:r>
      <w:r>
        <w:rPr>
          <w:i/>
        </w:rPr>
        <w:t>amicus curiae, </w:t>
      </w:r>
      <w:r>
        <w:rPr/>
        <w:t>como estrategia en nuestra defensa con perspectiva de género, debemos recurrir a las académicas y académicos, especializados en el estudio de los derechos humanos de las mujeres, así como la Teoría y la perspectiva de género, cuyas</w:t>
      </w:r>
      <w:r>
        <w:rPr>
          <w:spacing w:val="-7"/>
        </w:rPr>
        <w:t> </w:t>
      </w:r>
      <w:r>
        <w:rPr/>
        <w:t>conclusiones</w:t>
      </w:r>
      <w:r>
        <w:rPr>
          <w:spacing w:val="-7"/>
        </w:rPr>
        <w:t> </w:t>
      </w:r>
      <w:r>
        <w:rPr/>
        <w:t>del</w:t>
      </w:r>
      <w:r>
        <w:rPr>
          <w:spacing w:val="-10"/>
        </w:rPr>
        <w:t> </w:t>
      </w:r>
      <w:r>
        <w:rPr/>
        <w:t>caso</w:t>
      </w:r>
      <w:r>
        <w:rPr>
          <w:spacing w:val="-8"/>
        </w:rPr>
        <w:t> </w:t>
      </w:r>
      <w:r>
        <w:rPr/>
        <w:t>permitirán</w:t>
      </w:r>
      <w:r>
        <w:rPr>
          <w:spacing w:val="-10"/>
        </w:rPr>
        <w:t> </w:t>
      </w:r>
      <w:r>
        <w:rPr/>
        <w:t>a</w:t>
      </w:r>
      <w:r>
        <w:rPr>
          <w:spacing w:val="-7"/>
        </w:rPr>
        <w:t> </w:t>
      </w:r>
      <w:r>
        <w:rPr/>
        <w:t>la</w:t>
      </w:r>
      <w:r>
        <w:rPr>
          <w:spacing w:val="-10"/>
        </w:rPr>
        <w:t> </w:t>
      </w:r>
      <w:r>
        <w:rPr/>
        <w:t>autoridad</w:t>
      </w:r>
      <w:r>
        <w:rPr>
          <w:spacing w:val="-10"/>
        </w:rPr>
        <w:t> </w:t>
      </w:r>
      <w:r>
        <w:rPr/>
        <w:t>jurisdiccional</w:t>
      </w:r>
      <w:r>
        <w:rPr>
          <w:spacing w:val="-11"/>
        </w:rPr>
        <w:t> </w:t>
      </w:r>
      <w:r>
        <w:rPr/>
        <w:t>mirar</w:t>
      </w:r>
      <w:r>
        <w:rPr>
          <w:spacing w:val="-9"/>
        </w:rPr>
        <w:t> </w:t>
      </w:r>
      <w:r>
        <w:rPr/>
        <w:t>las</w:t>
      </w:r>
      <w:r>
        <w:rPr>
          <w:spacing w:val="-7"/>
        </w:rPr>
        <w:t> </w:t>
      </w:r>
      <w:r>
        <w:rPr/>
        <w:t>circunstancias específicas de nuestra</w:t>
      </w:r>
      <w:r>
        <w:rPr>
          <w:spacing w:val="-7"/>
        </w:rPr>
        <w:t> </w:t>
      </w:r>
      <w:r>
        <w:rPr/>
        <w:t>defendida.</w:t>
      </w:r>
    </w:p>
    <w:p>
      <w:pPr>
        <w:pStyle w:val="BodyText"/>
        <w:spacing w:line="259" w:lineRule="auto" w:before="159"/>
        <w:ind w:left="102" w:right="115" w:firstLine="707"/>
        <w:jc w:val="both"/>
      </w:pPr>
      <w:r>
        <w:rPr/>
        <w:t>Las principales aportaciones del </w:t>
      </w:r>
      <w:r>
        <w:rPr>
          <w:i/>
        </w:rPr>
        <w:t>amicus curiae, </w:t>
      </w:r>
      <w:r>
        <w:rPr/>
        <w:t>las debemos de tomar en consideración, al momento de realizar las conclusiones de nuestra Teoría del Caso con Perspectiva de Género, además de que constituyen elementos importantes para formular nuestros alegatos en el juicio oral.</w:t>
      </w:r>
    </w:p>
    <w:p>
      <w:pPr>
        <w:spacing w:after="0" w:line="259" w:lineRule="auto"/>
        <w:jc w:val="both"/>
        <w:sectPr>
          <w:pgSz w:w="12240" w:h="15840"/>
          <w:pgMar w:header="0" w:footer="1002" w:top="1360" w:bottom="1200" w:left="1600" w:right="1580"/>
        </w:sectPr>
      </w:pPr>
    </w:p>
    <w:p>
      <w:pPr>
        <w:pStyle w:val="BodyText"/>
        <w:ind w:left="404"/>
        <w:rPr>
          <w:sz w:val="20"/>
        </w:rPr>
      </w:pPr>
      <w:r>
        <w:rPr>
          <w:sz w:val="20"/>
        </w:rPr>
        <w:pict>
          <v:group style="width:403.75pt;height:252pt;mso-position-horizontal-relative:char;mso-position-vertical-relative:line" coordorigin="0,0" coordsize="8075,5040">
            <v:shape style="position:absolute;left:365;top:0;width:7344;height:5040" coordorigin="365,0" coordsize="7344,5040" path="m5189,0l5189,1260,365,1260,365,3780,5189,3780,5189,5040,7709,2520,5189,0xe" filled="true" fillcolor="#d2deee" stroked="false">
              <v:path arrowok="t"/>
              <v:fill type="solid"/>
            </v:shape>
            <v:shape style="position:absolute;left:10;top:1512;width:2592;height:2016" coordorigin="10,1512" coordsize="2592,2016" path="m2266,1512l346,1512,269,1521,198,1546,136,1586,84,1638,44,1700,19,1771,10,1848,10,3192,19,3269,44,3340,84,3402,136,3454,198,3494,269,3519,346,3528,2266,3528,2343,3519,2414,3494,2476,3454,2528,3402,2568,3340,2593,3269,2602,3192,2602,1848,2593,1771,2568,1700,2528,1638,2476,1586,2414,1546,2343,1521,2266,1512xe" filled="true" fillcolor="#5b9bd4" stroked="false">
              <v:path arrowok="t"/>
              <v:fill type="solid"/>
            </v:shape>
            <v:shape style="position:absolute;left:10;top:1512;width:2592;height:2016" coordorigin="10,1512" coordsize="2592,2016" path="m10,1848l19,1771,44,1700,84,1638,136,1586,198,1546,269,1521,346,1512,2266,1512,2343,1521,2414,1546,2476,1586,2528,1638,2568,1700,2593,1771,2602,1848,2602,3192,2593,3269,2568,3340,2528,3402,2476,3454,2414,3494,2343,3519,2266,3528,346,3528,269,3519,198,3494,136,3454,84,3402,44,3340,19,3269,10,3192,10,1848xe" filled="false" stroked="true" strokeweight=".96pt" strokecolor="#ffffff">
              <v:path arrowok="t"/>
            </v:shape>
            <v:shape style="position:absolute;left:2741;top:1512;width:2592;height:2016" coordorigin="2741,1512" coordsize="2592,2016" path="m4997,1512l3077,1512,3000,1521,2929,1546,2867,1586,2815,1638,2775,1700,2750,1771,2741,1848,2741,3192,2750,3269,2775,3340,2815,3402,2867,3454,2929,3494,3000,3519,3077,3528,4997,3528,5074,3519,5145,3494,5207,3454,5259,3402,5299,3340,5324,3269,5333,3192,5333,1848,5324,1771,5299,1700,5259,1638,5207,1586,5145,1546,5074,1521,4997,1512xe" filled="true" fillcolor="#5b9bd4" stroked="false">
              <v:path arrowok="t"/>
              <v:fill type="solid"/>
            </v:shape>
            <v:shape style="position:absolute;left:2741;top:1512;width:2592;height:2016" coordorigin="2741,1512" coordsize="2592,2016" path="m2741,1848l2750,1771,2775,1700,2815,1638,2867,1586,2929,1546,3000,1521,3077,1512,4997,1512,5074,1521,5145,1546,5207,1586,5259,1638,5299,1700,5324,1771,5333,1848,5333,3192,5324,3269,5299,3340,5259,3402,5207,3454,5145,3494,5074,3519,4997,3528,3077,3528,3000,3519,2929,3494,2867,3454,2815,3402,2775,3340,2750,3269,2741,3192,2741,1848xe" filled="false" stroked="true" strokeweight=".96pt" strokecolor="#ffffff">
              <v:path arrowok="t"/>
            </v:shape>
            <v:shape style="position:absolute;left:5472;top:1512;width:2592;height:2016" coordorigin="5472,1512" coordsize="2592,2016" path="m7728,1512l5808,1512,5731,1521,5661,1546,5598,1586,5546,1638,5507,1700,5481,1771,5472,1848,5472,3192,5481,3269,5507,3340,5546,3402,5598,3454,5661,3494,5731,3519,5808,3528,7728,3528,7805,3519,7876,3494,7939,3454,7991,3402,8030,3340,8056,3269,8064,3192,8064,1848,8056,1771,8030,1700,7991,1638,7939,1586,7876,1546,7805,1521,7728,1512xe" filled="true" fillcolor="#5b9bd4" stroked="false">
              <v:path arrowok="t"/>
              <v:fill type="solid"/>
            </v:shape>
            <v:shape style="position:absolute;left:5472;top:1512;width:2592;height:2016" coordorigin="5472,1512" coordsize="2592,2016" path="m5472,1848l5481,1771,5507,1700,5546,1638,5598,1586,5661,1546,5731,1521,5808,1512,7728,1512,7805,1521,7876,1546,7939,1586,7991,1638,8030,1700,8056,1771,8064,1848,8064,3192,8056,3269,8030,3340,7991,3402,7939,3454,7876,3494,7805,3519,7728,3528,5808,3528,5731,3519,5661,3494,5598,3454,5546,3402,5507,3340,5481,3269,5472,3192,5472,1848xe" filled="false" stroked="true" strokeweight=".96pt" strokecolor="#ffffff">
              <v:path arrowok="t"/>
            </v:shape>
            <v:shape style="position:absolute;left:191;top:1805;width:2226;height:1445" type="#_x0000_t202" filled="false" stroked="false">
              <v:textbox inset="0,0,0,0">
                <w:txbxContent>
                  <w:p>
                    <w:pPr>
                      <w:spacing w:line="173" w:lineRule="exact" w:before="0"/>
                      <w:ind w:left="73" w:right="73" w:firstLine="0"/>
                      <w:jc w:val="center"/>
                      <w:rPr>
                        <w:rFonts w:ascii="Calibri" w:hAnsi="Calibri"/>
                        <w:b/>
                        <w:sz w:val="18"/>
                      </w:rPr>
                    </w:pPr>
                    <w:r>
                      <w:rPr>
                        <w:rFonts w:ascii="Calibri" w:hAnsi="Calibri"/>
                        <w:b/>
                        <w:color w:val="FFFFFF"/>
                        <w:sz w:val="18"/>
                      </w:rPr>
                      <w:t>Acudir con académicas y</w:t>
                    </w:r>
                  </w:p>
                  <w:p>
                    <w:pPr>
                      <w:spacing w:line="196" w:lineRule="exact" w:before="4"/>
                      <w:ind w:left="0" w:right="0" w:firstLine="4"/>
                      <w:jc w:val="center"/>
                      <w:rPr>
                        <w:rFonts w:ascii="Calibri" w:hAnsi="Calibri"/>
                        <w:b/>
                        <w:sz w:val="18"/>
                      </w:rPr>
                    </w:pPr>
                    <w:r>
                      <w:rPr>
                        <w:rFonts w:ascii="Calibri" w:hAnsi="Calibri"/>
                        <w:b/>
                        <w:color w:val="FFFFFF"/>
                        <w:sz w:val="18"/>
                      </w:rPr>
                      <w:t>académicos especialistas en materia de género y</w:t>
                    </w:r>
                    <w:r>
                      <w:rPr>
                        <w:rFonts w:ascii="Calibri" w:hAnsi="Calibri"/>
                        <w:b/>
                        <w:color w:val="FFFFFF"/>
                        <w:spacing w:val="-13"/>
                        <w:sz w:val="18"/>
                      </w:rPr>
                      <w:t> </w:t>
                    </w:r>
                    <w:r>
                      <w:rPr>
                        <w:rFonts w:ascii="Calibri" w:hAnsi="Calibri"/>
                        <w:b/>
                        <w:color w:val="FFFFFF"/>
                        <w:sz w:val="18"/>
                      </w:rPr>
                      <w:t>derechos humanos de las</w:t>
                    </w:r>
                    <w:r>
                      <w:rPr>
                        <w:rFonts w:ascii="Calibri" w:hAnsi="Calibri"/>
                        <w:b/>
                        <w:color w:val="FFFFFF"/>
                        <w:spacing w:val="-10"/>
                        <w:sz w:val="18"/>
                      </w:rPr>
                      <w:t> </w:t>
                    </w:r>
                    <w:r>
                      <w:rPr>
                        <w:rFonts w:ascii="Calibri" w:hAnsi="Calibri"/>
                        <w:b/>
                        <w:color w:val="FFFFFF"/>
                        <w:sz w:val="18"/>
                      </w:rPr>
                      <w:t>mujeres.</w:t>
                    </w:r>
                  </w:p>
                  <w:p>
                    <w:pPr>
                      <w:spacing w:line="216" w:lineRule="auto" w:before="82"/>
                      <w:ind w:left="79" w:right="73" w:firstLine="0"/>
                      <w:jc w:val="center"/>
                      <w:rPr>
                        <w:rFonts w:ascii="Calibri" w:hAnsi="Calibri"/>
                        <w:b/>
                        <w:sz w:val="18"/>
                      </w:rPr>
                    </w:pPr>
                    <w:r>
                      <w:rPr>
                        <w:rFonts w:ascii="Calibri" w:hAnsi="Calibri"/>
                        <w:b/>
                        <w:color w:val="FFFFFF"/>
                        <w:sz w:val="18"/>
                      </w:rPr>
                      <w:t>Para esto podemos acudir a consultorías y a las universidades públicas.</w:t>
                    </w:r>
                  </w:p>
                </w:txbxContent>
              </v:textbox>
              <w10:wrap type="none"/>
            </v:shape>
            <v:shape style="position:absolute;left:2901;top:1844;width:2270;height:1368" type="#_x0000_t202" filled="false" stroked="false">
              <v:textbox inset="0,0,0,0">
                <w:txbxContent>
                  <w:p>
                    <w:pPr>
                      <w:spacing w:line="173" w:lineRule="exact" w:before="0"/>
                      <w:ind w:left="76" w:right="77" w:firstLine="0"/>
                      <w:jc w:val="center"/>
                      <w:rPr>
                        <w:rFonts w:ascii="Calibri"/>
                        <w:b/>
                        <w:i/>
                        <w:sz w:val="18"/>
                      </w:rPr>
                    </w:pPr>
                    <w:r>
                      <w:rPr>
                        <w:rFonts w:ascii="Calibri"/>
                        <w:b/>
                        <w:color w:val="FFFFFF"/>
                        <w:sz w:val="18"/>
                      </w:rPr>
                      <w:t>Poromover el </w:t>
                    </w:r>
                    <w:r>
                      <w:rPr>
                        <w:rFonts w:ascii="Calibri"/>
                        <w:b/>
                        <w:i/>
                        <w:color w:val="FFFFFF"/>
                        <w:sz w:val="18"/>
                      </w:rPr>
                      <w:t>amicus curiae</w:t>
                    </w:r>
                  </w:p>
                  <w:p>
                    <w:pPr>
                      <w:spacing w:line="216" w:lineRule="auto" w:before="7"/>
                      <w:ind w:left="0" w:right="0" w:hanging="2"/>
                      <w:jc w:val="center"/>
                      <w:rPr>
                        <w:rFonts w:ascii="Calibri" w:hAnsi="Calibri"/>
                        <w:b/>
                        <w:sz w:val="18"/>
                      </w:rPr>
                    </w:pPr>
                    <w:r>
                      <w:rPr>
                        <w:rFonts w:ascii="Calibri" w:hAnsi="Calibri"/>
                        <w:b/>
                        <w:color w:val="FFFFFF"/>
                        <w:sz w:val="18"/>
                      </w:rPr>
                      <w:t>en juzgado, fundando con los artículos 1 y 133 constitucionales, así como</w:t>
                    </w:r>
                    <w:r>
                      <w:rPr>
                        <w:rFonts w:ascii="Calibri" w:hAnsi="Calibri"/>
                        <w:b/>
                        <w:color w:val="FFFFFF"/>
                        <w:spacing w:val="-8"/>
                        <w:sz w:val="18"/>
                      </w:rPr>
                      <w:t> </w:t>
                    </w:r>
                    <w:r>
                      <w:rPr>
                        <w:rFonts w:ascii="Calibri" w:hAnsi="Calibri"/>
                        <w:b/>
                        <w:color w:val="FFFFFF"/>
                        <w:sz w:val="18"/>
                      </w:rPr>
                      <w:t>con el artículo 23 inciso a) de la Corte Interamericana de Derechos</w:t>
                    </w:r>
                    <w:r>
                      <w:rPr>
                        <w:rFonts w:ascii="Calibri" w:hAnsi="Calibri"/>
                        <w:b/>
                        <w:color w:val="FFFFFF"/>
                        <w:spacing w:val="-9"/>
                        <w:sz w:val="18"/>
                      </w:rPr>
                      <w:t> </w:t>
                    </w:r>
                    <w:r>
                      <w:rPr>
                        <w:rFonts w:ascii="Calibri" w:hAnsi="Calibri"/>
                        <w:b/>
                        <w:color w:val="FFFFFF"/>
                        <w:sz w:val="18"/>
                      </w:rPr>
                      <w:t>Humanos</w:t>
                    </w:r>
                  </w:p>
                </w:txbxContent>
              </v:textbox>
              <w10:wrap type="none"/>
            </v:shape>
            <v:shape style="position:absolute;left:5654;top:2041;width:2230;height:972" type="#_x0000_t202" filled="false" stroked="false">
              <v:textbox inset="0,0,0,0">
                <w:txbxContent>
                  <w:p>
                    <w:pPr>
                      <w:spacing w:line="173" w:lineRule="exact" w:before="0"/>
                      <w:ind w:left="0" w:right="3" w:firstLine="0"/>
                      <w:jc w:val="center"/>
                      <w:rPr>
                        <w:rFonts w:ascii="Calibri"/>
                        <w:b/>
                        <w:sz w:val="18"/>
                      </w:rPr>
                    </w:pPr>
                    <w:r>
                      <w:rPr>
                        <w:rFonts w:ascii="Calibri"/>
                        <w:b/>
                        <w:color w:val="FFFFFF"/>
                        <w:sz w:val="18"/>
                      </w:rPr>
                      <w:t>Utilizar los elementos</w:t>
                    </w:r>
                    <w:r>
                      <w:rPr>
                        <w:rFonts w:ascii="Calibri"/>
                        <w:b/>
                        <w:color w:val="FFFFFF"/>
                        <w:spacing w:val="-8"/>
                        <w:sz w:val="18"/>
                      </w:rPr>
                      <w:t> </w:t>
                    </w:r>
                    <w:r>
                      <w:rPr>
                        <w:rFonts w:ascii="Calibri"/>
                        <w:b/>
                        <w:color w:val="FFFFFF"/>
                        <w:sz w:val="18"/>
                      </w:rPr>
                      <w:t>del</w:t>
                    </w:r>
                  </w:p>
                  <w:p>
                    <w:pPr>
                      <w:spacing w:line="216" w:lineRule="auto" w:before="7"/>
                      <w:ind w:left="0" w:right="0" w:firstLine="0"/>
                      <w:jc w:val="center"/>
                      <w:rPr>
                        <w:rFonts w:ascii="Calibri" w:hAnsi="Calibri"/>
                        <w:b/>
                        <w:sz w:val="18"/>
                      </w:rPr>
                    </w:pPr>
                    <w:r>
                      <w:rPr>
                        <w:rFonts w:ascii="Calibri" w:hAnsi="Calibri"/>
                        <w:b/>
                        <w:i/>
                        <w:color w:val="FFFFFF"/>
                        <w:sz w:val="18"/>
                      </w:rPr>
                      <w:t>amicus cuariae, </w:t>
                    </w:r>
                    <w:r>
                      <w:rPr>
                        <w:rFonts w:ascii="Calibri" w:hAnsi="Calibri"/>
                        <w:b/>
                        <w:color w:val="FFFFFF"/>
                        <w:sz w:val="18"/>
                      </w:rPr>
                      <w:t>para nuestras conclusiones y la formulación de nuestros alegatos en la audiencia de juicio oral.</w:t>
                    </w:r>
                  </w:p>
                </w:txbxContent>
              </v:textbox>
              <w10:wrap type="none"/>
            </v:shape>
          </v:group>
        </w:pict>
      </w:r>
      <w:r>
        <w:rPr>
          <w:sz w:val="20"/>
        </w:rPr>
      </w:r>
    </w:p>
    <w:p>
      <w:pPr>
        <w:pStyle w:val="BodyText"/>
        <w:spacing w:before="10"/>
        <w:rPr>
          <w:sz w:val="10"/>
        </w:rPr>
      </w:pPr>
      <w:r>
        <w:rPr/>
        <w:pict>
          <v:shape style="position:absolute;margin-left:84.480003pt;margin-top:8.61pt;width:441pt;height:140.2pt;mso-position-horizontal-relative:page;mso-position-vertical-relative:paragraph;z-index:6064;mso-wrap-distance-left:0;mso-wrap-distance-right:0" type="#_x0000_t202" filled="true" fillcolor="#ec7c30" stroked="true" strokeweight=".72pt" strokecolor="#000000">
            <v:textbox inset="0,0,0,0">
              <w:txbxContent>
                <w:p>
                  <w:pPr>
                    <w:spacing w:before="72"/>
                    <w:ind w:left="3892" w:right="3892" w:firstLine="0"/>
                    <w:jc w:val="center"/>
                    <w:rPr>
                      <w:rFonts w:ascii="Calibri"/>
                      <w:b/>
                      <w:sz w:val="22"/>
                    </w:rPr>
                  </w:pPr>
                  <w:r>
                    <w:rPr>
                      <w:rFonts w:ascii="Calibri"/>
                      <w:b/>
                      <w:sz w:val="22"/>
                    </w:rPr>
                    <w:t>RECUERDA</w:t>
                  </w:r>
                </w:p>
                <w:p>
                  <w:pPr>
                    <w:pStyle w:val="BodyText"/>
                    <w:spacing w:before="8"/>
                    <w:rPr>
                      <w:sz w:val="20"/>
                    </w:rPr>
                  </w:pPr>
                </w:p>
                <w:p>
                  <w:pPr>
                    <w:spacing w:line="276" w:lineRule="auto" w:before="0"/>
                    <w:ind w:left="156" w:right="153" w:hanging="4"/>
                    <w:jc w:val="center"/>
                    <w:rPr>
                      <w:rFonts w:ascii="Calibri" w:hAnsi="Calibri"/>
                      <w:b/>
                      <w:sz w:val="22"/>
                    </w:rPr>
                  </w:pPr>
                  <w:r>
                    <w:rPr>
                      <w:rFonts w:ascii="Calibri" w:hAnsi="Calibri"/>
                      <w:b/>
                      <w:sz w:val="22"/>
                    </w:rPr>
                    <w:t>La figura del </w:t>
                  </w:r>
                  <w:r>
                    <w:rPr>
                      <w:rFonts w:ascii="Calibri" w:hAnsi="Calibri"/>
                      <w:b/>
                      <w:i/>
                      <w:sz w:val="22"/>
                    </w:rPr>
                    <w:t>amicus curiae, </w:t>
                  </w:r>
                  <w:r>
                    <w:rPr>
                      <w:rFonts w:ascii="Calibri" w:hAnsi="Calibri"/>
                      <w:b/>
                      <w:sz w:val="22"/>
                    </w:rPr>
                    <w:t>es una estrategia que permitirá a portar a la autoridad jurisdiccional elementos técnicos, para que tome en consideración las circunstancias específicas de nuestra defendida al momento de la comisión de la conducta delictiva y pueda juzgar con perspectiva de género. Además de que robustecerá nuestra teoría del caso con perspectiva de género.</w:t>
                  </w:r>
                </w:p>
              </w:txbxContent>
            </v:textbox>
            <v:fill type="solid"/>
            <w10:wrap type="topAndBottom"/>
          </v:shape>
        </w:pict>
      </w:r>
    </w:p>
    <w:p>
      <w:pPr>
        <w:spacing w:after="0"/>
        <w:rPr>
          <w:sz w:val="10"/>
        </w:rPr>
        <w:sectPr>
          <w:pgSz w:w="12240" w:h="15840"/>
          <w:pgMar w:header="0" w:footer="1002" w:top="1420" w:bottom="1200" w:left="1580" w:right="1580"/>
        </w:sectPr>
      </w:pPr>
    </w:p>
    <w:p>
      <w:pPr>
        <w:pStyle w:val="BodyText"/>
        <w:rPr>
          <w:sz w:val="20"/>
        </w:rPr>
      </w:pPr>
    </w:p>
    <w:p>
      <w:pPr>
        <w:spacing w:before="203"/>
        <w:ind w:left="2944" w:right="96" w:firstLine="0"/>
        <w:jc w:val="left"/>
        <w:rPr>
          <w:b/>
          <w:sz w:val="24"/>
        </w:rPr>
      </w:pPr>
      <w:r>
        <w:rPr>
          <w:b/>
          <w:sz w:val="24"/>
        </w:rPr>
        <w:t>FUENTES CONSULTADAS:</w:t>
      </w:r>
    </w:p>
    <w:p>
      <w:pPr>
        <w:pStyle w:val="BodyText"/>
        <w:spacing w:before="4"/>
        <w:rPr>
          <w:b/>
          <w:sz w:val="29"/>
        </w:rPr>
      </w:pPr>
    </w:p>
    <w:p>
      <w:pPr>
        <w:spacing w:line="360" w:lineRule="auto" w:before="0"/>
        <w:ind w:left="102" w:right="164" w:firstLine="0"/>
        <w:jc w:val="both"/>
        <w:rPr>
          <w:sz w:val="22"/>
        </w:rPr>
      </w:pPr>
      <w:r>
        <w:rPr>
          <w:sz w:val="22"/>
        </w:rPr>
        <w:t>Baytelman A. y Duce M. (2010), </w:t>
      </w:r>
      <w:r>
        <w:rPr>
          <w:i/>
          <w:sz w:val="22"/>
        </w:rPr>
        <w:t>Litigación Penal en Juicios Orales, </w:t>
      </w:r>
      <w:r>
        <w:rPr>
          <w:sz w:val="22"/>
        </w:rPr>
        <w:t>Santiago de Chile: Texts de Docencia Universitaria.</w:t>
      </w:r>
    </w:p>
    <w:p>
      <w:pPr>
        <w:pStyle w:val="BodyText"/>
        <w:spacing w:before="7"/>
        <w:rPr>
          <w:sz w:val="17"/>
        </w:rPr>
      </w:pPr>
    </w:p>
    <w:p>
      <w:pPr>
        <w:spacing w:line="360" w:lineRule="auto" w:before="0"/>
        <w:ind w:left="102" w:right="164" w:firstLine="0"/>
        <w:jc w:val="both"/>
        <w:rPr>
          <w:sz w:val="22"/>
        </w:rPr>
      </w:pPr>
      <w:r>
        <w:rPr>
          <w:sz w:val="22"/>
        </w:rPr>
        <w:t>Benavente</w:t>
      </w:r>
      <w:r>
        <w:rPr>
          <w:spacing w:val="-6"/>
          <w:sz w:val="22"/>
        </w:rPr>
        <w:t> </w:t>
      </w:r>
      <w:r>
        <w:rPr>
          <w:sz w:val="22"/>
        </w:rPr>
        <w:t>Chorres,</w:t>
      </w:r>
      <w:r>
        <w:rPr>
          <w:spacing w:val="-5"/>
          <w:sz w:val="22"/>
        </w:rPr>
        <w:t> </w:t>
      </w:r>
      <w:r>
        <w:rPr>
          <w:sz w:val="22"/>
        </w:rPr>
        <w:t>Hesbert</w:t>
      </w:r>
      <w:r>
        <w:rPr>
          <w:spacing w:val="-7"/>
          <w:sz w:val="22"/>
        </w:rPr>
        <w:t> </w:t>
      </w:r>
      <w:r>
        <w:rPr>
          <w:sz w:val="22"/>
        </w:rPr>
        <w:t>(2014),</w:t>
      </w:r>
      <w:r>
        <w:rPr>
          <w:spacing w:val="-5"/>
          <w:sz w:val="22"/>
        </w:rPr>
        <w:t> </w:t>
      </w:r>
      <w:r>
        <w:rPr>
          <w:i/>
          <w:sz w:val="22"/>
        </w:rPr>
        <w:t>Guía</w:t>
      </w:r>
      <w:r>
        <w:rPr>
          <w:i/>
          <w:spacing w:val="-6"/>
          <w:sz w:val="22"/>
        </w:rPr>
        <w:t> </w:t>
      </w:r>
      <w:r>
        <w:rPr>
          <w:i/>
          <w:sz w:val="22"/>
        </w:rPr>
        <w:t>para</w:t>
      </w:r>
      <w:r>
        <w:rPr>
          <w:i/>
          <w:spacing w:val="-6"/>
          <w:sz w:val="22"/>
        </w:rPr>
        <w:t> </w:t>
      </w:r>
      <w:r>
        <w:rPr>
          <w:i/>
          <w:sz w:val="22"/>
        </w:rPr>
        <w:t>el</w:t>
      </w:r>
      <w:r>
        <w:rPr>
          <w:i/>
          <w:spacing w:val="-12"/>
          <w:sz w:val="22"/>
        </w:rPr>
        <w:t> </w:t>
      </w:r>
      <w:r>
        <w:rPr>
          <w:i/>
          <w:sz w:val="22"/>
        </w:rPr>
        <w:t>estudiante</w:t>
      </w:r>
      <w:r>
        <w:rPr>
          <w:i/>
          <w:spacing w:val="-6"/>
          <w:sz w:val="22"/>
        </w:rPr>
        <w:t> </w:t>
      </w:r>
      <w:r>
        <w:rPr>
          <w:i/>
          <w:sz w:val="22"/>
        </w:rPr>
        <w:t>del</w:t>
      </w:r>
      <w:r>
        <w:rPr>
          <w:i/>
          <w:spacing w:val="-7"/>
          <w:sz w:val="22"/>
        </w:rPr>
        <w:t> </w:t>
      </w:r>
      <w:r>
        <w:rPr>
          <w:i/>
          <w:sz w:val="22"/>
        </w:rPr>
        <w:t>Proceso</w:t>
      </w:r>
      <w:r>
        <w:rPr>
          <w:i/>
          <w:spacing w:val="-9"/>
          <w:sz w:val="22"/>
        </w:rPr>
        <w:t> </w:t>
      </w:r>
      <w:r>
        <w:rPr>
          <w:i/>
          <w:sz w:val="22"/>
        </w:rPr>
        <w:t>Penal</w:t>
      </w:r>
      <w:r>
        <w:rPr>
          <w:i/>
          <w:spacing w:val="-7"/>
          <w:sz w:val="22"/>
        </w:rPr>
        <w:t> </w:t>
      </w:r>
      <w:r>
        <w:rPr>
          <w:i/>
          <w:sz w:val="22"/>
        </w:rPr>
        <w:t>Acusatorio </w:t>
      </w:r>
      <w:r>
        <w:rPr>
          <w:i/>
          <w:sz w:val="22"/>
        </w:rPr>
        <w:t>y Oral, </w:t>
      </w:r>
      <w:r>
        <w:rPr>
          <w:sz w:val="22"/>
        </w:rPr>
        <w:t>México: Editorial</w:t>
      </w:r>
      <w:r>
        <w:rPr>
          <w:spacing w:val="-10"/>
          <w:sz w:val="22"/>
        </w:rPr>
        <w:t> </w:t>
      </w:r>
      <w:r>
        <w:rPr>
          <w:sz w:val="22"/>
        </w:rPr>
        <w:t>Flores.</w:t>
      </w:r>
    </w:p>
    <w:p>
      <w:pPr>
        <w:pStyle w:val="BodyText"/>
        <w:spacing w:before="10"/>
        <w:rPr>
          <w:sz w:val="17"/>
        </w:rPr>
      </w:pPr>
    </w:p>
    <w:p>
      <w:pPr>
        <w:spacing w:line="360" w:lineRule="auto" w:before="0"/>
        <w:ind w:left="102" w:right="167" w:firstLine="0"/>
        <w:jc w:val="both"/>
        <w:rPr>
          <w:sz w:val="22"/>
        </w:rPr>
      </w:pPr>
      <w:r>
        <w:rPr>
          <w:sz w:val="22"/>
        </w:rPr>
        <w:t>Benavente Chorres, Hesbert (2014), </w:t>
      </w:r>
      <w:r>
        <w:rPr>
          <w:i/>
          <w:sz w:val="22"/>
        </w:rPr>
        <w:t>La aplicación de la Teoría del Caso y la Teoría del </w:t>
      </w:r>
      <w:r>
        <w:rPr>
          <w:i/>
          <w:sz w:val="22"/>
        </w:rPr>
        <w:t>Delito en el Proceso Penal Acusatorio y Oral, </w:t>
      </w:r>
      <w:r>
        <w:rPr>
          <w:sz w:val="22"/>
        </w:rPr>
        <w:t>México: Editorial Flores.</w:t>
      </w:r>
    </w:p>
    <w:p>
      <w:pPr>
        <w:pStyle w:val="BodyText"/>
        <w:spacing w:before="5"/>
        <w:rPr>
          <w:sz w:val="24"/>
        </w:rPr>
      </w:pPr>
    </w:p>
    <w:p>
      <w:pPr>
        <w:spacing w:line="360" w:lineRule="auto" w:before="0"/>
        <w:ind w:left="102" w:right="119" w:firstLine="0"/>
        <w:jc w:val="both"/>
        <w:rPr>
          <w:sz w:val="22"/>
        </w:rPr>
      </w:pPr>
      <w:r>
        <w:rPr>
          <w:sz w:val="22"/>
        </w:rPr>
        <w:t>Carbonell, Miguel (2012), </w:t>
      </w:r>
      <w:r>
        <w:rPr>
          <w:i/>
          <w:sz w:val="22"/>
        </w:rPr>
        <w:t>Introducción General al Control de Convencionalidad</w:t>
      </w:r>
      <w:r>
        <w:rPr>
          <w:sz w:val="22"/>
        </w:rPr>
        <w:t>. México: Porrúa.</w:t>
      </w:r>
    </w:p>
    <w:p>
      <w:pPr>
        <w:pStyle w:val="BodyText"/>
        <w:spacing w:before="10"/>
        <w:rPr>
          <w:sz w:val="24"/>
        </w:rPr>
      </w:pPr>
    </w:p>
    <w:p>
      <w:pPr>
        <w:spacing w:line="360" w:lineRule="auto" w:before="0"/>
        <w:ind w:left="102" w:right="165" w:firstLine="0"/>
        <w:jc w:val="both"/>
        <w:rPr>
          <w:sz w:val="22"/>
        </w:rPr>
      </w:pPr>
      <w:r>
        <w:rPr>
          <w:sz w:val="22"/>
        </w:rPr>
        <w:t>CIDH (1984), </w:t>
      </w:r>
      <w:r>
        <w:rPr>
          <w:i/>
          <w:sz w:val="22"/>
        </w:rPr>
        <w:t>Opinión Consultiva OC-4/84 del 19 de enero de 1984, solicitada por el </w:t>
      </w:r>
      <w:r>
        <w:rPr>
          <w:i/>
          <w:sz w:val="22"/>
        </w:rPr>
        <w:t>gobierno de Costa Rica, </w:t>
      </w:r>
      <w:r>
        <w:rPr>
          <w:sz w:val="22"/>
        </w:rPr>
        <w:t>San José, Costa Rica: CIDH.</w:t>
      </w:r>
    </w:p>
    <w:p>
      <w:pPr>
        <w:pStyle w:val="BodyText"/>
        <w:spacing w:before="7"/>
        <w:rPr>
          <w:sz w:val="17"/>
        </w:rPr>
      </w:pPr>
    </w:p>
    <w:p>
      <w:pPr>
        <w:spacing w:line="360" w:lineRule="auto" w:before="0"/>
        <w:ind w:left="102" w:right="169" w:firstLine="0"/>
        <w:jc w:val="both"/>
        <w:rPr>
          <w:sz w:val="22"/>
        </w:rPr>
      </w:pPr>
      <w:r>
        <w:rPr>
          <w:sz w:val="22"/>
        </w:rPr>
        <w:t>CIDH (2003), </w:t>
      </w:r>
      <w:r>
        <w:rPr>
          <w:i/>
          <w:sz w:val="22"/>
        </w:rPr>
        <w:t>Opinión Consultiva OC-18/03 del 17 de septiembre del 2003, solicitada por </w:t>
      </w:r>
      <w:r>
        <w:rPr>
          <w:i/>
          <w:sz w:val="22"/>
        </w:rPr>
        <w:t>los Estados Unidos Mexicanos, </w:t>
      </w:r>
      <w:r>
        <w:rPr>
          <w:sz w:val="22"/>
        </w:rPr>
        <w:t>San José, Costa Rica: CIDH.</w:t>
      </w:r>
    </w:p>
    <w:p>
      <w:pPr>
        <w:pStyle w:val="BodyText"/>
        <w:spacing w:before="8"/>
        <w:rPr>
          <w:sz w:val="24"/>
        </w:rPr>
      </w:pPr>
    </w:p>
    <w:p>
      <w:pPr>
        <w:spacing w:line="357" w:lineRule="auto" w:before="0"/>
        <w:ind w:left="102" w:right="115" w:firstLine="0"/>
        <w:jc w:val="both"/>
        <w:rPr>
          <w:sz w:val="22"/>
        </w:rPr>
      </w:pPr>
      <w:r>
        <w:rPr>
          <w:sz w:val="22"/>
        </w:rPr>
        <w:t>Equis Justicia para la Mujeres (2015), </w:t>
      </w:r>
      <w:r>
        <w:rPr>
          <w:i/>
          <w:sz w:val="22"/>
        </w:rPr>
        <w:t>¿Qué es el control de convencionalidad?, </w:t>
      </w:r>
      <w:hyperlink r:id="rId146">
        <w:r>
          <w:rPr>
            <w:i/>
            <w:color w:val="0462C1"/>
            <w:sz w:val="22"/>
            <w:u w:val="single" w:color="0462C1"/>
          </w:rPr>
          <w:t>http://equis.org.mx/control_convencionalidad/</w:t>
        </w:r>
      </w:hyperlink>
      <w:r>
        <w:rPr>
          <w:i/>
          <w:sz w:val="22"/>
        </w:rPr>
        <w:t>,</w:t>
      </w:r>
      <w:r>
        <w:rPr>
          <w:i/>
          <w:spacing w:val="-16"/>
          <w:sz w:val="22"/>
        </w:rPr>
        <w:t> </w:t>
      </w:r>
      <w:r>
        <w:rPr>
          <w:sz w:val="22"/>
        </w:rPr>
        <w:t>página</w:t>
      </w:r>
      <w:r>
        <w:rPr>
          <w:spacing w:val="-17"/>
          <w:sz w:val="22"/>
        </w:rPr>
        <w:t> </w:t>
      </w:r>
      <w:r>
        <w:rPr>
          <w:sz w:val="22"/>
        </w:rPr>
        <w:t>web</w:t>
      </w:r>
      <w:r>
        <w:rPr>
          <w:spacing w:val="-17"/>
          <w:sz w:val="22"/>
        </w:rPr>
        <w:t> </w:t>
      </w:r>
      <w:r>
        <w:rPr>
          <w:sz w:val="22"/>
        </w:rPr>
        <w:t>consultada</w:t>
      </w:r>
      <w:r>
        <w:rPr>
          <w:spacing w:val="-20"/>
          <w:sz w:val="22"/>
        </w:rPr>
        <w:t> </w:t>
      </w:r>
      <w:r>
        <w:rPr>
          <w:sz w:val="22"/>
        </w:rPr>
        <w:t>el</w:t>
      </w:r>
      <w:r>
        <w:rPr>
          <w:spacing w:val="-18"/>
          <w:sz w:val="22"/>
        </w:rPr>
        <w:t> </w:t>
      </w:r>
      <w:r>
        <w:rPr>
          <w:sz w:val="22"/>
        </w:rPr>
        <w:t>3</w:t>
      </w:r>
      <w:r>
        <w:rPr>
          <w:spacing w:val="-19"/>
          <w:sz w:val="22"/>
        </w:rPr>
        <w:t> </w:t>
      </w:r>
      <w:r>
        <w:rPr>
          <w:sz w:val="22"/>
        </w:rPr>
        <w:t>de</w:t>
      </w:r>
      <w:r>
        <w:rPr>
          <w:spacing w:val="-17"/>
          <w:sz w:val="22"/>
        </w:rPr>
        <w:t> </w:t>
      </w:r>
      <w:r>
        <w:rPr>
          <w:sz w:val="22"/>
        </w:rPr>
        <w:t>noviembre</w:t>
      </w:r>
      <w:r>
        <w:rPr>
          <w:spacing w:val="-17"/>
          <w:sz w:val="22"/>
        </w:rPr>
        <w:t> </w:t>
      </w:r>
      <w:r>
        <w:rPr>
          <w:sz w:val="22"/>
        </w:rPr>
        <w:t>del 2015.</w:t>
      </w:r>
    </w:p>
    <w:p>
      <w:pPr>
        <w:pStyle w:val="BodyText"/>
        <w:spacing w:before="2"/>
        <w:rPr>
          <w:sz w:val="25"/>
        </w:rPr>
      </w:pPr>
    </w:p>
    <w:p>
      <w:pPr>
        <w:spacing w:line="357" w:lineRule="auto" w:before="0"/>
        <w:ind w:left="102" w:right="114" w:firstLine="0"/>
        <w:jc w:val="both"/>
        <w:rPr>
          <w:sz w:val="22"/>
        </w:rPr>
      </w:pPr>
      <w:r>
        <w:rPr>
          <w:sz w:val="22"/>
        </w:rPr>
        <w:t>García,</w:t>
      </w:r>
      <w:r>
        <w:rPr>
          <w:spacing w:val="-5"/>
          <w:sz w:val="22"/>
        </w:rPr>
        <w:t> </w:t>
      </w:r>
      <w:r>
        <w:rPr>
          <w:sz w:val="22"/>
        </w:rPr>
        <w:t>Ramírez</w:t>
      </w:r>
      <w:r>
        <w:rPr>
          <w:spacing w:val="-8"/>
          <w:sz w:val="22"/>
        </w:rPr>
        <w:t> </w:t>
      </w:r>
      <w:r>
        <w:rPr>
          <w:sz w:val="22"/>
        </w:rPr>
        <w:t>Sergio</w:t>
      </w:r>
      <w:r>
        <w:rPr>
          <w:spacing w:val="-8"/>
          <w:sz w:val="22"/>
        </w:rPr>
        <w:t> </w:t>
      </w:r>
      <w:r>
        <w:rPr>
          <w:sz w:val="22"/>
        </w:rPr>
        <w:t>(2011)</w:t>
      </w:r>
      <w:r>
        <w:rPr>
          <w:i/>
          <w:sz w:val="22"/>
        </w:rPr>
        <w:t>,</w:t>
      </w:r>
      <w:r>
        <w:rPr>
          <w:i/>
          <w:spacing w:val="-6"/>
          <w:sz w:val="22"/>
        </w:rPr>
        <w:t> </w:t>
      </w:r>
      <w:r>
        <w:rPr>
          <w:i/>
          <w:sz w:val="22"/>
        </w:rPr>
        <w:t>“</w:t>
      </w:r>
      <w:r>
        <w:rPr>
          <w:sz w:val="22"/>
        </w:rPr>
        <w:t>El</w:t>
      </w:r>
      <w:r>
        <w:rPr>
          <w:spacing w:val="-6"/>
          <w:sz w:val="22"/>
        </w:rPr>
        <w:t> </w:t>
      </w:r>
      <w:r>
        <w:rPr>
          <w:sz w:val="22"/>
        </w:rPr>
        <w:t>control</w:t>
      </w:r>
      <w:r>
        <w:rPr>
          <w:spacing w:val="-9"/>
          <w:sz w:val="22"/>
        </w:rPr>
        <w:t> </w:t>
      </w:r>
      <w:r>
        <w:rPr>
          <w:sz w:val="22"/>
        </w:rPr>
        <w:t>judicial</w:t>
      </w:r>
      <w:r>
        <w:rPr>
          <w:spacing w:val="-9"/>
          <w:sz w:val="22"/>
        </w:rPr>
        <w:t> </w:t>
      </w:r>
      <w:r>
        <w:rPr>
          <w:sz w:val="22"/>
        </w:rPr>
        <w:t>interno</w:t>
      </w:r>
      <w:r>
        <w:rPr>
          <w:spacing w:val="-6"/>
          <w:sz w:val="22"/>
        </w:rPr>
        <w:t> </w:t>
      </w:r>
      <w:r>
        <w:rPr>
          <w:sz w:val="22"/>
        </w:rPr>
        <w:t>de</w:t>
      </w:r>
      <w:r>
        <w:rPr>
          <w:spacing w:val="-8"/>
          <w:sz w:val="22"/>
        </w:rPr>
        <w:t> </w:t>
      </w:r>
      <w:r>
        <w:rPr>
          <w:sz w:val="22"/>
        </w:rPr>
        <w:t>convencionalidad”,</w:t>
      </w:r>
      <w:r>
        <w:rPr>
          <w:spacing w:val="-6"/>
          <w:sz w:val="22"/>
        </w:rPr>
        <w:t> </w:t>
      </w:r>
      <w:r>
        <w:rPr>
          <w:sz w:val="22"/>
        </w:rPr>
        <w:t>en</w:t>
      </w:r>
      <w:r>
        <w:rPr>
          <w:spacing w:val="-5"/>
          <w:sz w:val="22"/>
        </w:rPr>
        <w:t> </w:t>
      </w:r>
      <w:r>
        <w:rPr>
          <w:i/>
          <w:sz w:val="22"/>
        </w:rPr>
        <w:t>Revista </w:t>
      </w:r>
      <w:r>
        <w:rPr>
          <w:i/>
          <w:sz w:val="22"/>
        </w:rPr>
        <w:t>del</w:t>
      </w:r>
      <w:r>
        <w:rPr>
          <w:i/>
          <w:spacing w:val="-5"/>
          <w:sz w:val="22"/>
        </w:rPr>
        <w:t> </w:t>
      </w:r>
      <w:r>
        <w:rPr>
          <w:i/>
          <w:sz w:val="22"/>
        </w:rPr>
        <w:t>Instituto</w:t>
      </w:r>
      <w:r>
        <w:rPr>
          <w:i/>
          <w:spacing w:val="-4"/>
          <w:sz w:val="22"/>
        </w:rPr>
        <w:t> </w:t>
      </w:r>
      <w:r>
        <w:rPr>
          <w:i/>
          <w:sz w:val="22"/>
        </w:rPr>
        <w:t>de</w:t>
      </w:r>
      <w:r>
        <w:rPr>
          <w:i/>
          <w:spacing w:val="-7"/>
          <w:sz w:val="22"/>
        </w:rPr>
        <w:t> </w:t>
      </w:r>
      <w:r>
        <w:rPr>
          <w:i/>
          <w:sz w:val="22"/>
        </w:rPr>
        <w:t>Ciencias</w:t>
      </w:r>
      <w:r>
        <w:rPr>
          <w:i/>
          <w:spacing w:val="-6"/>
          <w:sz w:val="22"/>
        </w:rPr>
        <w:t> </w:t>
      </w:r>
      <w:r>
        <w:rPr>
          <w:i/>
          <w:sz w:val="22"/>
        </w:rPr>
        <w:t>Jurídicas</w:t>
      </w:r>
      <w:r>
        <w:rPr>
          <w:i/>
          <w:spacing w:val="-6"/>
          <w:sz w:val="22"/>
        </w:rPr>
        <w:t> </w:t>
      </w:r>
      <w:r>
        <w:rPr>
          <w:i/>
          <w:sz w:val="22"/>
        </w:rPr>
        <w:t>de</w:t>
      </w:r>
      <w:r>
        <w:rPr>
          <w:i/>
          <w:spacing w:val="-4"/>
          <w:sz w:val="22"/>
        </w:rPr>
        <w:t> </w:t>
      </w:r>
      <w:r>
        <w:rPr>
          <w:i/>
          <w:sz w:val="22"/>
        </w:rPr>
        <w:t>Puebla</w:t>
      </w:r>
      <w:r>
        <w:rPr>
          <w:sz w:val="22"/>
        </w:rPr>
        <w:t>,</w:t>
      </w:r>
      <w:r>
        <w:rPr>
          <w:spacing w:val="-3"/>
          <w:sz w:val="22"/>
        </w:rPr>
        <w:t> </w:t>
      </w:r>
      <w:r>
        <w:rPr>
          <w:sz w:val="22"/>
        </w:rPr>
        <w:t>año</w:t>
      </w:r>
      <w:r>
        <w:rPr>
          <w:spacing w:val="-6"/>
          <w:sz w:val="22"/>
        </w:rPr>
        <w:t> </w:t>
      </w:r>
      <w:r>
        <w:rPr>
          <w:sz w:val="22"/>
        </w:rPr>
        <w:t>V,</w:t>
      </w:r>
      <w:r>
        <w:rPr>
          <w:spacing w:val="-3"/>
          <w:sz w:val="22"/>
        </w:rPr>
        <w:t> </w:t>
      </w:r>
      <w:r>
        <w:rPr>
          <w:sz w:val="22"/>
        </w:rPr>
        <w:t>núm.</w:t>
      </w:r>
      <w:r>
        <w:rPr>
          <w:spacing w:val="-5"/>
          <w:sz w:val="22"/>
        </w:rPr>
        <w:t> </w:t>
      </w:r>
      <w:r>
        <w:rPr>
          <w:sz w:val="22"/>
        </w:rPr>
        <w:t>28,</w:t>
      </w:r>
      <w:r>
        <w:rPr>
          <w:spacing w:val="-5"/>
          <w:sz w:val="22"/>
        </w:rPr>
        <w:t> </w:t>
      </w:r>
      <w:r>
        <w:rPr>
          <w:sz w:val="22"/>
        </w:rPr>
        <w:t>México:</w:t>
      </w:r>
      <w:r>
        <w:rPr>
          <w:spacing w:val="-3"/>
          <w:sz w:val="22"/>
        </w:rPr>
        <w:t> </w:t>
      </w:r>
      <w:r>
        <w:rPr>
          <w:sz w:val="22"/>
        </w:rPr>
        <w:t>Instituto</w:t>
      </w:r>
      <w:r>
        <w:rPr>
          <w:spacing w:val="-3"/>
          <w:sz w:val="22"/>
        </w:rPr>
        <w:t> </w:t>
      </w:r>
      <w:r>
        <w:rPr>
          <w:sz w:val="22"/>
        </w:rPr>
        <w:t>de</w:t>
      </w:r>
      <w:r>
        <w:rPr>
          <w:spacing w:val="-4"/>
          <w:sz w:val="22"/>
        </w:rPr>
        <w:t> </w:t>
      </w:r>
      <w:r>
        <w:rPr>
          <w:sz w:val="22"/>
        </w:rPr>
        <w:t>Ciencias Jurídicas de</w:t>
      </w:r>
      <w:r>
        <w:rPr>
          <w:spacing w:val="-4"/>
          <w:sz w:val="22"/>
        </w:rPr>
        <w:t> </w:t>
      </w:r>
      <w:r>
        <w:rPr>
          <w:sz w:val="22"/>
        </w:rPr>
        <w:t>Puebla.</w:t>
      </w:r>
    </w:p>
    <w:p>
      <w:pPr>
        <w:pStyle w:val="BodyText"/>
        <w:spacing w:before="1"/>
        <w:rPr>
          <w:sz w:val="25"/>
        </w:rPr>
      </w:pPr>
    </w:p>
    <w:p>
      <w:pPr>
        <w:spacing w:line="360" w:lineRule="auto" w:before="0"/>
        <w:ind w:left="102" w:right="162" w:firstLine="0"/>
        <w:jc w:val="both"/>
        <w:rPr>
          <w:sz w:val="22"/>
        </w:rPr>
      </w:pPr>
      <w:r>
        <w:rPr>
          <w:sz w:val="22"/>
        </w:rPr>
        <w:t>Heise, Lori (1999), “Violencia contra las mujeres: un marco ecológico integrado”, en Backhaus,</w:t>
      </w:r>
      <w:r>
        <w:rPr>
          <w:spacing w:val="-16"/>
          <w:sz w:val="22"/>
        </w:rPr>
        <w:t> </w:t>
      </w:r>
      <w:r>
        <w:rPr>
          <w:sz w:val="22"/>
        </w:rPr>
        <w:t>Annette</w:t>
      </w:r>
      <w:r>
        <w:rPr>
          <w:spacing w:val="-19"/>
          <w:sz w:val="22"/>
        </w:rPr>
        <w:t> </w:t>
      </w:r>
      <w:r>
        <w:rPr>
          <w:sz w:val="22"/>
        </w:rPr>
        <w:t>(compiladora),</w:t>
      </w:r>
      <w:r>
        <w:rPr>
          <w:spacing w:val="-14"/>
          <w:sz w:val="22"/>
        </w:rPr>
        <w:t> </w:t>
      </w:r>
      <w:r>
        <w:rPr>
          <w:i/>
          <w:sz w:val="22"/>
        </w:rPr>
        <w:t>Violencia</w:t>
      </w:r>
      <w:r>
        <w:rPr>
          <w:i/>
          <w:spacing w:val="-17"/>
          <w:sz w:val="22"/>
        </w:rPr>
        <w:t> </w:t>
      </w:r>
      <w:r>
        <w:rPr>
          <w:i/>
          <w:sz w:val="22"/>
        </w:rPr>
        <w:t>de</w:t>
      </w:r>
      <w:r>
        <w:rPr>
          <w:i/>
          <w:spacing w:val="-17"/>
          <w:sz w:val="22"/>
        </w:rPr>
        <w:t> </w:t>
      </w:r>
      <w:r>
        <w:rPr>
          <w:i/>
          <w:sz w:val="22"/>
        </w:rPr>
        <w:t>Género</w:t>
      </w:r>
      <w:r>
        <w:rPr>
          <w:i/>
          <w:spacing w:val="-16"/>
          <w:sz w:val="22"/>
        </w:rPr>
        <w:t> </w:t>
      </w:r>
      <w:r>
        <w:rPr>
          <w:i/>
          <w:sz w:val="22"/>
        </w:rPr>
        <w:t>y</w:t>
      </w:r>
      <w:r>
        <w:rPr>
          <w:i/>
          <w:spacing w:val="-17"/>
          <w:sz w:val="22"/>
        </w:rPr>
        <w:t> </w:t>
      </w:r>
      <w:r>
        <w:rPr>
          <w:i/>
          <w:sz w:val="22"/>
        </w:rPr>
        <w:t>Estrategias</w:t>
      </w:r>
      <w:r>
        <w:rPr>
          <w:i/>
          <w:spacing w:val="-17"/>
          <w:sz w:val="22"/>
        </w:rPr>
        <w:t> </w:t>
      </w:r>
      <w:r>
        <w:rPr>
          <w:i/>
          <w:sz w:val="22"/>
        </w:rPr>
        <w:t>de</w:t>
      </w:r>
      <w:r>
        <w:rPr>
          <w:i/>
          <w:spacing w:val="-17"/>
          <w:sz w:val="22"/>
        </w:rPr>
        <w:t> </w:t>
      </w:r>
      <w:r>
        <w:rPr>
          <w:i/>
          <w:sz w:val="22"/>
        </w:rPr>
        <w:t>Cambio,</w:t>
      </w:r>
      <w:r>
        <w:rPr>
          <w:i/>
          <w:spacing w:val="-15"/>
          <w:sz w:val="22"/>
        </w:rPr>
        <w:t> </w:t>
      </w:r>
      <w:r>
        <w:rPr>
          <w:sz w:val="22"/>
        </w:rPr>
        <w:t>Managua: Proyecto de Promoción De Políticas</w:t>
      </w:r>
      <w:r>
        <w:rPr>
          <w:spacing w:val="-12"/>
          <w:sz w:val="22"/>
        </w:rPr>
        <w:t> </w:t>
      </w:r>
      <w:r>
        <w:rPr>
          <w:sz w:val="22"/>
        </w:rPr>
        <w:t>Públicas.</w:t>
      </w:r>
    </w:p>
    <w:p>
      <w:pPr>
        <w:pStyle w:val="BodyText"/>
        <w:spacing w:before="8"/>
        <w:rPr>
          <w:sz w:val="24"/>
        </w:rPr>
      </w:pPr>
    </w:p>
    <w:p>
      <w:pPr>
        <w:spacing w:line="357" w:lineRule="auto" w:before="0"/>
        <w:ind w:left="102" w:right="117" w:firstLine="0"/>
        <w:jc w:val="both"/>
        <w:rPr>
          <w:sz w:val="22"/>
        </w:rPr>
      </w:pPr>
      <w:r>
        <w:rPr>
          <w:sz w:val="22"/>
        </w:rPr>
        <w:t>Hitters,</w:t>
      </w:r>
      <w:r>
        <w:rPr>
          <w:spacing w:val="-9"/>
          <w:sz w:val="22"/>
        </w:rPr>
        <w:t> </w:t>
      </w:r>
      <w:r>
        <w:rPr>
          <w:sz w:val="22"/>
        </w:rPr>
        <w:t>Juan</w:t>
      </w:r>
      <w:r>
        <w:rPr>
          <w:spacing w:val="-7"/>
          <w:sz w:val="22"/>
        </w:rPr>
        <w:t> </w:t>
      </w:r>
      <w:r>
        <w:rPr>
          <w:sz w:val="22"/>
        </w:rPr>
        <w:t>Carlos</w:t>
      </w:r>
      <w:r>
        <w:rPr>
          <w:spacing w:val="-10"/>
          <w:sz w:val="22"/>
        </w:rPr>
        <w:t> </w:t>
      </w:r>
      <w:r>
        <w:rPr>
          <w:sz w:val="22"/>
        </w:rPr>
        <w:t>(2009),</w:t>
      </w:r>
      <w:r>
        <w:rPr>
          <w:spacing w:val="-8"/>
          <w:sz w:val="22"/>
        </w:rPr>
        <w:t> </w:t>
      </w:r>
      <w:r>
        <w:rPr>
          <w:sz w:val="22"/>
        </w:rPr>
        <w:t>“Control</w:t>
      </w:r>
      <w:r>
        <w:rPr>
          <w:spacing w:val="-8"/>
          <w:sz w:val="22"/>
        </w:rPr>
        <w:t> </w:t>
      </w:r>
      <w:r>
        <w:rPr>
          <w:sz w:val="22"/>
        </w:rPr>
        <w:t>de</w:t>
      </w:r>
      <w:r>
        <w:rPr>
          <w:spacing w:val="-10"/>
          <w:sz w:val="22"/>
        </w:rPr>
        <w:t> </w:t>
      </w:r>
      <w:r>
        <w:rPr>
          <w:sz w:val="22"/>
        </w:rPr>
        <w:t>Constitucionalidad</w:t>
      </w:r>
      <w:r>
        <w:rPr>
          <w:spacing w:val="-7"/>
          <w:sz w:val="22"/>
        </w:rPr>
        <w:t> </w:t>
      </w:r>
      <w:r>
        <w:rPr>
          <w:sz w:val="22"/>
        </w:rPr>
        <w:t>y</w:t>
      </w:r>
      <w:r>
        <w:rPr>
          <w:spacing w:val="-9"/>
          <w:sz w:val="22"/>
        </w:rPr>
        <w:t> </w:t>
      </w:r>
      <w:r>
        <w:rPr>
          <w:sz w:val="22"/>
        </w:rPr>
        <w:t>Control</w:t>
      </w:r>
      <w:r>
        <w:rPr>
          <w:spacing w:val="-8"/>
          <w:sz w:val="22"/>
        </w:rPr>
        <w:t> </w:t>
      </w:r>
      <w:r>
        <w:rPr>
          <w:sz w:val="22"/>
        </w:rPr>
        <w:t>de</w:t>
      </w:r>
      <w:r>
        <w:rPr>
          <w:spacing w:val="-10"/>
          <w:sz w:val="22"/>
        </w:rPr>
        <w:t> </w:t>
      </w:r>
      <w:r>
        <w:rPr>
          <w:sz w:val="22"/>
        </w:rPr>
        <w:t>Convencionalidad”, en </w:t>
      </w:r>
      <w:r>
        <w:rPr>
          <w:i/>
          <w:sz w:val="22"/>
        </w:rPr>
        <w:t>Centro de Estudios Constitucionales de Chile, Universidad de Talca, </w:t>
      </w:r>
      <w:r>
        <w:rPr>
          <w:sz w:val="22"/>
        </w:rPr>
        <w:t>Año 7, núm. 2, 2009. Chile: Estudios</w:t>
      </w:r>
      <w:r>
        <w:rPr>
          <w:spacing w:val="-8"/>
          <w:sz w:val="22"/>
        </w:rPr>
        <w:t> </w:t>
      </w:r>
      <w:r>
        <w:rPr>
          <w:sz w:val="22"/>
        </w:rPr>
        <w:t>Constitucionales.</w:t>
      </w:r>
    </w:p>
    <w:p>
      <w:pPr>
        <w:spacing w:after="0" w:line="357" w:lineRule="auto"/>
        <w:jc w:val="both"/>
        <w:rPr>
          <w:sz w:val="22"/>
        </w:rPr>
        <w:sectPr>
          <w:pgSz w:w="12240" w:h="15840"/>
          <w:pgMar w:header="0" w:footer="1002" w:top="1500" w:bottom="1200" w:left="1600" w:right="1580"/>
        </w:sectPr>
      </w:pPr>
    </w:p>
    <w:p>
      <w:pPr>
        <w:spacing w:before="54"/>
        <w:ind w:left="102" w:right="96" w:firstLine="0"/>
        <w:jc w:val="left"/>
        <w:rPr>
          <w:sz w:val="22"/>
        </w:rPr>
      </w:pPr>
      <w:r>
        <w:rPr>
          <w:sz w:val="22"/>
        </w:rPr>
        <w:t>INMUJERES (2007), </w:t>
      </w:r>
      <w:r>
        <w:rPr>
          <w:i/>
          <w:sz w:val="22"/>
        </w:rPr>
        <w:t>Glosario de género, </w:t>
      </w:r>
      <w:r>
        <w:rPr>
          <w:sz w:val="22"/>
        </w:rPr>
        <w:t>México: Instituto Nacional de las Mujeres.</w:t>
      </w:r>
    </w:p>
    <w:p>
      <w:pPr>
        <w:pStyle w:val="BodyText"/>
        <w:spacing w:before="5"/>
        <w:rPr>
          <w:sz w:val="28"/>
        </w:rPr>
      </w:pPr>
    </w:p>
    <w:p>
      <w:pPr>
        <w:tabs>
          <w:tab w:pos="1812" w:val="left" w:leader="none"/>
          <w:tab w:pos="2878" w:val="left" w:leader="none"/>
          <w:tab w:pos="4308" w:val="left" w:leader="none"/>
          <w:tab w:pos="5370" w:val="left" w:leader="none"/>
          <w:tab w:pos="6472" w:val="left" w:leader="none"/>
          <w:tab w:pos="8136" w:val="left" w:leader="none"/>
        </w:tabs>
        <w:spacing w:line="360" w:lineRule="auto" w:before="1"/>
        <w:ind w:left="102" w:right="163" w:firstLine="0"/>
        <w:jc w:val="left"/>
        <w:rPr>
          <w:sz w:val="22"/>
        </w:rPr>
      </w:pPr>
      <w:r>
        <w:rPr>
          <w:sz w:val="22"/>
        </w:rPr>
        <w:t>INMUJERES (2010), </w:t>
      </w:r>
      <w:r>
        <w:rPr>
          <w:i/>
          <w:sz w:val="22"/>
        </w:rPr>
        <w:t>Convención Interamericana para Prevenir, Sancionar y Erradicar la </w:t>
      </w:r>
      <w:r>
        <w:rPr>
          <w:i/>
          <w:sz w:val="22"/>
        </w:rPr>
        <w:t>Violencia</w:t>
        <w:tab/>
        <w:t>en</w:t>
        <w:tab/>
        <w:t>contra</w:t>
        <w:tab/>
        <w:t>de</w:t>
        <w:tab/>
        <w:t>las</w:t>
        <w:tab/>
        <w:t>Mujeres,</w:t>
        <w:tab/>
      </w:r>
      <w:r>
        <w:rPr>
          <w:spacing w:val="-1"/>
          <w:sz w:val="22"/>
        </w:rPr>
        <w:t>México, </w:t>
      </w:r>
      <w:hyperlink r:id="rId148">
        <w:r>
          <w:rPr>
            <w:color w:val="0462C1"/>
            <w:sz w:val="22"/>
            <w:u w:val="single" w:color="0462C1"/>
          </w:rPr>
          <w:t>http://www.inmujeres.gob.mx/inmujeres/index.php/ambitointernacional/convencion-de-</w:t>
        </w:r>
      </w:hyperlink>
      <w:r>
        <w:rPr>
          <w:color w:val="0462C1"/>
          <w:sz w:val="22"/>
          <w:u w:val="single" w:color="0462C1"/>
        </w:rPr>
        <w:t> </w:t>
      </w:r>
      <w:hyperlink r:id="rId148">
        <w:r>
          <w:rPr>
            <w:color w:val="0462C1"/>
            <w:sz w:val="22"/>
            <w:u w:val="single" w:color="0462C1"/>
          </w:rPr>
          <w:t>belem-do-para</w:t>
        </w:r>
      </w:hyperlink>
      <w:r>
        <w:rPr>
          <w:sz w:val="22"/>
        </w:rPr>
        <w:t>, página web consultada el 13 de octubre del</w:t>
      </w:r>
      <w:r>
        <w:rPr>
          <w:spacing w:val="-21"/>
          <w:sz w:val="22"/>
        </w:rPr>
        <w:t> </w:t>
      </w:r>
      <w:r>
        <w:rPr>
          <w:sz w:val="22"/>
        </w:rPr>
        <w:t>2015.</w:t>
      </w:r>
    </w:p>
    <w:p>
      <w:pPr>
        <w:pStyle w:val="BodyText"/>
        <w:spacing w:before="5"/>
        <w:rPr>
          <w:sz w:val="11"/>
        </w:rPr>
      </w:pPr>
    </w:p>
    <w:p>
      <w:pPr>
        <w:tabs>
          <w:tab w:pos="2321" w:val="left" w:leader="none"/>
          <w:tab w:pos="3352" w:val="left" w:leader="none"/>
          <w:tab w:pos="4751" w:val="left" w:leader="none"/>
          <w:tab w:pos="5782" w:val="left" w:leader="none"/>
          <w:tab w:pos="6739" w:val="left" w:leader="none"/>
          <w:tab w:pos="8141" w:val="left" w:leader="none"/>
        </w:tabs>
        <w:spacing w:line="360" w:lineRule="auto" w:before="73"/>
        <w:ind w:left="102" w:right="162" w:firstLine="0"/>
        <w:jc w:val="both"/>
        <w:rPr>
          <w:sz w:val="22"/>
        </w:rPr>
      </w:pPr>
      <w:r>
        <w:rPr>
          <w:sz w:val="22"/>
        </w:rPr>
        <w:t>INMUJERES (2010), </w:t>
      </w:r>
      <w:r>
        <w:rPr>
          <w:i/>
          <w:sz w:val="22"/>
        </w:rPr>
        <w:t>Convención sobre la eliminación de todas las formas de </w:t>
      </w:r>
      <w:r>
        <w:rPr>
          <w:i/>
          <w:sz w:val="22"/>
        </w:rPr>
        <w:t>Discriminación</w:t>
        <w:tab/>
        <w:t>en</w:t>
        <w:tab/>
        <w:t>contra</w:t>
        <w:tab/>
        <w:t>de</w:t>
        <w:tab/>
        <w:t>la</w:t>
        <w:tab/>
        <w:t>Mujer,</w:t>
        <w:tab/>
        <w:t>México</w:t>
      </w:r>
      <w:r>
        <w:rPr>
          <w:rFonts w:ascii="Calibri" w:hAnsi="Calibri"/>
          <w:sz w:val="22"/>
        </w:rPr>
        <w:t>, </w:t>
      </w:r>
      <w:hyperlink r:id="rId149">
        <w:r>
          <w:rPr>
            <w:i/>
            <w:color w:val="0462C1"/>
            <w:sz w:val="22"/>
            <w:u w:val="single" w:color="0462C1"/>
          </w:rPr>
          <w:t>http://www.inmujeres.gob.mx/inmujeres/index.php/ambito,internacional/cedaw</w:t>
        </w:r>
      </w:hyperlink>
      <w:r>
        <w:rPr>
          <w:i/>
          <w:sz w:val="22"/>
        </w:rPr>
        <w:t>,  </w:t>
      </w:r>
      <w:r>
        <w:rPr>
          <w:sz w:val="22"/>
        </w:rPr>
        <w:t>página web consultada el 13 de octubre del</w:t>
      </w:r>
      <w:r>
        <w:rPr>
          <w:spacing w:val="-9"/>
          <w:sz w:val="22"/>
        </w:rPr>
        <w:t> </w:t>
      </w:r>
      <w:r>
        <w:rPr>
          <w:sz w:val="22"/>
        </w:rPr>
        <w:t>2015.</w:t>
      </w:r>
    </w:p>
    <w:p>
      <w:pPr>
        <w:pStyle w:val="BodyText"/>
        <w:spacing w:before="7"/>
        <w:rPr>
          <w:sz w:val="17"/>
        </w:rPr>
      </w:pPr>
    </w:p>
    <w:p>
      <w:pPr>
        <w:spacing w:line="276" w:lineRule="auto" w:before="0"/>
        <w:ind w:left="102" w:right="114" w:firstLine="0"/>
        <w:jc w:val="both"/>
        <w:rPr>
          <w:sz w:val="22"/>
        </w:rPr>
      </w:pPr>
      <w:r>
        <w:rPr/>
        <w:pict>
          <v:line style="position:absolute;mso-position-horizontal-relative:page;mso-position-vertical-relative:paragraph;z-index:-95392" from="445.269989pt,41.097862pt" to="448.389989pt,41.097862pt" stroked="true" strokeweight=".84pt" strokecolor="#000000">
            <w10:wrap type="none"/>
          </v:line>
        </w:pict>
      </w:r>
      <w:r>
        <w:rPr>
          <w:sz w:val="22"/>
        </w:rPr>
        <w:t>Mena, Vázquez Jorge (2007), “El amicus cuariae como herramienta de la democracia deliberativa” en </w:t>
      </w:r>
      <w:r>
        <w:rPr>
          <w:i/>
          <w:sz w:val="22"/>
        </w:rPr>
        <w:t>Biblioteca Jurídica Virtual del Instituto de Investigaciones Jurídicas UNAM, </w:t>
      </w:r>
      <w:hyperlink r:id="rId150">
        <w:r>
          <w:rPr>
            <w:color w:val="0462C1"/>
            <w:sz w:val="22"/>
            <w:u w:val="single" w:color="0462C1"/>
          </w:rPr>
          <w:t>http://www.juridicas.unam.mx/publica/librev/rev/juselec/cont/27/drl/drl7.pdf</w:t>
        </w:r>
      </w:hyperlink>
      <w:r>
        <w:rPr>
          <w:sz w:val="22"/>
        </w:rPr>
        <w:t>, consultada el 14 de noviembre del 2015.</w:t>
      </w:r>
    </w:p>
    <w:p>
      <w:pPr>
        <w:pStyle w:val="BodyText"/>
        <w:spacing w:before="4"/>
        <w:rPr>
          <w:sz w:val="17"/>
        </w:rPr>
      </w:pPr>
    </w:p>
    <w:p>
      <w:pPr>
        <w:spacing w:line="360" w:lineRule="auto" w:before="0"/>
        <w:ind w:left="102" w:right="115" w:firstLine="0"/>
        <w:jc w:val="both"/>
        <w:rPr>
          <w:sz w:val="22"/>
        </w:rPr>
      </w:pPr>
      <w:r>
        <w:rPr>
          <w:sz w:val="22"/>
        </w:rPr>
        <w:t>Montoya Velasco, Abraham (2015), </w:t>
      </w:r>
      <w:r>
        <w:rPr>
          <w:i/>
          <w:sz w:val="22"/>
        </w:rPr>
        <w:t>Diagnóstico para la elaboración del proyecto terminal </w:t>
      </w:r>
      <w:r>
        <w:rPr>
          <w:i/>
          <w:sz w:val="22"/>
        </w:rPr>
        <w:t>de la Especialidad en Género, Violencia y Políticas Públicas, </w:t>
      </w:r>
      <w:r>
        <w:rPr>
          <w:sz w:val="22"/>
        </w:rPr>
        <w:t>Trabajo terminal de la Especialidad en Género, Violencia y Políticas Públicas, México: Universidad Autónoma del Estado de México.</w:t>
      </w:r>
    </w:p>
    <w:p>
      <w:pPr>
        <w:pStyle w:val="BodyText"/>
        <w:spacing w:before="7"/>
        <w:rPr>
          <w:sz w:val="17"/>
        </w:rPr>
      </w:pPr>
    </w:p>
    <w:p>
      <w:pPr>
        <w:spacing w:before="0"/>
        <w:ind w:left="102" w:right="0" w:firstLine="0"/>
        <w:jc w:val="both"/>
        <w:rPr>
          <w:i/>
          <w:sz w:val="22"/>
        </w:rPr>
      </w:pPr>
      <w:r>
        <w:rPr>
          <w:sz w:val="22"/>
        </w:rPr>
        <w:t>ONU MUJERES (2012), </w:t>
      </w:r>
      <w:r>
        <w:rPr>
          <w:i/>
          <w:sz w:val="22"/>
        </w:rPr>
        <w:t>Manual de legislación sobre la violencia en contra de la mujer,</w:t>
      </w:r>
    </w:p>
    <w:p>
      <w:pPr>
        <w:pStyle w:val="BodyText"/>
        <w:spacing w:before="126"/>
        <w:ind w:left="102"/>
        <w:jc w:val="both"/>
      </w:pPr>
      <w:r>
        <w:rPr/>
        <w:t>Nueva York: ONU MUJERES.</w:t>
      </w:r>
    </w:p>
    <w:p>
      <w:pPr>
        <w:pStyle w:val="BodyText"/>
        <w:spacing w:before="5"/>
        <w:rPr>
          <w:sz w:val="28"/>
        </w:rPr>
      </w:pPr>
    </w:p>
    <w:p>
      <w:pPr>
        <w:spacing w:line="360" w:lineRule="auto" w:before="1"/>
        <w:ind w:left="102" w:right="116" w:firstLine="0"/>
        <w:jc w:val="both"/>
        <w:rPr>
          <w:sz w:val="22"/>
        </w:rPr>
      </w:pPr>
      <w:r>
        <w:rPr>
          <w:sz w:val="22"/>
        </w:rPr>
        <w:t>Poder Legislativo (2015), </w:t>
      </w:r>
      <w:r>
        <w:rPr>
          <w:i/>
          <w:sz w:val="22"/>
        </w:rPr>
        <w:t>Constitución Política de los Estados Unidos Mexicanos, </w:t>
      </w:r>
      <w:r>
        <w:rPr>
          <w:sz w:val="22"/>
        </w:rPr>
        <w:t>Mexíco: ISEF.</w:t>
      </w:r>
    </w:p>
    <w:p>
      <w:pPr>
        <w:pStyle w:val="BodyText"/>
        <w:spacing w:before="7"/>
        <w:rPr>
          <w:sz w:val="17"/>
        </w:rPr>
      </w:pPr>
    </w:p>
    <w:p>
      <w:pPr>
        <w:pStyle w:val="BodyText"/>
        <w:spacing w:line="276" w:lineRule="auto"/>
        <w:ind w:left="102" w:right="115"/>
        <w:jc w:val="both"/>
      </w:pPr>
      <w:r>
        <w:rPr/>
        <w:t>Santillán,</w:t>
      </w:r>
      <w:r>
        <w:rPr>
          <w:spacing w:val="-4"/>
        </w:rPr>
        <w:t> </w:t>
      </w:r>
      <w:r>
        <w:rPr/>
        <w:t>Ramírez</w:t>
      </w:r>
      <w:r>
        <w:rPr>
          <w:spacing w:val="-7"/>
        </w:rPr>
        <w:t> </w:t>
      </w:r>
      <w:r>
        <w:rPr/>
        <w:t>Iris</w:t>
      </w:r>
      <w:r>
        <w:rPr>
          <w:spacing w:val="-5"/>
        </w:rPr>
        <w:t> </w:t>
      </w:r>
      <w:r>
        <w:rPr/>
        <w:t>Rocío,</w:t>
      </w:r>
      <w:r>
        <w:rPr>
          <w:spacing w:val="-2"/>
        </w:rPr>
        <w:t> </w:t>
      </w:r>
      <w:r>
        <w:rPr>
          <w:i/>
        </w:rPr>
        <w:t>etal.</w:t>
      </w:r>
      <w:r>
        <w:rPr>
          <w:i/>
          <w:spacing w:val="-4"/>
        </w:rPr>
        <w:t> </w:t>
      </w:r>
      <w:r>
        <w:rPr/>
        <w:t>(2014),</w:t>
      </w:r>
      <w:r>
        <w:rPr>
          <w:spacing w:val="-4"/>
        </w:rPr>
        <w:t> </w:t>
      </w:r>
      <w:r>
        <w:rPr/>
        <w:t>“Amicus</w:t>
      </w:r>
      <w:r>
        <w:rPr>
          <w:spacing w:val="-5"/>
        </w:rPr>
        <w:t> </w:t>
      </w:r>
      <w:r>
        <w:rPr/>
        <w:t>curiae:</w:t>
      </w:r>
      <w:r>
        <w:rPr>
          <w:spacing w:val="-4"/>
        </w:rPr>
        <w:t> </w:t>
      </w:r>
      <w:r>
        <w:rPr/>
        <w:t>Análisis</w:t>
      </w:r>
      <w:r>
        <w:rPr>
          <w:spacing w:val="-5"/>
        </w:rPr>
        <w:t> </w:t>
      </w:r>
      <w:r>
        <w:rPr/>
        <w:t>jurídico</w:t>
      </w:r>
      <w:r>
        <w:rPr>
          <w:spacing w:val="-5"/>
        </w:rPr>
        <w:t> </w:t>
      </w:r>
      <w:r>
        <w:rPr/>
        <w:t>con</w:t>
      </w:r>
      <w:r>
        <w:rPr>
          <w:spacing w:val="-5"/>
        </w:rPr>
        <w:t> </w:t>
      </w:r>
      <w:r>
        <w:rPr/>
        <w:t>perspectiva de género del caso Clara Tapia Herrera. La importancia de la eliminación de estereotipos sexistas”, en </w:t>
      </w:r>
      <w:r>
        <w:rPr>
          <w:i/>
        </w:rPr>
        <w:t>Alegatos, </w:t>
      </w:r>
      <w:r>
        <w:rPr/>
        <w:t>enero-abril 2014, número 86, 2014. México: Universidad Autónoma Metropolitana.</w:t>
      </w:r>
    </w:p>
    <w:p>
      <w:pPr>
        <w:pStyle w:val="BodyText"/>
        <w:spacing w:before="4"/>
        <w:rPr>
          <w:sz w:val="17"/>
        </w:rPr>
      </w:pPr>
    </w:p>
    <w:p>
      <w:pPr>
        <w:spacing w:before="0"/>
        <w:ind w:left="102" w:right="0" w:firstLine="0"/>
        <w:jc w:val="both"/>
        <w:rPr>
          <w:sz w:val="22"/>
        </w:rPr>
      </w:pPr>
      <w:r>
        <w:rPr>
          <w:sz w:val="22"/>
        </w:rPr>
        <w:t>SCJN (1997), </w:t>
      </w:r>
      <w:r>
        <w:rPr>
          <w:i/>
          <w:sz w:val="22"/>
        </w:rPr>
        <w:t>Principio de Igualdad, </w:t>
      </w:r>
      <w:r>
        <w:rPr>
          <w:sz w:val="22"/>
        </w:rPr>
        <w:t>México: SCJN.</w:t>
      </w:r>
    </w:p>
    <w:p>
      <w:pPr>
        <w:pStyle w:val="BodyText"/>
        <w:spacing w:before="5"/>
        <w:rPr>
          <w:sz w:val="28"/>
        </w:rPr>
      </w:pPr>
    </w:p>
    <w:p>
      <w:pPr>
        <w:spacing w:line="360" w:lineRule="auto" w:before="1"/>
        <w:ind w:left="102" w:right="164" w:firstLine="0"/>
        <w:jc w:val="both"/>
        <w:rPr>
          <w:sz w:val="22"/>
        </w:rPr>
      </w:pPr>
      <w:r>
        <w:rPr>
          <w:sz w:val="22"/>
        </w:rPr>
        <w:t>SCJN</w:t>
      </w:r>
      <w:r>
        <w:rPr>
          <w:spacing w:val="-11"/>
          <w:sz w:val="22"/>
        </w:rPr>
        <w:t> </w:t>
      </w:r>
      <w:r>
        <w:rPr>
          <w:sz w:val="22"/>
        </w:rPr>
        <w:t>(2010),</w:t>
      </w:r>
      <w:r>
        <w:rPr>
          <w:spacing w:val="-8"/>
          <w:sz w:val="22"/>
        </w:rPr>
        <w:t> </w:t>
      </w:r>
      <w:r>
        <w:rPr>
          <w:i/>
          <w:sz w:val="22"/>
        </w:rPr>
        <w:t>¿Qué</w:t>
      </w:r>
      <w:r>
        <w:rPr>
          <w:i/>
          <w:spacing w:val="-13"/>
          <w:sz w:val="22"/>
        </w:rPr>
        <w:t> </w:t>
      </w:r>
      <w:r>
        <w:rPr>
          <w:i/>
          <w:sz w:val="22"/>
        </w:rPr>
        <w:t>son</w:t>
      </w:r>
      <w:r>
        <w:rPr>
          <w:i/>
          <w:spacing w:val="-10"/>
          <w:sz w:val="22"/>
        </w:rPr>
        <w:t> </w:t>
      </w:r>
      <w:r>
        <w:rPr>
          <w:i/>
          <w:sz w:val="22"/>
        </w:rPr>
        <w:t>los</w:t>
      </w:r>
      <w:r>
        <w:rPr>
          <w:i/>
          <w:spacing w:val="-10"/>
          <w:sz w:val="22"/>
        </w:rPr>
        <w:t> </w:t>
      </w:r>
      <w:r>
        <w:rPr>
          <w:i/>
          <w:sz w:val="22"/>
        </w:rPr>
        <w:t>estereotipos</w:t>
      </w:r>
      <w:r>
        <w:rPr>
          <w:i/>
          <w:spacing w:val="-10"/>
          <w:sz w:val="22"/>
        </w:rPr>
        <w:t> </w:t>
      </w:r>
      <w:r>
        <w:rPr>
          <w:i/>
          <w:sz w:val="22"/>
        </w:rPr>
        <w:t>de</w:t>
      </w:r>
      <w:r>
        <w:rPr>
          <w:i/>
          <w:spacing w:val="-10"/>
          <w:sz w:val="22"/>
        </w:rPr>
        <w:t> </w:t>
      </w:r>
      <w:r>
        <w:rPr>
          <w:i/>
          <w:sz w:val="22"/>
        </w:rPr>
        <w:t>género?</w:t>
      </w:r>
      <w:r>
        <w:rPr>
          <w:i/>
          <w:spacing w:val="-9"/>
          <w:sz w:val="22"/>
        </w:rPr>
        <w:t> </w:t>
      </w:r>
      <w:r>
        <w:rPr>
          <w:sz w:val="22"/>
        </w:rPr>
        <w:t>en</w:t>
      </w:r>
      <w:r>
        <w:rPr>
          <w:spacing w:val="-10"/>
          <w:sz w:val="22"/>
        </w:rPr>
        <w:t> </w:t>
      </w:r>
      <w:r>
        <w:rPr>
          <w:sz w:val="22"/>
        </w:rPr>
        <w:t>Boletín</w:t>
      </w:r>
      <w:r>
        <w:rPr>
          <w:spacing w:val="-8"/>
          <w:sz w:val="22"/>
        </w:rPr>
        <w:t> </w:t>
      </w:r>
      <w:r>
        <w:rPr>
          <w:sz w:val="22"/>
        </w:rPr>
        <w:t>Mensual</w:t>
      </w:r>
      <w:r>
        <w:rPr>
          <w:spacing w:val="-11"/>
          <w:sz w:val="22"/>
        </w:rPr>
        <w:t> </w:t>
      </w:r>
      <w:r>
        <w:rPr>
          <w:sz w:val="22"/>
        </w:rPr>
        <w:t>Género</w:t>
      </w:r>
      <w:r>
        <w:rPr>
          <w:spacing w:val="-10"/>
          <w:sz w:val="22"/>
        </w:rPr>
        <w:t> </w:t>
      </w:r>
      <w:r>
        <w:rPr>
          <w:sz w:val="22"/>
        </w:rPr>
        <w:t>y</w:t>
      </w:r>
      <w:r>
        <w:rPr>
          <w:spacing w:val="-12"/>
          <w:sz w:val="22"/>
        </w:rPr>
        <w:t> </w:t>
      </w:r>
      <w:r>
        <w:rPr>
          <w:sz w:val="22"/>
        </w:rPr>
        <w:t>Justicia, Noviembre 2010, México:</w:t>
      </w:r>
      <w:r>
        <w:rPr>
          <w:spacing w:val="-7"/>
          <w:sz w:val="22"/>
        </w:rPr>
        <w:t> </w:t>
      </w:r>
      <w:r>
        <w:rPr>
          <w:sz w:val="22"/>
        </w:rPr>
        <w:t>SCJN.</w:t>
      </w:r>
    </w:p>
    <w:p>
      <w:pPr>
        <w:pStyle w:val="BodyText"/>
        <w:spacing w:before="7"/>
        <w:rPr>
          <w:sz w:val="17"/>
        </w:rPr>
      </w:pPr>
    </w:p>
    <w:p>
      <w:pPr>
        <w:spacing w:before="0"/>
        <w:ind w:left="102" w:right="0" w:firstLine="0"/>
        <w:jc w:val="both"/>
        <w:rPr>
          <w:sz w:val="22"/>
        </w:rPr>
      </w:pPr>
      <w:r>
        <w:rPr>
          <w:sz w:val="22"/>
        </w:rPr>
        <w:t>SCJN (2013), </w:t>
      </w:r>
      <w:r>
        <w:rPr>
          <w:i/>
          <w:sz w:val="22"/>
        </w:rPr>
        <w:t>Protocolo para Juzgar con Perspectiva de Género, </w:t>
      </w:r>
      <w:r>
        <w:rPr>
          <w:sz w:val="22"/>
        </w:rPr>
        <w:t>México: SCJN.</w:t>
      </w:r>
    </w:p>
    <w:p>
      <w:pPr>
        <w:spacing w:after="0"/>
        <w:jc w:val="both"/>
        <w:rPr>
          <w:sz w:val="22"/>
        </w:rPr>
        <w:sectPr>
          <w:footerReference w:type="default" r:id="rId147"/>
          <w:pgSz w:w="12240" w:h="15840"/>
          <w:pgMar w:footer="1002" w:header="0" w:top="1360" w:bottom="1200" w:left="1600" w:right="1580"/>
          <w:pgNumType w:start="110"/>
        </w:sectPr>
      </w:pPr>
    </w:p>
    <w:p>
      <w:pPr>
        <w:spacing w:line="360" w:lineRule="auto" w:before="54"/>
        <w:ind w:left="102" w:right="164" w:firstLine="0"/>
        <w:jc w:val="both"/>
        <w:rPr>
          <w:sz w:val="22"/>
        </w:rPr>
      </w:pPr>
      <w:r>
        <w:rPr>
          <w:sz w:val="22"/>
        </w:rPr>
        <w:t>Serret,</w:t>
      </w:r>
      <w:r>
        <w:rPr>
          <w:spacing w:val="-3"/>
          <w:sz w:val="22"/>
        </w:rPr>
        <w:t> </w:t>
      </w:r>
      <w:r>
        <w:rPr>
          <w:sz w:val="22"/>
        </w:rPr>
        <w:t>Bravo</w:t>
      </w:r>
      <w:r>
        <w:rPr>
          <w:spacing w:val="-4"/>
          <w:sz w:val="22"/>
        </w:rPr>
        <w:t> </w:t>
      </w:r>
      <w:r>
        <w:rPr>
          <w:sz w:val="22"/>
        </w:rPr>
        <w:t>Estela</w:t>
      </w:r>
      <w:r>
        <w:rPr>
          <w:spacing w:val="-4"/>
          <w:sz w:val="22"/>
        </w:rPr>
        <w:t> </w:t>
      </w:r>
      <w:r>
        <w:rPr>
          <w:sz w:val="22"/>
        </w:rPr>
        <w:t>(2008),</w:t>
      </w:r>
      <w:r>
        <w:rPr>
          <w:spacing w:val="-4"/>
          <w:sz w:val="22"/>
        </w:rPr>
        <w:t> </w:t>
      </w:r>
      <w:r>
        <w:rPr>
          <w:i/>
          <w:sz w:val="22"/>
        </w:rPr>
        <w:t>Qué</w:t>
      </w:r>
      <w:r>
        <w:rPr>
          <w:i/>
          <w:spacing w:val="-4"/>
          <w:sz w:val="22"/>
        </w:rPr>
        <w:t> </w:t>
      </w:r>
      <w:r>
        <w:rPr>
          <w:i/>
          <w:sz w:val="22"/>
        </w:rPr>
        <w:t>es</w:t>
      </w:r>
      <w:r>
        <w:rPr>
          <w:i/>
          <w:spacing w:val="-6"/>
          <w:sz w:val="22"/>
        </w:rPr>
        <w:t> </w:t>
      </w:r>
      <w:r>
        <w:rPr>
          <w:i/>
          <w:sz w:val="22"/>
        </w:rPr>
        <w:t>y</w:t>
      </w:r>
      <w:r>
        <w:rPr>
          <w:i/>
          <w:spacing w:val="-4"/>
          <w:sz w:val="22"/>
        </w:rPr>
        <w:t> </w:t>
      </w:r>
      <w:r>
        <w:rPr>
          <w:i/>
          <w:sz w:val="22"/>
        </w:rPr>
        <w:t>para</w:t>
      </w:r>
      <w:r>
        <w:rPr>
          <w:i/>
          <w:spacing w:val="-4"/>
          <w:sz w:val="22"/>
        </w:rPr>
        <w:t> </w:t>
      </w:r>
      <w:r>
        <w:rPr>
          <w:i/>
          <w:sz w:val="22"/>
        </w:rPr>
        <w:t>qué</w:t>
      </w:r>
      <w:r>
        <w:rPr>
          <w:i/>
          <w:spacing w:val="-4"/>
          <w:sz w:val="22"/>
        </w:rPr>
        <w:t> </w:t>
      </w:r>
      <w:r>
        <w:rPr>
          <w:i/>
          <w:sz w:val="22"/>
        </w:rPr>
        <w:t>es</w:t>
      </w:r>
      <w:r>
        <w:rPr>
          <w:i/>
          <w:spacing w:val="-4"/>
          <w:sz w:val="22"/>
        </w:rPr>
        <w:t> </w:t>
      </w:r>
      <w:r>
        <w:rPr>
          <w:i/>
          <w:sz w:val="22"/>
        </w:rPr>
        <w:t>la</w:t>
      </w:r>
      <w:r>
        <w:rPr>
          <w:i/>
          <w:spacing w:val="-4"/>
          <w:sz w:val="22"/>
        </w:rPr>
        <w:t> </w:t>
      </w:r>
      <w:r>
        <w:rPr>
          <w:i/>
          <w:sz w:val="22"/>
        </w:rPr>
        <w:t>perspectiva</w:t>
      </w:r>
      <w:r>
        <w:rPr>
          <w:i/>
          <w:spacing w:val="-4"/>
          <w:sz w:val="22"/>
        </w:rPr>
        <w:t> </w:t>
      </w:r>
      <w:r>
        <w:rPr>
          <w:i/>
          <w:sz w:val="22"/>
        </w:rPr>
        <w:t>de</w:t>
      </w:r>
      <w:r>
        <w:rPr>
          <w:i/>
          <w:spacing w:val="-4"/>
          <w:sz w:val="22"/>
        </w:rPr>
        <w:t> </w:t>
      </w:r>
      <w:r>
        <w:rPr>
          <w:i/>
          <w:sz w:val="22"/>
        </w:rPr>
        <w:t>género.</w:t>
      </w:r>
      <w:r>
        <w:rPr>
          <w:i/>
          <w:spacing w:val="-3"/>
          <w:sz w:val="22"/>
        </w:rPr>
        <w:t> </w:t>
      </w:r>
      <w:r>
        <w:rPr>
          <w:i/>
          <w:sz w:val="22"/>
        </w:rPr>
        <w:t>Libro</w:t>
      </w:r>
      <w:r>
        <w:rPr>
          <w:i/>
          <w:spacing w:val="-4"/>
          <w:sz w:val="22"/>
        </w:rPr>
        <w:t> </w:t>
      </w:r>
      <w:r>
        <w:rPr>
          <w:i/>
          <w:sz w:val="22"/>
        </w:rPr>
        <w:t>de</w:t>
      </w:r>
      <w:r>
        <w:rPr>
          <w:i/>
          <w:spacing w:val="-7"/>
          <w:sz w:val="22"/>
        </w:rPr>
        <w:t> </w:t>
      </w:r>
      <w:r>
        <w:rPr>
          <w:i/>
          <w:sz w:val="22"/>
        </w:rPr>
        <w:t>texto </w:t>
      </w:r>
      <w:r>
        <w:rPr>
          <w:i/>
          <w:sz w:val="22"/>
        </w:rPr>
        <w:t>para la asignatura: perspectiva de género en educación superior, </w:t>
      </w:r>
      <w:r>
        <w:rPr>
          <w:sz w:val="22"/>
        </w:rPr>
        <w:t>México: Instituto de la Mujer</w:t>
      </w:r>
      <w:r>
        <w:rPr>
          <w:spacing w:val="-4"/>
          <w:sz w:val="22"/>
        </w:rPr>
        <w:t> </w:t>
      </w:r>
      <w:r>
        <w:rPr>
          <w:sz w:val="22"/>
        </w:rPr>
        <w:t>Oaxaqueña.</w:t>
      </w:r>
    </w:p>
    <w:p>
      <w:pPr>
        <w:pStyle w:val="BodyText"/>
        <w:spacing w:before="7"/>
        <w:rPr>
          <w:sz w:val="17"/>
        </w:rPr>
      </w:pPr>
    </w:p>
    <w:p>
      <w:pPr>
        <w:spacing w:before="0"/>
        <w:ind w:left="102" w:right="0" w:firstLine="0"/>
        <w:jc w:val="both"/>
        <w:rPr>
          <w:sz w:val="22"/>
        </w:rPr>
      </w:pPr>
      <w:r>
        <w:rPr>
          <w:sz w:val="22"/>
        </w:rPr>
        <w:t>Ventura, Silva Sabino (1986), </w:t>
      </w:r>
      <w:r>
        <w:rPr>
          <w:i/>
          <w:sz w:val="22"/>
        </w:rPr>
        <w:t>Derecho Romano, </w:t>
      </w:r>
      <w:r>
        <w:rPr>
          <w:sz w:val="22"/>
        </w:rPr>
        <w:t>México: Porrúa.</w:t>
      </w:r>
    </w:p>
    <w:p>
      <w:pPr>
        <w:spacing w:after="0"/>
        <w:jc w:val="both"/>
        <w:rPr>
          <w:sz w:val="22"/>
        </w:rPr>
        <w:sectPr>
          <w:pgSz w:w="12240" w:h="15840"/>
          <w:pgMar w:header="0" w:footer="1002" w:top="1360" w:bottom="1200" w:left="1600" w:right="1580"/>
        </w:sectPr>
      </w:pPr>
    </w:p>
    <w:p>
      <w:pPr>
        <w:pStyle w:val="Heading8"/>
        <w:spacing w:before="51"/>
        <w:ind w:left="102"/>
        <w:rPr>
          <w:rFonts w:ascii="Arial"/>
        </w:rPr>
      </w:pPr>
      <w:r>
        <w:rPr>
          <w:rFonts w:ascii="Arial"/>
        </w:rPr>
        <w:t>6.        CONCLUSIONES</w:t>
      </w:r>
    </w:p>
    <w:p>
      <w:pPr>
        <w:pStyle w:val="BodyText"/>
        <w:spacing w:before="8"/>
        <w:rPr>
          <w:b/>
          <w:sz w:val="28"/>
        </w:rPr>
      </w:pPr>
    </w:p>
    <w:p>
      <w:pPr>
        <w:pStyle w:val="BodyText"/>
        <w:spacing w:line="360" w:lineRule="auto"/>
        <w:ind w:left="102" w:right="115"/>
        <w:jc w:val="both"/>
      </w:pPr>
      <w:r>
        <w:rPr/>
        <w:t>Las</w:t>
      </w:r>
      <w:r>
        <w:rPr>
          <w:spacing w:val="-4"/>
        </w:rPr>
        <w:t> </w:t>
      </w:r>
      <w:r>
        <w:rPr/>
        <w:t>mujeres</w:t>
      </w:r>
      <w:r>
        <w:rPr>
          <w:spacing w:val="-6"/>
        </w:rPr>
        <w:t> </w:t>
      </w:r>
      <w:r>
        <w:rPr/>
        <w:t>que</w:t>
      </w:r>
      <w:r>
        <w:rPr>
          <w:spacing w:val="-7"/>
        </w:rPr>
        <w:t> </w:t>
      </w:r>
      <w:r>
        <w:rPr/>
        <w:t>cometen</w:t>
      </w:r>
      <w:r>
        <w:rPr>
          <w:spacing w:val="-4"/>
        </w:rPr>
        <w:t> </w:t>
      </w:r>
      <w:r>
        <w:rPr/>
        <w:t>o</w:t>
      </w:r>
      <w:r>
        <w:rPr>
          <w:spacing w:val="-4"/>
        </w:rPr>
        <w:t> </w:t>
      </w:r>
      <w:r>
        <w:rPr/>
        <w:t>son</w:t>
      </w:r>
      <w:r>
        <w:rPr>
          <w:spacing w:val="-7"/>
        </w:rPr>
        <w:t> </w:t>
      </w:r>
      <w:r>
        <w:rPr/>
        <w:t>acusadas</w:t>
      </w:r>
      <w:r>
        <w:rPr>
          <w:spacing w:val="-6"/>
        </w:rPr>
        <w:t> </w:t>
      </w:r>
      <w:r>
        <w:rPr/>
        <w:t>de</w:t>
      </w:r>
      <w:r>
        <w:rPr>
          <w:spacing w:val="-7"/>
        </w:rPr>
        <w:t> </w:t>
      </w:r>
      <w:r>
        <w:rPr/>
        <w:t>cometer</w:t>
      </w:r>
      <w:r>
        <w:rPr>
          <w:spacing w:val="-3"/>
        </w:rPr>
        <w:t> </w:t>
      </w:r>
      <w:r>
        <w:rPr/>
        <w:t>conductas</w:t>
      </w:r>
      <w:r>
        <w:rPr>
          <w:spacing w:val="-6"/>
        </w:rPr>
        <w:t> </w:t>
      </w:r>
      <w:r>
        <w:rPr/>
        <w:t>delictivas,</w:t>
      </w:r>
      <w:r>
        <w:rPr>
          <w:spacing w:val="-3"/>
        </w:rPr>
        <w:t> </w:t>
      </w:r>
      <w:r>
        <w:rPr/>
        <w:t>constituyen</w:t>
      </w:r>
      <w:r>
        <w:rPr>
          <w:spacing w:val="-4"/>
        </w:rPr>
        <w:t> </w:t>
      </w:r>
      <w:r>
        <w:rPr/>
        <w:t>un grupo de la población de las mujeres que sufre una doble exclusión, primero, por el hecho de ser mujeres, y segundo por ser una mujeres que cometió una conducta delictiva. Esto ocasiona</w:t>
      </w:r>
      <w:r>
        <w:rPr>
          <w:spacing w:val="-10"/>
        </w:rPr>
        <w:t> </w:t>
      </w:r>
      <w:r>
        <w:rPr/>
        <w:t>que</w:t>
      </w:r>
      <w:r>
        <w:rPr>
          <w:spacing w:val="-13"/>
        </w:rPr>
        <w:t> </w:t>
      </w:r>
      <w:r>
        <w:rPr/>
        <w:t>se</w:t>
      </w:r>
      <w:r>
        <w:rPr>
          <w:spacing w:val="-10"/>
        </w:rPr>
        <w:t> </w:t>
      </w:r>
      <w:r>
        <w:rPr/>
        <w:t>se</w:t>
      </w:r>
      <w:r>
        <w:rPr>
          <w:spacing w:val="-10"/>
        </w:rPr>
        <w:t> </w:t>
      </w:r>
      <w:r>
        <w:rPr/>
        <w:t>obsatculice</w:t>
      </w:r>
      <w:r>
        <w:rPr>
          <w:spacing w:val="-10"/>
        </w:rPr>
        <w:t> </w:t>
      </w:r>
      <w:r>
        <w:rPr/>
        <w:t>el</w:t>
      </w:r>
      <w:r>
        <w:rPr>
          <w:spacing w:val="-11"/>
        </w:rPr>
        <w:t> </w:t>
      </w:r>
      <w:r>
        <w:rPr/>
        <w:t>acceso</w:t>
      </w:r>
      <w:r>
        <w:rPr>
          <w:spacing w:val="-10"/>
        </w:rPr>
        <w:t> </w:t>
      </w:r>
      <w:r>
        <w:rPr/>
        <w:t>a</w:t>
      </w:r>
      <w:r>
        <w:rPr>
          <w:spacing w:val="-10"/>
        </w:rPr>
        <w:t> </w:t>
      </w:r>
      <w:r>
        <w:rPr/>
        <w:t>la</w:t>
      </w:r>
      <w:r>
        <w:rPr>
          <w:spacing w:val="-12"/>
        </w:rPr>
        <w:t> </w:t>
      </w:r>
      <w:r>
        <w:rPr/>
        <w:t>justicia,</w:t>
      </w:r>
      <w:r>
        <w:rPr>
          <w:spacing w:val="-9"/>
        </w:rPr>
        <w:t> </w:t>
      </w:r>
      <w:r>
        <w:rPr/>
        <w:t>y</w:t>
      </w:r>
      <w:r>
        <w:rPr>
          <w:spacing w:val="-12"/>
        </w:rPr>
        <w:t> </w:t>
      </w:r>
      <w:r>
        <w:rPr/>
        <w:t>se</w:t>
      </w:r>
      <w:r>
        <w:rPr>
          <w:spacing w:val="-10"/>
        </w:rPr>
        <w:t> </w:t>
      </w:r>
      <w:r>
        <w:rPr/>
        <w:t>vulnere</w:t>
      </w:r>
      <w:r>
        <w:rPr>
          <w:spacing w:val="-10"/>
        </w:rPr>
        <w:t> </w:t>
      </w:r>
      <w:r>
        <w:rPr/>
        <w:t>su</w:t>
      </w:r>
      <w:r>
        <w:rPr>
          <w:spacing w:val="-10"/>
        </w:rPr>
        <w:t> </w:t>
      </w:r>
      <w:r>
        <w:rPr/>
        <w:t>derecho</w:t>
      </w:r>
      <w:r>
        <w:rPr>
          <w:spacing w:val="-10"/>
        </w:rPr>
        <w:t> </w:t>
      </w:r>
      <w:r>
        <w:rPr/>
        <w:t>a</w:t>
      </w:r>
      <w:r>
        <w:rPr>
          <w:spacing w:val="-10"/>
        </w:rPr>
        <w:t> </w:t>
      </w:r>
      <w:r>
        <w:rPr/>
        <w:t>un</w:t>
      </w:r>
      <w:r>
        <w:rPr>
          <w:spacing w:val="-10"/>
        </w:rPr>
        <w:t> </w:t>
      </w:r>
      <w:r>
        <w:rPr/>
        <w:t>proceso justo, esto derivado de los estereotipos de género que se encuentran inmersas en las personas</w:t>
      </w:r>
      <w:r>
        <w:rPr>
          <w:spacing w:val="-16"/>
        </w:rPr>
        <w:t> </w:t>
      </w:r>
      <w:r>
        <w:rPr/>
        <w:t>que</w:t>
      </w:r>
      <w:r>
        <w:rPr>
          <w:spacing w:val="-16"/>
        </w:rPr>
        <w:t> </w:t>
      </w:r>
      <w:r>
        <w:rPr/>
        <w:t>intervienen</w:t>
      </w:r>
      <w:r>
        <w:rPr>
          <w:spacing w:val="-14"/>
        </w:rPr>
        <w:t> </w:t>
      </w:r>
      <w:r>
        <w:rPr/>
        <w:t>en</w:t>
      </w:r>
      <w:r>
        <w:rPr>
          <w:spacing w:val="-14"/>
        </w:rPr>
        <w:t> </w:t>
      </w:r>
      <w:r>
        <w:rPr/>
        <w:t>la</w:t>
      </w:r>
      <w:r>
        <w:rPr>
          <w:spacing w:val="-13"/>
        </w:rPr>
        <w:t> </w:t>
      </w:r>
      <w:r>
        <w:rPr/>
        <w:t>actividad</w:t>
      </w:r>
      <w:r>
        <w:rPr>
          <w:spacing w:val="-13"/>
        </w:rPr>
        <w:t> </w:t>
      </w:r>
      <w:r>
        <w:rPr/>
        <w:t>judicial,</w:t>
      </w:r>
      <w:r>
        <w:rPr>
          <w:spacing w:val="-12"/>
        </w:rPr>
        <w:t> </w:t>
      </w:r>
      <w:r>
        <w:rPr/>
        <w:t>por</w:t>
      </w:r>
      <w:r>
        <w:rPr>
          <w:spacing w:val="-13"/>
        </w:rPr>
        <w:t> </w:t>
      </w:r>
      <w:r>
        <w:rPr/>
        <w:t>lo</w:t>
      </w:r>
      <w:r>
        <w:rPr>
          <w:spacing w:val="-13"/>
        </w:rPr>
        <w:t> </w:t>
      </w:r>
      <w:r>
        <w:rPr/>
        <w:t>cual</w:t>
      </w:r>
      <w:r>
        <w:rPr>
          <w:spacing w:val="-14"/>
        </w:rPr>
        <w:t> </w:t>
      </w:r>
      <w:r>
        <w:rPr/>
        <w:t>las</w:t>
      </w:r>
      <w:r>
        <w:rPr>
          <w:spacing w:val="-16"/>
        </w:rPr>
        <w:t> </w:t>
      </w:r>
      <w:r>
        <w:rPr/>
        <w:t>mujeres</w:t>
      </w:r>
      <w:r>
        <w:rPr>
          <w:spacing w:val="-15"/>
        </w:rPr>
        <w:t> </w:t>
      </w:r>
      <w:r>
        <w:rPr/>
        <w:t>lejos</w:t>
      </w:r>
      <w:r>
        <w:rPr>
          <w:spacing w:val="-13"/>
        </w:rPr>
        <w:t> </w:t>
      </w:r>
      <w:r>
        <w:rPr/>
        <w:t>de</w:t>
      </w:r>
      <w:r>
        <w:rPr>
          <w:spacing w:val="-14"/>
        </w:rPr>
        <w:t> </w:t>
      </w:r>
      <w:r>
        <w:rPr/>
        <w:t>ser</w:t>
      </w:r>
      <w:r>
        <w:rPr>
          <w:spacing w:val="-15"/>
        </w:rPr>
        <w:t> </w:t>
      </w:r>
      <w:r>
        <w:rPr/>
        <w:t>titulares y sujetos de derechos, se convierten en mero objetos de derecho, siendo castigadas por trasgredir los estándares impuestos por una cultura androcéntrica, convirtiéndolas en víctimas</w:t>
      </w:r>
      <w:r>
        <w:rPr>
          <w:spacing w:val="-7"/>
        </w:rPr>
        <w:t> </w:t>
      </w:r>
      <w:r>
        <w:rPr/>
        <w:t>de</w:t>
      </w:r>
      <w:r>
        <w:rPr>
          <w:spacing w:val="-10"/>
        </w:rPr>
        <w:t> </w:t>
      </w:r>
      <w:r>
        <w:rPr/>
        <w:t>una</w:t>
      </w:r>
      <w:r>
        <w:rPr>
          <w:spacing w:val="-10"/>
        </w:rPr>
        <w:t> </w:t>
      </w:r>
      <w:r>
        <w:rPr/>
        <w:t>violencia</w:t>
      </w:r>
      <w:r>
        <w:rPr>
          <w:spacing w:val="-5"/>
        </w:rPr>
        <w:t> </w:t>
      </w:r>
      <w:r>
        <w:rPr/>
        <w:t>estructural</w:t>
      </w:r>
      <w:r>
        <w:rPr>
          <w:spacing w:val="-10"/>
        </w:rPr>
        <w:t> </w:t>
      </w:r>
      <w:r>
        <w:rPr/>
        <w:t>invisible,</w:t>
      </w:r>
      <w:r>
        <w:rPr>
          <w:spacing w:val="-6"/>
        </w:rPr>
        <w:t> </w:t>
      </w:r>
      <w:r>
        <w:rPr/>
        <w:t>consistente</w:t>
      </w:r>
      <w:r>
        <w:rPr>
          <w:spacing w:val="-10"/>
        </w:rPr>
        <w:t> </w:t>
      </w:r>
      <w:r>
        <w:rPr/>
        <w:t>en</w:t>
      </w:r>
      <w:r>
        <w:rPr>
          <w:spacing w:val="-10"/>
        </w:rPr>
        <w:t> </w:t>
      </w:r>
      <w:r>
        <w:rPr/>
        <w:t>el</w:t>
      </w:r>
      <w:r>
        <w:rPr>
          <w:spacing w:val="-11"/>
        </w:rPr>
        <w:t> </w:t>
      </w:r>
      <w:r>
        <w:rPr/>
        <w:t>encarcelamiento</w:t>
      </w:r>
      <w:r>
        <w:rPr>
          <w:spacing w:val="-10"/>
        </w:rPr>
        <w:t> </w:t>
      </w:r>
      <w:r>
        <w:rPr/>
        <w:t>masivo</w:t>
      </w:r>
      <w:r>
        <w:rPr>
          <w:spacing w:val="-7"/>
        </w:rPr>
        <w:t> </w:t>
      </w:r>
      <w:r>
        <w:rPr/>
        <w:t>de mujeres.</w:t>
      </w:r>
    </w:p>
    <w:p>
      <w:pPr>
        <w:pStyle w:val="BodyText"/>
        <w:spacing w:before="7"/>
        <w:rPr>
          <w:sz w:val="17"/>
        </w:rPr>
      </w:pPr>
    </w:p>
    <w:p>
      <w:pPr>
        <w:pStyle w:val="BodyText"/>
        <w:spacing w:line="360" w:lineRule="auto"/>
        <w:ind w:left="102" w:right="114"/>
        <w:jc w:val="both"/>
      </w:pPr>
      <w:r>
        <w:rPr/>
        <w:t>Los actores que intervienen en el sistema de justicia penal, juzgadores/as, Ministerios Público</w:t>
      </w:r>
      <w:r>
        <w:rPr>
          <w:spacing w:val="-5"/>
        </w:rPr>
        <w:t> </w:t>
      </w:r>
      <w:r>
        <w:rPr/>
        <w:t>y</w:t>
      </w:r>
      <w:r>
        <w:rPr>
          <w:spacing w:val="-5"/>
        </w:rPr>
        <w:t> </w:t>
      </w:r>
      <w:r>
        <w:rPr/>
        <w:t>Defensores/as,</w:t>
      </w:r>
      <w:r>
        <w:rPr>
          <w:spacing w:val="-6"/>
        </w:rPr>
        <w:t> </w:t>
      </w:r>
      <w:r>
        <w:rPr/>
        <w:t>carecen</w:t>
      </w:r>
      <w:r>
        <w:rPr>
          <w:spacing w:val="-6"/>
        </w:rPr>
        <w:t> </w:t>
      </w:r>
      <w:r>
        <w:rPr/>
        <w:t>de</w:t>
      </w:r>
      <w:r>
        <w:rPr>
          <w:spacing w:val="-6"/>
        </w:rPr>
        <w:t> </w:t>
      </w:r>
      <w:r>
        <w:rPr/>
        <w:t>perspectiva</w:t>
      </w:r>
      <w:r>
        <w:rPr>
          <w:spacing w:val="-3"/>
        </w:rPr>
        <w:t> </w:t>
      </w:r>
      <w:r>
        <w:rPr/>
        <w:t>de</w:t>
      </w:r>
      <w:r>
        <w:rPr>
          <w:spacing w:val="-6"/>
        </w:rPr>
        <w:t> </w:t>
      </w:r>
      <w:r>
        <w:rPr/>
        <w:t>género,</w:t>
      </w:r>
      <w:r>
        <w:rPr>
          <w:spacing w:val="-4"/>
        </w:rPr>
        <w:t> </w:t>
      </w:r>
      <w:r>
        <w:rPr/>
        <w:t>lo</w:t>
      </w:r>
      <w:r>
        <w:rPr>
          <w:spacing w:val="-8"/>
        </w:rPr>
        <w:t> </w:t>
      </w:r>
      <w:r>
        <w:rPr/>
        <w:t>que</w:t>
      </w:r>
      <w:r>
        <w:rPr>
          <w:spacing w:val="-6"/>
        </w:rPr>
        <w:t> </w:t>
      </w:r>
      <w:r>
        <w:rPr/>
        <w:t>implica</w:t>
      </w:r>
      <w:r>
        <w:rPr>
          <w:spacing w:val="-8"/>
        </w:rPr>
        <w:t> </w:t>
      </w:r>
      <w:r>
        <w:rPr/>
        <w:t>que</w:t>
      </w:r>
      <w:r>
        <w:rPr>
          <w:spacing w:val="-6"/>
        </w:rPr>
        <w:t> </w:t>
      </w:r>
      <w:r>
        <w:rPr/>
        <w:t>el</w:t>
      </w:r>
      <w:r>
        <w:rPr>
          <w:spacing w:val="-3"/>
        </w:rPr>
        <w:t> </w:t>
      </w:r>
      <w:r>
        <w:rPr/>
        <w:t>acceso</w:t>
      </w:r>
      <w:r>
        <w:rPr>
          <w:spacing w:val="-8"/>
        </w:rPr>
        <w:t> </w:t>
      </w:r>
      <w:r>
        <w:rPr/>
        <w:t>a la justicia por parte de las mujeres se encuentre condicionado por los estereotipos y prejuicios sexistas, que se encuentran en la ideología de estos actores/as, mismos que alcanzan autoridad al ser considerados como verdades, y se utilizan para restringir el</w:t>
      </w:r>
      <w:r>
        <w:rPr>
          <w:spacing w:val="-35"/>
        </w:rPr>
        <w:t> </w:t>
      </w:r>
      <w:r>
        <w:rPr/>
        <w:t>goce de los derechos humanos de las mujeres</w:t>
      </w:r>
      <w:r>
        <w:rPr>
          <w:spacing w:val="-12"/>
        </w:rPr>
        <w:t> </w:t>
      </w:r>
      <w:r>
        <w:rPr/>
        <w:t>indiciadas.</w:t>
      </w:r>
    </w:p>
    <w:p>
      <w:pPr>
        <w:pStyle w:val="BodyText"/>
        <w:spacing w:before="7"/>
        <w:rPr>
          <w:sz w:val="17"/>
        </w:rPr>
      </w:pPr>
    </w:p>
    <w:p>
      <w:pPr>
        <w:pStyle w:val="BodyText"/>
        <w:spacing w:line="360" w:lineRule="auto"/>
        <w:ind w:left="102" w:right="115"/>
        <w:jc w:val="both"/>
      </w:pPr>
      <w:r>
        <w:rPr/>
        <w:t>No obstante que el Estado mexicano se encuentra obligado a observar, proteger y garantizar los Derechos Humanos, de todas las personas que viven en el territorio mexicano, los derecho de las mujeres, tendientes a la prevención, atención y erradicación de la violencia en contra de ellas, deja mucho que desear, ya de particularmente en los procedimientos penales por las mujeres indiciadas, existen graves violaciones a los derechos humanos consagrados en la Constitución Federal y en los Instrumentos Internacionales de los que el Estado mexicano es parte.</w:t>
      </w:r>
    </w:p>
    <w:p>
      <w:pPr>
        <w:pStyle w:val="BodyText"/>
        <w:spacing w:before="7"/>
        <w:rPr>
          <w:sz w:val="17"/>
        </w:rPr>
      </w:pPr>
    </w:p>
    <w:p>
      <w:pPr>
        <w:pStyle w:val="BodyText"/>
        <w:spacing w:line="360" w:lineRule="auto"/>
        <w:ind w:left="102" w:right="116"/>
        <w:jc w:val="both"/>
      </w:pPr>
      <w:r>
        <w:rPr/>
        <w:t>Del cuestionario aplicado a los abogados y abogadas que se encargan de defender en materia penal, obtenemos que no se encuentran sensibilizados en cuanto al género y la discriminación</w:t>
      </w:r>
      <w:r>
        <w:rPr>
          <w:spacing w:val="-6"/>
        </w:rPr>
        <w:t> </w:t>
      </w:r>
      <w:r>
        <w:rPr/>
        <w:t>de</w:t>
      </w:r>
      <w:r>
        <w:rPr>
          <w:spacing w:val="-6"/>
        </w:rPr>
        <w:t> </w:t>
      </w:r>
      <w:r>
        <w:rPr/>
        <w:t>las</w:t>
      </w:r>
      <w:r>
        <w:rPr>
          <w:spacing w:val="-5"/>
        </w:rPr>
        <w:t> </w:t>
      </w:r>
      <w:r>
        <w:rPr/>
        <w:t>mujeres</w:t>
      </w:r>
      <w:r>
        <w:rPr>
          <w:spacing w:val="-5"/>
        </w:rPr>
        <w:t> </w:t>
      </w:r>
      <w:r>
        <w:rPr/>
        <w:t>derivada</w:t>
      </w:r>
      <w:r>
        <w:rPr>
          <w:spacing w:val="-5"/>
        </w:rPr>
        <w:t> </w:t>
      </w:r>
      <w:r>
        <w:rPr/>
        <w:t>de</w:t>
      </w:r>
      <w:r>
        <w:rPr>
          <w:spacing w:val="-6"/>
        </w:rPr>
        <w:t> </w:t>
      </w:r>
      <w:r>
        <w:rPr/>
        <w:t>la</w:t>
      </w:r>
      <w:r>
        <w:rPr>
          <w:spacing w:val="-5"/>
        </w:rPr>
        <w:t> </w:t>
      </w:r>
      <w:r>
        <w:rPr/>
        <w:t>construcción</w:t>
      </w:r>
      <w:r>
        <w:rPr>
          <w:spacing w:val="-6"/>
        </w:rPr>
        <w:t> </w:t>
      </w:r>
      <w:r>
        <w:rPr/>
        <w:t>social</w:t>
      </w:r>
      <w:r>
        <w:rPr>
          <w:spacing w:val="-6"/>
        </w:rPr>
        <w:t> </w:t>
      </w:r>
      <w:r>
        <w:rPr/>
        <w:t>del</w:t>
      </w:r>
      <w:r>
        <w:rPr>
          <w:spacing w:val="-6"/>
        </w:rPr>
        <w:t> </w:t>
      </w:r>
      <w:r>
        <w:rPr/>
        <w:t>sexo,</w:t>
      </w:r>
      <w:r>
        <w:rPr>
          <w:spacing w:val="-4"/>
        </w:rPr>
        <w:t> </w:t>
      </w:r>
      <w:r>
        <w:rPr/>
        <w:t>lo</w:t>
      </w:r>
      <w:r>
        <w:rPr>
          <w:spacing w:val="-5"/>
        </w:rPr>
        <w:t> </w:t>
      </w:r>
      <w:r>
        <w:rPr/>
        <w:t>que</w:t>
      </w:r>
      <w:r>
        <w:rPr>
          <w:spacing w:val="-8"/>
        </w:rPr>
        <w:t> </w:t>
      </w:r>
      <w:r>
        <w:rPr/>
        <w:t>trae</w:t>
      </w:r>
      <w:r>
        <w:rPr>
          <w:spacing w:val="-6"/>
        </w:rPr>
        <w:t> </w:t>
      </w:r>
      <w:r>
        <w:rPr/>
        <w:t>como consecuencia que desconozcan la legislación nacional e internacional que protegen los derechos</w:t>
      </w:r>
      <w:r>
        <w:rPr>
          <w:spacing w:val="-12"/>
        </w:rPr>
        <w:t> </w:t>
      </w:r>
      <w:r>
        <w:rPr/>
        <w:t>de</w:t>
      </w:r>
      <w:r>
        <w:rPr>
          <w:spacing w:val="-15"/>
        </w:rPr>
        <w:t> </w:t>
      </w:r>
      <w:r>
        <w:rPr/>
        <w:t>las</w:t>
      </w:r>
      <w:r>
        <w:rPr>
          <w:spacing w:val="-12"/>
        </w:rPr>
        <w:t> </w:t>
      </w:r>
      <w:r>
        <w:rPr/>
        <w:t>mujeres.</w:t>
      </w:r>
      <w:r>
        <w:rPr>
          <w:spacing w:val="-14"/>
        </w:rPr>
        <w:t> </w:t>
      </w:r>
      <w:r>
        <w:rPr/>
        <w:t>Asimismo</w:t>
      </w:r>
      <w:r>
        <w:rPr>
          <w:spacing w:val="-15"/>
        </w:rPr>
        <w:t> </w:t>
      </w:r>
      <w:r>
        <w:rPr/>
        <w:t>se</w:t>
      </w:r>
      <w:r>
        <w:rPr>
          <w:spacing w:val="-12"/>
        </w:rPr>
        <w:t> </w:t>
      </w:r>
      <w:r>
        <w:rPr/>
        <w:t>pudo</w:t>
      </w:r>
      <w:r>
        <w:rPr>
          <w:spacing w:val="-13"/>
        </w:rPr>
        <w:t> </w:t>
      </w:r>
      <w:r>
        <w:rPr/>
        <w:t>constatar</w:t>
      </w:r>
      <w:r>
        <w:rPr>
          <w:spacing w:val="-14"/>
        </w:rPr>
        <w:t> </w:t>
      </w:r>
      <w:r>
        <w:rPr/>
        <w:t>que</w:t>
      </w:r>
      <w:r>
        <w:rPr>
          <w:spacing w:val="-15"/>
        </w:rPr>
        <w:t> </w:t>
      </w:r>
      <w:r>
        <w:rPr/>
        <w:t>los/las</w:t>
      </w:r>
      <w:r>
        <w:rPr>
          <w:spacing w:val="-12"/>
        </w:rPr>
        <w:t> </w:t>
      </w:r>
      <w:r>
        <w:rPr/>
        <w:t>profesionales</w:t>
      </w:r>
      <w:r>
        <w:rPr>
          <w:spacing w:val="-12"/>
        </w:rPr>
        <w:t> </w:t>
      </w:r>
      <w:r>
        <w:rPr/>
        <w:t>del</w:t>
      </w:r>
      <w:r>
        <w:rPr>
          <w:spacing w:val="-13"/>
        </w:rPr>
        <w:t> </w:t>
      </w:r>
      <w:r>
        <w:rPr/>
        <w:t>derecho encuestados, no utilizan en absoluto instrumentos internacionales en materia de violencia y</w:t>
      </w:r>
      <w:r>
        <w:rPr>
          <w:spacing w:val="-6"/>
        </w:rPr>
        <w:t> </w:t>
      </w:r>
      <w:r>
        <w:rPr/>
        <w:t>discriminación</w:t>
      </w:r>
      <w:r>
        <w:rPr>
          <w:spacing w:val="-4"/>
        </w:rPr>
        <w:t> </w:t>
      </w:r>
      <w:r>
        <w:rPr/>
        <w:t>en</w:t>
      </w:r>
      <w:r>
        <w:rPr>
          <w:spacing w:val="-7"/>
        </w:rPr>
        <w:t> </w:t>
      </w:r>
      <w:r>
        <w:rPr/>
        <w:t>contra</w:t>
      </w:r>
      <w:r>
        <w:rPr>
          <w:spacing w:val="-4"/>
        </w:rPr>
        <w:t> </w:t>
      </w:r>
      <w:r>
        <w:rPr/>
        <w:t>de</w:t>
      </w:r>
      <w:r>
        <w:rPr>
          <w:spacing w:val="-7"/>
        </w:rPr>
        <w:t> </w:t>
      </w:r>
      <w:r>
        <w:rPr/>
        <w:t>las</w:t>
      </w:r>
      <w:r>
        <w:rPr>
          <w:spacing w:val="-6"/>
        </w:rPr>
        <w:t> </w:t>
      </w:r>
      <w:r>
        <w:rPr/>
        <w:t>mujeres,</w:t>
      </w:r>
      <w:r>
        <w:rPr>
          <w:spacing w:val="-5"/>
        </w:rPr>
        <w:t> </w:t>
      </w:r>
      <w:r>
        <w:rPr/>
        <w:t>ni</w:t>
      </w:r>
      <w:r>
        <w:rPr>
          <w:spacing w:val="-5"/>
        </w:rPr>
        <w:t> </w:t>
      </w:r>
      <w:r>
        <w:rPr/>
        <w:t>los</w:t>
      </w:r>
      <w:r>
        <w:rPr>
          <w:spacing w:val="-9"/>
        </w:rPr>
        <w:t> </w:t>
      </w:r>
      <w:r>
        <w:rPr/>
        <w:t>que</w:t>
      </w:r>
      <w:r>
        <w:rPr>
          <w:spacing w:val="-4"/>
        </w:rPr>
        <w:t> </w:t>
      </w:r>
      <w:r>
        <w:rPr/>
        <w:t>van</w:t>
      </w:r>
      <w:r>
        <w:rPr>
          <w:spacing w:val="-4"/>
        </w:rPr>
        <w:t> </w:t>
      </w:r>
      <w:r>
        <w:rPr/>
        <w:t>dirigidos</w:t>
      </w:r>
      <w:r>
        <w:rPr>
          <w:spacing w:val="-4"/>
        </w:rPr>
        <w:t> </w:t>
      </w:r>
      <w:r>
        <w:rPr/>
        <w:t>de</w:t>
      </w:r>
      <w:r>
        <w:rPr>
          <w:spacing w:val="-6"/>
        </w:rPr>
        <w:t> </w:t>
      </w:r>
      <w:r>
        <w:rPr/>
        <w:t>manera</w:t>
      </w:r>
      <w:r>
        <w:rPr>
          <w:spacing w:val="-4"/>
        </w:rPr>
        <w:t> </w:t>
      </w:r>
      <w:r>
        <w:rPr/>
        <w:t>exclusiva</w:t>
      </w:r>
      <w:r>
        <w:rPr>
          <w:spacing w:val="-4"/>
        </w:rPr>
        <w:t> </w:t>
      </w:r>
      <w:r>
        <w:rPr/>
        <w:t>a</w:t>
      </w:r>
      <w:r>
        <w:rPr>
          <w:spacing w:val="-4"/>
        </w:rPr>
        <w:t> </w:t>
      </w:r>
      <w:r>
        <w:rPr/>
        <w:t>la defensa  de  los  derechos  humanos  de  las  mujeres  indiciadas.  Esta  situación </w:t>
      </w:r>
      <w:r>
        <w:rPr>
          <w:spacing w:val="34"/>
        </w:rPr>
        <w:t> </w:t>
      </w:r>
      <w:r>
        <w:rPr/>
        <w:t>resulta</w:t>
      </w:r>
    </w:p>
    <w:p>
      <w:pPr>
        <w:spacing w:after="0" w:line="360" w:lineRule="auto"/>
        <w:jc w:val="both"/>
        <w:sectPr>
          <w:pgSz w:w="12240" w:h="15840"/>
          <w:pgMar w:header="0" w:footer="1002" w:top="1360" w:bottom="1200" w:left="1600" w:right="1580"/>
        </w:sectPr>
      </w:pPr>
    </w:p>
    <w:p>
      <w:pPr>
        <w:pStyle w:val="BodyText"/>
        <w:spacing w:line="360" w:lineRule="auto" w:before="54"/>
        <w:ind w:left="102" w:right="116"/>
        <w:jc w:val="both"/>
      </w:pPr>
      <w:r>
        <w:rPr/>
        <w:t>alarmante, debido a que en artículo 133 de la Constitución Federal, establece como</w:t>
      </w:r>
      <w:r>
        <w:rPr>
          <w:spacing w:val="-37"/>
        </w:rPr>
        <w:t> </w:t>
      </w:r>
      <w:r>
        <w:rPr/>
        <w:t>norma suprema</w:t>
      </w:r>
      <w:r>
        <w:rPr>
          <w:spacing w:val="-15"/>
        </w:rPr>
        <w:t> </w:t>
      </w:r>
      <w:r>
        <w:rPr/>
        <w:t>a</w:t>
      </w:r>
      <w:r>
        <w:rPr>
          <w:spacing w:val="-16"/>
        </w:rPr>
        <w:t> </w:t>
      </w:r>
      <w:r>
        <w:rPr/>
        <w:t>los</w:t>
      </w:r>
      <w:r>
        <w:rPr>
          <w:spacing w:val="-13"/>
        </w:rPr>
        <w:t> </w:t>
      </w:r>
      <w:r>
        <w:rPr/>
        <w:t>instrumentos</w:t>
      </w:r>
      <w:r>
        <w:rPr>
          <w:spacing w:val="-13"/>
        </w:rPr>
        <w:t> </w:t>
      </w:r>
      <w:r>
        <w:rPr/>
        <w:t>internacionales</w:t>
      </w:r>
      <w:r>
        <w:rPr>
          <w:spacing w:val="-13"/>
        </w:rPr>
        <w:t> </w:t>
      </w:r>
      <w:r>
        <w:rPr/>
        <w:t>suscritos</w:t>
      </w:r>
      <w:r>
        <w:rPr>
          <w:spacing w:val="-13"/>
        </w:rPr>
        <w:t> </w:t>
      </w:r>
      <w:r>
        <w:rPr/>
        <w:t>por</w:t>
      </w:r>
      <w:r>
        <w:rPr>
          <w:spacing w:val="-15"/>
        </w:rPr>
        <w:t> </w:t>
      </w:r>
      <w:r>
        <w:rPr/>
        <w:t>nuestro</w:t>
      </w:r>
      <w:r>
        <w:rPr>
          <w:spacing w:val="-16"/>
        </w:rPr>
        <w:t> </w:t>
      </w:r>
      <w:r>
        <w:rPr/>
        <w:t>país,</w:t>
      </w:r>
      <w:r>
        <w:rPr>
          <w:spacing w:val="-13"/>
        </w:rPr>
        <w:t> </w:t>
      </w:r>
      <w:r>
        <w:rPr/>
        <w:t>es</w:t>
      </w:r>
      <w:r>
        <w:rPr>
          <w:spacing w:val="-16"/>
        </w:rPr>
        <w:t> </w:t>
      </w:r>
      <w:r>
        <w:rPr/>
        <w:t>decir</w:t>
      </w:r>
      <w:r>
        <w:rPr>
          <w:spacing w:val="-15"/>
        </w:rPr>
        <w:t> </w:t>
      </w:r>
      <w:r>
        <w:rPr/>
        <w:t>que</w:t>
      </w:r>
      <w:r>
        <w:rPr>
          <w:spacing w:val="-16"/>
        </w:rPr>
        <w:t> </w:t>
      </w:r>
      <w:r>
        <w:rPr/>
        <w:t>cuentan con la misma jerarquía que la Carta Magna, por lo cual el hecho de que los y las profesionales del derecho en la defensa de las mujeres, dejen de considerar los tratados internacionales en materia de derechos humanos de las mujeres, están dejando de lado normas de jerarquía mayor para dar soporte jurídico a su defensa, por lo que su defensa carece</w:t>
      </w:r>
      <w:r>
        <w:rPr>
          <w:spacing w:val="-11"/>
        </w:rPr>
        <w:t> </w:t>
      </w:r>
      <w:r>
        <w:rPr/>
        <w:t>de</w:t>
      </w:r>
      <w:r>
        <w:rPr>
          <w:spacing w:val="-9"/>
        </w:rPr>
        <w:t> </w:t>
      </w:r>
      <w:r>
        <w:rPr/>
        <w:t>la</w:t>
      </w:r>
      <w:r>
        <w:rPr>
          <w:spacing w:val="-11"/>
        </w:rPr>
        <w:t> </w:t>
      </w:r>
      <w:r>
        <w:rPr/>
        <w:t>calidad</w:t>
      </w:r>
      <w:r>
        <w:rPr>
          <w:spacing w:val="-9"/>
        </w:rPr>
        <w:t> </w:t>
      </w:r>
      <w:r>
        <w:rPr/>
        <w:t>de</w:t>
      </w:r>
      <w:r>
        <w:rPr>
          <w:spacing w:val="-14"/>
        </w:rPr>
        <w:t> </w:t>
      </w:r>
      <w:r>
        <w:rPr/>
        <w:t>técnica</w:t>
      </w:r>
      <w:r>
        <w:rPr>
          <w:spacing w:val="-9"/>
        </w:rPr>
        <w:t> </w:t>
      </w:r>
      <w:r>
        <w:rPr/>
        <w:t>y</w:t>
      </w:r>
      <w:r>
        <w:rPr>
          <w:spacing w:val="-11"/>
        </w:rPr>
        <w:t> </w:t>
      </w:r>
      <w:r>
        <w:rPr/>
        <w:t>resulta</w:t>
      </w:r>
      <w:r>
        <w:rPr>
          <w:spacing w:val="-9"/>
        </w:rPr>
        <w:t> </w:t>
      </w:r>
      <w:r>
        <w:rPr/>
        <w:t>inadecuada,</w:t>
      </w:r>
      <w:r>
        <w:rPr>
          <w:spacing w:val="-8"/>
        </w:rPr>
        <w:t> </w:t>
      </w:r>
      <w:r>
        <w:rPr/>
        <w:t>violentando</w:t>
      </w:r>
      <w:r>
        <w:rPr>
          <w:spacing w:val="-9"/>
        </w:rPr>
        <w:t> </w:t>
      </w:r>
      <w:r>
        <w:rPr/>
        <w:t>los</w:t>
      </w:r>
      <w:r>
        <w:rPr>
          <w:spacing w:val="-11"/>
        </w:rPr>
        <w:t> </w:t>
      </w:r>
      <w:r>
        <w:rPr/>
        <w:t>derechos</w:t>
      </w:r>
      <w:r>
        <w:rPr>
          <w:spacing w:val="-8"/>
        </w:rPr>
        <w:t> </w:t>
      </w:r>
      <w:r>
        <w:rPr/>
        <w:t>humanos</w:t>
      </w:r>
      <w:r>
        <w:rPr>
          <w:spacing w:val="-11"/>
        </w:rPr>
        <w:t> </w:t>
      </w:r>
      <w:r>
        <w:rPr/>
        <w:t>de sus</w:t>
      </w:r>
      <w:r>
        <w:rPr>
          <w:spacing w:val="-2"/>
        </w:rPr>
        <w:t> </w:t>
      </w:r>
      <w:r>
        <w:rPr/>
        <w:t>defendidas.</w:t>
      </w:r>
    </w:p>
    <w:p>
      <w:pPr>
        <w:pStyle w:val="BodyText"/>
        <w:spacing w:before="9"/>
        <w:rPr>
          <w:sz w:val="17"/>
        </w:rPr>
      </w:pPr>
    </w:p>
    <w:p>
      <w:pPr>
        <w:pStyle w:val="BodyText"/>
        <w:spacing w:line="360" w:lineRule="auto"/>
        <w:ind w:left="102" w:right="114"/>
        <w:jc w:val="both"/>
      </w:pPr>
      <w:r>
        <w:rPr/>
        <w:t>De la entrevista realizada a las internas del Centro Preventivo y Readaptación Social de El Oro, Estado de México, se desprende que existieron graves violaciones al procedimiento, como el hecho de no declarar en presencia de un abogado, su proceso estuvo viciado de estereotipos de género. Las mujeres que en el momento de ser privadas de su libertad, estaban embarazadas o tenían hijos pequeños que requerían de su atención, no tuvieron la posibilidad de obtener medidas alternas a la prisión. La mayoría de las mujeres que se entrevistaron,</w:t>
      </w:r>
      <w:r>
        <w:rPr>
          <w:spacing w:val="-10"/>
        </w:rPr>
        <w:t> </w:t>
      </w:r>
      <w:r>
        <w:rPr/>
        <w:t>se</w:t>
      </w:r>
      <w:r>
        <w:rPr>
          <w:spacing w:val="-14"/>
        </w:rPr>
        <w:t> </w:t>
      </w:r>
      <w:r>
        <w:rPr/>
        <w:t>encuentran</w:t>
      </w:r>
      <w:r>
        <w:rPr>
          <w:spacing w:val="-11"/>
        </w:rPr>
        <w:t> </w:t>
      </w:r>
      <w:r>
        <w:rPr/>
        <w:t>procesadas</w:t>
      </w:r>
      <w:r>
        <w:rPr>
          <w:spacing w:val="-11"/>
        </w:rPr>
        <w:t> </w:t>
      </w:r>
      <w:r>
        <w:rPr/>
        <w:t>o</w:t>
      </w:r>
      <w:r>
        <w:rPr>
          <w:spacing w:val="-14"/>
        </w:rPr>
        <w:t> </w:t>
      </w:r>
      <w:r>
        <w:rPr/>
        <w:t>sentenciadas</w:t>
      </w:r>
      <w:r>
        <w:rPr>
          <w:spacing w:val="-11"/>
        </w:rPr>
        <w:t> </w:t>
      </w:r>
      <w:r>
        <w:rPr/>
        <w:t>en</w:t>
      </w:r>
      <w:r>
        <w:rPr>
          <w:spacing w:val="-11"/>
        </w:rPr>
        <w:t> </w:t>
      </w:r>
      <w:r>
        <w:rPr/>
        <w:t>calidad</w:t>
      </w:r>
      <w:r>
        <w:rPr>
          <w:spacing w:val="-11"/>
        </w:rPr>
        <w:t> </w:t>
      </w:r>
      <w:r>
        <w:rPr/>
        <w:t>de</w:t>
      </w:r>
      <w:r>
        <w:rPr>
          <w:spacing w:val="-11"/>
        </w:rPr>
        <w:t> </w:t>
      </w:r>
      <w:r>
        <w:rPr/>
        <w:t>cómplices</w:t>
      </w:r>
      <w:r>
        <w:rPr>
          <w:spacing w:val="-11"/>
        </w:rPr>
        <w:t> </w:t>
      </w:r>
      <w:r>
        <w:rPr/>
        <w:t>de</w:t>
      </w:r>
      <w:r>
        <w:rPr>
          <w:spacing w:val="-11"/>
        </w:rPr>
        <w:t> </w:t>
      </w:r>
      <w:r>
        <w:rPr/>
        <w:t>delitos cometidos</w:t>
      </w:r>
      <w:r>
        <w:rPr>
          <w:spacing w:val="-8"/>
        </w:rPr>
        <w:t> </w:t>
      </w:r>
      <w:r>
        <w:rPr/>
        <w:t>por</w:t>
      </w:r>
      <w:r>
        <w:rPr>
          <w:spacing w:val="-8"/>
        </w:rPr>
        <w:t> </w:t>
      </w:r>
      <w:r>
        <w:rPr/>
        <w:t>sus</w:t>
      </w:r>
      <w:r>
        <w:rPr>
          <w:spacing w:val="-11"/>
        </w:rPr>
        <w:t> </w:t>
      </w:r>
      <w:r>
        <w:rPr/>
        <w:t>parejas</w:t>
      </w:r>
      <w:r>
        <w:rPr>
          <w:spacing w:val="-8"/>
        </w:rPr>
        <w:t> </w:t>
      </w:r>
      <w:r>
        <w:rPr/>
        <w:t>sentimentales.</w:t>
      </w:r>
      <w:r>
        <w:rPr>
          <w:spacing w:val="-8"/>
        </w:rPr>
        <w:t> </w:t>
      </w:r>
      <w:r>
        <w:rPr/>
        <w:t>En</w:t>
      </w:r>
      <w:r>
        <w:rPr>
          <w:spacing w:val="-9"/>
        </w:rPr>
        <w:t> </w:t>
      </w:r>
      <w:r>
        <w:rPr/>
        <w:t>un</w:t>
      </w:r>
      <w:r>
        <w:rPr>
          <w:spacing w:val="-11"/>
        </w:rPr>
        <w:t> </w:t>
      </w:r>
      <w:r>
        <w:rPr/>
        <w:t>primer</w:t>
      </w:r>
      <w:r>
        <w:rPr>
          <w:spacing w:val="-10"/>
        </w:rPr>
        <w:t> </w:t>
      </w:r>
      <w:r>
        <w:rPr/>
        <w:t>momento</w:t>
      </w:r>
      <w:r>
        <w:rPr>
          <w:spacing w:val="-9"/>
        </w:rPr>
        <w:t> </w:t>
      </w:r>
      <w:r>
        <w:rPr/>
        <w:t>las</w:t>
      </w:r>
      <w:r>
        <w:rPr>
          <w:spacing w:val="-11"/>
        </w:rPr>
        <w:t> </w:t>
      </w:r>
      <w:r>
        <w:rPr/>
        <w:t>mujeres</w:t>
      </w:r>
      <w:r>
        <w:rPr>
          <w:spacing w:val="-9"/>
        </w:rPr>
        <w:t> </w:t>
      </w:r>
      <w:r>
        <w:rPr/>
        <w:t>recurren</w:t>
      </w:r>
      <w:r>
        <w:rPr>
          <w:spacing w:val="-9"/>
        </w:rPr>
        <w:t> </w:t>
      </w:r>
      <w:r>
        <w:rPr/>
        <w:t>para su defensa a un Defensor Público, con lo que se deriva, que la cuestión económica de las mujeres juega un papel importante para obtener una adecuada</w:t>
      </w:r>
      <w:r>
        <w:rPr>
          <w:spacing w:val="-15"/>
        </w:rPr>
        <w:t> </w:t>
      </w:r>
      <w:r>
        <w:rPr/>
        <w:t>defensa.</w:t>
      </w:r>
    </w:p>
    <w:p>
      <w:pPr>
        <w:pStyle w:val="BodyText"/>
        <w:spacing w:before="7"/>
        <w:rPr>
          <w:sz w:val="17"/>
        </w:rPr>
      </w:pPr>
    </w:p>
    <w:p>
      <w:pPr>
        <w:pStyle w:val="BodyText"/>
        <w:spacing w:line="360" w:lineRule="auto"/>
        <w:ind w:left="102" w:right="115"/>
        <w:jc w:val="both"/>
      </w:pPr>
      <w:r>
        <w:rPr/>
        <w:t>Dentro</w:t>
      </w:r>
      <w:r>
        <w:rPr>
          <w:spacing w:val="-14"/>
        </w:rPr>
        <w:t> </w:t>
      </w:r>
      <w:r>
        <w:rPr/>
        <w:t>del</w:t>
      </w:r>
      <w:r>
        <w:rPr>
          <w:spacing w:val="-12"/>
        </w:rPr>
        <w:t> </w:t>
      </w:r>
      <w:r>
        <w:rPr/>
        <w:t>sistema</w:t>
      </w:r>
      <w:r>
        <w:rPr>
          <w:spacing w:val="-14"/>
        </w:rPr>
        <w:t> </w:t>
      </w:r>
      <w:r>
        <w:rPr/>
        <w:t>penitenciario,</w:t>
      </w:r>
      <w:r>
        <w:rPr>
          <w:spacing w:val="-10"/>
        </w:rPr>
        <w:t> </w:t>
      </w:r>
      <w:r>
        <w:rPr/>
        <w:t>se</w:t>
      </w:r>
      <w:r>
        <w:rPr>
          <w:spacing w:val="-14"/>
        </w:rPr>
        <w:t> </w:t>
      </w:r>
      <w:r>
        <w:rPr/>
        <w:t>encuentran</w:t>
      </w:r>
      <w:r>
        <w:rPr>
          <w:spacing w:val="-14"/>
        </w:rPr>
        <w:t> </w:t>
      </w:r>
      <w:r>
        <w:rPr/>
        <w:t>presente</w:t>
      </w:r>
      <w:r>
        <w:rPr>
          <w:spacing w:val="-13"/>
        </w:rPr>
        <w:t> </w:t>
      </w:r>
      <w:r>
        <w:rPr/>
        <w:t>distintas</w:t>
      </w:r>
      <w:r>
        <w:rPr>
          <w:spacing w:val="-13"/>
        </w:rPr>
        <w:t> </w:t>
      </w:r>
      <w:r>
        <w:rPr/>
        <w:t>formas</w:t>
      </w:r>
      <w:r>
        <w:rPr>
          <w:spacing w:val="-16"/>
        </w:rPr>
        <w:t> </w:t>
      </w:r>
      <w:r>
        <w:rPr/>
        <w:t>de</w:t>
      </w:r>
      <w:r>
        <w:rPr>
          <w:spacing w:val="-11"/>
        </w:rPr>
        <w:t> </w:t>
      </w:r>
      <w:r>
        <w:rPr/>
        <w:t>discriminación en contra de las mujeres, tan sólo el hecho de que las prisiones sean mixtas, no permite que las mujeres tengan espacios propios que tomen en consideración las necesidades propias de las internas. Las mujeres a diferencia de los varones, no van a la escuela, no reciben</w:t>
      </w:r>
      <w:r>
        <w:rPr>
          <w:spacing w:val="-4"/>
        </w:rPr>
        <w:t> </w:t>
      </w:r>
      <w:r>
        <w:rPr/>
        <w:t>atención</w:t>
      </w:r>
      <w:r>
        <w:rPr>
          <w:spacing w:val="-4"/>
        </w:rPr>
        <w:t> </w:t>
      </w:r>
      <w:r>
        <w:rPr/>
        <w:t>de</w:t>
      </w:r>
      <w:r>
        <w:rPr>
          <w:spacing w:val="-7"/>
        </w:rPr>
        <w:t> </w:t>
      </w:r>
      <w:r>
        <w:rPr/>
        <w:t>los</w:t>
      </w:r>
      <w:r>
        <w:rPr>
          <w:spacing w:val="-6"/>
        </w:rPr>
        <w:t> </w:t>
      </w:r>
      <w:r>
        <w:rPr/>
        <w:t>profesionales</w:t>
      </w:r>
      <w:r>
        <w:rPr>
          <w:spacing w:val="-4"/>
        </w:rPr>
        <w:t> </w:t>
      </w:r>
      <w:r>
        <w:rPr/>
        <w:t>de</w:t>
      </w:r>
      <w:r>
        <w:rPr>
          <w:spacing w:val="-7"/>
        </w:rPr>
        <w:t> </w:t>
      </w:r>
      <w:r>
        <w:rPr/>
        <w:t>la</w:t>
      </w:r>
      <w:r>
        <w:rPr>
          <w:spacing w:val="-6"/>
        </w:rPr>
        <w:t> </w:t>
      </w:r>
      <w:r>
        <w:rPr/>
        <w:t>salud,</w:t>
      </w:r>
      <w:r>
        <w:rPr>
          <w:spacing w:val="-7"/>
        </w:rPr>
        <w:t> </w:t>
      </w:r>
      <w:r>
        <w:rPr/>
        <w:t>asimismo</w:t>
      </w:r>
      <w:r>
        <w:rPr>
          <w:spacing w:val="-6"/>
        </w:rPr>
        <w:t> </w:t>
      </w:r>
      <w:r>
        <w:rPr/>
        <w:t>se</w:t>
      </w:r>
      <w:r>
        <w:rPr>
          <w:spacing w:val="-6"/>
        </w:rPr>
        <w:t> </w:t>
      </w:r>
      <w:r>
        <w:rPr/>
        <w:t>les</w:t>
      </w:r>
      <w:r>
        <w:rPr>
          <w:spacing w:val="-4"/>
        </w:rPr>
        <w:t> </w:t>
      </w:r>
      <w:r>
        <w:rPr/>
        <w:t>dan</w:t>
      </w:r>
      <w:r>
        <w:rPr>
          <w:spacing w:val="-6"/>
        </w:rPr>
        <w:t> </w:t>
      </w:r>
      <w:r>
        <w:rPr/>
        <w:t>talleres</w:t>
      </w:r>
      <w:r>
        <w:rPr>
          <w:spacing w:val="-4"/>
        </w:rPr>
        <w:t> </w:t>
      </w:r>
      <w:r>
        <w:rPr/>
        <w:t>de</w:t>
      </w:r>
      <w:r>
        <w:rPr>
          <w:spacing w:val="-7"/>
        </w:rPr>
        <w:t> </w:t>
      </w:r>
      <w:r>
        <w:rPr/>
        <w:t>bordado, mientras</w:t>
      </w:r>
      <w:r>
        <w:rPr>
          <w:spacing w:val="-10"/>
        </w:rPr>
        <w:t> </w:t>
      </w:r>
      <w:r>
        <w:rPr/>
        <w:t>que</w:t>
      </w:r>
      <w:r>
        <w:rPr>
          <w:spacing w:val="-6"/>
        </w:rPr>
        <w:t> </w:t>
      </w:r>
      <w:r>
        <w:rPr/>
        <w:t>a</w:t>
      </w:r>
      <w:r>
        <w:rPr>
          <w:spacing w:val="-5"/>
        </w:rPr>
        <w:t> </w:t>
      </w:r>
      <w:r>
        <w:rPr/>
        <w:t>los</w:t>
      </w:r>
      <w:r>
        <w:rPr>
          <w:spacing w:val="-5"/>
        </w:rPr>
        <w:t> </w:t>
      </w:r>
      <w:r>
        <w:rPr/>
        <w:t>hombres</w:t>
      </w:r>
      <w:r>
        <w:rPr>
          <w:spacing w:val="-5"/>
        </w:rPr>
        <w:t> </w:t>
      </w:r>
      <w:r>
        <w:rPr/>
        <w:t>se</w:t>
      </w:r>
      <w:r>
        <w:rPr>
          <w:spacing w:val="-5"/>
        </w:rPr>
        <w:t> </w:t>
      </w:r>
      <w:r>
        <w:rPr/>
        <w:t>les</w:t>
      </w:r>
      <w:r>
        <w:rPr>
          <w:spacing w:val="-5"/>
        </w:rPr>
        <w:t> </w:t>
      </w:r>
      <w:r>
        <w:rPr/>
        <w:t>dan</w:t>
      </w:r>
      <w:r>
        <w:rPr>
          <w:spacing w:val="-8"/>
        </w:rPr>
        <w:t> </w:t>
      </w:r>
      <w:r>
        <w:rPr/>
        <w:t>talleres</w:t>
      </w:r>
      <w:r>
        <w:rPr>
          <w:spacing w:val="-5"/>
        </w:rPr>
        <w:t> </w:t>
      </w:r>
      <w:r>
        <w:rPr/>
        <w:t>de</w:t>
      </w:r>
      <w:r>
        <w:rPr>
          <w:spacing w:val="-8"/>
        </w:rPr>
        <w:t> </w:t>
      </w:r>
      <w:r>
        <w:rPr/>
        <w:t>carpintería</w:t>
      </w:r>
      <w:r>
        <w:rPr>
          <w:spacing w:val="-5"/>
        </w:rPr>
        <w:t> </w:t>
      </w:r>
      <w:r>
        <w:rPr/>
        <w:t>o</w:t>
      </w:r>
      <w:r>
        <w:rPr>
          <w:spacing w:val="-5"/>
        </w:rPr>
        <w:t> </w:t>
      </w:r>
      <w:r>
        <w:rPr/>
        <w:t>repujado,</w:t>
      </w:r>
      <w:r>
        <w:rPr>
          <w:spacing w:val="-7"/>
        </w:rPr>
        <w:t> </w:t>
      </w:r>
      <w:r>
        <w:rPr/>
        <w:t>lo</w:t>
      </w:r>
      <w:r>
        <w:rPr>
          <w:spacing w:val="-5"/>
        </w:rPr>
        <w:t> </w:t>
      </w:r>
      <w:r>
        <w:rPr/>
        <w:t>que</w:t>
      </w:r>
      <w:r>
        <w:rPr>
          <w:spacing w:val="-8"/>
        </w:rPr>
        <w:t> </w:t>
      </w:r>
      <w:r>
        <w:rPr/>
        <w:t>mplica</w:t>
      </w:r>
      <w:r>
        <w:rPr>
          <w:spacing w:val="-8"/>
        </w:rPr>
        <w:t> </w:t>
      </w:r>
      <w:r>
        <w:rPr/>
        <w:t>que las mujeres no puedan generar ingresos económicos, pues sus servilletas no se venden o bien se venden a precios muy económicos, a diferencia de los productos elaborados por los internos. Por lo cual, la defensa de las mujeres que cometieron o son acusadas de cometer conductas delictivas, no debe reducirse al procedimiento propiamente, sino también al tratamiento que se les da dentro del sistema penitenciario, con la finalidad de que</w:t>
      </w:r>
      <w:r>
        <w:rPr>
          <w:spacing w:val="-11"/>
        </w:rPr>
        <w:t> </w:t>
      </w:r>
      <w:r>
        <w:rPr/>
        <w:t>se</w:t>
      </w:r>
      <w:r>
        <w:rPr>
          <w:spacing w:val="-11"/>
        </w:rPr>
        <w:t> </w:t>
      </w:r>
      <w:r>
        <w:rPr/>
        <w:t>observe</w:t>
      </w:r>
      <w:r>
        <w:rPr>
          <w:spacing w:val="-11"/>
        </w:rPr>
        <w:t> </w:t>
      </w:r>
      <w:r>
        <w:rPr/>
        <w:t>en</w:t>
      </w:r>
      <w:r>
        <w:rPr>
          <w:spacing w:val="-11"/>
        </w:rPr>
        <w:t> </w:t>
      </w:r>
      <w:r>
        <w:rPr/>
        <w:t>todo</w:t>
      </w:r>
      <w:r>
        <w:rPr>
          <w:spacing w:val="-13"/>
        </w:rPr>
        <w:t> </w:t>
      </w:r>
      <w:r>
        <w:rPr/>
        <w:t>momento</w:t>
      </w:r>
      <w:r>
        <w:rPr>
          <w:spacing w:val="-11"/>
        </w:rPr>
        <w:t> </w:t>
      </w:r>
      <w:r>
        <w:rPr/>
        <w:t>es</w:t>
      </w:r>
      <w:r>
        <w:rPr>
          <w:spacing w:val="-11"/>
        </w:rPr>
        <w:t> </w:t>
      </w:r>
      <w:r>
        <w:rPr/>
        <w:t>estricto</w:t>
      </w:r>
      <w:r>
        <w:rPr>
          <w:spacing w:val="-9"/>
        </w:rPr>
        <w:t> </w:t>
      </w:r>
      <w:r>
        <w:rPr/>
        <w:t>cumplimiento</w:t>
      </w:r>
      <w:r>
        <w:rPr>
          <w:spacing w:val="-11"/>
        </w:rPr>
        <w:t> </w:t>
      </w:r>
      <w:r>
        <w:rPr/>
        <w:t>de</w:t>
      </w:r>
      <w:r>
        <w:rPr>
          <w:spacing w:val="-11"/>
        </w:rPr>
        <w:t> </w:t>
      </w:r>
      <w:r>
        <w:rPr/>
        <w:t>sus</w:t>
      </w:r>
      <w:r>
        <w:rPr>
          <w:spacing w:val="-11"/>
        </w:rPr>
        <w:t> </w:t>
      </w:r>
      <w:r>
        <w:rPr/>
        <w:t>derechos</w:t>
      </w:r>
      <w:r>
        <w:rPr>
          <w:spacing w:val="-13"/>
        </w:rPr>
        <w:t> </w:t>
      </w:r>
      <w:r>
        <w:rPr/>
        <w:t>fundamentales.</w:t>
      </w:r>
    </w:p>
    <w:p>
      <w:pPr>
        <w:pStyle w:val="BodyText"/>
        <w:spacing w:before="9"/>
        <w:rPr>
          <w:sz w:val="17"/>
        </w:rPr>
      </w:pPr>
    </w:p>
    <w:p>
      <w:pPr>
        <w:pStyle w:val="BodyText"/>
        <w:spacing w:line="360" w:lineRule="auto"/>
        <w:ind w:left="102" w:right="118"/>
        <w:jc w:val="both"/>
      </w:pPr>
      <w:r>
        <w:rPr/>
        <w:t>La defensa penal con perspectiva de género de mujeres indiciadas constituye una estrategia para la protección de los derechos humanos de las mujeres dentro del proceso penal. Es así que la defensa técnica a la que tienen derecho las mujeres indiciadas, se da</w:t>
      </w:r>
    </w:p>
    <w:p>
      <w:pPr>
        <w:spacing w:after="0" w:line="360" w:lineRule="auto"/>
        <w:jc w:val="both"/>
        <w:sectPr>
          <w:pgSz w:w="12240" w:h="15840"/>
          <w:pgMar w:header="0" w:footer="1002" w:top="1360" w:bottom="1200" w:left="1600" w:right="1580"/>
        </w:sectPr>
      </w:pPr>
    </w:p>
    <w:p>
      <w:pPr>
        <w:pStyle w:val="BodyText"/>
        <w:spacing w:line="360" w:lineRule="auto" w:before="54"/>
        <w:ind w:left="102" w:right="117"/>
        <w:jc w:val="both"/>
      </w:pPr>
      <w:r>
        <w:rPr/>
        <w:t>partir de la incorporación de la perspectiva de género en la defesa, haciendo valer las circunstancias de discriminación de género que se encuentran presente en el caso concreto, y dándole soporte jurídico a la defensa, con los tratados internacionales en materia</w:t>
      </w:r>
      <w:r>
        <w:rPr>
          <w:spacing w:val="-6"/>
        </w:rPr>
        <w:t> </w:t>
      </w:r>
      <w:r>
        <w:rPr/>
        <w:t>de</w:t>
      </w:r>
      <w:r>
        <w:rPr>
          <w:spacing w:val="-7"/>
        </w:rPr>
        <w:t> </w:t>
      </w:r>
      <w:r>
        <w:rPr/>
        <w:t>prevención,</w:t>
      </w:r>
      <w:r>
        <w:rPr>
          <w:spacing w:val="-5"/>
        </w:rPr>
        <w:t> </w:t>
      </w:r>
      <w:r>
        <w:rPr/>
        <w:t>atención</w:t>
      </w:r>
      <w:r>
        <w:rPr>
          <w:spacing w:val="-7"/>
        </w:rPr>
        <w:t> </w:t>
      </w:r>
      <w:r>
        <w:rPr/>
        <w:t>y</w:t>
      </w:r>
      <w:r>
        <w:rPr>
          <w:spacing w:val="-8"/>
        </w:rPr>
        <w:t> </w:t>
      </w:r>
      <w:r>
        <w:rPr/>
        <w:t>erradicación</w:t>
      </w:r>
      <w:r>
        <w:rPr>
          <w:spacing w:val="-9"/>
        </w:rPr>
        <w:t> </w:t>
      </w:r>
      <w:r>
        <w:rPr/>
        <w:t>de</w:t>
      </w:r>
      <w:r>
        <w:rPr>
          <w:spacing w:val="-9"/>
        </w:rPr>
        <w:t> </w:t>
      </w:r>
      <w:r>
        <w:rPr/>
        <w:t>la</w:t>
      </w:r>
      <w:r>
        <w:rPr>
          <w:spacing w:val="-6"/>
        </w:rPr>
        <w:t> </w:t>
      </w:r>
      <w:r>
        <w:rPr/>
        <w:t>violencia</w:t>
      </w:r>
      <w:r>
        <w:rPr>
          <w:spacing w:val="-6"/>
        </w:rPr>
        <w:t> </w:t>
      </w:r>
      <w:r>
        <w:rPr/>
        <w:t>en</w:t>
      </w:r>
      <w:r>
        <w:rPr>
          <w:spacing w:val="-7"/>
        </w:rPr>
        <w:t> </w:t>
      </w:r>
      <w:r>
        <w:rPr/>
        <w:t>contra</w:t>
      </w:r>
      <w:r>
        <w:rPr>
          <w:spacing w:val="-6"/>
        </w:rPr>
        <w:t> </w:t>
      </w:r>
      <w:r>
        <w:rPr/>
        <w:t>de</w:t>
      </w:r>
      <w:r>
        <w:rPr>
          <w:spacing w:val="-9"/>
        </w:rPr>
        <w:t> </w:t>
      </w:r>
      <w:r>
        <w:rPr/>
        <w:t>las</w:t>
      </w:r>
      <w:r>
        <w:rPr>
          <w:spacing w:val="-6"/>
        </w:rPr>
        <w:t> </w:t>
      </w:r>
      <w:r>
        <w:rPr/>
        <w:t>mujeres,</w:t>
      </w:r>
      <w:r>
        <w:rPr>
          <w:spacing w:val="-8"/>
        </w:rPr>
        <w:t> </w:t>
      </w:r>
      <w:r>
        <w:rPr/>
        <w:t>así como con los instrumentos internacionales enfocados de manera exclusiva a la protección de los derechos de las mujeres. Luego entonces, sí y sólo si se incorpora a la defensa de las mujeres iniciadas la perspectiva de género, la mujeres indiciadas ejercerán sus derechos</w:t>
      </w:r>
      <w:r>
        <w:rPr>
          <w:spacing w:val="-4"/>
        </w:rPr>
        <w:t> </w:t>
      </w:r>
      <w:r>
        <w:rPr/>
        <w:t>humanos</w:t>
      </w:r>
      <w:r>
        <w:rPr>
          <w:spacing w:val="-6"/>
        </w:rPr>
        <w:t> </w:t>
      </w:r>
      <w:r>
        <w:rPr/>
        <w:t>reconocidos</w:t>
      </w:r>
      <w:r>
        <w:rPr>
          <w:spacing w:val="-4"/>
        </w:rPr>
        <w:t> </w:t>
      </w:r>
      <w:r>
        <w:rPr/>
        <w:t>en</w:t>
      </w:r>
      <w:r>
        <w:rPr>
          <w:spacing w:val="-4"/>
        </w:rPr>
        <w:t> </w:t>
      </w:r>
      <w:r>
        <w:rPr/>
        <w:t>la</w:t>
      </w:r>
      <w:r>
        <w:rPr>
          <w:spacing w:val="-4"/>
        </w:rPr>
        <w:t> </w:t>
      </w:r>
      <w:r>
        <w:rPr/>
        <w:t>Constitución</w:t>
      </w:r>
      <w:r>
        <w:rPr>
          <w:spacing w:val="-4"/>
        </w:rPr>
        <w:t> </w:t>
      </w:r>
      <w:r>
        <w:rPr/>
        <w:t>y</w:t>
      </w:r>
      <w:r>
        <w:rPr>
          <w:spacing w:val="-6"/>
        </w:rPr>
        <w:t> </w:t>
      </w:r>
      <w:r>
        <w:rPr/>
        <w:t>en</w:t>
      </w:r>
      <w:r>
        <w:rPr>
          <w:spacing w:val="-4"/>
        </w:rPr>
        <w:t> </w:t>
      </w:r>
      <w:r>
        <w:rPr/>
        <w:t>los</w:t>
      </w:r>
      <w:r>
        <w:rPr>
          <w:spacing w:val="-6"/>
        </w:rPr>
        <w:t> </w:t>
      </w:r>
      <w:r>
        <w:rPr/>
        <w:t>Instrumentos</w:t>
      </w:r>
      <w:r>
        <w:rPr>
          <w:spacing w:val="-9"/>
        </w:rPr>
        <w:t> </w:t>
      </w:r>
      <w:r>
        <w:rPr/>
        <w:t>Internacionales,</w:t>
      </w:r>
      <w:r>
        <w:rPr>
          <w:spacing w:val="-5"/>
        </w:rPr>
        <w:t> </w:t>
      </w:r>
      <w:r>
        <w:rPr/>
        <w:t>y en</w:t>
      </w:r>
      <w:r>
        <w:rPr>
          <w:spacing w:val="-11"/>
        </w:rPr>
        <w:t> </w:t>
      </w:r>
      <w:r>
        <w:rPr/>
        <w:t>consecuencia</w:t>
      </w:r>
      <w:r>
        <w:rPr>
          <w:spacing w:val="-13"/>
        </w:rPr>
        <w:t> </w:t>
      </w:r>
      <w:r>
        <w:rPr/>
        <w:t>tendrán</w:t>
      </w:r>
      <w:r>
        <w:rPr>
          <w:spacing w:val="-14"/>
        </w:rPr>
        <w:t> </w:t>
      </w:r>
      <w:r>
        <w:rPr/>
        <w:t>un</w:t>
      </w:r>
      <w:r>
        <w:rPr>
          <w:spacing w:val="-14"/>
        </w:rPr>
        <w:t> </w:t>
      </w:r>
      <w:r>
        <w:rPr/>
        <w:t>acceso</w:t>
      </w:r>
      <w:r>
        <w:rPr>
          <w:spacing w:val="-11"/>
        </w:rPr>
        <w:t> </w:t>
      </w:r>
      <w:r>
        <w:rPr/>
        <w:t>a</w:t>
      </w:r>
      <w:r>
        <w:rPr>
          <w:spacing w:val="-14"/>
        </w:rPr>
        <w:t> </w:t>
      </w:r>
      <w:r>
        <w:rPr/>
        <w:t>la</w:t>
      </w:r>
      <w:r>
        <w:rPr>
          <w:spacing w:val="-16"/>
        </w:rPr>
        <w:t> </w:t>
      </w:r>
      <w:r>
        <w:rPr/>
        <w:t>justicia</w:t>
      </w:r>
      <w:r>
        <w:rPr>
          <w:spacing w:val="-14"/>
        </w:rPr>
        <w:t> </w:t>
      </w:r>
      <w:r>
        <w:rPr/>
        <w:t>alejado</w:t>
      </w:r>
      <w:r>
        <w:rPr>
          <w:spacing w:val="-14"/>
        </w:rPr>
        <w:t> </w:t>
      </w:r>
      <w:r>
        <w:rPr/>
        <w:t>de</w:t>
      </w:r>
      <w:r>
        <w:rPr>
          <w:spacing w:val="-14"/>
        </w:rPr>
        <w:t> </w:t>
      </w:r>
      <w:r>
        <w:rPr/>
        <w:t>estereotipo</w:t>
      </w:r>
      <w:r>
        <w:rPr>
          <w:spacing w:val="-14"/>
        </w:rPr>
        <w:t> </w:t>
      </w:r>
      <w:r>
        <w:rPr/>
        <w:t>y</w:t>
      </w:r>
      <w:r>
        <w:rPr>
          <w:spacing w:val="-13"/>
        </w:rPr>
        <w:t> </w:t>
      </w:r>
      <w:r>
        <w:rPr/>
        <w:t>prejuicios</w:t>
      </w:r>
      <w:r>
        <w:rPr>
          <w:spacing w:val="-11"/>
        </w:rPr>
        <w:t> </w:t>
      </w:r>
      <w:r>
        <w:rPr/>
        <w:t>sexistas.</w:t>
      </w:r>
    </w:p>
    <w:p>
      <w:pPr>
        <w:pStyle w:val="BodyText"/>
        <w:spacing w:before="9"/>
        <w:rPr>
          <w:sz w:val="17"/>
        </w:rPr>
      </w:pPr>
    </w:p>
    <w:p>
      <w:pPr>
        <w:pStyle w:val="BodyText"/>
        <w:spacing w:line="360" w:lineRule="auto"/>
        <w:ind w:left="102" w:right="117"/>
        <w:jc w:val="both"/>
      </w:pPr>
      <w:r>
        <w:rPr/>
        <w:t>La guía que se presenta, es una estrategia dirigida a los/las defensores/ras, a fin de que con</w:t>
      </w:r>
      <w:r>
        <w:rPr>
          <w:spacing w:val="-9"/>
        </w:rPr>
        <w:t> </w:t>
      </w:r>
      <w:r>
        <w:rPr/>
        <w:t>su</w:t>
      </w:r>
      <w:r>
        <w:rPr>
          <w:spacing w:val="44"/>
        </w:rPr>
        <w:t> </w:t>
      </w:r>
      <w:r>
        <w:rPr/>
        <w:t>contenido</w:t>
      </w:r>
      <w:r>
        <w:rPr>
          <w:spacing w:val="-9"/>
        </w:rPr>
        <w:t> </w:t>
      </w:r>
      <w:r>
        <w:rPr/>
        <w:t>puedan</w:t>
      </w:r>
      <w:r>
        <w:rPr>
          <w:spacing w:val="-9"/>
        </w:rPr>
        <w:t> </w:t>
      </w:r>
      <w:r>
        <w:rPr/>
        <w:t>adecuar</w:t>
      </w:r>
      <w:r>
        <w:rPr>
          <w:spacing w:val="-9"/>
        </w:rPr>
        <w:t> </w:t>
      </w:r>
      <w:r>
        <w:rPr/>
        <w:t>su</w:t>
      </w:r>
      <w:r>
        <w:rPr>
          <w:spacing w:val="-9"/>
        </w:rPr>
        <w:t> </w:t>
      </w:r>
      <w:r>
        <w:rPr/>
        <w:t>defensa</w:t>
      </w:r>
      <w:r>
        <w:rPr>
          <w:spacing w:val="-9"/>
        </w:rPr>
        <w:t> </w:t>
      </w:r>
      <w:r>
        <w:rPr/>
        <w:t>alejada</w:t>
      </w:r>
      <w:r>
        <w:rPr>
          <w:spacing w:val="-9"/>
        </w:rPr>
        <w:t> </w:t>
      </w:r>
      <w:r>
        <w:rPr/>
        <w:t>de</w:t>
      </w:r>
      <w:r>
        <w:rPr>
          <w:spacing w:val="-10"/>
        </w:rPr>
        <w:t> </w:t>
      </w:r>
      <w:r>
        <w:rPr/>
        <w:t>estereotipos</w:t>
      </w:r>
      <w:r>
        <w:rPr>
          <w:spacing w:val="-10"/>
        </w:rPr>
        <w:t> </w:t>
      </w:r>
      <w:r>
        <w:rPr/>
        <w:t>y</w:t>
      </w:r>
      <w:r>
        <w:rPr>
          <w:spacing w:val="-10"/>
        </w:rPr>
        <w:t> </w:t>
      </w:r>
      <w:r>
        <w:rPr/>
        <w:t>prejuicios</w:t>
      </w:r>
      <w:r>
        <w:rPr>
          <w:spacing w:val="-9"/>
        </w:rPr>
        <w:t> </w:t>
      </w:r>
      <w:r>
        <w:rPr/>
        <w:t>sexistas, y entonces se posibilite brindar brinden la defensa técnica que deben proporcionar a las mujeres</w:t>
      </w:r>
      <w:r>
        <w:rPr>
          <w:spacing w:val="-3"/>
        </w:rPr>
        <w:t> </w:t>
      </w:r>
      <w:r>
        <w:rPr/>
        <w:t>indiciadas.</w:t>
      </w:r>
    </w:p>
    <w:p>
      <w:pPr>
        <w:spacing w:after="0" w:line="360" w:lineRule="auto"/>
        <w:jc w:val="both"/>
        <w:sectPr>
          <w:pgSz w:w="12240" w:h="15840"/>
          <w:pgMar w:header="0" w:footer="1002" w:top="1360" w:bottom="1200" w:left="1600" w:right="1580"/>
        </w:sectPr>
      </w:pPr>
    </w:p>
    <w:p>
      <w:pPr>
        <w:pStyle w:val="BodyText"/>
        <w:rPr>
          <w:sz w:val="20"/>
        </w:rPr>
      </w:pPr>
    </w:p>
    <w:p>
      <w:pPr>
        <w:pStyle w:val="BodyText"/>
        <w:rPr>
          <w:sz w:val="20"/>
        </w:rPr>
      </w:pPr>
    </w:p>
    <w:p>
      <w:pPr>
        <w:pStyle w:val="BodyText"/>
        <w:rPr>
          <w:sz w:val="20"/>
        </w:rPr>
      </w:pPr>
    </w:p>
    <w:p>
      <w:pPr>
        <w:pStyle w:val="BodyText"/>
        <w:spacing w:before="9"/>
        <w:rPr>
          <w:sz w:val="26"/>
        </w:rPr>
      </w:pPr>
    </w:p>
    <w:p>
      <w:pPr>
        <w:pStyle w:val="Heading8"/>
        <w:spacing w:before="73"/>
        <w:ind w:left="102" w:right="96"/>
        <w:jc w:val="left"/>
        <w:rPr>
          <w:rFonts w:ascii="Arial"/>
        </w:rPr>
      </w:pPr>
      <w:r>
        <w:rPr>
          <w:rFonts w:ascii="Arial"/>
        </w:rPr>
        <w:t>FUENTES CONSULTADAS</w:t>
      </w:r>
    </w:p>
    <w:p>
      <w:pPr>
        <w:pStyle w:val="BodyText"/>
        <w:spacing w:before="8"/>
        <w:rPr>
          <w:b/>
          <w:sz w:val="28"/>
        </w:rPr>
      </w:pPr>
    </w:p>
    <w:p>
      <w:pPr>
        <w:spacing w:line="360" w:lineRule="auto" w:before="0"/>
        <w:ind w:left="102" w:right="96" w:firstLine="0"/>
        <w:jc w:val="left"/>
        <w:rPr>
          <w:sz w:val="22"/>
        </w:rPr>
      </w:pPr>
      <w:r>
        <w:rPr>
          <w:sz w:val="22"/>
        </w:rPr>
        <w:t>Badillo,</w:t>
      </w:r>
      <w:r>
        <w:rPr>
          <w:spacing w:val="-9"/>
          <w:sz w:val="22"/>
        </w:rPr>
        <w:t> </w:t>
      </w:r>
      <w:r>
        <w:rPr>
          <w:sz w:val="22"/>
        </w:rPr>
        <w:t>Elisa,</w:t>
      </w:r>
      <w:r>
        <w:rPr>
          <w:spacing w:val="-8"/>
          <w:sz w:val="22"/>
        </w:rPr>
        <w:t> </w:t>
      </w:r>
      <w:r>
        <w:rPr>
          <w:i/>
          <w:sz w:val="22"/>
        </w:rPr>
        <w:t>et</w:t>
      </w:r>
      <w:r>
        <w:rPr>
          <w:i/>
          <w:spacing w:val="-11"/>
          <w:sz w:val="22"/>
        </w:rPr>
        <w:t> </w:t>
      </w:r>
      <w:r>
        <w:rPr>
          <w:i/>
          <w:sz w:val="22"/>
        </w:rPr>
        <w:t>al</w:t>
      </w:r>
      <w:r>
        <w:rPr>
          <w:sz w:val="22"/>
        </w:rPr>
        <w:t>.</w:t>
      </w:r>
      <w:r>
        <w:rPr>
          <w:spacing w:val="-11"/>
          <w:sz w:val="22"/>
        </w:rPr>
        <w:t> </w:t>
      </w:r>
      <w:r>
        <w:rPr>
          <w:sz w:val="22"/>
        </w:rPr>
        <w:t>(2005),</w:t>
      </w:r>
      <w:r>
        <w:rPr>
          <w:spacing w:val="-10"/>
          <w:sz w:val="22"/>
        </w:rPr>
        <w:t> </w:t>
      </w:r>
      <w:r>
        <w:rPr>
          <w:i/>
          <w:sz w:val="22"/>
        </w:rPr>
        <w:t>Los</w:t>
      </w:r>
      <w:r>
        <w:rPr>
          <w:i/>
          <w:spacing w:val="-12"/>
          <w:sz w:val="22"/>
        </w:rPr>
        <w:t> </w:t>
      </w:r>
      <w:r>
        <w:rPr>
          <w:i/>
          <w:sz w:val="22"/>
        </w:rPr>
        <w:t>Derechos</w:t>
      </w:r>
      <w:r>
        <w:rPr>
          <w:i/>
          <w:spacing w:val="-12"/>
          <w:sz w:val="22"/>
        </w:rPr>
        <w:t> </w:t>
      </w:r>
      <w:r>
        <w:rPr>
          <w:i/>
          <w:sz w:val="22"/>
        </w:rPr>
        <w:t>Humanos</w:t>
      </w:r>
      <w:r>
        <w:rPr>
          <w:i/>
          <w:spacing w:val="-9"/>
          <w:sz w:val="22"/>
        </w:rPr>
        <w:t> </w:t>
      </w:r>
      <w:r>
        <w:rPr>
          <w:i/>
          <w:sz w:val="22"/>
        </w:rPr>
        <w:t>en</w:t>
      </w:r>
      <w:r>
        <w:rPr>
          <w:i/>
          <w:spacing w:val="-12"/>
          <w:sz w:val="22"/>
        </w:rPr>
        <w:t> </w:t>
      </w:r>
      <w:r>
        <w:rPr>
          <w:i/>
          <w:sz w:val="22"/>
        </w:rPr>
        <w:t>México.</w:t>
      </w:r>
      <w:r>
        <w:rPr>
          <w:i/>
          <w:spacing w:val="-11"/>
          <w:sz w:val="22"/>
        </w:rPr>
        <w:t> </w:t>
      </w:r>
      <w:r>
        <w:rPr>
          <w:i/>
          <w:sz w:val="22"/>
        </w:rPr>
        <w:t>Breve</w:t>
      </w:r>
      <w:r>
        <w:rPr>
          <w:i/>
          <w:spacing w:val="-15"/>
          <w:sz w:val="22"/>
        </w:rPr>
        <w:t> </w:t>
      </w:r>
      <w:r>
        <w:rPr>
          <w:i/>
          <w:sz w:val="22"/>
        </w:rPr>
        <w:t>Introducción,</w:t>
      </w:r>
      <w:r>
        <w:rPr>
          <w:i/>
          <w:spacing w:val="-9"/>
          <w:sz w:val="22"/>
        </w:rPr>
        <w:t> </w:t>
      </w:r>
      <w:r>
        <w:rPr>
          <w:sz w:val="22"/>
        </w:rPr>
        <w:t>México: Porrúa.</w:t>
      </w:r>
    </w:p>
    <w:p>
      <w:pPr>
        <w:pStyle w:val="BodyText"/>
        <w:spacing w:before="7"/>
        <w:rPr>
          <w:sz w:val="17"/>
        </w:rPr>
      </w:pPr>
    </w:p>
    <w:p>
      <w:pPr>
        <w:spacing w:line="360" w:lineRule="auto" w:before="0"/>
        <w:ind w:left="102" w:right="96" w:firstLine="0"/>
        <w:jc w:val="left"/>
        <w:rPr>
          <w:sz w:val="22"/>
        </w:rPr>
      </w:pPr>
      <w:r>
        <w:rPr>
          <w:sz w:val="22"/>
        </w:rPr>
        <w:t>Benavente Chorres, Hesbert (2014), </w:t>
      </w:r>
      <w:r>
        <w:rPr>
          <w:i/>
          <w:sz w:val="22"/>
        </w:rPr>
        <w:t>Guía para el estudiante del Proceso Penal Acusatorio </w:t>
      </w:r>
      <w:r>
        <w:rPr>
          <w:i/>
          <w:sz w:val="22"/>
        </w:rPr>
        <w:t>y Oral, </w:t>
      </w:r>
      <w:r>
        <w:rPr>
          <w:sz w:val="22"/>
        </w:rPr>
        <w:t>México: Editorial Flores.</w:t>
      </w:r>
    </w:p>
    <w:p>
      <w:pPr>
        <w:pStyle w:val="BodyText"/>
        <w:spacing w:before="9"/>
        <w:rPr>
          <w:sz w:val="17"/>
        </w:rPr>
      </w:pPr>
    </w:p>
    <w:p>
      <w:pPr>
        <w:spacing w:line="360" w:lineRule="auto" w:before="0"/>
        <w:ind w:left="102" w:right="96" w:firstLine="0"/>
        <w:jc w:val="left"/>
        <w:rPr>
          <w:sz w:val="22"/>
        </w:rPr>
      </w:pPr>
      <w:r>
        <w:rPr>
          <w:sz w:val="22"/>
        </w:rPr>
        <w:t>Benavente Chorres, Hesbert (2014), </w:t>
      </w:r>
      <w:r>
        <w:rPr>
          <w:i/>
          <w:sz w:val="22"/>
        </w:rPr>
        <w:t>La aplicación de la Teoría del Caso y la Teoría del </w:t>
      </w:r>
      <w:r>
        <w:rPr>
          <w:i/>
          <w:sz w:val="22"/>
        </w:rPr>
        <w:t>Delito en el Proceso Penal Acusatorio y Oral, </w:t>
      </w:r>
      <w:r>
        <w:rPr>
          <w:sz w:val="22"/>
        </w:rPr>
        <w:t>México: Editorial Flores.</w:t>
      </w:r>
    </w:p>
    <w:p>
      <w:pPr>
        <w:pStyle w:val="BodyText"/>
        <w:spacing w:before="5"/>
        <w:rPr>
          <w:sz w:val="24"/>
        </w:rPr>
      </w:pPr>
    </w:p>
    <w:p>
      <w:pPr>
        <w:spacing w:line="360" w:lineRule="auto" w:before="0"/>
        <w:ind w:left="102" w:right="96" w:firstLine="0"/>
        <w:jc w:val="left"/>
        <w:rPr>
          <w:sz w:val="22"/>
        </w:rPr>
      </w:pPr>
      <w:r>
        <w:rPr>
          <w:sz w:val="22"/>
        </w:rPr>
        <w:t>Carbonell, Miguel (2012), </w:t>
      </w:r>
      <w:r>
        <w:rPr>
          <w:i/>
          <w:sz w:val="22"/>
        </w:rPr>
        <w:t>Introducción General al Control de Convencionalidad</w:t>
      </w:r>
      <w:r>
        <w:rPr>
          <w:sz w:val="22"/>
        </w:rPr>
        <w:t>. México: Porrúa.</w:t>
      </w:r>
    </w:p>
    <w:p>
      <w:pPr>
        <w:pStyle w:val="BodyText"/>
        <w:spacing w:before="10"/>
        <w:rPr>
          <w:sz w:val="24"/>
        </w:rPr>
      </w:pPr>
    </w:p>
    <w:p>
      <w:pPr>
        <w:spacing w:line="360" w:lineRule="auto" w:before="1"/>
        <w:ind w:left="102" w:right="96" w:firstLine="0"/>
        <w:jc w:val="left"/>
        <w:rPr>
          <w:sz w:val="22"/>
        </w:rPr>
      </w:pPr>
      <w:r>
        <w:rPr>
          <w:sz w:val="22"/>
        </w:rPr>
        <w:t>Centro de Investigación y Docencia Económicas (2015), </w:t>
      </w:r>
      <w:r>
        <w:rPr>
          <w:i/>
          <w:sz w:val="22"/>
        </w:rPr>
        <w:t>Jsticia Cotidiana. Síntesis del </w:t>
      </w:r>
      <w:r>
        <w:rPr>
          <w:i/>
          <w:sz w:val="22"/>
        </w:rPr>
        <w:t>informe y de las recomendaciones en maeria de justicia cotidiana. </w:t>
      </w:r>
      <w:r>
        <w:rPr>
          <w:sz w:val="22"/>
        </w:rPr>
        <w:t>México: CIDE.</w:t>
      </w:r>
    </w:p>
    <w:p>
      <w:pPr>
        <w:pStyle w:val="BodyText"/>
        <w:spacing w:before="7"/>
        <w:rPr>
          <w:sz w:val="17"/>
        </w:rPr>
      </w:pPr>
    </w:p>
    <w:p>
      <w:pPr>
        <w:spacing w:line="360" w:lineRule="auto" w:before="0"/>
        <w:ind w:left="102" w:right="96" w:firstLine="0"/>
        <w:jc w:val="left"/>
        <w:rPr>
          <w:sz w:val="22"/>
        </w:rPr>
      </w:pPr>
      <w:r>
        <w:rPr>
          <w:sz w:val="22"/>
        </w:rPr>
        <w:t>CIDH (1984), </w:t>
      </w:r>
      <w:r>
        <w:rPr>
          <w:i/>
          <w:sz w:val="22"/>
        </w:rPr>
        <w:t>Opinión Consultiva OC-4/84 del 19 de enero de 1984, solicitada por el </w:t>
      </w:r>
      <w:r>
        <w:rPr>
          <w:i/>
          <w:sz w:val="22"/>
        </w:rPr>
        <w:t>gobierno de Costa Rica, </w:t>
      </w:r>
      <w:r>
        <w:rPr>
          <w:sz w:val="22"/>
        </w:rPr>
        <w:t>San José, Costa Rica: CIDH.</w:t>
      </w:r>
    </w:p>
    <w:p>
      <w:pPr>
        <w:pStyle w:val="BodyText"/>
        <w:spacing w:before="9"/>
        <w:rPr>
          <w:sz w:val="17"/>
        </w:rPr>
      </w:pPr>
    </w:p>
    <w:p>
      <w:pPr>
        <w:spacing w:line="360" w:lineRule="auto" w:before="0"/>
        <w:ind w:left="102" w:right="96" w:firstLine="0"/>
        <w:jc w:val="left"/>
        <w:rPr>
          <w:sz w:val="22"/>
        </w:rPr>
      </w:pPr>
      <w:r>
        <w:rPr>
          <w:sz w:val="22"/>
        </w:rPr>
        <w:t>CIDH (2003), </w:t>
      </w:r>
      <w:r>
        <w:rPr>
          <w:i/>
          <w:sz w:val="22"/>
        </w:rPr>
        <w:t>Opinión Consultiva OC-18/03 del 17 de septiembre del 2003, solicitada por </w:t>
      </w:r>
      <w:r>
        <w:rPr>
          <w:i/>
          <w:sz w:val="22"/>
        </w:rPr>
        <w:t>los Estados Unidos Mexicanos, </w:t>
      </w:r>
      <w:r>
        <w:rPr>
          <w:sz w:val="22"/>
        </w:rPr>
        <w:t>San José, Costa Rica: CIDH.</w:t>
      </w:r>
    </w:p>
    <w:p>
      <w:pPr>
        <w:pStyle w:val="BodyText"/>
        <w:spacing w:before="7"/>
        <w:rPr>
          <w:sz w:val="17"/>
        </w:rPr>
      </w:pPr>
    </w:p>
    <w:p>
      <w:pPr>
        <w:tabs>
          <w:tab w:pos="922" w:val="left" w:leader="none"/>
          <w:tab w:pos="1904" w:val="left" w:leader="none"/>
          <w:tab w:pos="3617" w:val="left" w:leader="none"/>
          <w:tab w:pos="4437" w:val="left" w:leader="none"/>
          <w:tab w:pos="6188" w:val="left" w:leader="none"/>
          <w:tab w:pos="6716" w:val="left" w:leader="none"/>
          <w:tab w:pos="7937" w:val="left" w:leader="none"/>
        </w:tabs>
        <w:spacing w:before="0"/>
        <w:ind w:left="102" w:right="0" w:firstLine="0"/>
        <w:jc w:val="left"/>
        <w:rPr>
          <w:i/>
          <w:sz w:val="22"/>
        </w:rPr>
      </w:pPr>
      <w:r>
        <w:rPr>
          <w:sz w:val="22"/>
        </w:rPr>
        <w:t>CIDH</w:t>
        <w:tab/>
        <w:t>(2014),</w:t>
        <w:tab/>
      </w:r>
      <w:r>
        <w:rPr>
          <w:i/>
          <w:sz w:val="22"/>
        </w:rPr>
        <w:t>Jurisprudencia</w:t>
        <w:tab/>
        <w:t>Corte</w:t>
        <w:tab/>
        <w:t>Interamericana</w:t>
        <w:tab/>
        <w:t>de</w:t>
        <w:tab/>
        <w:t>Derechos</w:t>
        <w:tab/>
        <w:t>Humanos,</w:t>
      </w:r>
    </w:p>
    <w:p>
      <w:pPr>
        <w:pStyle w:val="BodyText"/>
        <w:spacing w:before="126"/>
        <w:ind w:left="102" w:right="96"/>
      </w:pPr>
      <w:hyperlink r:id="rId151">
        <w:r>
          <w:rPr>
            <w:color w:val="0462C1"/>
            <w:u w:val="single" w:color="0462C1"/>
          </w:rPr>
          <w:t>http://www.corteidh.or.cr/index.php/jurisprudencia</w:t>
        </w:r>
      </w:hyperlink>
      <w:r>
        <w:rPr/>
        <w:t>, consultada en junio del 2015.</w:t>
      </w:r>
    </w:p>
    <w:p>
      <w:pPr>
        <w:pStyle w:val="BodyText"/>
        <w:spacing w:before="2"/>
      </w:pPr>
    </w:p>
    <w:p>
      <w:pPr>
        <w:spacing w:line="360" w:lineRule="auto" w:before="73"/>
        <w:ind w:left="102" w:right="116" w:firstLine="0"/>
        <w:jc w:val="both"/>
        <w:rPr>
          <w:sz w:val="22"/>
        </w:rPr>
      </w:pPr>
      <w:r>
        <w:rPr>
          <w:sz w:val="22"/>
        </w:rPr>
        <w:t>CNDH (2010), </w:t>
      </w:r>
      <w:r>
        <w:rPr>
          <w:i/>
          <w:sz w:val="22"/>
        </w:rPr>
        <w:t>¿Qué son los Derechos Humanos?, </w:t>
      </w:r>
      <w:r>
        <w:rPr>
          <w:sz w:val="22"/>
        </w:rPr>
        <w:t>México: CNDH, </w:t>
      </w:r>
      <w:hyperlink r:id="rId152">
        <w:r>
          <w:rPr>
            <w:color w:val="0462C1"/>
            <w:sz w:val="22"/>
            <w:u w:val="single" w:color="0462C1"/>
          </w:rPr>
          <w:t>http://www.cndh.org.mx/Que_son_Derechos_Humanos</w:t>
        </w:r>
      </w:hyperlink>
      <w:r>
        <w:rPr>
          <w:sz w:val="22"/>
        </w:rPr>
        <w:t>, consultada el 23 de octubre del 2015.</w:t>
      </w:r>
    </w:p>
    <w:p>
      <w:pPr>
        <w:pStyle w:val="BodyText"/>
        <w:spacing w:before="9"/>
        <w:rPr>
          <w:sz w:val="17"/>
        </w:rPr>
      </w:pPr>
    </w:p>
    <w:p>
      <w:pPr>
        <w:spacing w:line="360" w:lineRule="auto" w:before="0"/>
        <w:ind w:left="102" w:right="116" w:firstLine="0"/>
        <w:jc w:val="both"/>
        <w:rPr>
          <w:sz w:val="22"/>
        </w:rPr>
      </w:pPr>
      <w:r>
        <w:rPr>
          <w:sz w:val="22"/>
        </w:rPr>
        <w:t>EPADEQ (2012), </w:t>
      </w:r>
      <w:r>
        <w:rPr>
          <w:i/>
          <w:sz w:val="22"/>
        </w:rPr>
        <w:t>Diagnóstico e implementación de acciones básicas sobre equidad de </w:t>
      </w:r>
      <w:r>
        <w:rPr>
          <w:i/>
          <w:sz w:val="22"/>
        </w:rPr>
        <w:t>género en la impartición de justicia, la normatividad y la cultura organizacional de 15 Tribunales Superiores de Justicia. </w:t>
      </w:r>
      <w:r>
        <w:rPr>
          <w:sz w:val="22"/>
        </w:rPr>
        <w:t>México: EPADEQ.</w:t>
      </w:r>
    </w:p>
    <w:p>
      <w:pPr>
        <w:pStyle w:val="BodyText"/>
        <w:spacing w:before="5"/>
        <w:rPr>
          <w:sz w:val="24"/>
        </w:rPr>
      </w:pPr>
    </w:p>
    <w:p>
      <w:pPr>
        <w:spacing w:line="360" w:lineRule="auto" w:before="0"/>
        <w:ind w:left="102" w:right="121" w:firstLine="0"/>
        <w:jc w:val="both"/>
        <w:rPr>
          <w:sz w:val="22"/>
        </w:rPr>
      </w:pPr>
      <w:r>
        <w:rPr>
          <w:sz w:val="22"/>
        </w:rPr>
        <w:t>Equis Justicia para la Mujeres (2015), </w:t>
      </w:r>
      <w:r>
        <w:rPr>
          <w:i/>
          <w:sz w:val="22"/>
        </w:rPr>
        <w:t>¿Qué es el control de convencionalidad?, </w:t>
      </w:r>
      <w:hyperlink r:id="rId146">
        <w:r>
          <w:rPr>
            <w:i/>
            <w:color w:val="0462C1"/>
            <w:sz w:val="22"/>
            <w:u w:val="single" w:color="0462C1"/>
          </w:rPr>
          <w:t>http://equis.org.mx/control_convencionalidad/</w:t>
        </w:r>
      </w:hyperlink>
      <w:r>
        <w:rPr>
          <w:i/>
          <w:sz w:val="22"/>
        </w:rPr>
        <w:t>, </w:t>
      </w:r>
      <w:r>
        <w:rPr>
          <w:sz w:val="22"/>
        </w:rPr>
        <w:t>consultada el 3 de noviembre del 2015.</w:t>
      </w:r>
    </w:p>
    <w:p>
      <w:pPr>
        <w:spacing w:after="0" w:line="360" w:lineRule="auto"/>
        <w:jc w:val="both"/>
        <w:rPr>
          <w:sz w:val="22"/>
        </w:rPr>
        <w:sectPr>
          <w:pgSz w:w="12240" w:h="15840"/>
          <w:pgMar w:header="0" w:footer="1002" w:top="1500" w:bottom="1200" w:left="1600" w:right="1580"/>
        </w:sectPr>
      </w:pPr>
    </w:p>
    <w:p>
      <w:pPr>
        <w:spacing w:line="360" w:lineRule="auto" w:before="54"/>
        <w:ind w:left="102" w:right="116" w:firstLine="0"/>
        <w:jc w:val="both"/>
        <w:rPr>
          <w:sz w:val="22"/>
        </w:rPr>
      </w:pPr>
      <w:r>
        <w:rPr>
          <w:sz w:val="22"/>
        </w:rPr>
        <w:t>García Martínez, Anayeli (2015), </w:t>
      </w:r>
      <w:r>
        <w:rPr>
          <w:i/>
          <w:sz w:val="22"/>
        </w:rPr>
        <w:t>“Desechan proyecto para juzgar violencia sexual con </w:t>
      </w:r>
      <w:r>
        <w:rPr>
          <w:i/>
          <w:sz w:val="22"/>
        </w:rPr>
        <w:t>visión de género”</w:t>
      </w:r>
      <w:r>
        <w:rPr>
          <w:sz w:val="22"/>
        </w:rPr>
        <w:t>, en CIMACNOTICIAS Periodismo con perspectiva de género</w:t>
      </w:r>
      <w:r>
        <w:rPr>
          <w:i/>
          <w:sz w:val="22"/>
        </w:rPr>
        <w:t>, </w:t>
      </w:r>
      <w:hyperlink r:id="rId153">
        <w:r>
          <w:rPr>
            <w:color w:val="0462C1"/>
            <w:sz w:val="22"/>
            <w:u w:val="single" w:color="0462C1"/>
          </w:rPr>
          <w:t>http://www.cimacnoticias.com.mx/node/69623</w:t>
        </w:r>
      </w:hyperlink>
      <w:r>
        <w:rPr>
          <w:sz w:val="22"/>
        </w:rPr>
        <w:t>, consultada en mayo del dos mil quince.</w:t>
      </w:r>
    </w:p>
    <w:p>
      <w:pPr>
        <w:pStyle w:val="BodyText"/>
        <w:spacing w:before="2"/>
        <w:rPr>
          <w:sz w:val="18"/>
        </w:rPr>
      </w:pPr>
    </w:p>
    <w:p>
      <w:pPr>
        <w:spacing w:line="360" w:lineRule="auto" w:before="72"/>
        <w:ind w:left="102" w:right="114" w:firstLine="0"/>
        <w:jc w:val="both"/>
        <w:rPr>
          <w:sz w:val="22"/>
        </w:rPr>
      </w:pPr>
      <w:r>
        <w:rPr>
          <w:sz w:val="22"/>
        </w:rPr>
        <w:t>García,</w:t>
      </w:r>
      <w:r>
        <w:rPr>
          <w:spacing w:val="-5"/>
          <w:sz w:val="22"/>
        </w:rPr>
        <w:t> </w:t>
      </w:r>
      <w:r>
        <w:rPr>
          <w:sz w:val="22"/>
        </w:rPr>
        <w:t>Ramírez</w:t>
      </w:r>
      <w:r>
        <w:rPr>
          <w:spacing w:val="-8"/>
          <w:sz w:val="22"/>
        </w:rPr>
        <w:t> </w:t>
      </w:r>
      <w:r>
        <w:rPr>
          <w:sz w:val="22"/>
        </w:rPr>
        <w:t>Sergio</w:t>
      </w:r>
      <w:r>
        <w:rPr>
          <w:spacing w:val="-8"/>
          <w:sz w:val="22"/>
        </w:rPr>
        <w:t> </w:t>
      </w:r>
      <w:r>
        <w:rPr>
          <w:sz w:val="22"/>
        </w:rPr>
        <w:t>(2011)</w:t>
      </w:r>
      <w:r>
        <w:rPr>
          <w:i/>
          <w:sz w:val="22"/>
        </w:rPr>
        <w:t>,</w:t>
      </w:r>
      <w:r>
        <w:rPr>
          <w:i/>
          <w:spacing w:val="-6"/>
          <w:sz w:val="22"/>
        </w:rPr>
        <w:t> </w:t>
      </w:r>
      <w:r>
        <w:rPr>
          <w:i/>
          <w:sz w:val="22"/>
        </w:rPr>
        <w:t>“</w:t>
      </w:r>
      <w:r>
        <w:rPr>
          <w:sz w:val="22"/>
        </w:rPr>
        <w:t>El</w:t>
      </w:r>
      <w:r>
        <w:rPr>
          <w:spacing w:val="-6"/>
          <w:sz w:val="22"/>
        </w:rPr>
        <w:t> </w:t>
      </w:r>
      <w:r>
        <w:rPr>
          <w:sz w:val="22"/>
        </w:rPr>
        <w:t>control</w:t>
      </w:r>
      <w:r>
        <w:rPr>
          <w:spacing w:val="-9"/>
          <w:sz w:val="22"/>
        </w:rPr>
        <w:t> </w:t>
      </w:r>
      <w:r>
        <w:rPr>
          <w:sz w:val="22"/>
        </w:rPr>
        <w:t>judicial</w:t>
      </w:r>
      <w:r>
        <w:rPr>
          <w:spacing w:val="-9"/>
          <w:sz w:val="22"/>
        </w:rPr>
        <w:t> </w:t>
      </w:r>
      <w:r>
        <w:rPr>
          <w:sz w:val="22"/>
        </w:rPr>
        <w:t>interno</w:t>
      </w:r>
      <w:r>
        <w:rPr>
          <w:spacing w:val="-6"/>
          <w:sz w:val="22"/>
        </w:rPr>
        <w:t> </w:t>
      </w:r>
      <w:r>
        <w:rPr>
          <w:sz w:val="22"/>
        </w:rPr>
        <w:t>de</w:t>
      </w:r>
      <w:r>
        <w:rPr>
          <w:spacing w:val="-8"/>
          <w:sz w:val="22"/>
        </w:rPr>
        <w:t> </w:t>
      </w:r>
      <w:r>
        <w:rPr>
          <w:sz w:val="22"/>
        </w:rPr>
        <w:t>convencionalidad”,</w:t>
      </w:r>
      <w:r>
        <w:rPr>
          <w:spacing w:val="-6"/>
          <w:sz w:val="22"/>
        </w:rPr>
        <w:t> </w:t>
      </w:r>
      <w:r>
        <w:rPr>
          <w:sz w:val="22"/>
        </w:rPr>
        <w:t>en</w:t>
      </w:r>
      <w:r>
        <w:rPr>
          <w:spacing w:val="-5"/>
          <w:sz w:val="22"/>
        </w:rPr>
        <w:t> </w:t>
      </w:r>
      <w:r>
        <w:rPr>
          <w:i/>
          <w:sz w:val="22"/>
        </w:rPr>
        <w:t>Revista </w:t>
      </w:r>
      <w:r>
        <w:rPr>
          <w:i/>
          <w:sz w:val="22"/>
        </w:rPr>
        <w:t>del</w:t>
      </w:r>
      <w:r>
        <w:rPr>
          <w:i/>
          <w:spacing w:val="-5"/>
          <w:sz w:val="22"/>
        </w:rPr>
        <w:t> </w:t>
      </w:r>
      <w:r>
        <w:rPr>
          <w:i/>
          <w:sz w:val="22"/>
        </w:rPr>
        <w:t>Instituto</w:t>
      </w:r>
      <w:r>
        <w:rPr>
          <w:i/>
          <w:spacing w:val="-4"/>
          <w:sz w:val="22"/>
        </w:rPr>
        <w:t> </w:t>
      </w:r>
      <w:r>
        <w:rPr>
          <w:i/>
          <w:sz w:val="22"/>
        </w:rPr>
        <w:t>de</w:t>
      </w:r>
      <w:r>
        <w:rPr>
          <w:i/>
          <w:spacing w:val="-7"/>
          <w:sz w:val="22"/>
        </w:rPr>
        <w:t> </w:t>
      </w:r>
      <w:r>
        <w:rPr>
          <w:i/>
          <w:sz w:val="22"/>
        </w:rPr>
        <w:t>Ciencias</w:t>
      </w:r>
      <w:r>
        <w:rPr>
          <w:i/>
          <w:spacing w:val="-6"/>
          <w:sz w:val="22"/>
        </w:rPr>
        <w:t> </w:t>
      </w:r>
      <w:r>
        <w:rPr>
          <w:i/>
          <w:sz w:val="22"/>
        </w:rPr>
        <w:t>Jurídicas</w:t>
      </w:r>
      <w:r>
        <w:rPr>
          <w:i/>
          <w:spacing w:val="-6"/>
          <w:sz w:val="22"/>
        </w:rPr>
        <w:t> </w:t>
      </w:r>
      <w:r>
        <w:rPr>
          <w:i/>
          <w:sz w:val="22"/>
        </w:rPr>
        <w:t>de</w:t>
      </w:r>
      <w:r>
        <w:rPr>
          <w:i/>
          <w:spacing w:val="-4"/>
          <w:sz w:val="22"/>
        </w:rPr>
        <w:t> </w:t>
      </w:r>
      <w:r>
        <w:rPr>
          <w:i/>
          <w:sz w:val="22"/>
        </w:rPr>
        <w:t>Puebla</w:t>
      </w:r>
      <w:r>
        <w:rPr>
          <w:sz w:val="22"/>
        </w:rPr>
        <w:t>,</w:t>
      </w:r>
      <w:r>
        <w:rPr>
          <w:spacing w:val="-3"/>
          <w:sz w:val="22"/>
        </w:rPr>
        <w:t> </w:t>
      </w:r>
      <w:r>
        <w:rPr>
          <w:sz w:val="22"/>
        </w:rPr>
        <w:t>año</w:t>
      </w:r>
      <w:r>
        <w:rPr>
          <w:spacing w:val="-6"/>
          <w:sz w:val="22"/>
        </w:rPr>
        <w:t> </w:t>
      </w:r>
      <w:r>
        <w:rPr>
          <w:sz w:val="22"/>
        </w:rPr>
        <w:t>V,</w:t>
      </w:r>
      <w:r>
        <w:rPr>
          <w:spacing w:val="-3"/>
          <w:sz w:val="22"/>
        </w:rPr>
        <w:t> </w:t>
      </w:r>
      <w:r>
        <w:rPr>
          <w:sz w:val="22"/>
        </w:rPr>
        <w:t>núm.</w:t>
      </w:r>
      <w:r>
        <w:rPr>
          <w:spacing w:val="-5"/>
          <w:sz w:val="22"/>
        </w:rPr>
        <w:t> </w:t>
      </w:r>
      <w:r>
        <w:rPr>
          <w:sz w:val="22"/>
        </w:rPr>
        <w:t>28,</w:t>
      </w:r>
      <w:r>
        <w:rPr>
          <w:spacing w:val="-5"/>
          <w:sz w:val="22"/>
        </w:rPr>
        <w:t> </w:t>
      </w:r>
      <w:r>
        <w:rPr>
          <w:sz w:val="22"/>
        </w:rPr>
        <w:t>México:</w:t>
      </w:r>
      <w:r>
        <w:rPr>
          <w:spacing w:val="-3"/>
          <w:sz w:val="22"/>
        </w:rPr>
        <w:t> </w:t>
      </w:r>
      <w:r>
        <w:rPr>
          <w:sz w:val="22"/>
        </w:rPr>
        <w:t>Instituto</w:t>
      </w:r>
      <w:r>
        <w:rPr>
          <w:spacing w:val="-3"/>
          <w:sz w:val="22"/>
        </w:rPr>
        <w:t> </w:t>
      </w:r>
      <w:r>
        <w:rPr>
          <w:sz w:val="22"/>
        </w:rPr>
        <w:t>de</w:t>
      </w:r>
      <w:r>
        <w:rPr>
          <w:spacing w:val="-4"/>
          <w:sz w:val="22"/>
        </w:rPr>
        <w:t> </w:t>
      </w:r>
      <w:r>
        <w:rPr>
          <w:sz w:val="22"/>
        </w:rPr>
        <w:t>Ciencias Jurídicas de</w:t>
      </w:r>
      <w:r>
        <w:rPr>
          <w:spacing w:val="-4"/>
          <w:sz w:val="22"/>
        </w:rPr>
        <w:t> </w:t>
      </w:r>
      <w:r>
        <w:rPr>
          <w:sz w:val="22"/>
        </w:rPr>
        <w:t>Puebla.</w:t>
      </w:r>
    </w:p>
    <w:p>
      <w:pPr>
        <w:pStyle w:val="BodyText"/>
        <w:spacing w:before="8"/>
        <w:rPr>
          <w:sz w:val="24"/>
        </w:rPr>
      </w:pPr>
    </w:p>
    <w:p>
      <w:pPr>
        <w:spacing w:line="360" w:lineRule="auto" w:before="0"/>
        <w:ind w:left="102" w:right="162" w:firstLine="0"/>
        <w:jc w:val="both"/>
        <w:rPr>
          <w:sz w:val="22"/>
        </w:rPr>
      </w:pPr>
      <w:r>
        <w:rPr>
          <w:sz w:val="22"/>
        </w:rPr>
        <w:t>Heise, Lori (1999), “Violencia contra las mujeres: un marco ecológico integrado”, en Backhaus,</w:t>
      </w:r>
      <w:r>
        <w:rPr>
          <w:spacing w:val="-16"/>
          <w:sz w:val="22"/>
        </w:rPr>
        <w:t> </w:t>
      </w:r>
      <w:r>
        <w:rPr>
          <w:sz w:val="22"/>
        </w:rPr>
        <w:t>Annette</w:t>
      </w:r>
      <w:r>
        <w:rPr>
          <w:spacing w:val="-19"/>
          <w:sz w:val="22"/>
        </w:rPr>
        <w:t> </w:t>
      </w:r>
      <w:r>
        <w:rPr>
          <w:sz w:val="22"/>
        </w:rPr>
        <w:t>(compiladora),</w:t>
      </w:r>
      <w:r>
        <w:rPr>
          <w:spacing w:val="-14"/>
          <w:sz w:val="22"/>
        </w:rPr>
        <w:t> </w:t>
      </w:r>
      <w:r>
        <w:rPr>
          <w:i/>
          <w:sz w:val="22"/>
        </w:rPr>
        <w:t>Violencia</w:t>
      </w:r>
      <w:r>
        <w:rPr>
          <w:i/>
          <w:spacing w:val="-17"/>
          <w:sz w:val="22"/>
        </w:rPr>
        <w:t> </w:t>
      </w:r>
      <w:r>
        <w:rPr>
          <w:i/>
          <w:sz w:val="22"/>
        </w:rPr>
        <w:t>de</w:t>
      </w:r>
      <w:r>
        <w:rPr>
          <w:i/>
          <w:spacing w:val="-17"/>
          <w:sz w:val="22"/>
        </w:rPr>
        <w:t> </w:t>
      </w:r>
      <w:r>
        <w:rPr>
          <w:i/>
          <w:sz w:val="22"/>
        </w:rPr>
        <w:t>Género</w:t>
      </w:r>
      <w:r>
        <w:rPr>
          <w:i/>
          <w:spacing w:val="-16"/>
          <w:sz w:val="22"/>
        </w:rPr>
        <w:t> </w:t>
      </w:r>
      <w:r>
        <w:rPr>
          <w:i/>
          <w:sz w:val="22"/>
        </w:rPr>
        <w:t>y</w:t>
      </w:r>
      <w:r>
        <w:rPr>
          <w:i/>
          <w:spacing w:val="-17"/>
          <w:sz w:val="22"/>
        </w:rPr>
        <w:t> </w:t>
      </w:r>
      <w:r>
        <w:rPr>
          <w:i/>
          <w:sz w:val="22"/>
        </w:rPr>
        <w:t>Estrategias</w:t>
      </w:r>
      <w:r>
        <w:rPr>
          <w:i/>
          <w:spacing w:val="-17"/>
          <w:sz w:val="22"/>
        </w:rPr>
        <w:t> </w:t>
      </w:r>
      <w:r>
        <w:rPr>
          <w:i/>
          <w:sz w:val="22"/>
        </w:rPr>
        <w:t>de</w:t>
      </w:r>
      <w:r>
        <w:rPr>
          <w:i/>
          <w:spacing w:val="-17"/>
          <w:sz w:val="22"/>
        </w:rPr>
        <w:t> </w:t>
      </w:r>
      <w:r>
        <w:rPr>
          <w:i/>
          <w:sz w:val="22"/>
        </w:rPr>
        <w:t>Cambio,</w:t>
      </w:r>
      <w:r>
        <w:rPr>
          <w:i/>
          <w:spacing w:val="-15"/>
          <w:sz w:val="22"/>
        </w:rPr>
        <w:t> </w:t>
      </w:r>
      <w:r>
        <w:rPr>
          <w:sz w:val="22"/>
        </w:rPr>
        <w:t>Managua: Proyecto de Promoción De Políticas</w:t>
      </w:r>
      <w:r>
        <w:rPr>
          <w:spacing w:val="-12"/>
          <w:sz w:val="22"/>
        </w:rPr>
        <w:t> </w:t>
      </w:r>
      <w:r>
        <w:rPr>
          <w:sz w:val="22"/>
        </w:rPr>
        <w:t>Públicas.</w:t>
      </w:r>
    </w:p>
    <w:p>
      <w:pPr>
        <w:pStyle w:val="BodyText"/>
        <w:spacing w:before="5"/>
        <w:rPr>
          <w:sz w:val="24"/>
        </w:rPr>
      </w:pPr>
    </w:p>
    <w:p>
      <w:pPr>
        <w:spacing w:line="360" w:lineRule="auto" w:before="0"/>
        <w:ind w:left="102" w:right="117" w:firstLine="0"/>
        <w:jc w:val="both"/>
        <w:rPr>
          <w:sz w:val="22"/>
        </w:rPr>
      </w:pPr>
      <w:r>
        <w:rPr>
          <w:sz w:val="22"/>
        </w:rPr>
        <w:t>Hitters,</w:t>
      </w:r>
      <w:r>
        <w:rPr>
          <w:spacing w:val="-9"/>
          <w:sz w:val="22"/>
        </w:rPr>
        <w:t> </w:t>
      </w:r>
      <w:r>
        <w:rPr>
          <w:sz w:val="22"/>
        </w:rPr>
        <w:t>Juan</w:t>
      </w:r>
      <w:r>
        <w:rPr>
          <w:spacing w:val="-7"/>
          <w:sz w:val="22"/>
        </w:rPr>
        <w:t> </w:t>
      </w:r>
      <w:r>
        <w:rPr>
          <w:sz w:val="22"/>
        </w:rPr>
        <w:t>Carlos</w:t>
      </w:r>
      <w:r>
        <w:rPr>
          <w:spacing w:val="-10"/>
          <w:sz w:val="22"/>
        </w:rPr>
        <w:t> </w:t>
      </w:r>
      <w:r>
        <w:rPr>
          <w:sz w:val="22"/>
        </w:rPr>
        <w:t>(2009),</w:t>
      </w:r>
      <w:r>
        <w:rPr>
          <w:spacing w:val="-8"/>
          <w:sz w:val="22"/>
        </w:rPr>
        <w:t> </w:t>
      </w:r>
      <w:r>
        <w:rPr>
          <w:sz w:val="22"/>
        </w:rPr>
        <w:t>“Control</w:t>
      </w:r>
      <w:r>
        <w:rPr>
          <w:spacing w:val="-8"/>
          <w:sz w:val="22"/>
        </w:rPr>
        <w:t> </w:t>
      </w:r>
      <w:r>
        <w:rPr>
          <w:sz w:val="22"/>
        </w:rPr>
        <w:t>de</w:t>
      </w:r>
      <w:r>
        <w:rPr>
          <w:spacing w:val="-10"/>
          <w:sz w:val="22"/>
        </w:rPr>
        <w:t> </w:t>
      </w:r>
      <w:r>
        <w:rPr>
          <w:sz w:val="22"/>
        </w:rPr>
        <w:t>Constitucionalidad</w:t>
      </w:r>
      <w:r>
        <w:rPr>
          <w:spacing w:val="-7"/>
          <w:sz w:val="22"/>
        </w:rPr>
        <w:t> </w:t>
      </w:r>
      <w:r>
        <w:rPr>
          <w:sz w:val="22"/>
        </w:rPr>
        <w:t>y</w:t>
      </w:r>
      <w:r>
        <w:rPr>
          <w:spacing w:val="-9"/>
          <w:sz w:val="22"/>
        </w:rPr>
        <w:t> </w:t>
      </w:r>
      <w:r>
        <w:rPr>
          <w:sz w:val="22"/>
        </w:rPr>
        <w:t>Control</w:t>
      </w:r>
      <w:r>
        <w:rPr>
          <w:spacing w:val="-8"/>
          <w:sz w:val="22"/>
        </w:rPr>
        <w:t> </w:t>
      </w:r>
      <w:r>
        <w:rPr>
          <w:sz w:val="22"/>
        </w:rPr>
        <w:t>de</w:t>
      </w:r>
      <w:r>
        <w:rPr>
          <w:spacing w:val="-10"/>
          <w:sz w:val="22"/>
        </w:rPr>
        <w:t> </w:t>
      </w:r>
      <w:r>
        <w:rPr>
          <w:sz w:val="22"/>
        </w:rPr>
        <w:t>Convencionalidad”, en </w:t>
      </w:r>
      <w:r>
        <w:rPr>
          <w:i/>
          <w:sz w:val="22"/>
        </w:rPr>
        <w:t>Centro de Estudios Constitucionales de Chile, Universidad de Talca, </w:t>
      </w:r>
      <w:r>
        <w:rPr>
          <w:sz w:val="22"/>
        </w:rPr>
        <w:t>Año 7, núm. 2, 2009. Chile: Estudios</w:t>
      </w:r>
      <w:r>
        <w:rPr>
          <w:spacing w:val="-8"/>
          <w:sz w:val="22"/>
        </w:rPr>
        <w:t> </w:t>
      </w:r>
      <w:r>
        <w:rPr>
          <w:sz w:val="22"/>
        </w:rPr>
        <w:t>Constitucionales.</w:t>
      </w:r>
    </w:p>
    <w:p>
      <w:pPr>
        <w:pStyle w:val="BodyText"/>
        <w:spacing w:before="8"/>
        <w:rPr>
          <w:sz w:val="24"/>
        </w:rPr>
      </w:pPr>
    </w:p>
    <w:p>
      <w:pPr>
        <w:spacing w:before="0"/>
        <w:ind w:left="102" w:right="0" w:firstLine="0"/>
        <w:jc w:val="both"/>
        <w:rPr>
          <w:sz w:val="22"/>
        </w:rPr>
      </w:pPr>
      <w:r>
        <w:rPr>
          <w:sz w:val="22"/>
        </w:rPr>
        <w:t>INMUJERES (2007), </w:t>
      </w:r>
      <w:r>
        <w:rPr>
          <w:i/>
          <w:sz w:val="22"/>
        </w:rPr>
        <w:t>Glosario de género, </w:t>
      </w:r>
      <w:r>
        <w:rPr>
          <w:sz w:val="22"/>
        </w:rPr>
        <w:t>México: Instituto Nacional de las Mujeres.</w:t>
      </w:r>
    </w:p>
    <w:p>
      <w:pPr>
        <w:pStyle w:val="BodyText"/>
        <w:spacing w:before="5"/>
        <w:rPr>
          <w:sz w:val="28"/>
        </w:rPr>
      </w:pPr>
    </w:p>
    <w:p>
      <w:pPr>
        <w:tabs>
          <w:tab w:pos="1812" w:val="left" w:leader="none"/>
          <w:tab w:pos="2878" w:val="left" w:leader="none"/>
          <w:tab w:pos="4308" w:val="left" w:leader="none"/>
          <w:tab w:pos="5370" w:val="left" w:leader="none"/>
          <w:tab w:pos="6472" w:val="left" w:leader="none"/>
          <w:tab w:pos="8136" w:val="left" w:leader="none"/>
        </w:tabs>
        <w:spacing w:line="360" w:lineRule="auto" w:before="1"/>
        <w:ind w:left="102" w:right="163" w:firstLine="0"/>
        <w:jc w:val="left"/>
        <w:rPr>
          <w:sz w:val="22"/>
        </w:rPr>
      </w:pPr>
      <w:r>
        <w:rPr>
          <w:sz w:val="22"/>
        </w:rPr>
        <w:t>INMUJERES (2010), </w:t>
      </w:r>
      <w:r>
        <w:rPr>
          <w:i/>
          <w:sz w:val="22"/>
        </w:rPr>
        <w:t>Convención Interamericana para Prevenir, Sancionar y Erradicar la </w:t>
      </w:r>
      <w:r>
        <w:rPr>
          <w:i/>
          <w:sz w:val="22"/>
        </w:rPr>
        <w:t>Violencia</w:t>
        <w:tab/>
        <w:t>en</w:t>
        <w:tab/>
        <w:t>contra</w:t>
        <w:tab/>
        <w:t>de</w:t>
        <w:tab/>
        <w:t>las</w:t>
        <w:tab/>
        <w:t>Mujeres,</w:t>
        <w:tab/>
      </w:r>
      <w:r>
        <w:rPr>
          <w:spacing w:val="-1"/>
          <w:sz w:val="22"/>
        </w:rPr>
        <w:t>México, </w:t>
      </w:r>
      <w:hyperlink r:id="rId148">
        <w:r>
          <w:rPr>
            <w:color w:val="0462C1"/>
            <w:sz w:val="22"/>
            <w:u w:val="single" w:color="0462C1"/>
          </w:rPr>
          <w:t>http://www.inmujeres.gob.mx/inmujeres/index.php/ambitointernacional/convencion-de-</w:t>
        </w:r>
      </w:hyperlink>
      <w:r>
        <w:rPr>
          <w:color w:val="0462C1"/>
          <w:sz w:val="22"/>
          <w:u w:val="single" w:color="0462C1"/>
        </w:rPr>
        <w:t> </w:t>
      </w:r>
      <w:hyperlink r:id="rId148">
        <w:r>
          <w:rPr>
            <w:color w:val="0462C1"/>
            <w:sz w:val="22"/>
            <w:u w:val="single" w:color="0462C1"/>
          </w:rPr>
          <w:t>belem-do-para</w:t>
        </w:r>
      </w:hyperlink>
      <w:r>
        <w:rPr>
          <w:sz w:val="22"/>
        </w:rPr>
        <w:t>, consultada el 13 de octubre del</w:t>
      </w:r>
      <w:r>
        <w:rPr>
          <w:spacing w:val="-15"/>
          <w:sz w:val="22"/>
        </w:rPr>
        <w:t> </w:t>
      </w:r>
      <w:r>
        <w:rPr>
          <w:sz w:val="22"/>
        </w:rPr>
        <w:t>2015.</w:t>
      </w:r>
    </w:p>
    <w:p>
      <w:pPr>
        <w:pStyle w:val="BodyText"/>
        <w:spacing w:before="5"/>
        <w:rPr>
          <w:sz w:val="11"/>
        </w:rPr>
      </w:pPr>
    </w:p>
    <w:p>
      <w:pPr>
        <w:tabs>
          <w:tab w:pos="2318" w:val="left" w:leader="none"/>
          <w:tab w:pos="3350" w:val="left" w:leader="none"/>
          <w:tab w:pos="4749" w:val="left" w:leader="none"/>
          <w:tab w:pos="5778" w:val="left" w:leader="none"/>
          <w:tab w:pos="6736" w:val="left" w:leader="none"/>
          <w:tab w:pos="8134" w:val="left" w:leader="none"/>
        </w:tabs>
        <w:spacing w:line="360" w:lineRule="auto" w:before="73"/>
        <w:ind w:left="102" w:right="163" w:firstLine="0"/>
        <w:jc w:val="both"/>
        <w:rPr>
          <w:sz w:val="22"/>
        </w:rPr>
      </w:pPr>
      <w:r>
        <w:rPr>
          <w:sz w:val="22"/>
        </w:rPr>
        <w:t>INMUJERES (2010), </w:t>
      </w:r>
      <w:r>
        <w:rPr>
          <w:i/>
          <w:sz w:val="22"/>
        </w:rPr>
        <w:t>Convención sobre la eliminación de todas las formas de </w:t>
      </w:r>
      <w:r>
        <w:rPr>
          <w:i/>
          <w:sz w:val="22"/>
        </w:rPr>
        <w:t>Discriminación</w:t>
        <w:tab/>
        <w:t>en</w:t>
        <w:tab/>
        <w:t>contra</w:t>
        <w:tab/>
        <w:t>de</w:t>
        <w:tab/>
        <w:t>la</w:t>
        <w:tab/>
        <w:t>Mujer,</w:t>
        <w:tab/>
        <w:t>México</w:t>
      </w:r>
      <w:r>
        <w:rPr>
          <w:sz w:val="22"/>
        </w:rPr>
        <w:t>, </w:t>
      </w:r>
      <w:hyperlink r:id="rId149">
        <w:r>
          <w:rPr>
            <w:i/>
            <w:color w:val="0462C1"/>
            <w:sz w:val="22"/>
            <w:u w:val="single" w:color="0462C1"/>
          </w:rPr>
          <w:t>http://www.inmujeres.gob.mx/inmujeres/index.php/ambito,internacional/cedaw</w:t>
        </w:r>
      </w:hyperlink>
      <w:r>
        <w:rPr>
          <w:i/>
          <w:color w:val="0462C1"/>
          <w:sz w:val="22"/>
          <w:u w:val="single" w:color="0462C1"/>
        </w:rPr>
        <w:t> </w:t>
      </w:r>
      <w:r>
        <w:rPr>
          <w:sz w:val="22"/>
        </w:rPr>
        <w:t>consultada el 13 de octubre del</w:t>
      </w:r>
      <w:r>
        <w:rPr>
          <w:spacing w:val="-5"/>
          <w:sz w:val="22"/>
        </w:rPr>
        <w:t> </w:t>
      </w:r>
      <w:r>
        <w:rPr>
          <w:sz w:val="22"/>
        </w:rPr>
        <w:t>2015.</w:t>
      </w:r>
    </w:p>
    <w:p>
      <w:pPr>
        <w:pStyle w:val="BodyText"/>
        <w:spacing w:before="7"/>
        <w:rPr>
          <w:sz w:val="17"/>
        </w:rPr>
      </w:pPr>
    </w:p>
    <w:p>
      <w:pPr>
        <w:spacing w:line="360" w:lineRule="auto" w:before="0"/>
        <w:ind w:left="102" w:right="113" w:firstLine="0"/>
        <w:jc w:val="both"/>
        <w:rPr>
          <w:sz w:val="22"/>
        </w:rPr>
      </w:pPr>
      <w:r>
        <w:rPr>
          <w:sz w:val="22"/>
        </w:rPr>
        <w:t>Jaramillo, Abraham (2015), </w:t>
      </w:r>
      <w:r>
        <w:rPr>
          <w:i/>
          <w:sz w:val="22"/>
        </w:rPr>
        <w:t>“La muerte de Mariana Lima. Primer caso de feminicidio que </w:t>
      </w:r>
      <w:r>
        <w:rPr>
          <w:i/>
          <w:sz w:val="22"/>
        </w:rPr>
        <w:t>llega a la SCJN”</w:t>
      </w:r>
      <w:r>
        <w:rPr>
          <w:sz w:val="22"/>
        </w:rPr>
        <w:t>, CNN México, </w:t>
      </w:r>
      <w:hyperlink r:id="rId154">
        <w:r>
          <w:rPr>
            <w:color w:val="0462C1"/>
            <w:sz w:val="22"/>
            <w:u w:val="single" w:color="0462C1"/>
          </w:rPr>
          <w:t>http://mexico.cnn.com/nacional/2015/03/25/la-muerte-de-</w:t>
        </w:r>
      </w:hyperlink>
      <w:r>
        <w:rPr>
          <w:color w:val="0462C1"/>
          <w:sz w:val="22"/>
          <w:u w:val="single" w:color="0462C1"/>
        </w:rPr>
        <w:t> </w:t>
      </w:r>
      <w:hyperlink r:id="rId154">
        <w:r>
          <w:rPr>
            <w:color w:val="0462C1"/>
            <w:sz w:val="22"/>
            <w:u w:val="single" w:color="0462C1"/>
          </w:rPr>
          <w:t>mariana-lima-primer-caso-de-feminicidio-que-llega-a-la-scjn</w:t>
        </w:r>
      </w:hyperlink>
      <w:r>
        <w:rPr>
          <w:sz w:val="22"/>
        </w:rPr>
        <w:t>, cnsultada en mayo del 2015.</w:t>
      </w:r>
    </w:p>
    <w:p>
      <w:pPr>
        <w:pStyle w:val="BodyText"/>
        <w:spacing w:before="3"/>
        <w:rPr>
          <w:sz w:val="11"/>
        </w:rPr>
      </w:pPr>
    </w:p>
    <w:p>
      <w:pPr>
        <w:spacing w:line="360" w:lineRule="auto" w:before="73"/>
        <w:ind w:left="102" w:right="115" w:firstLine="0"/>
        <w:jc w:val="both"/>
        <w:rPr>
          <w:sz w:val="22"/>
        </w:rPr>
      </w:pPr>
      <w:r>
        <w:rPr>
          <w:sz w:val="22"/>
        </w:rPr>
        <w:t>Jaramillo, Abraham (2015), </w:t>
      </w:r>
      <w:r>
        <w:rPr>
          <w:i/>
          <w:sz w:val="22"/>
        </w:rPr>
        <w:t>SCJN da fallo histórico en el caso de Mariana Lima y reabre el </w:t>
      </w:r>
      <w:r>
        <w:rPr>
          <w:i/>
          <w:sz w:val="22"/>
        </w:rPr>
        <w:t>expediente, </w:t>
      </w:r>
      <w:r>
        <w:rPr>
          <w:sz w:val="22"/>
        </w:rPr>
        <w:t>en CNN, México, </w:t>
      </w:r>
      <w:hyperlink r:id="rId155">
        <w:r>
          <w:rPr>
            <w:color w:val="0462C1"/>
            <w:sz w:val="22"/>
            <w:u w:val="single" w:color="0462C1"/>
          </w:rPr>
          <w:t>http://www.cnnmexico.com/nacional/2015/03/25/scjn-da-</w:t>
        </w:r>
      </w:hyperlink>
      <w:r>
        <w:rPr>
          <w:color w:val="0462C1"/>
          <w:sz w:val="22"/>
          <w:u w:val="single" w:color="0462C1"/>
        </w:rPr>
        <w:t> </w:t>
      </w:r>
      <w:hyperlink r:id="rId155">
        <w:r>
          <w:rPr>
            <w:color w:val="0462C1"/>
            <w:sz w:val="22"/>
            <w:u w:val="single" w:color="0462C1"/>
          </w:rPr>
          <w:t>fallo-historico-en-el-caso-de-mariana-lima-y-reabre-el-expediente</w:t>
        </w:r>
      </w:hyperlink>
      <w:r>
        <w:rPr>
          <w:sz w:val="22"/>
        </w:rPr>
        <w:t>,</w:t>
      </w:r>
      <w:r>
        <w:rPr>
          <w:spacing w:val="-18"/>
          <w:sz w:val="22"/>
        </w:rPr>
        <w:t> </w:t>
      </w:r>
      <w:r>
        <w:rPr>
          <w:sz w:val="22"/>
        </w:rPr>
        <w:t>consultado</w:t>
      </w:r>
      <w:r>
        <w:rPr>
          <w:spacing w:val="-17"/>
          <w:sz w:val="22"/>
        </w:rPr>
        <w:t> </w:t>
      </w:r>
      <w:r>
        <w:rPr>
          <w:sz w:val="22"/>
        </w:rPr>
        <w:t>el</w:t>
      </w:r>
      <w:r>
        <w:rPr>
          <w:spacing w:val="-18"/>
          <w:sz w:val="22"/>
        </w:rPr>
        <w:t> </w:t>
      </w:r>
      <w:r>
        <w:rPr>
          <w:sz w:val="22"/>
        </w:rPr>
        <w:t>14</w:t>
      </w:r>
      <w:r>
        <w:rPr>
          <w:spacing w:val="-19"/>
          <w:sz w:val="22"/>
        </w:rPr>
        <w:t> </w:t>
      </w:r>
      <w:r>
        <w:rPr>
          <w:sz w:val="22"/>
        </w:rPr>
        <w:t>de</w:t>
      </w:r>
      <w:r>
        <w:rPr>
          <w:spacing w:val="-22"/>
          <w:sz w:val="22"/>
        </w:rPr>
        <w:t> </w:t>
      </w:r>
      <w:r>
        <w:rPr>
          <w:sz w:val="22"/>
        </w:rPr>
        <w:t>junio del</w:t>
      </w:r>
      <w:r>
        <w:rPr>
          <w:spacing w:val="-1"/>
          <w:sz w:val="22"/>
        </w:rPr>
        <w:t> </w:t>
      </w:r>
      <w:r>
        <w:rPr>
          <w:sz w:val="22"/>
        </w:rPr>
        <w:t>2015.</w:t>
      </w:r>
    </w:p>
    <w:p>
      <w:pPr>
        <w:pStyle w:val="BodyText"/>
        <w:spacing w:before="9"/>
        <w:rPr>
          <w:sz w:val="17"/>
        </w:rPr>
      </w:pPr>
    </w:p>
    <w:p>
      <w:pPr>
        <w:spacing w:before="0"/>
        <w:ind w:left="102" w:right="0" w:firstLine="0"/>
        <w:jc w:val="both"/>
        <w:rPr>
          <w:sz w:val="22"/>
        </w:rPr>
      </w:pPr>
      <w:r>
        <w:rPr>
          <w:sz w:val="22"/>
        </w:rPr>
        <w:t>Luna, Lola (2003), </w:t>
      </w:r>
      <w:r>
        <w:rPr>
          <w:i/>
          <w:sz w:val="22"/>
        </w:rPr>
        <w:t>La historia feminista del género, </w:t>
      </w:r>
      <w:r>
        <w:rPr>
          <w:sz w:val="22"/>
        </w:rPr>
        <w:t>Calí: Universidad del Valle de Calí.</w:t>
      </w:r>
    </w:p>
    <w:p>
      <w:pPr>
        <w:spacing w:after="0"/>
        <w:jc w:val="both"/>
        <w:rPr>
          <w:sz w:val="22"/>
        </w:rPr>
        <w:sectPr>
          <w:pgSz w:w="12240" w:h="15840"/>
          <w:pgMar w:header="0" w:footer="1002" w:top="1360" w:bottom="1200" w:left="1600" w:right="1580"/>
        </w:sectPr>
      </w:pPr>
    </w:p>
    <w:p>
      <w:pPr>
        <w:spacing w:before="54"/>
        <w:ind w:left="102" w:right="0" w:firstLine="0"/>
        <w:jc w:val="both"/>
        <w:rPr>
          <w:sz w:val="22"/>
        </w:rPr>
      </w:pPr>
      <w:r>
        <w:rPr>
          <w:sz w:val="22"/>
        </w:rPr>
        <w:t>Medellín Urquiaga, Ximena (2013). </w:t>
      </w:r>
      <w:r>
        <w:rPr>
          <w:i/>
          <w:sz w:val="22"/>
        </w:rPr>
        <w:t>Principio pro persona. </w:t>
      </w:r>
      <w:r>
        <w:rPr>
          <w:sz w:val="22"/>
        </w:rPr>
        <w:t>México: SCJN.</w:t>
      </w:r>
    </w:p>
    <w:p>
      <w:pPr>
        <w:pStyle w:val="BodyText"/>
        <w:spacing w:before="5"/>
        <w:rPr>
          <w:sz w:val="28"/>
        </w:rPr>
      </w:pPr>
    </w:p>
    <w:p>
      <w:pPr>
        <w:spacing w:line="360" w:lineRule="auto" w:before="1"/>
        <w:ind w:left="102" w:right="117" w:firstLine="0"/>
        <w:jc w:val="both"/>
        <w:rPr>
          <w:sz w:val="22"/>
        </w:rPr>
      </w:pPr>
      <w:r>
        <w:rPr>
          <w:sz w:val="22"/>
        </w:rPr>
        <w:t>Montoya Velasco, Abraham (2013), </w:t>
      </w:r>
      <w:r>
        <w:rPr>
          <w:i/>
          <w:sz w:val="22"/>
        </w:rPr>
        <w:t>La pertinencia Jurídica de la Homologación del Tipo </w:t>
      </w:r>
      <w:r>
        <w:rPr>
          <w:i/>
          <w:sz w:val="22"/>
        </w:rPr>
        <w:t>penal de Feminicido en México, </w:t>
      </w:r>
      <w:r>
        <w:rPr>
          <w:sz w:val="22"/>
        </w:rPr>
        <w:t>Tesis de Lincenciatura en Derecho, México: Universidad Autónoma Metropolitana.</w:t>
      </w:r>
    </w:p>
    <w:p>
      <w:pPr>
        <w:pStyle w:val="BodyText"/>
        <w:spacing w:before="9"/>
        <w:rPr>
          <w:sz w:val="17"/>
        </w:rPr>
      </w:pPr>
    </w:p>
    <w:p>
      <w:pPr>
        <w:spacing w:line="360" w:lineRule="auto" w:before="0"/>
        <w:ind w:left="102" w:right="117" w:firstLine="0"/>
        <w:jc w:val="both"/>
        <w:rPr>
          <w:sz w:val="22"/>
        </w:rPr>
      </w:pPr>
      <w:r>
        <w:rPr>
          <w:sz w:val="22"/>
        </w:rPr>
        <w:t>Montoya Velasco, Abraham (2015), </w:t>
      </w:r>
      <w:r>
        <w:rPr>
          <w:i/>
          <w:sz w:val="22"/>
        </w:rPr>
        <w:t>Diagnóstico para la elaboración del proyecto terminal </w:t>
      </w:r>
      <w:r>
        <w:rPr>
          <w:i/>
          <w:sz w:val="22"/>
        </w:rPr>
        <w:t>de la Especialidad en Género, Violencia y Políticas Públicas, </w:t>
      </w:r>
      <w:r>
        <w:rPr>
          <w:sz w:val="22"/>
        </w:rPr>
        <w:t>Trabajo terminal de la Especialidad en Género, Violencia y Políticas Públicas, México: Universidad Autónoma</w:t>
      </w:r>
      <w:r>
        <w:rPr>
          <w:spacing w:val="-25"/>
          <w:sz w:val="22"/>
        </w:rPr>
        <w:t> </w:t>
      </w:r>
      <w:r>
        <w:rPr>
          <w:sz w:val="22"/>
        </w:rPr>
        <w:t>del Estado de</w:t>
      </w:r>
      <w:r>
        <w:rPr>
          <w:spacing w:val="-7"/>
          <w:sz w:val="22"/>
        </w:rPr>
        <w:t> </w:t>
      </w:r>
      <w:r>
        <w:rPr>
          <w:sz w:val="22"/>
        </w:rPr>
        <w:t>México.</w:t>
      </w:r>
    </w:p>
    <w:p>
      <w:pPr>
        <w:pStyle w:val="BodyText"/>
        <w:spacing w:before="7"/>
        <w:rPr>
          <w:sz w:val="17"/>
        </w:rPr>
      </w:pPr>
    </w:p>
    <w:p>
      <w:pPr>
        <w:spacing w:line="360" w:lineRule="auto" w:before="0"/>
        <w:ind w:left="102" w:right="118" w:firstLine="0"/>
        <w:jc w:val="both"/>
        <w:rPr>
          <w:sz w:val="22"/>
        </w:rPr>
      </w:pPr>
      <w:r>
        <w:rPr>
          <w:sz w:val="22"/>
        </w:rPr>
        <w:t>Nash, Mary (2004), </w:t>
      </w:r>
      <w:r>
        <w:rPr>
          <w:i/>
          <w:sz w:val="22"/>
        </w:rPr>
        <w:t>Mujeres en el mundo. Historia, retos y movimientos. </w:t>
      </w:r>
      <w:r>
        <w:rPr>
          <w:sz w:val="22"/>
        </w:rPr>
        <w:t>Madrid: Alianza Editorial.</w:t>
      </w:r>
    </w:p>
    <w:p>
      <w:pPr>
        <w:pStyle w:val="BodyText"/>
        <w:spacing w:before="9"/>
        <w:rPr>
          <w:sz w:val="17"/>
        </w:rPr>
      </w:pPr>
    </w:p>
    <w:p>
      <w:pPr>
        <w:spacing w:before="0"/>
        <w:ind w:left="102" w:right="0" w:firstLine="0"/>
        <w:jc w:val="both"/>
        <w:rPr>
          <w:i/>
          <w:sz w:val="22"/>
        </w:rPr>
      </w:pPr>
      <w:r>
        <w:rPr>
          <w:sz w:val="22"/>
        </w:rPr>
        <w:t>ONU MUJERES (2012), </w:t>
      </w:r>
      <w:r>
        <w:rPr>
          <w:i/>
          <w:sz w:val="22"/>
        </w:rPr>
        <w:t>Manual de legislación sobre la violencia en contra de la mujer,</w:t>
      </w:r>
    </w:p>
    <w:p>
      <w:pPr>
        <w:pStyle w:val="BodyText"/>
        <w:spacing w:before="126"/>
        <w:ind w:left="102"/>
        <w:jc w:val="both"/>
      </w:pPr>
      <w:r>
        <w:rPr/>
        <w:t>Nueva York: ONU MUJERES.</w:t>
      </w:r>
    </w:p>
    <w:p>
      <w:pPr>
        <w:pStyle w:val="BodyText"/>
        <w:spacing w:before="3"/>
        <w:rPr>
          <w:sz w:val="28"/>
        </w:rPr>
      </w:pPr>
    </w:p>
    <w:p>
      <w:pPr>
        <w:pStyle w:val="BodyText"/>
        <w:spacing w:line="360" w:lineRule="auto" w:before="1"/>
        <w:ind w:left="102" w:right="116"/>
        <w:jc w:val="both"/>
      </w:pPr>
      <w:r>
        <w:rPr/>
        <w:t>Poder Ejecutivo (2008), </w:t>
      </w:r>
      <w:r>
        <w:rPr>
          <w:i/>
        </w:rPr>
        <w:t>Diario Oficial de la Federación, </w:t>
      </w:r>
      <w:r>
        <w:rPr/>
        <w:t>México: Poder Ejecutivo, </w:t>
      </w:r>
      <w:r>
        <w:rPr>
          <w:color w:val="0462C1"/>
          <w:u w:val="single" w:color="0462C1"/>
        </w:rPr>
        <w:t>http://dof.gob.mx/nota_detalle.php?codigo=5046978&amp;fecha=18/06/2008</w:t>
      </w:r>
      <w:r>
        <w:rPr/>
        <w:t>, consultada el 3 de marzo del 2015.</w:t>
      </w:r>
    </w:p>
    <w:p>
      <w:pPr>
        <w:pStyle w:val="BodyText"/>
        <w:spacing w:before="7"/>
        <w:rPr>
          <w:sz w:val="17"/>
        </w:rPr>
      </w:pPr>
    </w:p>
    <w:p>
      <w:pPr>
        <w:spacing w:line="360" w:lineRule="auto" w:before="0"/>
        <w:ind w:left="102" w:right="116" w:firstLine="0"/>
        <w:jc w:val="both"/>
        <w:rPr>
          <w:sz w:val="22"/>
        </w:rPr>
      </w:pPr>
      <w:r>
        <w:rPr>
          <w:sz w:val="22"/>
        </w:rPr>
        <w:t>Poder Legislativo (2015), </w:t>
      </w:r>
      <w:r>
        <w:rPr>
          <w:i/>
          <w:sz w:val="22"/>
        </w:rPr>
        <w:t>Constitución Política de los Estados Unidos Mexicanos, </w:t>
      </w:r>
      <w:r>
        <w:rPr>
          <w:sz w:val="22"/>
        </w:rPr>
        <w:t>Mexíco: ISEF.</w:t>
      </w:r>
    </w:p>
    <w:p>
      <w:pPr>
        <w:pStyle w:val="BodyText"/>
        <w:spacing w:before="9"/>
        <w:rPr>
          <w:sz w:val="17"/>
        </w:rPr>
      </w:pPr>
    </w:p>
    <w:p>
      <w:pPr>
        <w:spacing w:line="360" w:lineRule="auto" w:before="0"/>
        <w:ind w:left="102" w:right="118" w:firstLine="0"/>
        <w:jc w:val="both"/>
        <w:rPr>
          <w:sz w:val="22"/>
        </w:rPr>
      </w:pPr>
      <w:r>
        <w:rPr>
          <w:sz w:val="22"/>
        </w:rPr>
        <w:t>Santillán Ramírez, Iris Rocío (2011). </w:t>
      </w:r>
      <w:r>
        <w:rPr>
          <w:i/>
          <w:sz w:val="22"/>
        </w:rPr>
        <w:t>“Análisis socio-jurídico de las mujeres homicidas, </w:t>
      </w:r>
      <w:r>
        <w:rPr>
          <w:i/>
          <w:sz w:val="22"/>
        </w:rPr>
        <w:t>sobrevivientes de violencia familiar”, </w:t>
      </w:r>
      <w:r>
        <w:rPr>
          <w:sz w:val="22"/>
        </w:rPr>
        <w:t>México: INACIPE.</w:t>
      </w:r>
    </w:p>
    <w:p>
      <w:pPr>
        <w:pStyle w:val="BodyText"/>
        <w:spacing w:before="7"/>
        <w:rPr>
          <w:sz w:val="17"/>
        </w:rPr>
      </w:pPr>
    </w:p>
    <w:p>
      <w:pPr>
        <w:spacing w:before="0"/>
        <w:ind w:left="102" w:right="0" w:firstLine="0"/>
        <w:jc w:val="both"/>
        <w:rPr>
          <w:sz w:val="22"/>
        </w:rPr>
      </w:pPr>
      <w:r>
        <w:rPr>
          <w:sz w:val="22"/>
        </w:rPr>
        <w:t>SCJN (1997), </w:t>
      </w:r>
      <w:r>
        <w:rPr>
          <w:i/>
          <w:sz w:val="22"/>
        </w:rPr>
        <w:t>Principio de Igualdad, </w:t>
      </w:r>
      <w:r>
        <w:rPr>
          <w:sz w:val="22"/>
        </w:rPr>
        <w:t>México: SCJN.</w:t>
      </w:r>
    </w:p>
    <w:p>
      <w:pPr>
        <w:pStyle w:val="BodyText"/>
        <w:spacing w:before="5"/>
        <w:rPr>
          <w:sz w:val="28"/>
        </w:rPr>
      </w:pPr>
    </w:p>
    <w:p>
      <w:pPr>
        <w:spacing w:line="360" w:lineRule="auto" w:before="1"/>
        <w:ind w:left="102" w:right="164" w:firstLine="0"/>
        <w:jc w:val="both"/>
        <w:rPr>
          <w:sz w:val="22"/>
        </w:rPr>
      </w:pPr>
      <w:r>
        <w:rPr>
          <w:sz w:val="22"/>
        </w:rPr>
        <w:t>SCJN</w:t>
      </w:r>
      <w:r>
        <w:rPr>
          <w:spacing w:val="-11"/>
          <w:sz w:val="22"/>
        </w:rPr>
        <w:t> </w:t>
      </w:r>
      <w:r>
        <w:rPr>
          <w:sz w:val="22"/>
        </w:rPr>
        <w:t>(2010),</w:t>
      </w:r>
      <w:r>
        <w:rPr>
          <w:spacing w:val="-8"/>
          <w:sz w:val="22"/>
        </w:rPr>
        <w:t> </w:t>
      </w:r>
      <w:r>
        <w:rPr>
          <w:i/>
          <w:sz w:val="22"/>
        </w:rPr>
        <w:t>¿Qué</w:t>
      </w:r>
      <w:r>
        <w:rPr>
          <w:i/>
          <w:spacing w:val="-13"/>
          <w:sz w:val="22"/>
        </w:rPr>
        <w:t> </w:t>
      </w:r>
      <w:r>
        <w:rPr>
          <w:i/>
          <w:sz w:val="22"/>
        </w:rPr>
        <w:t>son</w:t>
      </w:r>
      <w:r>
        <w:rPr>
          <w:i/>
          <w:spacing w:val="-10"/>
          <w:sz w:val="22"/>
        </w:rPr>
        <w:t> </w:t>
      </w:r>
      <w:r>
        <w:rPr>
          <w:i/>
          <w:sz w:val="22"/>
        </w:rPr>
        <w:t>los</w:t>
      </w:r>
      <w:r>
        <w:rPr>
          <w:i/>
          <w:spacing w:val="-10"/>
          <w:sz w:val="22"/>
        </w:rPr>
        <w:t> </w:t>
      </w:r>
      <w:r>
        <w:rPr>
          <w:i/>
          <w:sz w:val="22"/>
        </w:rPr>
        <w:t>estereotipos</w:t>
      </w:r>
      <w:r>
        <w:rPr>
          <w:i/>
          <w:spacing w:val="-10"/>
          <w:sz w:val="22"/>
        </w:rPr>
        <w:t> </w:t>
      </w:r>
      <w:r>
        <w:rPr>
          <w:i/>
          <w:sz w:val="22"/>
        </w:rPr>
        <w:t>de</w:t>
      </w:r>
      <w:r>
        <w:rPr>
          <w:i/>
          <w:spacing w:val="-10"/>
          <w:sz w:val="22"/>
        </w:rPr>
        <w:t> </w:t>
      </w:r>
      <w:r>
        <w:rPr>
          <w:i/>
          <w:sz w:val="22"/>
        </w:rPr>
        <w:t>género?</w:t>
      </w:r>
      <w:r>
        <w:rPr>
          <w:i/>
          <w:spacing w:val="-9"/>
          <w:sz w:val="22"/>
        </w:rPr>
        <w:t> </w:t>
      </w:r>
      <w:r>
        <w:rPr>
          <w:sz w:val="22"/>
        </w:rPr>
        <w:t>en</w:t>
      </w:r>
      <w:r>
        <w:rPr>
          <w:spacing w:val="-10"/>
          <w:sz w:val="22"/>
        </w:rPr>
        <w:t> </w:t>
      </w:r>
      <w:r>
        <w:rPr>
          <w:sz w:val="22"/>
        </w:rPr>
        <w:t>Boletín</w:t>
      </w:r>
      <w:r>
        <w:rPr>
          <w:spacing w:val="-8"/>
          <w:sz w:val="22"/>
        </w:rPr>
        <w:t> </w:t>
      </w:r>
      <w:r>
        <w:rPr>
          <w:sz w:val="22"/>
        </w:rPr>
        <w:t>Mensual</w:t>
      </w:r>
      <w:r>
        <w:rPr>
          <w:spacing w:val="-11"/>
          <w:sz w:val="22"/>
        </w:rPr>
        <w:t> </w:t>
      </w:r>
      <w:r>
        <w:rPr>
          <w:sz w:val="22"/>
        </w:rPr>
        <w:t>Género</w:t>
      </w:r>
      <w:r>
        <w:rPr>
          <w:spacing w:val="-10"/>
          <w:sz w:val="22"/>
        </w:rPr>
        <w:t> </w:t>
      </w:r>
      <w:r>
        <w:rPr>
          <w:sz w:val="22"/>
        </w:rPr>
        <w:t>y</w:t>
      </w:r>
      <w:r>
        <w:rPr>
          <w:spacing w:val="-12"/>
          <w:sz w:val="22"/>
        </w:rPr>
        <w:t> </w:t>
      </w:r>
      <w:r>
        <w:rPr>
          <w:sz w:val="22"/>
        </w:rPr>
        <w:t>Justicia, Noviembre 2010, México:</w:t>
      </w:r>
      <w:r>
        <w:rPr>
          <w:spacing w:val="-7"/>
          <w:sz w:val="22"/>
        </w:rPr>
        <w:t> </w:t>
      </w:r>
      <w:r>
        <w:rPr>
          <w:sz w:val="22"/>
        </w:rPr>
        <w:t>SCJN.</w:t>
      </w:r>
    </w:p>
    <w:p>
      <w:pPr>
        <w:pStyle w:val="BodyText"/>
        <w:spacing w:before="7"/>
        <w:rPr>
          <w:sz w:val="17"/>
        </w:rPr>
      </w:pPr>
    </w:p>
    <w:p>
      <w:pPr>
        <w:spacing w:before="0"/>
        <w:ind w:left="102" w:right="0" w:firstLine="0"/>
        <w:jc w:val="both"/>
        <w:rPr>
          <w:sz w:val="22"/>
        </w:rPr>
      </w:pPr>
      <w:r>
        <w:rPr>
          <w:sz w:val="22"/>
        </w:rPr>
        <w:t>SCJN (2013), </w:t>
      </w:r>
      <w:r>
        <w:rPr>
          <w:i/>
          <w:sz w:val="22"/>
        </w:rPr>
        <w:t>Protocolo para Juzgar con Perspectiva de género, </w:t>
      </w:r>
      <w:r>
        <w:rPr>
          <w:sz w:val="22"/>
        </w:rPr>
        <w:t>México: SCJN.</w:t>
      </w:r>
    </w:p>
    <w:p>
      <w:pPr>
        <w:pStyle w:val="BodyText"/>
        <w:spacing w:before="5"/>
        <w:rPr>
          <w:sz w:val="28"/>
        </w:rPr>
      </w:pPr>
    </w:p>
    <w:p>
      <w:pPr>
        <w:spacing w:line="360" w:lineRule="auto" w:before="1"/>
        <w:ind w:left="102" w:right="115" w:firstLine="0"/>
        <w:jc w:val="both"/>
        <w:rPr>
          <w:sz w:val="22"/>
        </w:rPr>
      </w:pPr>
      <w:r>
        <w:rPr>
          <w:sz w:val="22"/>
        </w:rPr>
        <w:t>SCJN (2015) </w:t>
      </w:r>
      <w:r>
        <w:rPr>
          <w:i/>
          <w:sz w:val="22"/>
        </w:rPr>
        <w:t>Boletín Judicial de la Feederación, </w:t>
      </w:r>
      <w:r>
        <w:rPr>
          <w:sz w:val="22"/>
        </w:rPr>
        <w:t>México, </w:t>
      </w:r>
      <w:hyperlink r:id="rId156">
        <w:r>
          <w:rPr>
            <w:color w:val="0462C1"/>
            <w:sz w:val="22"/>
            <w:u w:val="single" w:color="0462C1"/>
          </w:rPr>
          <w:t>http://sjf.scjn.gob.mx/iusElectoral/paginas/tesis.aspx</w:t>
        </w:r>
      </w:hyperlink>
      <w:r>
        <w:rPr>
          <w:sz w:val="22"/>
        </w:rPr>
        <w:t>, consultada en mayo del 2015.</w:t>
      </w:r>
    </w:p>
    <w:p>
      <w:pPr>
        <w:pStyle w:val="BodyText"/>
        <w:spacing w:before="3"/>
        <w:rPr>
          <w:sz w:val="11"/>
        </w:rPr>
      </w:pPr>
    </w:p>
    <w:p>
      <w:pPr>
        <w:spacing w:line="360" w:lineRule="auto" w:before="73"/>
        <w:ind w:left="102" w:right="163" w:firstLine="0"/>
        <w:jc w:val="both"/>
        <w:rPr>
          <w:sz w:val="22"/>
        </w:rPr>
      </w:pPr>
      <w:r>
        <w:rPr>
          <w:sz w:val="22"/>
        </w:rPr>
        <w:t>Serret,</w:t>
      </w:r>
      <w:r>
        <w:rPr>
          <w:spacing w:val="-3"/>
          <w:sz w:val="22"/>
        </w:rPr>
        <w:t> </w:t>
      </w:r>
      <w:r>
        <w:rPr>
          <w:sz w:val="22"/>
        </w:rPr>
        <w:t>Bravo</w:t>
      </w:r>
      <w:r>
        <w:rPr>
          <w:spacing w:val="-4"/>
          <w:sz w:val="22"/>
        </w:rPr>
        <w:t> </w:t>
      </w:r>
      <w:r>
        <w:rPr>
          <w:sz w:val="22"/>
        </w:rPr>
        <w:t>Estela</w:t>
      </w:r>
      <w:r>
        <w:rPr>
          <w:spacing w:val="-4"/>
          <w:sz w:val="22"/>
        </w:rPr>
        <w:t> </w:t>
      </w:r>
      <w:r>
        <w:rPr>
          <w:sz w:val="22"/>
        </w:rPr>
        <w:t>(2008),</w:t>
      </w:r>
      <w:r>
        <w:rPr>
          <w:spacing w:val="-4"/>
          <w:sz w:val="22"/>
        </w:rPr>
        <w:t> </w:t>
      </w:r>
      <w:r>
        <w:rPr>
          <w:i/>
          <w:sz w:val="22"/>
        </w:rPr>
        <w:t>Qué</w:t>
      </w:r>
      <w:r>
        <w:rPr>
          <w:i/>
          <w:spacing w:val="-4"/>
          <w:sz w:val="22"/>
        </w:rPr>
        <w:t> </w:t>
      </w:r>
      <w:r>
        <w:rPr>
          <w:i/>
          <w:sz w:val="22"/>
        </w:rPr>
        <w:t>es</w:t>
      </w:r>
      <w:r>
        <w:rPr>
          <w:i/>
          <w:spacing w:val="-6"/>
          <w:sz w:val="22"/>
        </w:rPr>
        <w:t> </w:t>
      </w:r>
      <w:r>
        <w:rPr>
          <w:i/>
          <w:sz w:val="22"/>
        </w:rPr>
        <w:t>y</w:t>
      </w:r>
      <w:r>
        <w:rPr>
          <w:i/>
          <w:spacing w:val="-4"/>
          <w:sz w:val="22"/>
        </w:rPr>
        <w:t> </w:t>
      </w:r>
      <w:r>
        <w:rPr>
          <w:i/>
          <w:sz w:val="22"/>
        </w:rPr>
        <w:t>para</w:t>
      </w:r>
      <w:r>
        <w:rPr>
          <w:i/>
          <w:spacing w:val="-4"/>
          <w:sz w:val="22"/>
        </w:rPr>
        <w:t> </w:t>
      </w:r>
      <w:r>
        <w:rPr>
          <w:i/>
          <w:sz w:val="22"/>
        </w:rPr>
        <w:t>qué</w:t>
      </w:r>
      <w:r>
        <w:rPr>
          <w:i/>
          <w:spacing w:val="-4"/>
          <w:sz w:val="22"/>
        </w:rPr>
        <w:t> </w:t>
      </w:r>
      <w:r>
        <w:rPr>
          <w:i/>
          <w:sz w:val="22"/>
        </w:rPr>
        <w:t>es</w:t>
      </w:r>
      <w:r>
        <w:rPr>
          <w:i/>
          <w:spacing w:val="-4"/>
          <w:sz w:val="22"/>
        </w:rPr>
        <w:t> </w:t>
      </w:r>
      <w:r>
        <w:rPr>
          <w:i/>
          <w:sz w:val="22"/>
        </w:rPr>
        <w:t>la</w:t>
      </w:r>
      <w:r>
        <w:rPr>
          <w:i/>
          <w:spacing w:val="-4"/>
          <w:sz w:val="22"/>
        </w:rPr>
        <w:t> </w:t>
      </w:r>
      <w:r>
        <w:rPr>
          <w:i/>
          <w:sz w:val="22"/>
        </w:rPr>
        <w:t>perspectiva</w:t>
      </w:r>
      <w:r>
        <w:rPr>
          <w:i/>
          <w:spacing w:val="-4"/>
          <w:sz w:val="22"/>
        </w:rPr>
        <w:t> </w:t>
      </w:r>
      <w:r>
        <w:rPr>
          <w:i/>
          <w:sz w:val="22"/>
        </w:rPr>
        <w:t>de</w:t>
      </w:r>
      <w:r>
        <w:rPr>
          <w:i/>
          <w:spacing w:val="-4"/>
          <w:sz w:val="22"/>
        </w:rPr>
        <w:t> </w:t>
      </w:r>
      <w:r>
        <w:rPr>
          <w:i/>
          <w:sz w:val="22"/>
        </w:rPr>
        <w:t>género.</w:t>
      </w:r>
      <w:r>
        <w:rPr>
          <w:i/>
          <w:spacing w:val="-3"/>
          <w:sz w:val="22"/>
        </w:rPr>
        <w:t> </w:t>
      </w:r>
      <w:r>
        <w:rPr>
          <w:i/>
          <w:sz w:val="22"/>
        </w:rPr>
        <w:t>Libro</w:t>
      </w:r>
      <w:r>
        <w:rPr>
          <w:i/>
          <w:spacing w:val="-4"/>
          <w:sz w:val="22"/>
        </w:rPr>
        <w:t> </w:t>
      </w:r>
      <w:r>
        <w:rPr>
          <w:i/>
          <w:sz w:val="22"/>
        </w:rPr>
        <w:t>de</w:t>
      </w:r>
      <w:r>
        <w:rPr>
          <w:i/>
          <w:spacing w:val="-7"/>
          <w:sz w:val="22"/>
        </w:rPr>
        <w:t> </w:t>
      </w:r>
      <w:r>
        <w:rPr>
          <w:i/>
          <w:sz w:val="22"/>
        </w:rPr>
        <w:t>texto </w:t>
      </w:r>
      <w:r>
        <w:rPr>
          <w:i/>
          <w:sz w:val="22"/>
        </w:rPr>
        <w:t>para la asignatura: perspectiva de género en educación superior, </w:t>
      </w:r>
      <w:r>
        <w:rPr>
          <w:sz w:val="22"/>
        </w:rPr>
        <w:t>México: Instituto de la Mujer</w:t>
      </w:r>
      <w:r>
        <w:rPr>
          <w:spacing w:val="-4"/>
          <w:sz w:val="22"/>
        </w:rPr>
        <w:t> </w:t>
      </w:r>
      <w:r>
        <w:rPr>
          <w:sz w:val="22"/>
        </w:rPr>
        <w:t>Oaxaqueña.</w:t>
      </w:r>
    </w:p>
    <w:p>
      <w:pPr>
        <w:spacing w:after="0" w:line="360" w:lineRule="auto"/>
        <w:jc w:val="both"/>
        <w:rPr>
          <w:sz w:val="22"/>
        </w:rPr>
        <w:sectPr>
          <w:pgSz w:w="12240" w:h="15840"/>
          <w:pgMar w:header="0" w:footer="1002" w:top="1360" w:bottom="1200" w:left="1600" w:right="1580"/>
        </w:sectPr>
      </w:pPr>
    </w:p>
    <w:p>
      <w:pPr>
        <w:spacing w:line="362" w:lineRule="auto" w:before="54"/>
        <w:ind w:left="102" w:right="96" w:firstLine="0"/>
        <w:jc w:val="left"/>
        <w:rPr>
          <w:sz w:val="22"/>
        </w:rPr>
      </w:pPr>
      <w:r>
        <w:rPr>
          <w:sz w:val="22"/>
        </w:rPr>
        <w:t>Wollstonecarft, Mary (1972), Traducción Carmen Martínez Gimeno, </w:t>
      </w:r>
      <w:r>
        <w:rPr>
          <w:i/>
          <w:sz w:val="22"/>
        </w:rPr>
        <w:t>Vindicación de los </w:t>
      </w:r>
      <w:r>
        <w:rPr>
          <w:i/>
          <w:sz w:val="22"/>
        </w:rPr>
        <w:t>Derechos de la Mujer, </w:t>
      </w:r>
      <w:r>
        <w:rPr>
          <w:sz w:val="22"/>
        </w:rPr>
        <w:t>México: Omega Alfa.</w:t>
      </w:r>
    </w:p>
    <w:p>
      <w:pPr>
        <w:spacing w:after="0" w:line="362" w:lineRule="auto"/>
        <w:jc w:val="left"/>
        <w:rPr>
          <w:sz w:val="22"/>
        </w:rPr>
        <w:sectPr>
          <w:pgSz w:w="12240" w:h="15840"/>
          <w:pgMar w:header="0" w:footer="1002" w:top="1360" w:bottom="1200" w:left="1600" w:right="1580"/>
        </w:sectPr>
      </w:pPr>
    </w:p>
    <w:p>
      <w:pPr>
        <w:pStyle w:val="Heading8"/>
        <w:spacing w:before="51"/>
        <w:ind w:left="122"/>
        <w:rPr>
          <w:rFonts w:ascii="Arial"/>
        </w:rPr>
      </w:pPr>
      <w:r>
        <w:rPr>
          <w:rFonts w:ascii="Arial"/>
        </w:rPr>
        <w:t>ANEXOS</w:t>
      </w:r>
    </w:p>
    <w:p>
      <w:pPr>
        <w:pStyle w:val="BodyText"/>
        <w:spacing w:before="9"/>
        <w:rPr>
          <w:b/>
          <w:sz w:val="20"/>
        </w:rPr>
      </w:pPr>
    </w:p>
    <w:p>
      <w:pPr>
        <w:spacing w:line="276" w:lineRule="auto" w:before="0"/>
        <w:ind w:left="122" w:right="119" w:firstLine="0"/>
        <w:jc w:val="both"/>
        <w:rPr>
          <w:b/>
          <w:sz w:val="22"/>
        </w:rPr>
      </w:pPr>
      <w:r>
        <w:rPr>
          <w:b/>
          <w:sz w:val="22"/>
        </w:rPr>
        <w:t>Anexo 1: Instrumento aplicados a los/las abogados/as, para determinar la incorporación de las perspectiva de género en la defensa de las mujeres indiciadas</w:t>
      </w:r>
    </w:p>
    <w:p>
      <w:pPr>
        <w:pStyle w:val="BodyText"/>
        <w:spacing w:before="8"/>
        <w:rPr>
          <w:b/>
          <w:sz w:val="17"/>
        </w:rPr>
      </w:pPr>
    </w:p>
    <w:p>
      <w:pPr>
        <w:spacing w:line="276" w:lineRule="auto" w:before="0"/>
        <w:ind w:left="122" w:right="121" w:firstLine="0"/>
        <w:jc w:val="both"/>
        <w:rPr>
          <w:rFonts w:ascii="Cambria" w:hAnsi="Cambria"/>
          <w:sz w:val="20"/>
        </w:rPr>
      </w:pPr>
      <w:r>
        <w:rPr>
          <w:rFonts w:ascii="Cambria" w:hAnsi="Cambria"/>
          <w:w w:val="110"/>
          <w:sz w:val="20"/>
        </w:rPr>
        <w:t>El presente cuestionario tiene la finalidad de recabar información para elaborar un proyecto terminal de la Especialidad en Género, Violencia y Políticas Públicas, de la Universidad Autónoma  del  Estado  de México.</w:t>
      </w:r>
    </w:p>
    <w:p>
      <w:pPr>
        <w:spacing w:line="276" w:lineRule="auto" w:before="0"/>
        <w:ind w:left="122" w:right="119" w:firstLine="0"/>
        <w:jc w:val="both"/>
        <w:rPr>
          <w:rFonts w:ascii="Cambria" w:hAnsi="Cambria"/>
          <w:sz w:val="20"/>
        </w:rPr>
      </w:pPr>
      <w:r>
        <w:rPr>
          <w:rFonts w:ascii="Cambria" w:hAnsi="Cambria"/>
          <w:w w:val="115"/>
          <w:sz w:val="20"/>
        </w:rPr>
        <w:t>Pido su ayuda para contestar algunas preguntas que no llevarán mucho tiempo, las respuestas serán confidenciales y anónimas. Favor de contestar el cuestionario con la mayor sinceridad posible, no hay respuestas correctas ni incorrectas.</w:t>
      </w:r>
    </w:p>
    <w:p>
      <w:pPr>
        <w:spacing w:before="8"/>
        <w:ind w:left="122" w:right="0" w:firstLine="0"/>
        <w:jc w:val="both"/>
        <w:rPr>
          <w:rFonts w:ascii="Georgia"/>
          <w:b/>
          <w:sz w:val="20"/>
        </w:rPr>
      </w:pPr>
      <w:r>
        <w:rPr>
          <w:rFonts w:ascii="Georgia"/>
          <w:b/>
          <w:sz w:val="20"/>
        </w:rPr>
        <w:t>Instrucciones:</w:t>
      </w:r>
    </w:p>
    <w:p>
      <w:pPr>
        <w:spacing w:line="276" w:lineRule="auto" w:before="35"/>
        <w:ind w:left="122" w:right="121" w:firstLine="0"/>
        <w:jc w:val="both"/>
        <w:rPr>
          <w:rFonts w:ascii="Cambria" w:hAnsi="Cambria"/>
          <w:sz w:val="20"/>
        </w:rPr>
      </w:pPr>
      <w:r>
        <w:rPr>
          <w:rFonts w:ascii="Cambria" w:hAnsi="Cambria"/>
          <w:w w:val="115"/>
          <w:sz w:val="20"/>
        </w:rPr>
        <w:t>Lea</w:t>
      </w:r>
      <w:r>
        <w:rPr>
          <w:rFonts w:ascii="Cambria" w:hAnsi="Cambria"/>
          <w:spacing w:val="-7"/>
          <w:w w:val="115"/>
          <w:sz w:val="20"/>
        </w:rPr>
        <w:t> </w:t>
      </w:r>
      <w:r>
        <w:rPr>
          <w:rFonts w:ascii="Cambria" w:hAnsi="Cambria"/>
          <w:w w:val="115"/>
          <w:sz w:val="20"/>
        </w:rPr>
        <w:t>cuidadosamente</w:t>
      </w:r>
      <w:r>
        <w:rPr>
          <w:rFonts w:ascii="Cambria" w:hAnsi="Cambria"/>
          <w:spacing w:val="-7"/>
          <w:w w:val="115"/>
          <w:sz w:val="20"/>
        </w:rPr>
        <w:t> </w:t>
      </w:r>
      <w:r>
        <w:rPr>
          <w:rFonts w:ascii="Cambria" w:hAnsi="Cambria"/>
          <w:w w:val="115"/>
          <w:sz w:val="20"/>
        </w:rPr>
        <w:t>las</w:t>
      </w:r>
      <w:r>
        <w:rPr>
          <w:rFonts w:ascii="Cambria" w:hAnsi="Cambria"/>
          <w:spacing w:val="-7"/>
          <w:w w:val="115"/>
          <w:sz w:val="20"/>
        </w:rPr>
        <w:t> </w:t>
      </w:r>
      <w:r>
        <w:rPr>
          <w:rFonts w:ascii="Cambria" w:hAnsi="Cambria"/>
          <w:w w:val="115"/>
          <w:sz w:val="20"/>
        </w:rPr>
        <w:t>preguntas,</w:t>
      </w:r>
      <w:r>
        <w:rPr>
          <w:rFonts w:ascii="Cambria" w:hAnsi="Cambria"/>
          <w:spacing w:val="-7"/>
          <w:w w:val="115"/>
          <w:sz w:val="20"/>
        </w:rPr>
        <w:t> </w:t>
      </w:r>
      <w:r>
        <w:rPr>
          <w:rFonts w:ascii="Cambria" w:hAnsi="Cambria"/>
          <w:w w:val="115"/>
          <w:sz w:val="20"/>
        </w:rPr>
        <w:t>ya</w:t>
      </w:r>
      <w:r>
        <w:rPr>
          <w:rFonts w:ascii="Cambria" w:hAnsi="Cambria"/>
          <w:spacing w:val="-7"/>
          <w:w w:val="115"/>
          <w:sz w:val="20"/>
        </w:rPr>
        <w:t> </w:t>
      </w:r>
      <w:r>
        <w:rPr>
          <w:rFonts w:ascii="Cambria" w:hAnsi="Cambria"/>
          <w:w w:val="115"/>
          <w:sz w:val="20"/>
        </w:rPr>
        <w:t>que</w:t>
      </w:r>
      <w:r>
        <w:rPr>
          <w:rFonts w:ascii="Cambria" w:hAnsi="Cambria"/>
          <w:spacing w:val="-7"/>
          <w:w w:val="115"/>
          <w:sz w:val="20"/>
        </w:rPr>
        <w:t> </w:t>
      </w:r>
      <w:r>
        <w:rPr>
          <w:rFonts w:ascii="Cambria" w:hAnsi="Cambria"/>
          <w:w w:val="115"/>
          <w:sz w:val="20"/>
        </w:rPr>
        <w:t>sólo</w:t>
      </w:r>
      <w:r>
        <w:rPr>
          <w:rFonts w:ascii="Cambria" w:hAnsi="Cambria"/>
          <w:spacing w:val="-8"/>
          <w:w w:val="115"/>
          <w:sz w:val="20"/>
        </w:rPr>
        <w:t> </w:t>
      </w:r>
      <w:r>
        <w:rPr>
          <w:rFonts w:ascii="Cambria" w:hAnsi="Cambria"/>
          <w:w w:val="115"/>
          <w:sz w:val="20"/>
        </w:rPr>
        <w:t>se</w:t>
      </w:r>
      <w:r>
        <w:rPr>
          <w:rFonts w:ascii="Cambria" w:hAnsi="Cambria"/>
          <w:spacing w:val="-6"/>
          <w:w w:val="115"/>
          <w:sz w:val="20"/>
        </w:rPr>
        <w:t> </w:t>
      </w:r>
      <w:r>
        <w:rPr>
          <w:rFonts w:ascii="Cambria" w:hAnsi="Cambria"/>
          <w:w w:val="115"/>
          <w:sz w:val="20"/>
        </w:rPr>
        <w:t>puede</w:t>
      </w:r>
      <w:r>
        <w:rPr>
          <w:rFonts w:ascii="Cambria" w:hAnsi="Cambria"/>
          <w:spacing w:val="-7"/>
          <w:w w:val="115"/>
          <w:sz w:val="20"/>
        </w:rPr>
        <w:t> </w:t>
      </w:r>
      <w:r>
        <w:rPr>
          <w:rFonts w:ascii="Cambria" w:hAnsi="Cambria"/>
          <w:w w:val="115"/>
          <w:sz w:val="20"/>
        </w:rPr>
        <w:t>responder</w:t>
      </w:r>
      <w:r>
        <w:rPr>
          <w:rFonts w:ascii="Cambria" w:hAnsi="Cambria"/>
          <w:spacing w:val="-7"/>
          <w:w w:val="115"/>
          <w:sz w:val="20"/>
        </w:rPr>
        <w:t> </w:t>
      </w:r>
      <w:r>
        <w:rPr>
          <w:rFonts w:ascii="Cambria" w:hAnsi="Cambria"/>
          <w:w w:val="115"/>
          <w:sz w:val="20"/>
        </w:rPr>
        <w:t>a</w:t>
      </w:r>
      <w:r>
        <w:rPr>
          <w:rFonts w:ascii="Cambria" w:hAnsi="Cambria"/>
          <w:spacing w:val="-7"/>
          <w:w w:val="115"/>
          <w:sz w:val="20"/>
        </w:rPr>
        <w:t> </w:t>
      </w:r>
      <w:r>
        <w:rPr>
          <w:rFonts w:ascii="Cambria" w:hAnsi="Cambria"/>
          <w:w w:val="115"/>
          <w:sz w:val="20"/>
        </w:rPr>
        <w:t>una</w:t>
      </w:r>
      <w:r>
        <w:rPr>
          <w:rFonts w:ascii="Cambria" w:hAnsi="Cambria"/>
          <w:spacing w:val="-7"/>
          <w:w w:val="115"/>
          <w:sz w:val="20"/>
        </w:rPr>
        <w:t> </w:t>
      </w:r>
      <w:r>
        <w:rPr>
          <w:rFonts w:ascii="Cambria" w:hAnsi="Cambria"/>
          <w:w w:val="115"/>
          <w:sz w:val="20"/>
        </w:rPr>
        <w:t>opción</w:t>
      </w:r>
      <w:r>
        <w:rPr>
          <w:rFonts w:ascii="Cambria" w:hAnsi="Cambria"/>
          <w:spacing w:val="-7"/>
          <w:w w:val="115"/>
          <w:sz w:val="20"/>
        </w:rPr>
        <w:t> </w:t>
      </w:r>
      <w:r>
        <w:rPr>
          <w:rFonts w:ascii="Cambria" w:hAnsi="Cambria"/>
          <w:w w:val="115"/>
          <w:sz w:val="20"/>
        </w:rPr>
        <w:t>y</w:t>
      </w:r>
      <w:r>
        <w:rPr>
          <w:rFonts w:ascii="Cambria" w:hAnsi="Cambria"/>
          <w:spacing w:val="-7"/>
          <w:w w:val="115"/>
          <w:sz w:val="20"/>
        </w:rPr>
        <w:t> </w:t>
      </w:r>
      <w:r>
        <w:rPr>
          <w:rFonts w:ascii="Cambria" w:hAnsi="Cambria"/>
          <w:w w:val="115"/>
          <w:sz w:val="20"/>
        </w:rPr>
        <w:t>también se incluyen preguntas abiertas. Al responder tome en consideración su experiencia profesional.</w:t>
      </w:r>
    </w:p>
    <w:p>
      <w:pPr>
        <w:spacing w:line="276" w:lineRule="auto" w:before="1"/>
        <w:ind w:left="122" w:right="123" w:firstLine="0"/>
        <w:jc w:val="both"/>
        <w:rPr>
          <w:rFonts w:ascii="Cambria" w:hAnsi="Cambria"/>
          <w:sz w:val="20"/>
        </w:rPr>
      </w:pPr>
      <w:r>
        <w:rPr>
          <w:rFonts w:ascii="Cambria" w:hAnsi="Cambria"/>
          <w:w w:val="115"/>
          <w:sz w:val="20"/>
        </w:rPr>
        <w:t>Marque con una cruz o bien con una paloma, la opción elegida, recuerde que no se pueden marcar dos opciones.</w:t>
      </w:r>
    </w:p>
    <w:p>
      <w:pPr>
        <w:pStyle w:val="BodyText"/>
        <w:rPr>
          <w:rFonts w:ascii="Cambria"/>
          <w:sz w:val="23"/>
        </w:rPr>
      </w:pPr>
    </w:p>
    <w:p>
      <w:pPr>
        <w:spacing w:before="0"/>
        <w:ind w:left="122" w:right="0" w:firstLine="0"/>
        <w:jc w:val="both"/>
        <w:rPr>
          <w:rFonts w:ascii="Cambria" w:hAnsi="Cambria"/>
          <w:sz w:val="20"/>
        </w:rPr>
      </w:pPr>
      <w:r>
        <w:rPr>
          <w:rFonts w:ascii="Cambria" w:hAnsi="Cambria"/>
          <w:w w:val="115"/>
          <w:sz w:val="20"/>
        </w:rPr>
        <w:t>De antemano muchas gracias por tu colaboración.</w:t>
      </w:r>
    </w:p>
    <w:p>
      <w:pPr>
        <w:pStyle w:val="BodyText"/>
        <w:rPr>
          <w:rFonts w:ascii="Cambria"/>
          <w:sz w:val="20"/>
        </w:rPr>
      </w:pPr>
    </w:p>
    <w:p>
      <w:pPr>
        <w:pStyle w:val="BodyText"/>
        <w:rPr>
          <w:rFonts w:ascii="Cambria"/>
          <w:sz w:val="20"/>
        </w:rPr>
      </w:pPr>
    </w:p>
    <w:p>
      <w:pPr>
        <w:pStyle w:val="BodyText"/>
        <w:spacing w:before="3"/>
        <w:rPr>
          <w:rFonts w:ascii="Cambria"/>
          <w:sz w:val="18"/>
        </w:rPr>
      </w:pPr>
    </w:p>
    <w:p>
      <w:pPr>
        <w:tabs>
          <w:tab w:pos="1288" w:val="left" w:leader="none"/>
          <w:tab w:pos="2589" w:val="left" w:leader="none"/>
          <w:tab w:pos="4859" w:val="left" w:leader="none"/>
        </w:tabs>
        <w:spacing w:line="552" w:lineRule="auto" w:before="0"/>
        <w:ind w:left="122" w:right="1861" w:firstLine="0"/>
        <w:jc w:val="left"/>
        <w:rPr>
          <w:rFonts w:ascii="Cambria" w:hAnsi="Cambria"/>
          <w:sz w:val="24"/>
        </w:rPr>
      </w:pPr>
      <w:r>
        <w:rPr>
          <w:rFonts w:ascii="Cambria" w:hAnsi="Cambria"/>
          <w:w w:val="115"/>
          <w:sz w:val="24"/>
        </w:rPr>
        <w:t>Sexo:</w:t>
        <w:tab/>
        <w:t>Edad:</w:t>
        <w:tab/>
        <w:t>Años que lleva practicando</w:t>
      </w:r>
      <w:r>
        <w:rPr>
          <w:rFonts w:ascii="Cambria" w:hAnsi="Cambria"/>
          <w:spacing w:val="-4"/>
          <w:w w:val="115"/>
          <w:sz w:val="24"/>
        </w:rPr>
        <w:t> </w:t>
      </w:r>
      <w:r>
        <w:rPr>
          <w:rFonts w:ascii="Cambria" w:hAnsi="Cambria"/>
          <w:w w:val="115"/>
          <w:sz w:val="24"/>
        </w:rPr>
        <w:t>la</w:t>
      </w:r>
      <w:r>
        <w:rPr>
          <w:rFonts w:ascii="Cambria" w:hAnsi="Cambria"/>
          <w:spacing w:val="-2"/>
          <w:w w:val="115"/>
          <w:sz w:val="24"/>
        </w:rPr>
        <w:t> </w:t>
      </w:r>
      <w:r>
        <w:rPr>
          <w:rFonts w:ascii="Cambria" w:hAnsi="Cambria"/>
          <w:w w:val="115"/>
          <w:sz w:val="24"/>
        </w:rPr>
        <w:t>abogacía:</w:t>
      </w:r>
      <w:r>
        <w:rPr>
          <w:rFonts w:ascii="Cambria" w:hAnsi="Cambria"/>
          <w:w w:val="114"/>
          <w:sz w:val="24"/>
        </w:rPr>
        <w:t> </w:t>
      </w:r>
      <w:r>
        <w:rPr>
          <w:rFonts w:ascii="Cambria" w:hAnsi="Cambria"/>
          <w:w w:val="115"/>
          <w:sz w:val="24"/>
        </w:rPr>
        <w:t>Alma</w:t>
      </w:r>
      <w:r>
        <w:rPr>
          <w:rFonts w:ascii="Cambria" w:hAnsi="Cambria"/>
          <w:spacing w:val="5"/>
          <w:w w:val="115"/>
          <w:sz w:val="24"/>
        </w:rPr>
        <w:t> </w:t>
      </w:r>
      <w:r>
        <w:rPr>
          <w:rFonts w:ascii="Cambria" w:hAnsi="Cambria"/>
          <w:w w:val="115"/>
          <w:sz w:val="24"/>
        </w:rPr>
        <w:t>Mater:</w:t>
        <w:tab/>
        <w:tab/>
        <w:t>Domicilio</w:t>
      </w:r>
      <w:r>
        <w:rPr>
          <w:rFonts w:ascii="Cambria" w:hAnsi="Cambria"/>
          <w:spacing w:val="-34"/>
          <w:w w:val="115"/>
          <w:sz w:val="24"/>
        </w:rPr>
        <w:t> </w:t>
      </w:r>
      <w:r>
        <w:rPr>
          <w:rFonts w:ascii="Cambria" w:hAnsi="Cambria"/>
          <w:w w:val="115"/>
          <w:sz w:val="24"/>
        </w:rPr>
        <w:t>laboral:</w:t>
      </w:r>
    </w:p>
    <w:p>
      <w:pPr>
        <w:spacing w:line="276" w:lineRule="auto" w:before="1"/>
        <w:ind w:left="122" w:right="119" w:firstLine="0"/>
        <w:jc w:val="both"/>
        <w:rPr>
          <w:rFonts w:ascii="Cambria" w:hAnsi="Cambria"/>
          <w:sz w:val="24"/>
        </w:rPr>
      </w:pPr>
      <w:r>
        <w:rPr>
          <w:rFonts w:ascii="Cambria" w:hAnsi="Cambria"/>
          <w:w w:val="115"/>
          <w:sz w:val="24"/>
        </w:rPr>
        <w:t>1.- ¿Considera usted que, las mujeres se encuentran en una situación de vulnerabilidad con respecto de los hombres?</w:t>
      </w:r>
    </w:p>
    <w:p>
      <w:pPr>
        <w:tabs>
          <w:tab w:pos="8975" w:val="left" w:leader="none"/>
        </w:tabs>
        <w:spacing w:line="342" w:lineRule="exact" w:before="0"/>
        <w:ind w:left="172" w:right="0" w:firstLine="0"/>
        <w:jc w:val="both"/>
        <w:rPr>
          <w:rFonts w:ascii="Cambria" w:hAnsi="Cambria"/>
          <w:sz w:val="24"/>
        </w:rPr>
      </w:pPr>
      <w:r>
        <w:rPr>
          <w:rFonts w:ascii="Wingdings" w:hAnsi="Wingdings"/>
          <w:w w:val="175"/>
          <w:sz w:val="32"/>
        </w:rPr>
        <w:t></w:t>
      </w:r>
      <w:r>
        <w:rPr>
          <w:rFonts w:ascii="Times New Roman" w:hAnsi="Times New Roman"/>
          <w:w w:val="175"/>
          <w:sz w:val="32"/>
        </w:rPr>
        <w:t> </w:t>
      </w:r>
      <w:r>
        <w:rPr>
          <w:rFonts w:ascii="Cambria" w:hAnsi="Cambria"/>
          <w:w w:val="125"/>
          <w:sz w:val="24"/>
        </w:rPr>
        <w:t>SÍ      </w:t>
      </w:r>
      <w:r>
        <w:rPr>
          <w:rFonts w:ascii="Wingdings" w:hAnsi="Wingdings"/>
          <w:w w:val="175"/>
          <w:sz w:val="32"/>
        </w:rPr>
        <w:t></w:t>
      </w:r>
      <w:r>
        <w:rPr>
          <w:rFonts w:ascii="Times New Roman" w:hAnsi="Times New Roman"/>
          <w:w w:val="175"/>
          <w:sz w:val="32"/>
        </w:rPr>
        <w:t> </w:t>
      </w:r>
      <w:r>
        <w:rPr>
          <w:rFonts w:ascii="Cambria" w:hAnsi="Cambria"/>
          <w:w w:val="125"/>
          <w:sz w:val="24"/>
        </w:rPr>
        <w:t>NO </w:t>
      </w:r>
      <w:r>
        <w:rPr>
          <w:rFonts w:ascii="Cambria" w:hAnsi="Cambria"/>
          <w:spacing w:val="1"/>
          <w:w w:val="125"/>
          <w:sz w:val="24"/>
        </w:rPr>
        <w:t> </w:t>
      </w:r>
      <w:r>
        <w:rPr>
          <w:rFonts w:ascii="Cambria" w:hAnsi="Cambria"/>
          <w:w w:val="125"/>
          <w:sz w:val="24"/>
        </w:rPr>
        <w:t>¿Por qué?</w:t>
      </w:r>
      <w:r>
        <w:rPr>
          <w:rFonts w:ascii="Cambria" w:hAnsi="Cambria"/>
          <w:w w:val="145"/>
          <w:sz w:val="24"/>
          <w:u w:val="single"/>
        </w:rPr>
        <w:t> </w:t>
      </w:r>
      <w:r>
        <w:rPr>
          <w:rFonts w:ascii="Cambria" w:hAnsi="Cambria"/>
          <w:sz w:val="24"/>
          <w:u w:val="single"/>
        </w:rPr>
        <w:tab/>
      </w:r>
    </w:p>
    <w:p>
      <w:pPr>
        <w:pStyle w:val="BodyText"/>
        <w:spacing w:before="6"/>
        <w:rPr>
          <w:rFonts w:ascii="Cambria"/>
          <w:sz w:val="21"/>
        </w:rPr>
      </w:pPr>
      <w:r>
        <w:rPr/>
        <w:pict>
          <v:line style="position:absolute;mso-position-horizontal-relative:page;mso-position-vertical-relative:paragraph;z-index:6112;mso-wrap-distance-left:0;mso-wrap-distance-right:0" from="87.024002pt,14.865008pt" to="525.024023pt,14.865008pt" stroked="true" strokeweight=".6pt" strokecolor="#000000">
            <w10:wrap type="topAndBottom"/>
          </v:line>
        </w:pict>
      </w:r>
    </w:p>
    <w:p>
      <w:pPr>
        <w:pStyle w:val="BodyText"/>
        <w:spacing w:before="3"/>
        <w:rPr>
          <w:rFonts w:ascii="Cambria"/>
          <w:sz w:val="25"/>
        </w:rPr>
      </w:pPr>
    </w:p>
    <w:p>
      <w:pPr>
        <w:spacing w:line="276" w:lineRule="auto" w:before="65"/>
        <w:ind w:left="122" w:right="0" w:firstLine="0"/>
        <w:jc w:val="left"/>
        <w:rPr>
          <w:rFonts w:ascii="Cambria" w:hAnsi="Cambria"/>
          <w:sz w:val="24"/>
        </w:rPr>
      </w:pPr>
      <w:r>
        <w:rPr>
          <w:rFonts w:ascii="Cambria" w:hAnsi="Cambria"/>
          <w:w w:val="115"/>
          <w:sz w:val="24"/>
        </w:rPr>
        <w:t>2.- ¿Las leyes especiales que se emiten para proteger derechos de las mujeres, son contrarias al principio de igualdad entre hombres y mujeres?</w:t>
      </w:r>
    </w:p>
    <w:p>
      <w:pPr>
        <w:tabs>
          <w:tab w:pos="1302" w:val="left" w:leader="none"/>
          <w:tab w:pos="2356" w:val="left" w:leader="none"/>
          <w:tab w:pos="8975" w:val="left" w:leader="none"/>
        </w:tabs>
        <w:spacing w:line="342" w:lineRule="exact" w:before="0"/>
        <w:ind w:left="172" w:right="0" w:firstLine="0"/>
        <w:jc w:val="left"/>
        <w:rPr>
          <w:rFonts w:ascii="Cambria" w:hAnsi="Cambria"/>
          <w:sz w:val="24"/>
        </w:rPr>
      </w:pPr>
      <w:r>
        <w:rPr>
          <w:rFonts w:ascii="Wingdings" w:hAnsi="Wingdings"/>
          <w:w w:val="175"/>
          <w:sz w:val="32"/>
        </w:rPr>
        <w:t></w:t>
      </w:r>
      <w:r>
        <w:rPr>
          <w:rFonts w:ascii="Times New Roman" w:hAnsi="Times New Roman"/>
          <w:spacing w:val="-56"/>
          <w:w w:val="175"/>
          <w:sz w:val="32"/>
        </w:rPr>
        <w:t> </w:t>
      </w:r>
      <w:r>
        <w:rPr>
          <w:rFonts w:ascii="Cambria" w:hAnsi="Cambria"/>
          <w:w w:val="125"/>
          <w:sz w:val="24"/>
        </w:rPr>
        <w:t>SÍ</w:t>
        <w:tab/>
      </w:r>
      <w:r>
        <w:rPr>
          <w:rFonts w:ascii="Wingdings" w:hAnsi="Wingdings"/>
          <w:w w:val="175"/>
          <w:sz w:val="32"/>
        </w:rPr>
        <w:t></w:t>
      </w:r>
      <w:r>
        <w:rPr>
          <w:rFonts w:ascii="Times New Roman" w:hAnsi="Times New Roman"/>
          <w:spacing w:val="-34"/>
          <w:w w:val="175"/>
          <w:sz w:val="32"/>
        </w:rPr>
        <w:t> </w:t>
      </w:r>
      <w:r>
        <w:rPr>
          <w:rFonts w:ascii="Cambria" w:hAnsi="Cambria"/>
          <w:w w:val="125"/>
          <w:sz w:val="24"/>
        </w:rPr>
        <w:t>NO</w:t>
        <w:tab/>
      </w:r>
      <w:r>
        <w:rPr>
          <w:rFonts w:ascii="Cambria" w:hAnsi="Cambria"/>
          <w:w w:val="115"/>
          <w:sz w:val="24"/>
        </w:rPr>
        <w:t>¿Por</w:t>
      </w:r>
      <w:r>
        <w:rPr>
          <w:rFonts w:ascii="Cambria" w:hAnsi="Cambria"/>
          <w:spacing w:val="-4"/>
          <w:w w:val="115"/>
          <w:sz w:val="24"/>
        </w:rPr>
        <w:t> </w:t>
      </w:r>
      <w:r>
        <w:rPr>
          <w:rFonts w:ascii="Cambria" w:hAnsi="Cambria"/>
          <w:w w:val="115"/>
          <w:sz w:val="24"/>
        </w:rPr>
        <w:t>qué?</w:t>
      </w:r>
      <w:r>
        <w:rPr>
          <w:rFonts w:ascii="Cambria" w:hAnsi="Cambria"/>
          <w:w w:val="145"/>
          <w:sz w:val="24"/>
          <w:u w:val="single"/>
        </w:rPr>
        <w:t> </w:t>
      </w:r>
      <w:r>
        <w:rPr>
          <w:rFonts w:ascii="Cambria" w:hAnsi="Cambria"/>
          <w:sz w:val="24"/>
          <w:u w:val="single"/>
        </w:rPr>
        <w:tab/>
      </w:r>
    </w:p>
    <w:p>
      <w:pPr>
        <w:pStyle w:val="BodyText"/>
        <w:spacing w:before="8"/>
        <w:rPr>
          <w:rFonts w:ascii="Cambria"/>
          <w:sz w:val="21"/>
        </w:rPr>
      </w:pPr>
      <w:r>
        <w:rPr/>
        <w:pict>
          <v:line style="position:absolute;mso-position-horizontal-relative:page;mso-position-vertical-relative:paragraph;z-index:6136;mso-wrap-distance-left:0;mso-wrap-distance-right:0" from="85.103996pt,14.985003pt" to="523.104017pt,14.985003pt" stroked="true" strokeweight=".6pt" strokecolor="#000000">
            <w10:wrap type="topAndBottom"/>
          </v:line>
        </w:pict>
      </w:r>
    </w:p>
    <w:p>
      <w:pPr>
        <w:pStyle w:val="BodyText"/>
        <w:spacing w:before="3"/>
        <w:rPr>
          <w:rFonts w:ascii="Cambria"/>
          <w:sz w:val="25"/>
        </w:rPr>
      </w:pPr>
    </w:p>
    <w:p>
      <w:pPr>
        <w:spacing w:line="276" w:lineRule="auto" w:before="65"/>
        <w:ind w:left="122" w:right="202" w:firstLine="0"/>
        <w:jc w:val="left"/>
        <w:rPr>
          <w:rFonts w:ascii="Cambria" w:hAnsi="Cambria"/>
          <w:sz w:val="24"/>
        </w:rPr>
      </w:pPr>
      <w:r>
        <w:rPr>
          <w:rFonts w:ascii="Cambria" w:hAnsi="Cambria"/>
          <w:w w:val="115"/>
          <w:sz w:val="24"/>
        </w:rPr>
        <w:t>3.- ¿En un procedimiento jurisdiccional, las mujeres y los hombres deben de ser tratados de la misma forma?</w:t>
      </w:r>
    </w:p>
    <w:p>
      <w:pPr>
        <w:tabs>
          <w:tab w:pos="1302" w:val="left" w:leader="none"/>
          <w:tab w:pos="2356" w:val="left" w:leader="none"/>
          <w:tab w:pos="8975" w:val="left" w:leader="none"/>
        </w:tabs>
        <w:spacing w:line="342" w:lineRule="exact" w:before="0"/>
        <w:ind w:left="172" w:right="0" w:firstLine="0"/>
        <w:jc w:val="left"/>
        <w:rPr>
          <w:rFonts w:ascii="Cambria" w:hAnsi="Cambria"/>
          <w:sz w:val="24"/>
        </w:rPr>
      </w:pPr>
      <w:r>
        <w:rPr>
          <w:rFonts w:ascii="Wingdings" w:hAnsi="Wingdings"/>
          <w:w w:val="175"/>
          <w:sz w:val="32"/>
        </w:rPr>
        <w:t></w:t>
      </w:r>
      <w:r>
        <w:rPr>
          <w:rFonts w:ascii="Times New Roman" w:hAnsi="Times New Roman"/>
          <w:spacing w:val="-56"/>
          <w:w w:val="175"/>
          <w:sz w:val="32"/>
        </w:rPr>
        <w:t> </w:t>
      </w:r>
      <w:r>
        <w:rPr>
          <w:rFonts w:ascii="Cambria" w:hAnsi="Cambria"/>
          <w:w w:val="125"/>
          <w:sz w:val="24"/>
        </w:rPr>
        <w:t>SÍ</w:t>
        <w:tab/>
      </w:r>
      <w:r>
        <w:rPr>
          <w:rFonts w:ascii="Wingdings" w:hAnsi="Wingdings"/>
          <w:w w:val="175"/>
          <w:sz w:val="32"/>
        </w:rPr>
        <w:t></w:t>
      </w:r>
      <w:r>
        <w:rPr>
          <w:rFonts w:ascii="Times New Roman" w:hAnsi="Times New Roman"/>
          <w:spacing w:val="-34"/>
          <w:w w:val="175"/>
          <w:sz w:val="32"/>
        </w:rPr>
        <w:t> </w:t>
      </w:r>
      <w:r>
        <w:rPr>
          <w:rFonts w:ascii="Cambria" w:hAnsi="Cambria"/>
          <w:w w:val="125"/>
          <w:sz w:val="24"/>
        </w:rPr>
        <w:t>NO</w:t>
        <w:tab/>
      </w:r>
      <w:r>
        <w:rPr>
          <w:rFonts w:ascii="Cambria" w:hAnsi="Cambria"/>
          <w:w w:val="115"/>
          <w:sz w:val="24"/>
        </w:rPr>
        <w:t>¿Por</w:t>
      </w:r>
      <w:r>
        <w:rPr>
          <w:rFonts w:ascii="Cambria" w:hAnsi="Cambria"/>
          <w:spacing w:val="-4"/>
          <w:w w:val="115"/>
          <w:sz w:val="24"/>
        </w:rPr>
        <w:t> </w:t>
      </w:r>
      <w:r>
        <w:rPr>
          <w:rFonts w:ascii="Cambria" w:hAnsi="Cambria"/>
          <w:w w:val="115"/>
          <w:sz w:val="24"/>
        </w:rPr>
        <w:t>qué?</w:t>
      </w:r>
      <w:r>
        <w:rPr>
          <w:rFonts w:ascii="Cambria" w:hAnsi="Cambria"/>
          <w:w w:val="145"/>
          <w:sz w:val="24"/>
          <w:u w:val="single"/>
        </w:rPr>
        <w:t> </w:t>
      </w:r>
      <w:r>
        <w:rPr>
          <w:rFonts w:ascii="Cambria" w:hAnsi="Cambria"/>
          <w:sz w:val="24"/>
          <w:u w:val="single"/>
        </w:rPr>
        <w:tab/>
      </w:r>
    </w:p>
    <w:p>
      <w:pPr>
        <w:pStyle w:val="BodyText"/>
        <w:spacing w:before="6"/>
        <w:rPr>
          <w:rFonts w:ascii="Cambria"/>
          <w:sz w:val="21"/>
        </w:rPr>
      </w:pPr>
      <w:r>
        <w:rPr/>
        <w:pict>
          <v:line style="position:absolute;mso-position-horizontal-relative:page;mso-position-vertical-relative:paragraph;z-index:6160;mso-wrap-distance-left:0;mso-wrap-distance-right:0" from="85.103996pt,14.884997pt" to="523.104017pt,14.884997pt" stroked="true" strokeweight=".6pt" strokecolor="#000000">
            <w10:wrap type="topAndBottom"/>
          </v:line>
        </w:pict>
      </w:r>
    </w:p>
    <w:p>
      <w:pPr>
        <w:pStyle w:val="BodyText"/>
        <w:spacing w:before="3"/>
        <w:rPr>
          <w:rFonts w:ascii="Cambria"/>
          <w:sz w:val="25"/>
        </w:rPr>
      </w:pPr>
    </w:p>
    <w:p>
      <w:pPr>
        <w:spacing w:line="276" w:lineRule="auto" w:before="65"/>
        <w:ind w:left="122" w:right="202" w:firstLine="0"/>
        <w:jc w:val="left"/>
        <w:rPr>
          <w:rFonts w:ascii="Cambria" w:hAnsi="Cambria"/>
          <w:sz w:val="24"/>
        </w:rPr>
      </w:pPr>
      <w:r>
        <w:rPr>
          <w:rFonts w:ascii="Cambria" w:hAnsi="Cambria"/>
          <w:w w:val="115"/>
          <w:sz w:val="24"/>
        </w:rPr>
        <w:t>4.- ¿Basar una sentencia en la perspectiva de género para favorecer a las</w:t>
      </w:r>
      <w:r>
        <w:rPr>
          <w:rFonts w:ascii="Cambria" w:hAnsi="Cambria"/>
          <w:spacing w:val="60"/>
          <w:w w:val="115"/>
          <w:sz w:val="24"/>
        </w:rPr>
        <w:t> </w:t>
      </w:r>
      <w:r>
        <w:rPr>
          <w:rFonts w:ascii="Cambria" w:hAnsi="Cambria"/>
          <w:w w:val="115"/>
          <w:sz w:val="24"/>
        </w:rPr>
        <w:t>mujeres, constituye un agravio al principio de igualdad de las partes?</w:t>
      </w:r>
    </w:p>
    <w:p>
      <w:pPr>
        <w:spacing w:after="0" w:line="276" w:lineRule="auto"/>
        <w:jc w:val="left"/>
        <w:rPr>
          <w:rFonts w:ascii="Cambria" w:hAnsi="Cambria"/>
          <w:sz w:val="24"/>
        </w:rPr>
        <w:sectPr>
          <w:pgSz w:w="12240" w:h="15840"/>
          <w:pgMar w:header="0" w:footer="1002" w:top="1360" w:bottom="1200" w:left="1580" w:right="1580"/>
        </w:sectPr>
      </w:pPr>
    </w:p>
    <w:p>
      <w:pPr>
        <w:pStyle w:val="Heading7"/>
        <w:tabs>
          <w:tab w:pos="1302" w:val="left" w:leader="none"/>
          <w:tab w:pos="2356" w:val="left" w:leader="none"/>
          <w:tab w:pos="8975" w:val="left" w:leader="none"/>
        </w:tabs>
        <w:spacing w:before="57"/>
        <w:ind w:left="172"/>
      </w:pPr>
      <w:r>
        <w:rPr>
          <w:rFonts w:ascii="Wingdings" w:hAnsi="Wingdings"/>
          <w:w w:val="175"/>
          <w:sz w:val="32"/>
        </w:rPr>
        <w:t></w:t>
      </w:r>
      <w:r>
        <w:rPr>
          <w:rFonts w:ascii="Times New Roman" w:hAnsi="Times New Roman"/>
          <w:spacing w:val="-56"/>
          <w:w w:val="175"/>
          <w:sz w:val="32"/>
        </w:rPr>
        <w:t> </w:t>
      </w:r>
      <w:r>
        <w:rPr>
          <w:w w:val="125"/>
        </w:rPr>
        <w:t>SÍ</w:t>
        <w:tab/>
      </w:r>
      <w:r>
        <w:rPr>
          <w:rFonts w:ascii="Wingdings" w:hAnsi="Wingdings"/>
          <w:w w:val="175"/>
          <w:sz w:val="32"/>
        </w:rPr>
        <w:t></w:t>
      </w:r>
      <w:r>
        <w:rPr>
          <w:rFonts w:ascii="Times New Roman" w:hAnsi="Times New Roman"/>
          <w:spacing w:val="-34"/>
          <w:w w:val="175"/>
          <w:sz w:val="32"/>
        </w:rPr>
        <w:t> </w:t>
      </w:r>
      <w:r>
        <w:rPr>
          <w:w w:val="125"/>
        </w:rPr>
        <w:t>NO</w:t>
        <w:tab/>
      </w:r>
      <w:r>
        <w:rPr>
          <w:w w:val="115"/>
        </w:rPr>
        <w:t>¿Por</w:t>
      </w:r>
      <w:r>
        <w:rPr>
          <w:spacing w:val="-4"/>
          <w:w w:val="115"/>
        </w:rPr>
        <w:t> </w:t>
      </w:r>
      <w:r>
        <w:rPr>
          <w:w w:val="115"/>
        </w:rPr>
        <w:t>qué?</w:t>
      </w:r>
      <w:r>
        <w:rPr>
          <w:w w:val="145"/>
          <w:u w:val="single"/>
        </w:rPr>
        <w:t> </w:t>
      </w:r>
      <w:r>
        <w:rPr>
          <w:u w:val="single"/>
        </w:rPr>
        <w:tab/>
      </w:r>
    </w:p>
    <w:p>
      <w:pPr>
        <w:pStyle w:val="BodyText"/>
        <w:spacing w:before="8"/>
        <w:rPr>
          <w:rFonts w:ascii="Cambria"/>
          <w:sz w:val="21"/>
        </w:rPr>
      </w:pPr>
      <w:r>
        <w:rPr/>
        <w:pict>
          <v:line style="position:absolute;mso-position-horizontal-relative:page;mso-position-vertical-relative:paragraph;z-index:6184;mso-wrap-distance-left:0;mso-wrap-distance-right:0" from="85.103996pt,14.984973pt" to="523.104017pt,14.984973pt" stroked="true" strokeweight=".6pt" strokecolor="#000000">
            <w10:wrap type="topAndBottom"/>
          </v:line>
        </w:pict>
      </w:r>
    </w:p>
    <w:p>
      <w:pPr>
        <w:pStyle w:val="BodyText"/>
        <w:spacing w:before="3"/>
        <w:rPr>
          <w:rFonts w:ascii="Cambria"/>
          <w:sz w:val="25"/>
        </w:rPr>
      </w:pPr>
    </w:p>
    <w:p>
      <w:pPr>
        <w:spacing w:line="276" w:lineRule="auto" w:before="65"/>
        <w:ind w:left="122" w:right="202" w:firstLine="0"/>
        <w:jc w:val="left"/>
        <w:rPr>
          <w:rFonts w:ascii="Cambria" w:hAnsi="Cambria"/>
          <w:sz w:val="24"/>
        </w:rPr>
      </w:pPr>
      <w:r>
        <w:rPr>
          <w:rFonts w:ascii="Cambria" w:hAnsi="Cambria"/>
          <w:w w:val="115"/>
          <w:sz w:val="24"/>
        </w:rPr>
        <w:t>5.- ¿Considera usted que por naturaleza los hombres son más propensos a cometer conductas delictivas, en relación con las mujeres?</w:t>
      </w:r>
    </w:p>
    <w:p>
      <w:pPr>
        <w:tabs>
          <w:tab w:pos="1302" w:val="left" w:leader="none"/>
          <w:tab w:pos="2356" w:val="left" w:leader="none"/>
          <w:tab w:pos="8975" w:val="left" w:leader="none"/>
        </w:tabs>
        <w:spacing w:line="342" w:lineRule="exact" w:before="0"/>
        <w:ind w:left="172" w:right="0" w:firstLine="0"/>
        <w:jc w:val="left"/>
        <w:rPr>
          <w:rFonts w:ascii="Cambria" w:hAnsi="Cambria"/>
          <w:sz w:val="24"/>
        </w:rPr>
      </w:pPr>
      <w:r>
        <w:rPr>
          <w:rFonts w:ascii="Wingdings" w:hAnsi="Wingdings"/>
          <w:w w:val="175"/>
          <w:sz w:val="32"/>
        </w:rPr>
        <w:t></w:t>
      </w:r>
      <w:r>
        <w:rPr>
          <w:rFonts w:ascii="Times New Roman" w:hAnsi="Times New Roman"/>
          <w:spacing w:val="-56"/>
          <w:w w:val="175"/>
          <w:sz w:val="32"/>
        </w:rPr>
        <w:t> </w:t>
      </w:r>
      <w:r>
        <w:rPr>
          <w:rFonts w:ascii="Cambria" w:hAnsi="Cambria"/>
          <w:w w:val="125"/>
          <w:sz w:val="24"/>
        </w:rPr>
        <w:t>SÍ</w:t>
        <w:tab/>
      </w:r>
      <w:r>
        <w:rPr>
          <w:rFonts w:ascii="Wingdings" w:hAnsi="Wingdings"/>
          <w:w w:val="175"/>
          <w:sz w:val="32"/>
        </w:rPr>
        <w:t></w:t>
      </w:r>
      <w:r>
        <w:rPr>
          <w:rFonts w:ascii="Times New Roman" w:hAnsi="Times New Roman"/>
          <w:spacing w:val="-34"/>
          <w:w w:val="175"/>
          <w:sz w:val="32"/>
        </w:rPr>
        <w:t> </w:t>
      </w:r>
      <w:r>
        <w:rPr>
          <w:rFonts w:ascii="Cambria" w:hAnsi="Cambria"/>
          <w:w w:val="125"/>
          <w:sz w:val="24"/>
        </w:rPr>
        <w:t>NO</w:t>
        <w:tab/>
      </w:r>
      <w:r>
        <w:rPr>
          <w:rFonts w:ascii="Cambria" w:hAnsi="Cambria"/>
          <w:w w:val="115"/>
          <w:sz w:val="24"/>
        </w:rPr>
        <w:t>¿Por</w:t>
      </w:r>
      <w:r>
        <w:rPr>
          <w:rFonts w:ascii="Cambria" w:hAnsi="Cambria"/>
          <w:spacing w:val="-4"/>
          <w:w w:val="115"/>
          <w:sz w:val="24"/>
        </w:rPr>
        <w:t> </w:t>
      </w:r>
      <w:r>
        <w:rPr>
          <w:rFonts w:ascii="Cambria" w:hAnsi="Cambria"/>
          <w:w w:val="115"/>
          <w:sz w:val="24"/>
        </w:rPr>
        <w:t>qué?</w:t>
      </w:r>
      <w:r>
        <w:rPr>
          <w:rFonts w:ascii="Cambria" w:hAnsi="Cambria"/>
          <w:w w:val="145"/>
          <w:sz w:val="24"/>
          <w:u w:val="single"/>
        </w:rPr>
        <w:t> </w:t>
      </w:r>
      <w:r>
        <w:rPr>
          <w:rFonts w:ascii="Cambria" w:hAnsi="Cambria"/>
          <w:sz w:val="24"/>
          <w:u w:val="single"/>
        </w:rPr>
        <w:tab/>
      </w:r>
    </w:p>
    <w:p>
      <w:pPr>
        <w:pStyle w:val="BodyText"/>
        <w:spacing w:before="8"/>
        <w:rPr>
          <w:rFonts w:ascii="Cambria"/>
          <w:sz w:val="21"/>
        </w:rPr>
      </w:pPr>
      <w:r>
        <w:rPr/>
        <w:pict>
          <v:line style="position:absolute;mso-position-horizontal-relative:page;mso-position-vertical-relative:paragraph;z-index:6208;mso-wrap-distance-left:0;mso-wrap-distance-right:0" from="85.103996pt,14.984973pt" to="523.104017pt,14.984973pt" stroked="true" strokeweight=".6pt" strokecolor="#000000">
            <w10:wrap type="topAndBottom"/>
          </v:line>
        </w:pict>
      </w:r>
    </w:p>
    <w:p>
      <w:pPr>
        <w:spacing w:before="37"/>
        <w:ind w:left="122" w:right="202" w:firstLine="0"/>
        <w:jc w:val="left"/>
        <w:rPr>
          <w:rFonts w:ascii="Cambria" w:hAnsi="Cambria"/>
          <w:sz w:val="24"/>
        </w:rPr>
      </w:pPr>
      <w:r>
        <w:rPr>
          <w:rFonts w:ascii="Cambria" w:hAnsi="Cambria"/>
          <w:w w:val="115"/>
          <w:sz w:val="24"/>
        </w:rPr>
        <w:t>6.- ¿Tiene conocimiento de la Teoría Garantista?</w:t>
      </w:r>
    </w:p>
    <w:p>
      <w:pPr>
        <w:tabs>
          <w:tab w:pos="1727" w:val="left" w:leader="none"/>
          <w:tab w:pos="2781" w:val="left" w:leader="none"/>
          <w:tab w:pos="8932" w:val="left" w:leader="none"/>
        </w:tabs>
        <w:spacing w:line="271" w:lineRule="auto" w:before="29"/>
        <w:ind w:left="218" w:right="145" w:firstLine="379"/>
        <w:jc w:val="left"/>
        <w:rPr>
          <w:rFonts w:ascii="Cambria" w:hAnsi="Cambria"/>
          <w:sz w:val="24"/>
        </w:rPr>
      </w:pPr>
      <w:r>
        <w:rPr>
          <w:rFonts w:ascii="Wingdings" w:hAnsi="Wingdings"/>
          <w:w w:val="170"/>
          <w:sz w:val="32"/>
        </w:rPr>
        <w:t></w:t>
      </w:r>
      <w:r>
        <w:rPr>
          <w:rFonts w:ascii="Times New Roman" w:hAnsi="Times New Roman"/>
          <w:spacing w:val="-45"/>
          <w:w w:val="170"/>
          <w:sz w:val="32"/>
        </w:rPr>
        <w:t> </w:t>
      </w:r>
      <w:r>
        <w:rPr>
          <w:rFonts w:ascii="Cambria" w:hAnsi="Cambria"/>
          <w:w w:val="120"/>
          <w:sz w:val="24"/>
        </w:rPr>
        <w:t>SÍ</w:t>
        <w:tab/>
      </w:r>
      <w:r>
        <w:rPr>
          <w:rFonts w:ascii="Wingdings" w:hAnsi="Wingdings"/>
          <w:w w:val="170"/>
          <w:sz w:val="32"/>
        </w:rPr>
        <w:t></w:t>
      </w:r>
      <w:r>
        <w:rPr>
          <w:rFonts w:ascii="Times New Roman" w:hAnsi="Times New Roman"/>
          <w:spacing w:val="-22"/>
          <w:w w:val="170"/>
          <w:sz w:val="32"/>
        </w:rPr>
        <w:t> </w:t>
      </w:r>
      <w:r>
        <w:rPr>
          <w:rFonts w:ascii="Cambria" w:hAnsi="Cambria"/>
          <w:w w:val="120"/>
          <w:sz w:val="24"/>
        </w:rPr>
        <w:t>NO</w:t>
        <w:tab/>
        <w:t>(En</w:t>
      </w:r>
      <w:r>
        <w:rPr>
          <w:rFonts w:ascii="Cambria" w:hAnsi="Cambria"/>
          <w:spacing w:val="-30"/>
          <w:w w:val="120"/>
          <w:sz w:val="24"/>
        </w:rPr>
        <w:t> </w:t>
      </w:r>
      <w:r>
        <w:rPr>
          <w:rFonts w:ascii="Cambria" w:hAnsi="Cambria"/>
          <w:w w:val="120"/>
          <w:sz w:val="24"/>
        </w:rPr>
        <w:t>caso</w:t>
      </w:r>
      <w:r>
        <w:rPr>
          <w:rFonts w:ascii="Cambria" w:hAnsi="Cambria"/>
          <w:spacing w:val="-30"/>
          <w:w w:val="120"/>
          <w:sz w:val="24"/>
        </w:rPr>
        <w:t> </w:t>
      </w:r>
      <w:r>
        <w:rPr>
          <w:rFonts w:ascii="Cambria" w:hAnsi="Cambria"/>
          <w:w w:val="120"/>
          <w:sz w:val="24"/>
        </w:rPr>
        <w:t>de</w:t>
      </w:r>
      <w:r>
        <w:rPr>
          <w:rFonts w:ascii="Cambria" w:hAnsi="Cambria"/>
          <w:spacing w:val="-30"/>
          <w:w w:val="120"/>
          <w:sz w:val="24"/>
        </w:rPr>
        <w:t> </w:t>
      </w:r>
      <w:r>
        <w:rPr>
          <w:rFonts w:ascii="Cambria" w:hAnsi="Cambria"/>
          <w:w w:val="120"/>
          <w:sz w:val="24"/>
        </w:rPr>
        <w:t>ser</w:t>
      </w:r>
      <w:r>
        <w:rPr>
          <w:rFonts w:ascii="Cambria" w:hAnsi="Cambria"/>
          <w:spacing w:val="-30"/>
          <w:w w:val="120"/>
          <w:sz w:val="24"/>
        </w:rPr>
        <w:t> </w:t>
      </w:r>
      <w:r>
        <w:rPr>
          <w:rFonts w:ascii="Cambria" w:hAnsi="Cambria"/>
          <w:w w:val="120"/>
          <w:sz w:val="24"/>
        </w:rPr>
        <w:t>afirmativa</w:t>
      </w:r>
      <w:r>
        <w:rPr>
          <w:rFonts w:ascii="Cambria" w:hAnsi="Cambria"/>
          <w:spacing w:val="-30"/>
          <w:w w:val="120"/>
          <w:sz w:val="24"/>
        </w:rPr>
        <w:t> </w:t>
      </w:r>
      <w:r>
        <w:rPr>
          <w:rFonts w:ascii="Cambria" w:hAnsi="Cambria"/>
          <w:w w:val="120"/>
          <w:sz w:val="24"/>
        </w:rPr>
        <w:t>su</w:t>
      </w:r>
      <w:r>
        <w:rPr>
          <w:rFonts w:ascii="Cambria" w:hAnsi="Cambria"/>
          <w:spacing w:val="-30"/>
          <w:w w:val="120"/>
          <w:sz w:val="24"/>
        </w:rPr>
        <w:t> </w:t>
      </w:r>
      <w:r>
        <w:rPr>
          <w:rFonts w:ascii="Cambria" w:hAnsi="Cambria"/>
          <w:w w:val="120"/>
          <w:sz w:val="24"/>
        </w:rPr>
        <w:t>respuesta)</w:t>
      </w:r>
      <w:r>
        <w:rPr>
          <w:rFonts w:ascii="Cambria" w:hAnsi="Cambria"/>
          <w:spacing w:val="-30"/>
          <w:w w:val="120"/>
          <w:sz w:val="24"/>
        </w:rPr>
        <w:t> </w:t>
      </w:r>
      <w:r>
        <w:rPr>
          <w:rFonts w:ascii="Cambria" w:hAnsi="Cambria"/>
          <w:w w:val="120"/>
          <w:sz w:val="24"/>
        </w:rPr>
        <w:t>¿en</w:t>
      </w:r>
      <w:r>
        <w:rPr>
          <w:rFonts w:ascii="Cambria" w:hAnsi="Cambria"/>
          <w:spacing w:val="-30"/>
          <w:w w:val="120"/>
          <w:sz w:val="24"/>
        </w:rPr>
        <w:t> </w:t>
      </w:r>
      <w:r>
        <w:rPr>
          <w:rFonts w:ascii="Cambria" w:hAnsi="Cambria"/>
          <w:w w:val="120"/>
          <w:sz w:val="24"/>
        </w:rPr>
        <w:t>qué</w:t>
      </w:r>
      <w:r>
        <w:rPr>
          <w:rFonts w:ascii="Cambria" w:hAnsi="Cambria"/>
          <w:spacing w:val="-1"/>
          <w:w w:val="112"/>
          <w:sz w:val="24"/>
        </w:rPr>
        <w:t> </w:t>
      </w:r>
      <w:r>
        <w:rPr>
          <w:rFonts w:ascii="Cambria" w:hAnsi="Cambria"/>
          <w:w w:val="120"/>
          <w:sz w:val="24"/>
        </w:rPr>
        <w:t>consiste?</w:t>
      </w:r>
      <w:r>
        <w:rPr>
          <w:rFonts w:ascii="Cambria" w:hAnsi="Cambria"/>
          <w:w w:val="145"/>
          <w:sz w:val="24"/>
          <w:u w:val="single"/>
        </w:rPr>
        <w:t> </w:t>
      </w:r>
      <w:r>
        <w:rPr>
          <w:rFonts w:ascii="Cambria" w:hAnsi="Cambria"/>
          <w:sz w:val="24"/>
          <w:u w:val="single"/>
        </w:rPr>
        <w:tab/>
        <w:tab/>
        <w:tab/>
      </w:r>
    </w:p>
    <w:p>
      <w:pPr>
        <w:pStyle w:val="BodyText"/>
        <w:spacing w:before="2"/>
        <w:rPr>
          <w:rFonts w:ascii="Cambria"/>
          <w:sz w:val="18"/>
        </w:rPr>
      </w:pPr>
      <w:r>
        <w:rPr/>
        <w:pict>
          <v:line style="position:absolute;mso-position-horizontal-relative:page;mso-position-vertical-relative:paragraph;z-index:6232;mso-wrap-distance-left:0;mso-wrap-distance-right:0" from="85.103996pt,12.90511pt" to="523.104017pt,12.90511pt" stroked="true" strokeweight=".6pt" strokecolor="#000000">
            <w10:wrap type="topAndBottom"/>
          </v:line>
        </w:pict>
      </w:r>
    </w:p>
    <w:p>
      <w:pPr>
        <w:pStyle w:val="BodyText"/>
        <w:spacing w:before="3"/>
        <w:rPr>
          <w:rFonts w:ascii="Cambria"/>
          <w:sz w:val="25"/>
        </w:rPr>
      </w:pPr>
    </w:p>
    <w:p>
      <w:pPr>
        <w:spacing w:line="276" w:lineRule="auto" w:before="65"/>
        <w:ind w:left="122" w:right="202" w:firstLine="0"/>
        <w:jc w:val="left"/>
        <w:rPr>
          <w:rFonts w:ascii="Cambria" w:hAnsi="Cambria"/>
          <w:sz w:val="24"/>
        </w:rPr>
      </w:pPr>
      <w:r>
        <w:rPr>
          <w:rFonts w:ascii="Cambria" w:hAnsi="Cambria"/>
          <w:w w:val="115"/>
          <w:sz w:val="24"/>
        </w:rPr>
        <w:t>7.- ¿Considera que en un proceso penal, es fundamental la protección de</w:t>
      </w:r>
      <w:r>
        <w:rPr>
          <w:rFonts w:ascii="Cambria" w:hAnsi="Cambria"/>
          <w:spacing w:val="60"/>
          <w:w w:val="115"/>
          <w:sz w:val="24"/>
        </w:rPr>
        <w:t> </w:t>
      </w:r>
      <w:r>
        <w:rPr>
          <w:rFonts w:ascii="Cambria" w:hAnsi="Cambria"/>
          <w:w w:val="115"/>
          <w:sz w:val="24"/>
        </w:rPr>
        <w:t>los derechos humanos de los indiciados e</w:t>
      </w:r>
      <w:r>
        <w:rPr>
          <w:rFonts w:ascii="Cambria" w:hAnsi="Cambria"/>
          <w:spacing w:val="35"/>
          <w:w w:val="115"/>
          <w:sz w:val="24"/>
        </w:rPr>
        <w:t> </w:t>
      </w:r>
      <w:r>
        <w:rPr>
          <w:rFonts w:ascii="Cambria" w:hAnsi="Cambria"/>
          <w:w w:val="115"/>
          <w:sz w:val="24"/>
        </w:rPr>
        <w:t>indiciadas?</w:t>
      </w:r>
    </w:p>
    <w:p>
      <w:pPr>
        <w:tabs>
          <w:tab w:pos="1302" w:val="left" w:leader="none"/>
          <w:tab w:pos="2356" w:val="left" w:leader="none"/>
          <w:tab w:pos="8975" w:val="left" w:leader="none"/>
        </w:tabs>
        <w:spacing w:line="342" w:lineRule="exact" w:before="0"/>
        <w:ind w:left="172" w:right="0" w:firstLine="0"/>
        <w:jc w:val="left"/>
        <w:rPr>
          <w:rFonts w:ascii="Cambria" w:hAnsi="Cambria"/>
          <w:sz w:val="24"/>
        </w:rPr>
      </w:pPr>
      <w:r>
        <w:rPr>
          <w:rFonts w:ascii="Wingdings" w:hAnsi="Wingdings"/>
          <w:w w:val="175"/>
          <w:sz w:val="32"/>
        </w:rPr>
        <w:t></w:t>
      </w:r>
      <w:r>
        <w:rPr>
          <w:rFonts w:ascii="Times New Roman" w:hAnsi="Times New Roman"/>
          <w:spacing w:val="-56"/>
          <w:w w:val="175"/>
          <w:sz w:val="32"/>
        </w:rPr>
        <w:t> </w:t>
      </w:r>
      <w:r>
        <w:rPr>
          <w:rFonts w:ascii="Cambria" w:hAnsi="Cambria"/>
          <w:w w:val="125"/>
          <w:sz w:val="24"/>
        </w:rPr>
        <w:t>SÍ</w:t>
        <w:tab/>
      </w:r>
      <w:r>
        <w:rPr>
          <w:rFonts w:ascii="Wingdings" w:hAnsi="Wingdings"/>
          <w:w w:val="175"/>
          <w:sz w:val="32"/>
        </w:rPr>
        <w:t></w:t>
      </w:r>
      <w:r>
        <w:rPr>
          <w:rFonts w:ascii="Times New Roman" w:hAnsi="Times New Roman"/>
          <w:spacing w:val="-34"/>
          <w:w w:val="175"/>
          <w:sz w:val="32"/>
        </w:rPr>
        <w:t> </w:t>
      </w:r>
      <w:r>
        <w:rPr>
          <w:rFonts w:ascii="Cambria" w:hAnsi="Cambria"/>
          <w:w w:val="125"/>
          <w:sz w:val="24"/>
        </w:rPr>
        <w:t>NO</w:t>
        <w:tab/>
      </w:r>
      <w:r>
        <w:rPr>
          <w:rFonts w:ascii="Cambria" w:hAnsi="Cambria"/>
          <w:w w:val="115"/>
          <w:sz w:val="24"/>
        </w:rPr>
        <w:t>¿Por</w:t>
      </w:r>
      <w:r>
        <w:rPr>
          <w:rFonts w:ascii="Cambria" w:hAnsi="Cambria"/>
          <w:spacing w:val="-4"/>
          <w:w w:val="115"/>
          <w:sz w:val="24"/>
        </w:rPr>
        <w:t> </w:t>
      </w:r>
      <w:r>
        <w:rPr>
          <w:rFonts w:ascii="Cambria" w:hAnsi="Cambria"/>
          <w:w w:val="115"/>
          <w:sz w:val="24"/>
        </w:rPr>
        <w:t>qué?</w:t>
      </w:r>
      <w:r>
        <w:rPr>
          <w:rFonts w:ascii="Cambria" w:hAnsi="Cambria"/>
          <w:w w:val="145"/>
          <w:sz w:val="24"/>
          <w:u w:val="single"/>
        </w:rPr>
        <w:t> </w:t>
      </w:r>
      <w:r>
        <w:rPr>
          <w:rFonts w:ascii="Cambria" w:hAnsi="Cambria"/>
          <w:sz w:val="24"/>
          <w:u w:val="single"/>
        </w:rPr>
        <w:tab/>
      </w:r>
    </w:p>
    <w:p>
      <w:pPr>
        <w:pStyle w:val="BodyText"/>
        <w:spacing w:before="8"/>
        <w:rPr>
          <w:rFonts w:ascii="Cambria"/>
          <w:sz w:val="21"/>
        </w:rPr>
      </w:pPr>
      <w:r>
        <w:rPr/>
        <w:pict>
          <v:line style="position:absolute;mso-position-horizontal-relative:page;mso-position-vertical-relative:paragraph;z-index:6256;mso-wrap-distance-left:0;mso-wrap-distance-right:0" from="85.103996pt,14.985003pt" to="523.104017pt,14.985003pt" stroked="true" strokeweight=".6pt" strokecolor="#000000">
            <w10:wrap type="topAndBottom"/>
          </v:line>
        </w:pict>
      </w:r>
    </w:p>
    <w:p>
      <w:pPr>
        <w:pStyle w:val="BodyText"/>
        <w:spacing w:before="3"/>
        <w:rPr>
          <w:rFonts w:ascii="Cambria"/>
          <w:sz w:val="25"/>
        </w:rPr>
      </w:pPr>
    </w:p>
    <w:p>
      <w:pPr>
        <w:spacing w:line="276" w:lineRule="auto" w:before="65"/>
        <w:ind w:left="122" w:right="202" w:firstLine="0"/>
        <w:jc w:val="left"/>
        <w:rPr>
          <w:rFonts w:ascii="Cambria" w:hAnsi="Cambria"/>
          <w:sz w:val="24"/>
        </w:rPr>
      </w:pPr>
      <w:r>
        <w:rPr>
          <w:rFonts w:ascii="Cambria" w:hAnsi="Cambria"/>
          <w:w w:val="110"/>
          <w:sz w:val="24"/>
        </w:rPr>
        <w:t>8.- ¿Usted, cuenta con los elementos necesarios para realizar una Teoría del Caso, basada en la perspectiva de     género?</w:t>
      </w:r>
    </w:p>
    <w:p>
      <w:pPr>
        <w:tabs>
          <w:tab w:pos="1302" w:val="left" w:leader="none"/>
          <w:tab w:pos="2356" w:val="left" w:leader="none"/>
          <w:tab w:pos="8975" w:val="left" w:leader="none"/>
        </w:tabs>
        <w:spacing w:line="342" w:lineRule="exact" w:before="0"/>
        <w:ind w:left="172" w:right="0" w:firstLine="0"/>
        <w:jc w:val="left"/>
        <w:rPr>
          <w:rFonts w:ascii="Cambria" w:hAnsi="Cambria"/>
          <w:sz w:val="24"/>
        </w:rPr>
      </w:pPr>
      <w:r>
        <w:rPr>
          <w:rFonts w:ascii="Wingdings" w:hAnsi="Wingdings"/>
          <w:w w:val="175"/>
          <w:sz w:val="32"/>
        </w:rPr>
        <w:t></w:t>
      </w:r>
      <w:r>
        <w:rPr>
          <w:rFonts w:ascii="Times New Roman" w:hAnsi="Times New Roman"/>
          <w:spacing w:val="-56"/>
          <w:w w:val="175"/>
          <w:sz w:val="32"/>
        </w:rPr>
        <w:t> </w:t>
      </w:r>
      <w:r>
        <w:rPr>
          <w:rFonts w:ascii="Cambria" w:hAnsi="Cambria"/>
          <w:w w:val="125"/>
          <w:sz w:val="24"/>
        </w:rPr>
        <w:t>SÍ</w:t>
        <w:tab/>
      </w:r>
      <w:r>
        <w:rPr>
          <w:rFonts w:ascii="Wingdings" w:hAnsi="Wingdings"/>
          <w:w w:val="175"/>
          <w:sz w:val="32"/>
        </w:rPr>
        <w:t></w:t>
      </w:r>
      <w:r>
        <w:rPr>
          <w:rFonts w:ascii="Times New Roman" w:hAnsi="Times New Roman"/>
          <w:spacing w:val="-34"/>
          <w:w w:val="175"/>
          <w:sz w:val="32"/>
        </w:rPr>
        <w:t> </w:t>
      </w:r>
      <w:r>
        <w:rPr>
          <w:rFonts w:ascii="Cambria" w:hAnsi="Cambria"/>
          <w:w w:val="125"/>
          <w:sz w:val="24"/>
        </w:rPr>
        <w:t>NO</w:t>
        <w:tab/>
      </w:r>
      <w:r>
        <w:rPr>
          <w:rFonts w:ascii="Cambria" w:hAnsi="Cambria"/>
          <w:w w:val="115"/>
          <w:sz w:val="24"/>
        </w:rPr>
        <w:t>¿Por</w:t>
      </w:r>
      <w:r>
        <w:rPr>
          <w:rFonts w:ascii="Cambria" w:hAnsi="Cambria"/>
          <w:spacing w:val="-4"/>
          <w:w w:val="115"/>
          <w:sz w:val="24"/>
        </w:rPr>
        <w:t> </w:t>
      </w:r>
      <w:r>
        <w:rPr>
          <w:rFonts w:ascii="Cambria" w:hAnsi="Cambria"/>
          <w:w w:val="115"/>
          <w:sz w:val="24"/>
        </w:rPr>
        <w:t>qué?</w:t>
      </w:r>
      <w:r>
        <w:rPr>
          <w:rFonts w:ascii="Cambria" w:hAnsi="Cambria"/>
          <w:w w:val="145"/>
          <w:sz w:val="24"/>
          <w:u w:val="single"/>
        </w:rPr>
        <w:t> </w:t>
      </w:r>
      <w:r>
        <w:rPr>
          <w:rFonts w:ascii="Cambria" w:hAnsi="Cambria"/>
          <w:sz w:val="24"/>
          <w:u w:val="single"/>
        </w:rPr>
        <w:tab/>
      </w:r>
    </w:p>
    <w:p>
      <w:pPr>
        <w:pStyle w:val="BodyText"/>
        <w:spacing w:before="6"/>
        <w:rPr>
          <w:rFonts w:ascii="Cambria"/>
          <w:sz w:val="21"/>
        </w:rPr>
      </w:pPr>
      <w:r>
        <w:rPr/>
        <w:pict>
          <v:line style="position:absolute;mso-position-horizontal-relative:page;mso-position-vertical-relative:paragraph;z-index:6280;mso-wrap-distance-left:0;mso-wrap-distance-right:0" from="85.103996pt,14.864978pt" to="523.104017pt,14.864978pt" stroked="true" strokeweight=".6pt" strokecolor="#000000">
            <w10:wrap type="topAndBottom"/>
          </v:line>
        </w:pict>
      </w:r>
    </w:p>
    <w:p>
      <w:pPr>
        <w:pStyle w:val="BodyText"/>
        <w:spacing w:before="3"/>
        <w:rPr>
          <w:rFonts w:ascii="Cambria"/>
          <w:sz w:val="25"/>
        </w:rPr>
      </w:pPr>
    </w:p>
    <w:p>
      <w:pPr>
        <w:spacing w:line="276" w:lineRule="auto" w:before="65"/>
        <w:ind w:left="122" w:right="120" w:firstLine="0"/>
        <w:jc w:val="both"/>
        <w:rPr>
          <w:rFonts w:ascii="Cambria" w:hAnsi="Cambria"/>
          <w:sz w:val="24"/>
        </w:rPr>
      </w:pPr>
      <w:r>
        <w:rPr>
          <w:rFonts w:ascii="Cambria" w:hAnsi="Cambria"/>
          <w:w w:val="115"/>
          <w:sz w:val="24"/>
        </w:rPr>
        <w:t>9.- En un caso en el que una mujer sobreviviente de violencia familiar, particularmente de violencia física, priva de la vida a su agresor ¿puede considerarse legítima defensa?</w:t>
      </w:r>
    </w:p>
    <w:p>
      <w:pPr>
        <w:tabs>
          <w:tab w:pos="8975" w:val="left" w:leader="none"/>
        </w:tabs>
        <w:spacing w:line="342" w:lineRule="exact" w:before="0"/>
        <w:ind w:left="172" w:right="0" w:firstLine="0"/>
        <w:jc w:val="both"/>
        <w:rPr>
          <w:rFonts w:ascii="Cambria" w:hAnsi="Cambria"/>
          <w:sz w:val="24"/>
        </w:rPr>
      </w:pPr>
      <w:r>
        <w:rPr>
          <w:rFonts w:ascii="Wingdings" w:hAnsi="Wingdings"/>
          <w:w w:val="175"/>
          <w:sz w:val="32"/>
        </w:rPr>
        <w:t></w:t>
      </w:r>
      <w:r>
        <w:rPr>
          <w:rFonts w:ascii="Times New Roman" w:hAnsi="Times New Roman"/>
          <w:w w:val="175"/>
          <w:sz w:val="32"/>
        </w:rPr>
        <w:t> </w:t>
      </w:r>
      <w:r>
        <w:rPr>
          <w:rFonts w:ascii="Cambria" w:hAnsi="Cambria"/>
          <w:w w:val="125"/>
          <w:sz w:val="24"/>
        </w:rPr>
        <w:t>SÍ      </w:t>
      </w:r>
      <w:r>
        <w:rPr>
          <w:rFonts w:ascii="Wingdings" w:hAnsi="Wingdings"/>
          <w:w w:val="175"/>
          <w:sz w:val="32"/>
        </w:rPr>
        <w:t></w:t>
      </w:r>
      <w:r>
        <w:rPr>
          <w:rFonts w:ascii="Times New Roman" w:hAnsi="Times New Roman"/>
          <w:w w:val="175"/>
          <w:sz w:val="32"/>
        </w:rPr>
        <w:t> </w:t>
      </w:r>
      <w:r>
        <w:rPr>
          <w:rFonts w:ascii="Cambria" w:hAnsi="Cambria"/>
          <w:w w:val="125"/>
          <w:sz w:val="24"/>
        </w:rPr>
        <w:t>NO </w:t>
      </w:r>
      <w:r>
        <w:rPr>
          <w:rFonts w:ascii="Cambria" w:hAnsi="Cambria"/>
          <w:spacing w:val="1"/>
          <w:w w:val="125"/>
          <w:sz w:val="24"/>
        </w:rPr>
        <w:t> </w:t>
      </w:r>
      <w:r>
        <w:rPr>
          <w:rFonts w:ascii="Cambria" w:hAnsi="Cambria"/>
          <w:w w:val="125"/>
          <w:sz w:val="24"/>
        </w:rPr>
        <w:t>¿Por qué?</w:t>
      </w:r>
      <w:r>
        <w:rPr>
          <w:rFonts w:ascii="Cambria" w:hAnsi="Cambria"/>
          <w:w w:val="145"/>
          <w:sz w:val="24"/>
          <w:u w:val="single"/>
        </w:rPr>
        <w:t> </w:t>
      </w:r>
      <w:r>
        <w:rPr>
          <w:rFonts w:ascii="Cambria" w:hAnsi="Cambria"/>
          <w:sz w:val="24"/>
          <w:u w:val="single"/>
        </w:rPr>
        <w:tab/>
      </w:r>
    </w:p>
    <w:p>
      <w:pPr>
        <w:pStyle w:val="BodyText"/>
        <w:spacing w:before="8"/>
        <w:rPr>
          <w:rFonts w:ascii="Cambria"/>
          <w:sz w:val="21"/>
        </w:rPr>
      </w:pPr>
      <w:r>
        <w:rPr/>
        <w:pict>
          <v:line style="position:absolute;mso-position-horizontal-relative:page;mso-position-vertical-relative:paragraph;z-index:6304;mso-wrap-distance-left:0;mso-wrap-distance-right:0" from="85.103996pt,14.985003pt" to="523.100015pt,14.985003pt" stroked="true" strokeweight=".6pt" strokecolor="#000000">
            <w10:wrap type="topAndBottom"/>
          </v:line>
        </w:pict>
      </w:r>
    </w:p>
    <w:p>
      <w:pPr>
        <w:pStyle w:val="BodyText"/>
        <w:spacing w:before="3"/>
        <w:rPr>
          <w:rFonts w:ascii="Cambria"/>
          <w:sz w:val="25"/>
        </w:rPr>
      </w:pPr>
    </w:p>
    <w:p>
      <w:pPr>
        <w:spacing w:line="276" w:lineRule="auto" w:before="65"/>
        <w:ind w:left="122" w:right="202" w:firstLine="0"/>
        <w:jc w:val="left"/>
        <w:rPr>
          <w:rFonts w:ascii="Cambria" w:hAnsi="Cambria"/>
          <w:sz w:val="24"/>
        </w:rPr>
      </w:pPr>
      <w:r>
        <w:rPr>
          <w:rFonts w:ascii="Cambria" w:hAnsi="Cambria"/>
          <w:w w:val="115"/>
          <w:sz w:val="24"/>
        </w:rPr>
        <w:t>10.- ¿Conoce usted las sentencias emitidas en contra del Estado Mexicano,</w:t>
      </w:r>
      <w:r>
        <w:rPr>
          <w:rFonts w:ascii="Cambria" w:hAnsi="Cambria"/>
          <w:spacing w:val="60"/>
          <w:w w:val="115"/>
          <w:sz w:val="24"/>
        </w:rPr>
        <w:t> </w:t>
      </w:r>
      <w:r>
        <w:rPr>
          <w:rFonts w:ascii="Cambria" w:hAnsi="Cambria"/>
          <w:w w:val="115"/>
          <w:sz w:val="24"/>
        </w:rPr>
        <w:t>por la Corte Interamericana de Derechos Humanos?</w:t>
      </w:r>
    </w:p>
    <w:p>
      <w:pPr>
        <w:tabs>
          <w:tab w:pos="1348" w:val="left" w:leader="none"/>
          <w:tab w:pos="2401" w:val="left" w:leader="none"/>
          <w:tab w:pos="8932" w:val="left" w:leader="none"/>
        </w:tabs>
        <w:spacing w:line="342" w:lineRule="exact" w:before="0"/>
        <w:ind w:left="218" w:right="0" w:firstLine="0"/>
        <w:jc w:val="left"/>
        <w:rPr>
          <w:rFonts w:ascii="Cambria" w:hAnsi="Cambria"/>
          <w:sz w:val="24"/>
        </w:rPr>
      </w:pPr>
      <w:r>
        <w:rPr>
          <w:rFonts w:ascii="Wingdings" w:hAnsi="Wingdings"/>
          <w:w w:val="170"/>
          <w:sz w:val="32"/>
        </w:rPr>
        <w:t></w:t>
      </w:r>
      <w:r>
        <w:rPr>
          <w:rFonts w:ascii="Times New Roman" w:hAnsi="Times New Roman"/>
          <w:spacing w:val="-55"/>
          <w:w w:val="170"/>
          <w:sz w:val="32"/>
        </w:rPr>
        <w:t> </w:t>
      </w:r>
      <w:r>
        <w:rPr>
          <w:rFonts w:ascii="Cambria" w:hAnsi="Cambria"/>
          <w:w w:val="135"/>
          <w:sz w:val="24"/>
        </w:rPr>
        <w:t>SÍ</w:t>
        <w:tab/>
      </w:r>
      <w:r>
        <w:rPr>
          <w:rFonts w:ascii="Wingdings" w:hAnsi="Wingdings"/>
          <w:w w:val="170"/>
          <w:sz w:val="32"/>
        </w:rPr>
        <w:t></w:t>
      </w:r>
      <w:r>
        <w:rPr>
          <w:rFonts w:ascii="Times New Roman" w:hAnsi="Times New Roman"/>
          <w:spacing w:val="-38"/>
          <w:w w:val="170"/>
          <w:sz w:val="32"/>
        </w:rPr>
        <w:t> </w:t>
      </w:r>
      <w:r>
        <w:rPr>
          <w:rFonts w:ascii="Cambria" w:hAnsi="Cambria"/>
          <w:w w:val="135"/>
          <w:sz w:val="24"/>
        </w:rPr>
        <w:t>NO</w:t>
        <w:tab/>
        <w:t>¿Cuáles?</w:t>
      </w:r>
      <w:r>
        <w:rPr>
          <w:rFonts w:ascii="Cambria" w:hAnsi="Cambria"/>
          <w:w w:val="145"/>
          <w:sz w:val="24"/>
          <w:u w:val="single"/>
        </w:rPr>
        <w:t> </w:t>
      </w:r>
      <w:r>
        <w:rPr>
          <w:rFonts w:ascii="Cambria" w:hAnsi="Cambria"/>
          <w:sz w:val="24"/>
          <w:u w:val="single"/>
        </w:rPr>
        <w:tab/>
      </w:r>
    </w:p>
    <w:p>
      <w:pPr>
        <w:pStyle w:val="BodyText"/>
        <w:spacing w:before="8"/>
        <w:rPr>
          <w:rFonts w:ascii="Cambria"/>
          <w:sz w:val="21"/>
        </w:rPr>
      </w:pPr>
      <w:r>
        <w:rPr/>
        <w:pict>
          <v:line style="position:absolute;mso-position-horizontal-relative:page;mso-position-vertical-relative:paragraph;z-index:6328;mso-wrap-distance-left:0;mso-wrap-distance-right:0" from="85.103996pt,14.985003pt" to="523.104017pt,14.985003pt" stroked="true" strokeweight=".6pt" strokecolor="#000000">
            <w10:wrap type="topAndBottom"/>
          </v:line>
        </w:pict>
      </w:r>
    </w:p>
    <w:p>
      <w:pPr>
        <w:pStyle w:val="BodyText"/>
        <w:spacing w:before="3"/>
        <w:rPr>
          <w:rFonts w:ascii="Cambria"/>
          <w:sz w:val="25"/>
        </w:rPr>
      </w:pPr>
    </w:p>
    <w:p>
      <w:pPr>
        <w:spacing w:line="276" w:lineRule="auto" w:before="65"/>
        <w:ind w:left="122" w:right="0" w:firstLine="0"/>
        <w:jc w:val="left"/>
        <w:rPr>
          <w:rFonts w:ascii="Cambria" w:hAnsi="Cambria"/>
          <w:sz w:val="24"/>
        </w:rPr>
      </w:pPr>
      <w:r>
        <w:rPr>
          <w:rFonts w:ascii="Cambria" w:hAnsi="Cambria"/>
          <w:w w:val="115"/>
          <w:sz w:val="24"/>
        </w:rPr>
        <w:t>11.- ¿Conoce usted las leyes nacionales que protegen los derechos humanos de las mujeres?</w:t>
      </w:r>
    </w:p>
    <w:p>
      <w:pPr>
        <w:tabs>
          <w:tab w:pos="1348" w:val="left" w:leader="none"/>
          <w:tab w:pos="2401" w:val="left" w:leader="none"/>
          <w:tab w:pos="8933" w:val="left" w:leader="none"/>
        </w:tabs>
        <w:spacing w:line="342" w:lineRule="exact" w:before="0"/>
        <w:ind w:left="218" w:right="0" w:firstLine="0"/>
        <w:jc w:val="left"/>
        <w:rPr>
          <w:rFonts w:ascii="Cambria" w:hAnsi="Cambria"/>
          <w:sz w:val="24"/>
        </w:rPr>
      </w:pPr>
      <w:r>
        <w:rPr>
          <w:rFonts w:ascii="Wingdings" w:hAnsi="Wingdings"/>
          <w:w w:val="170"/>
          <w:sz w:val="32"/>
        </w:rPr>
        <w:t></w:t>
      </w:r>
      <w:r>
        <w:rPr>
          <w:rFonts w:ascii="Times New Roman" w:hAnsi="Times New Roman"/>
          <w:spacing w:val="-55"/>
          <w:w w:val="170"/>
          <w:sz w:val="32"/>
        </w:rPr>
        <w:t> </w:t>
      </w:r>
      <w:r>
        <w:rPr>
          <w:rFonts w:ascii="Cambria" w:hAnsi="Cambria"/>
          <w:w w:val="135"/>
          <w:sz w:val="24"/>
        </w:rPr>
        <w:t>SÍ</w:t>
        <w:tab/>
      </w:r>
      <w:r>
        <w:rPr>
          <w:rFonts w:ascii="Wingdings" w:hAnsi="Wingdings"/>
          <w:w w:val="170"/>
          <w:sz w:val="32"/>
        </w:rPr>
        <w:t></w:t>
      </w:r>
      <w:r>
        <w:rPr>
          <w:rFonts w:ascii="Times New Roman" w:hAnsi="Times New Roman"/>
          <w:spacing w:val="-38"/>
          <w:w w:val="170"/>
          <w:sz w:val="32"/>
        </w:rPr>
        <w:t> </w:t>
      </w:r>
      <w:r>
        <w:rPr>
          <w:rFonts w:ascii="Cambria" w:hAnsi="Cambria"/>
          <w:w w:val="135"/>
          <w:sz w:val="24"/>
        </w:rPr>
        <w:t>NO</w:t>
        <w:tab/>
        <w:t>¿Cuáles?</w:t>
      </w:r>
      <w:r>
        <w:rPr>
          <w:rFonts w:ascii="Cambria" w:hAnsi="Cambria"/>
          <w:w w:val="145"/>
          <w:sz w:val="24"/>
          <w:u w:val="single"/>
        </w:rPr>
        <w:t> </w:t>
      </w:r>
      <w:r>
        <w:rPr>
          <w:rFonts w:ascii="Cambria" w:hAnsi="Cambria"/>
          <w:sz w:val="24"/>
          <w:u w:val="single"/>
        </w:rPr>
        <w:tab/>
      </w:r>
    </w:p>
    <w:p>
      <w:pPr>
        <w:pStyle w:val="BodyText"/>
        <w:spacing w:before="6"/>
        <w:rPr>
          <w:rFonts w:ascii="Cambria"/>
          <w:sz w:val="21"/>
        </w:rPr>
      </w:pPr>
      <w:r>
        <w:rPr/>
        <w:pict>
          <v:line style="position:absolute;mso-position-horizontal-relative:page;mso-position-vertical-relative:paragraph;z-index:6352;mso-wrap-distance-left:0;mso-wrap-distance-right:0" from="85.103996pt,14.864993pt" to="523.100013pt,14.864993pt" stroked="true" strokeweight=".6pt" strokecolor="#000000">
            <w10:wrap type="topAndBottom"/>
          </v:line>
        </w:pict>
      </w:r>
    </w:p>
    <w:p>
      <w:pPr>
        <w:spacing w:after="0"/>
        <w:rPr>
          <w:rFonts w:ascii="Cambria"/>
          <w:sz w:val="21"/>
        </w:rPr>
        <w:sectPr>
          <w:footerReference w:type="default" r:id="rId157"/>
          <w:pgSz w:w="12240" w:h="15840"/>
          <w:pgMar w:footer="942" w:header="0" w:top="1340" w:bottom="1140" w:left="1580" w:right="1580"/>
          <w:pgNumType w:start="120"/>
        </w:sectPr>
      </w:pPr>
    </w:p>
    <w:p>
      <w:pPr>
        <w:spacing w:line="276" w:lineRule="auto" w:before="51"/>
        <w:ind w:left="162" w:right="0" w:firstLine="0"/>
        <w:jc w:val="left"/>
        <w:rPr>
          <w:rFonts w:ascii="Cambria" w:hAnsi="Cambria"/>
          <w:sz w:val="24"/>
        </w:rPr>
      </w:pPr>
      <w:r>
        <w:rPr>
          <w:rFonts w:ascii="Cambria" w:hAnsi="Cambria"/>
          <w:w w:val="115"/>
          <w:sz w:val="24"/>
        </w:rPr>
        <w:t>12.- ¿Conoce los instrumentos internacionales que protegen los derechos humanos de las mujeres?</w:t>
      </w:r>
    </w:p>
    <w:p>
      <w:pPr>
        <w:tabs>
          <w:tab w:pos="1388" w:val="left" w:leader="none"/>
          <w:tab w:pos="2441" w:val="left" w:leader="none"/>
          <w:tab w:pos="8973" w:val="left" w:leader="none"/>
        </w:tabs>
        <w:spacing w:line="342" w:lineRule="exact" w:before="0"/>
        <w:ind w:left="258" w:right="0" w:firstLine="0"/>
        <w:jc w:val="left"/>
        <w:rPr>
          <w:rFonts w:ascii="Cambria" w:hAnsi="Cambria"/>
          <w:sz w:val="24"/>
        </w:rPr>
      </w:pPr>
      <w:r>
        <w:rPr>
          <w:rFonts w:ascii="Wingdings" w:hAnsi="Wingdings"/>
          <w:w w:val="170"/>
          <w:sz w:val="32"/>
        </w:rPr>
        <w:t></w:t>
      </w:r>
      <w:r>
        <w:rPr>
          <w:rFonts w:ascii="Times New Roman" w:hAnsi="Times New Roman"/>
          <w:spacing w:val="-55"/>
          <w:w w:val="170"/>
          <w:sz w:val="32"/>
        </w:rPr>
        <w:t> </w:t>
      </w:r>
      <w:r>
        <w:rPr>
          <w:rFonts w:ascii="Cambria" w:hAnsi="Cambria"/>
          <w:w w:val="135"/>
          <w:sz w:val="24"/>
        </w:rPr>
        <w:t>SÍ</w:t>
        <w:tab/>
      </w:r>
      <w:r>
        <w:rPr>
          <w:rFonts w:ascii="Wingdings" w:hAnsi="Wingdings"/>
          <w:w w:val="170"/>
          <w:sz w:val="32"/>
        </w:rPr>
        <w:t></w:t>
      </w:r>
      <w:r>
        <w:rPr>
          <w:rFonts w:ascii="Times New Roman" w:hAnsi="Times New Roman"/>
          <w:spacing w:val="-38"/>
          <w:w w:val="170"/>
          <w:sz w:val="32"/>
        </w:rPr>
        <w:t> </w:t>
      </w:r>
      <w:r>
        <w:rPr>
          <w:rFonts w:ascii="Cambria" w:hAnsi="Cambria"/>
          <w:w w:val="135"/>
          <w:sz w:val="24"/>
        </w:rPr>
        <w:t>NO</w:t>
        <w:tab/>
        <w:t>¿Cuáles?</w:t>
      </w:r>
      <w:r>
        <w:rPr>
          <w:rFonts w:ascii="Cambria" w:hAnsi="Cambria"/>
          <w:w w:val="145"/>
          <w:sz w:val="24"/>
          <w:u w:val="single"/>
        </w:rPr>
        <w:t> </w:t>
      </w:r>
      <w:r>
        <w:rPr>
          <w:rFonts w:ascii="Cambria" w:hAnsi="Cambria"/>
          <w:sz w:val="24"/>
          <w:u w:val="single"/>
        </w:rPr>
        <w:tab/>
      </w:r>
    </w:p>
    <w:p>
      <w:pPr>
        <w:pStyle w:val="BodyText"/>
        <w:spacing w:before="8"/>
        <w:rPr>
          <w:rFonts w:ascii="Cambria"/>
          <w:sz w:val="21"/>
        </w:rPr>
      </w:pPr>
      <w:r>
        <w:rPr/>
        <w:pict>
          <v:line style="position:absolute;mso-position-horizontal-relative:page;mso-position-vertical-relative:paragraph;z-index:6376;mso-wrap-distance-left:0;mso-wrap-distance-right:0" from="85.103996pt,14.985034pt" to="523.130009pt,14.985034pt" stroked="true" strokeweight=".6pt" strokecolor="#000000">
            <w10:wrap type="topAndBottom"/>
          </v:line>
        </w:pict>
      </w:r>
    </w:p>
    <w:p>
      <w:pPr>
        <w:pStyle w:val="BodyText"/>
        <w:spacing w:before="3"/>
        <w:rPr>
          <w:rFonts w:ascii="Cambria"/>
          <w:sz w:val="25"/>
        </w:rPr>
      </w:pPr>
    </w:p>
    <w:p>
      <w:pPr>
        <w:spacing w:line="276" w:lineRule="auto" w:before="65"/>
        <w:ind w:left="162" w:right="159" w:firstLine="0"/>
        <w:jc w:val="both"/>
        <w:rPr>
          <w:rFonts w:ascii="Cambria" w:hAnsi="Cambria"/>
          <w:sz w:val="24"/>
        </w:rPr>
      </w:pPr>
      <w:r>
        <w:rPr>
          <w:rFonts w:ascii="Cambria" w:hAnsi="Cambria"/>
          <w:w w:val="110"/>
          <w:sz w:val="24"/>
        </w:rPr>
        <w:t>13.- ¿Tiene conocimiento de los criterios emitidos por la Suprema Corte de Justicia  de la Nación, basados en la perspectiva de género y  que protegen     los  derechos  humanos  de  las</w:t>
      </w:r>
      <w:r>
        <w:rPr>
          <w:rFonts w:ascii="Cambria" w:hAnsi="Cambria"/>
          <w:spacing w:val="-6"/>
          <w:w w:val="110"/>
          <w:sz w:val="24"/>
        </w:rPr>
        <w:t> </w:t>
      </w:r>
      <w:r>
        <w:rPr>
          <w:rFonts w:ascii="Cambria" w:hAnsi="Cambria"/>
          <w:w w:val="110"/>
          <w:sz w:val="24"/>
        </w:rPr>
        <w:t>mujeres?</w:t>
      </w:r>
    </w:p>
    <w:p>
      <w:pPr>
        <w:tabs>
          <w:tab w:pos="8971" w:val="left" w:leader="none"/>
        </w:tabs>
        <w:spacing w:line="342" w:lineRule="exact" w:before="0"/>
        <w:ind w:left="258" w:right="0" w:firstLine="0"/>
        <w:jc w:val="both"/>
        <w:rPr>
          <w:rFonts w:ascii="Cambria" w:hAnsi="Cambria"/>
          <w:sz w:val="24"/>
        </w:rPr>
      </w:pPr>
      <w:r>
        <w:rPr>
          <w:rFonts w:ascii="Wingdings" w:hAnsi="Wingdings"/>
          <w:w w:val="170"/>
          <w:sz w:val="32"/>
        </w:rPr>
        <w:t></w:t>
      </w:r>
      <w:r>
        <w:rPr>
          <w:rFonts w:ascii="Times New Roman" w:hAnsi="Times New Roman"/>
          <w:w w:val="170"/>
          <w:sz w:val="32"/>
        </w:rPr>
        <w:t> </w:t>
      </w:r>
      <w:r>
        <w:rPr>
          <w:rFonts w:ascii="Cambria" w:hAnsi="Cambria"/>
          <w:w w:val="135"/>
          <w:sz w:val="24"/>
        </w:rPr>
        <w:t>SÍ   </w:t>
      </w:r>
      <w:r>
        <w:rPr>
          <w:rFonts w:ascii="Cambria" w:hAnsi="Cambria"/>
          <w:spacing w:val="71"/>
          <w:w w:val="135"/>
          <w:sz w:val="24"/>
        </w:rPr>
        <w:t> </w:t>
      </w:r>
      <w:r>
        <w:rPr>
          <w:rFonts w:ascii="Wingdings" w:hAnsi="Wingdings"/>
          <w:w w:val="170"/>
          <w:sz w:val="32"/>
        </w:rPr>
        <w:t></w:t>
      </w:r>
      <w:r>
        <w:rPr>
          <w:rFonts w:ascii="Times New Roman" w:hAnsi="Times New Roman"/>
          <w:w w:val="170"/>
          <w:sz w:val="32"/>
        </w:rPr>
        <w:t> </w:t>
      </w:r>
      <w:r>
        <w:rPr>
          <w:rFonts w:ascii="Cambria" w:hAnsi="Cambria"/>
          <w:w w:val="135"/>
          <w:sz w:val="24"/>
        </w:rPr>
        <w:t>NO</w:t>
      </w:r>
      <w:r>
        <w:rPr>
          <w:rFonts w:ascii="Cambria" w:hAnsi="Cambria"/>
          <w:spacing w:val="57"/>
          <w:w w:val="135"/>
          <w:sz w:val="24"/>
        </w:rPr>
        <w:t> </w:t>
      </w:r>
      <w:r>
        <w:rPr>
          <w:rFonts w:ascii="Cambria" w:hAnsi="Cambria"/>
          <w:w w:val="135"/>
          <w:sz w:val="24"/>
        </w:rPr>
        <w:t>¿Cuáles?</w:t>
      </w:r>
      <w:r>
        <w:rPr>
          <w:rFonts w:ascii="Cambria" w:hAnsi="Cambria"/>
          <w:w w:val="145"/>
          <w:sz w:val="24"/>
          <w:u w:val="single"/>
        </w:rPr>
        <w:t> </w:t>
      </w:r>
      <w:r>
        <w:rPr>
          <w:rFonts w:ascii="Cambria" w:hAnsi="Cambria"/>
          <w:sz w:val="24"/>
          <w:u w:val="single"/>
        </w:rPr>
        <w:tab/>
      </w:r>
    </w:p>
    <w:p>
      <w:pPr>
        <w:pStyle w:val="BodyText"/>
        <w:spacing w:before="8"/>
        <w:rPr>
          <w:rFonts w:ascii="Cambria"/>
          <w:sz w:val="21"/>
        </w:rPr>
      </w:pPr>
      <w:r>
        <w:rPr/>
        <w:pict>
          <v:line style="position:absolute;mso-position-horizontal-relative:page;mso-position-vertical-relative:paragraph;z-index:6400;mso-wrap-distance-left:0;mso-wrap-distance-right:0" from="85.103996pt,14.984973pt" to="523.104017pt,14.984973pt" stroked="true" strokeweight=".6pt" strokecolor="#000000">
            <w10:wrap type="topAndBottom"/>
          </v:line>
        </w:pict>
      </w:r>
    </w:p>
    <w:p>
      <w:pPr>
        <w:pStyle w:val="BodyText"/>
        <w:spacing w:before="3"/>
        <w:rPr>
          <w:rFonts w:ascii="Cambria"/>
          <w:sz w:val="25"/>
        </w:rPr>
      </w:pPr>
    </w:p>
    <w:p>
      <w:pPr>
        <w:spacing w:line="276" w:lineRule="auto" w:before="65"/>
        <w:ind w:left="162" w:right="0" w:firstLine="0"/>
        <w:jc w:val="left"/>
        <w:rPr>
          <w:rFonts w:ascii="Cambria" w:hAnsi="Cambria"/>
          <w:sz w:val="24"/>
        </w:rPr>
      </w:pPr>
      <w:r>
        <w:rPr>
          <w:rFonts w:ascii="Cambria" w:hAnsi="Cambria"/>
          <w:w w:val="110"/>
          <w:sz w:val="24"/>
        </w:rPr>
        <w:t>14.- ¿Sabe usted, que la Suprema Corte de Justicia de la Nación emitió un protocolo para juzgar con perspectiva de   género?</w:t>
      </w:r>
    </w:p>
    <w:p>
      <w:pPr>
        <w:tabs>
          <w:tab w:pos="1292" w:val="left" w:leader="none"/>
        </w:tabs>
        <w:spacing w:line="342" w:lineRule="exact" w:before="0"/>
        <w:ind w:left="162" w:right="0" w:firstLine="0"/>
        <w:jc w:val="left"/>
        <w:rPr>
          <w:rFonts w:ascii="Cambria" w:hAnsi="Cambria"/>
          <w:sz w:val="24"/>
        </w:rPr>
      </w:pPr>
      <w:r>
        <w:rPr>
          <w:rFonts w:ascii="Wingdings" w:hAnsi="Wingdings"/>
          <w:w w:val="180"/>
          <w:sz w:val="32"/>
        </w:rPr>
        <w:t></w:t>
      </w:r>
      <w:r>
        <w:rPr>
          <w:rFonts w:ascii="Times New Roman" w:hAnsi="Times New Roman"/>
          <w:spacing w:val="-67"/>
          <w:w w:val="180"/>
          <w:sz w:val="32"/>
        </w:rPr>
        <w:t> </w:t>
      </w:r>
      <w:r>
        <w:rPr>
          <w:rFonts w:ascii="Cambria" w:hAnsi="Cambria"/>
          <w:w w:val="135"/>
          <w:sz w:val="24"/>
        </w:rPr>
        <w:t>SÍ</w:t>
        <w:tab/>
      </w:r>
      <w:r>
        <w:rPr>
          <w:rFonts w:ascii="Wingdings" w:hAnsi="Wingdings"/>
          <w:w w:val="180"/>
          <w:sz w:val="32"/>
        </w:rPr>
        <w:t></w:t>
      </w:r>
      <w:r>
        <w:rPr>
          <w:rFonts w:ascii="Times New Roman" w:hAnsi="Times New Roman"/>
          <w:spacing w:val="-73"/>
          <w:w w:val="180"/>
          <w:sz w:val="32"/>
        </w:rPr>
        <w:t> </w:t>
      </w:r>
      <w:r>
        <w:rPr>
          <w:rFonts w:ascii="Cambria" w:hAnsi="Cambria"/>
          <w:w w:val="135"/>
          <w:sz w:val="24"/>
        </w:rPr>
        <w:t>NO</w:t>
      </w:r>
    </w:p>
    <w:p>
      <w:pPr>
        <w:pStyle w:val="Heading7"/>
        <w:tabs>
          <w:tab w:pos="9017" w:val="left" w:leader="none"/>
        </w:tabs>
        <w:spacing w:before="45"/>
        <w:ind w:left="162"/>
      </w:pPr>
      <w:r>
        <w:rPr>
          <w:w w:val="110"/>
        </w:rPr>
        <w:t>¿A qué se </w:t>
      </w:r>
      <w:r>
        <w:rPr>
          <w:spacing w:val="20"/>
          <w:w w:val="110"/>
        </w:rPr>
        <w:t> </w:t>
      </w:r>
      <w:r>
        <w:rPr>
          <w:w w:val="110"/>
        </w:rPr>
        <w:t>refiere?</w:t>
      </w:r>
      <w:r>
        <w:rPr>
          <w:w w:val="145"/>
          <w:u w:val="single"/>
        </w:rPr>
        <w:t> </w:t>
      </w:r>
      <w:r>
        <w:rPr>
          <w:u w:val="single"/>
        </w:rPr>
        <w:tab/>
      </w:r>
    </w:p>
    <w:p>
      <w:pPr>
        <w:pStyle w:val="BodyText"/>
        <w:spacing w:before="3"/>
        <w:rPr>
          <w:rFonts w:ascii="Cambria"/>
          <w:sz w:val="21"/>
        </w:rPr>
      </w:pPr>
      <w:r>
        <w:rPr/>
        <w:pict>
          <v:line style="position:absolute;mso-position-horizontal-relative:page;mso-position-vertical-relative:paragraph;z-index:6424;mso-wrap-distance-left:0;mso-wrap-distance-right:0" from="85.103996pt,14.733966pt" to="523.104017pt,14.733966pt" stroked="true" strokeweight=".6pt" strokecolor="#000000">
            <w10:wrap type="topAndBottom"/>
          </v:line>
        </w:pict>
      </w:r>
    </w:p>
    <w:p>
      <w:pPr>
        <w:pStyle w:val="BodyText"/>
        <w:spacing w:before="3"/>
        <w:rPr>
          <w:rFonts w:ascii="Cambria"/>
          <w:sz w:val="25"/>
        </w:rPr>
      </w:pPr>
    </w:p>
    <w:p>
      <w:pPr>
        <w:spacing w:line="276" w:lineRule="auto" w:before="65"/>
        <w:ind w:left="162" w:right="156" w:firstLine="0"/>
        <w:jc w:val="both"/>
        <w:rPr>
          <w:rFonts w:ascii="Cambria" w:hAnsi="Cambria"/>
          <w:sz w:val="24"/>
        </w:rPr>
      </w:pPr>
      <w:r>
        <w:rPr>
          <w:rFonts w:ascii="Cambria" w:hAnsi="Cambria"/>
          <w:w w:val="115"/>
          <w:sz w:val="24"/>
        </w:rPr>
        <w:t>15.-</w:t>
      </w:r>
      <w:r>
        <w:rPr>
          <w:rFonts w:ascii="Cambria" w:hAnsi="Cambria"/>
          <w:spacing w:val="-8"/>
          <w:w w:val="115"/>
          <w:sz w:val="24"/>
        </w:rPr>
        <w:t> </w:t>
      </w:r>
      <w:r>
        <w:rPr>
          <w:rFonts w:ascii="Cambria" w:hAnsi="Cambria"/>
          <w:w w:val="115"/>
          <w:sz w:val="24"/>
        </w:rPr>
        <w:t>¿Ha</w:t>
      </w:r>
      <w:r>
        <w:rPr>
          <w:rFonts w:ascii="Cambria" w:hAnsi="Cambria"/>
          <w:spacing w:val="-7"/>
          <w:w w:val="115"/>
          <w:sz w:val="24"/>
        </w:rPr>
        <w:t> </w:t>
      </w:r>
      <w:r>
        <w:rPr>
          <w:rFonts w:ascii="Cambria" w:hAnsi="Cambria"/>
          <w:w w:val="115"/>
          <w:sz w:val="24"/>
        </w:rPr>
        <w:t>aplicado</w:t>
      </w:r>
      <w:r>
        <w:rPr>
          <w:rFonts w:ascii="Cambria" w:hAnsi="Cambria"/>
          <w:spacing w:val="-7"/>
          <w:w w:val="115"/>
          <w:sz w:val="24"/>
        </w:rPr>
        <w:t> </w:t>
      </w:r>
      <w:r>
        <w:rPr>
          <w:rFonts w:ascii="Cambria" w:hAnsi="Cambria"/>
          <w:w w:val="115"/>
          <w:sz w:val="24"/>
        </w:rPr>
        <w:t>alguna</w:t>
      </w:r>
      <w:r>
        <w:rPr>
          <w:rFonts w:ascii="Cambria" w:hAnsi="Cambria"/>
          <w:spacing w:val="-7"/>
          <w:w w:val="115"/>
          <w:sz w:val="24"/>
        </w:rPr>
        <w:t> </w:t>
      </w:r>
      <w:r>
        <w:rPr>
          <w:rFonts w:ascii="Cambria" w:hAnsi="Cambria"/>
          <w:w w:val="115"/>
          <w:sz w:val="24"/>
        </w:rPr>
        <w:t>legislación</w:t>
      </w:r>
      <w:r>
        <w:rPr>
          <w:rFonts w:ascii="Cambria" w:hAnsi="Cambria"/>
          <w:spacing w:val="-8"/>
          <w:w w:val="115"/>
          <w:sz w:val="24"/>
        </w:rPr>
        <w:t> </w:t>
      </w:r>
      <w:r>
        <w:rPr>
          <w:rFonts w:ascii="Cambria" w:hAnsi="Cambria"/>
          <w:w w:val="115"/>
          <w:sz w:val="24"/>
        </w:rPr>
        <w:t>nacional</w:t>
      </w:r>
      <w:r>
        <w:rPr>
          <w:rFonts w:ascii="Cambria" w:hAnsi="Cambria"/>
          <w:spacing w:val="-7"/>
          <w:w w:val="115"/>
          <w:sz w:val="24"/>
        </w:rPr>
        <w:t> </w:t>
      </w:r>
      <w:r>
        <w:rPr>
          <w:rFonts w:ascii="Cambria" w:hAnsi="Cambria"/>
          <w:w w:val="115"/>
          <w:sz w:val="24"/>
        </w:rPr>
        <w:t>o</w:t>
      </w:r>
      <w:r>
        <w:rPr>
          <w:rFonts w:ascii="Cambria" w:hAnsi="Cambria"/>
          <w:spacing w:val="-8"/>
          <w:w w:val="115"/>
          <w:sz w:val="24"/>
        </w:rPr>
        <w:t> </w:t>
      </w:r>
      <w:r>
        <w:rPr>
          <w:rFonts w:ascii="Cambria" w:hAnsi="Cambria"/>
          <w:w w:val="115"/>
          <w:sz w:val="24"/>
        </w:rPr>
        <w:t>internacional</w:t>
      </w:r>
      <w:r>
        <w:rPr>
          <w:rFonts w:ascii="Cambria" w:hAnsi="Cambria"/>
          <w:spacing w:val="-9"/>
          <w:w w:val="115"/>
          <w:sz w:val="24"/>
        </w:rPr>
        <w:t> </w:t>
      </w:r>
      <w:r>
        <w:rPr>
          <w:rFonts w:ascii="Cambria" w:hAnsi="Cambria"/>
          <w:w w:val="115"/>
          <w:sz w:val="24"/>
        </w:rPr>
        <w:t>que</w:t>
      </w:r>
      <w:r>
        <w:rPr>
          <w:rFonts w:ascii="Cambria" w:hAnsi="Cambria"/>
          <w:spacing w:val="-8"/>
          <w:w w:val="115"/>
          <w:sz w:val="24"/>
        </w:rPr>
        <w:t> </w:t>
      </w:r>
      <w:r>
        <w:rPr>
          <w:rFonts w:ascii="Cambria" w:hAnsi="Cambria"/>
          <w:w w:val="115"/>
          <w:sz w:val="24"/>
        </w:rPr>
        <w:t>proteja</w:t>
      </w:r>
      <w:r>
        <w:rPr>
          <w:rFonts w:ascii="Cambria" w:hAnsi="Cambria"/>
          <w:spacing w:val="-7"/>
          <w:w w:val="115"/>
          <w:sz w:val="24"/>
        </w:rPr>
        <w:t> </w:t>
      </w:r>
      <w:r>
        <w:rPr>
          <w:rFonts w:ascii="Cambria" w:hAnsi="Cambria"/>
          <w:w w:val="115"/>
          <w:sz w:val="24"/>
        </w:rPr>
        <w:t>los derechos humanos de las mujeres, para la defensa de una mujer indiciada</w:t>
      </w:r>
      <w:r>
        <w:rPr>
          <w:rFonts w:ascii="Cambria" w:hAnsi="Cambria"/>
          <w:spacing w:val="60"/>
          <w:w w:val="115"/>
          <w:sz w:val="24"/>
        </w:rPr>
        <w:t> </w:t>
      </w:r>
      <w:r>
        <w:rPr>
          <w:rFonts w:ascii="Cambria" w:hAnsi="Cambria"/>
          <w:w w:val="115"/>
          <w:sz w:val="24"/>
        </w:rPr>
        <w:t>dentro de un proceso</w:t>
      </w:r>
      <w:r>
        <w:rPr>
          <w:rFonts w:ascii="Cambria" w:hAnsi="Cambria"/>
          <w:spacing w:val="-22"/>
          <w:w w:val="115"/>
          <w:sz w:val="24"/>
        </w:rPr>
        <w:t> </w:t>
      </w:r>
      <w:r>
        <w:rPr>
          <w:rFonts w:ascii="Cambria" w:hAnsi="Cambria"/>
          <w:w w:val="115"/>
          <w:sz w:val="24"/>
        </w:rPr>
        <w:t>penal?</w:t>
      </w:r>
    </w:p>
    <w:p>
      <w:pPr>
        <w:tabs>
          <w:tab w:pos="9015" w:val="left" w:leader="none"/>
        </w:tabs>
        <w:spacing w:line="342" w:lineRule="exact" w:before="0"/>
        <w:ind w:left="212" w:right="0" w:firstLine="0"/>
        <w:jc w:val="both"/>
        <w:rPr>
          <w:rFonts w:ascii="Cambria" w:hAnsi="Cambria"/>
          <w:sz w:val="24"/>
        </w:rPr>
      </w:pPr>
      <w:r>
        <w:rPr>
          <w:rFonts w:ascii="Wingdings" w:hAnsi="Wingdings"/>
          <w:w w:val="175"/>
          <w:sz w:val="32"/>
        </w:rPr>
        <w:t></w:t>
      </w:r>
      <w:r>
        <w:rPr>
          <w:rFonts w:ascii="Times New Roman" w:hAnsi="Times New Roman"/>
          <w:w w:val="175"/>
          <w:sz w:val="32"/>
        </w:rPr>
        <w:t> </w:t>
      </w:r>
      <w:r>
        <w:rPr>
          <w:rFonts w:ascii="Cambria" w:hAnsi="Cambria"/>
          <w:w w:val="125"/>
          <w:sz w:val="24"/>
        </w:rPr>
        <w:t>SÍ      </w:t>
      </w:r>
      <w:r>
        <w:rPr>
          <w:rFonts w:ascii="Wingdings" w:hAnsi="Wingdings"/>
          <w:w w:val="175"/>
          <w:sz w:val="32"/>
        </w:rPr>
        <w:t></w:t>
      </w:r>
      <w:r>
        <w:rPr>
          <w:rFonts w:ascii="Times New Roman" w:hAnsi="Times New Roman"/>
          <w:w w:val="175"/>
          <w:sz w:val="32"/>
        </w:rPr>
        <w:t> </w:t>
      </w:r>
      <w:r>
        <w:rPr>
          <w:rFonts w:ascii="Cambria" w:hAnsi="Cambria"/>
          <w:w w:val="125"/>
          <w:sz w:val="24"/>
        </w:rPr>
        <w:t>NO </w:t>
      </w:r>
      <w:r>
        <w:rPr>
          <w:rFonts w:ascii="Cambria" w:hAnsi="Cambria"/>
          <w:spacing w:val="1"/>
          <w:w w:val="125"/>
          <w:sz w:val="24"/>
        </w:rPr>
        <w:t> </w:t>
      </w:r>
      <w:r>
        <w:rPr>
          <w:rFonts w:ascii="Cambria" w:hAnsi="Cambria"/>
          <w:w w:val="125"/>
          <w:sz w:val="24"/>
        </w:rPr>
        <w:t>¿Por qué?</w:t>
      </w:r>
      <w:r>
        <w:rPr>
          <w:rFonts w:ascii="Cambria" w:hAnsi="Cambria"/>
          <w:w w:val="145"/>
          <w:sz w:val="24"/>
          <w:u w:val="single"/>
        </w:rPr>
        <w:t> </w:t>
      </w:r>
      <w:r>
        <w:rPr>
          <w:rFonts w:ascii="Cambria" w:hAnsi="Cambria"/>
          <w:sz w:val="24"/>
          <w:u w:val="single"/>
        </w:rPr>
        <w:tab/>
      </w:r>
    </w:p>
    <w:p>
      <w:pPr>
        <w:pStyle w:val="BodyText"/>
        <w:rPr>
          <w:rFonts w:ascii="Cambria"/>
          <w:sz w:val="20"/>
        </w:rPr>
      </w:pPr>
    </w:p>
    <w:p>
      <w:pPr>
        <w:pStyle w:val="BodyText"/>
        <w:spacing w:before="7"/>
        <w:rPr>
          <w:rFonts w:ascii="Cambria"/>
          <w:sz w:val="10"/>
        </w:rPr>
      </w:pPr>
      <w:r>
        <w:rPr/>
        <w:pict>
          <v:line style="position:absolute;mso-position-horizontal-relative:page;mso-position-vertical-relative:paragraph;z-index:6448;mso-wrap-distance-left:0;mso-wrap-distance-right:0" from="83.664001pt,8.901363pt" to="528.454001pt,8.901363pt" stroked="true" strokeweight="1.44pt" strokecolor="#000000">
            <w10:wrap type="topAndBottom"/>
          </v:line>
        </w:pict>
      </w:r>
    </w:p>
    <w:p>
      <w:pPr>
        <w:pStyle w:val="BodyText"/>
        <w:spacing w:before="2"/>
        <w:rPr>
          <w:rFonts w:ascii="Cambria"/>
          <w:sz w:val="19"/>
        </w:rPr>
      </w:pPr>
    </w:p>
    <w:p>
      <w:pPr>
        <w:spacing w:before="65"/>
        <w:ind w:left="162" w:right="0" w:firstLine="0"/>
        <w:jc w:val="left"/>
        <w:rPr>
          <w:rFonts w:ascii="Cambria" w:hAnsi="Cambria"/>
          <w:sz w:val="24"/>
        </w:rPr>
      </w:pPr>
      <w:r>
        <w:rPr>
          <w:rFonts w:ascii="Cambria" w:hAnsi="Cambria"/>
          <w:w w:val="115"/>
          <w:sz w:val="24"/>
        </w:rPr>
        <w:t>16.- ¿Le gustaría capacitarse en materia de perspectiva de género?</w:t>
      </w:r>
    </w:p>
    <w:p>
      <w:pPr>
        <w:tabs>
          <w:tab w:pos="1342" w:val="left" w:leader="none"/>
          <w:tab w:pos="2396" w:val="left" w:leader="none"/>
          <w:tab w:pos="9016" w:val="left" w:leader="none"/>
        </w:tabs>
        <w:spacing w:before="28"/>
        <w:ind w:left="212" w:right="0" w:firstLine="0"/>
        <w:jc w:val="left"/>
        <w:rPr>
          <w:rFonts w:ascii="Cambria" w:hAnsi="Cambria"/>
          <w:sz w:val="24"/>
        </w:rPr>
      </w:pPr>
      <w:r>
        <w:rPr>
          <w:rFonts w:ascii="Wingdings" w:hAnsi="Wingdings"/>
          <w:w w:val="175"/>
          <w:sz w:val="32"/>
        </w:rPr>
        <w:t></w:t>
      </w:r>
      <w:r>
        <w:rPr>
          <w:rFonts w:ascii="Times New Roman" w:hAnsi="Times New Roman"/>
          <w:spacing w:val="-56"/>
          <w:w w:val="175"/>
          <w:sz w:val="32"/>
        </w:rPr>
        <w:t> </w:t>
      </w:r>
      <w:r>
        <w:rPr>
          <w:rFonts w:ascii="Cambria" w:hAnsi="Cambria"/>
          <w:w w:val="125"/>
          <w:sz w:val="24"/>
        </w:rPr>
        <w:t>SÍ</w:t>
        <w:tab/>
      </w:r>
      <w:r>
        <w:rPr>
          <w:rFonts w:ascii="Wingdings" w:hAnsi="Wingdings"/>
          <w:w w:val="175"/>
          <w:sz w:val="32"/>
        </w:rPr>
        <w:t></w:t>
      </w:r>
      <w:r>
        <w:rPr>
          <w:rFonts w:ascii="Times New Roman" w:hAnsi="Times New Roman"/>
          <w:spacing w:val="-34"/>
          <w:w w:val="175"/>
          <w:sz w:val="32"/>
        </w:rPr>
        <w:t> </w:t>
      </w:r>
      <w:r>
        <w:rPr>
          <w:rFonts w:ascii="Cambria" w:hAnsi="Cambria"/>
          <w:w w:val="125"/>
          <w:sz w:val="24"/>
        </w:rPr>
        <w:t>NO</w:t>
        <w:tab/>
      </w:r>
      <w:r>
        <w:rPr>
          <w:rFonts w:ascii="Cambria" w:hAnsi="Cambria"/>
          <w:w w:val="115"/>
          <w:sz w:val="24"/>
        </w:rPr>
        <w:t>¿Por</w:t>
      </w:r>
      <w:r>
        <w:rPr>
          <w:rFonts w:ascii="Cambria" w:hAnsi="Cambria"/>
          <w:spacing w:val="-3"/>
          <w:w w:val="115"/>
          <w:sz w:val="24"/>
        </w:rPr>
        <w:t> </w:t>
      </w:r>
      <w:r>
        <w:rPr>
          <w:rFonts w:ascii="Cambria" w:hAnsi="Cambria"/>
          <w:w w:val="115"/>
          <w:sz w:val="24"/>
        </w:rPr>
        <w:t>qué?</w:t>
      </w:r>
      <w:r>
        <w:rPr>
          <w:rFonts w:ascii="Cambria" w:hAnsi="Cambria"/>
          <w:w w:val="145"/>
          <w:sz w:val="24"/>
          <w:u w:val="single"/>
        </w:rPr>
        <w:t> </w:t>
      </w:r>
      <w:r>
        <w:rPr>
          <w:rFonts w:ascii="Cambria" w:hAnsi="Cambria"/>
          <w:sz w:val="24"/>
          <w:u w:val="single"/>
        </w:rPr>
        <w:tab/>
      </w:r>
    </w:p>
    <w:p>
      <w:pPr>
        <w:pStyle w:val="BodyText"/>
        <w:rPr>
          <w:rFonts w:ascii="Cambria"/>
          <w:sz w:val="20"/>
        </w:rPr>
      </w:pPr>
    </w:p>
    <w:p>
      <w:pPr>
        <w:pStyle w:val="BodyText"/>
        <w:spacing w:before="5"/>
        <w:rPr>
          <w:rFonts w:ascii="Cambria"/>
          <w:sz w:val="10"/>
        </w:rPr>
      </w:pPr>
      <w:r>
        <w:rPr/>
        <w:pict>
          <v:line style="position:absolute;mso-position-horizontal-relative:page;mso-position-vertical-relative:paragraph;z-index:6472;mso-wrap-distance-left:0;mso-wrap-distance-right:0" from="83.664001pt,8.811366pt" to="528.454001pt,8.811366pt" stroked="true" strokeweight="1.44pt" strokecolor="#000000">
            <w10:wrap type="topAndBottom"/>
          </v:line>
        </w:pict>
      </w:r>
    </w:p>
    <w:p>
      <w:pPr>
        <w:spacing w:after="0"/>
        <w:rPr>
          <w:rFonts w:ascii="Cambria"/>
          <w:sz w:val="10"/>
        </w:rPr>
        <w:sectPr>
          <w:pgSz w:w="12240" w:h="15840"/>
          <w:pgMar w:header="0" w:footer="942" w:top="1360" w:bottom="1200" w:left="1540" w:right="1540"/>
        </w:sectPr>
      </w:pPr>
    </w:p>
    <w:p>
      <w:pPr>
        <w:pStyle w:val="BodyText"/>
        <w:spacing w:before="7"/>
        <w:rPr>
          <w:rFonts w:ascii="Cambria"/>
          <w:sz w:val="29"/>
        </w:rPr>
      </w:pPr>
    </w:p>
    <w:p>
      <w:pPr>
        <w:pStyle w:val="Heading8"/>
        <w:spacing w:before="73"/>
        <w:ind w:left="102" w:right="96"/>
        <w:jc w:val="left"/>
        <w:rPr>
          <w:rFonts w:ascii="Arial"/>
        </w:rPr>
      </w:pPr>
      <w:r>
        <w:rPr>
          <w:rFonts w:ascii="Arial"/>
        </w:rPr>
        <w:t>ANEXO 2: Preguntas realizadas en el grupo focal</w:t>
      </w:r>
    </w:p>
    <w:p>
      <w:pPr>
        <w:pStyle w:val="BodyText"/>
        <w:spacing w:before="2"/>
        <w:rPr>
          <w:b/>
          <w:sz w:val="2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5"/>
      </w:tblGrid>
      <w:tr>
        <w:trPr>
          <w:trHeight w:val="528" w:hRule="exact"/>
        </w:trPr>
        <w:tc>
          <w:tcPr>
            <w:tcW w:w="4414" w:type="dxa"/>
          </w:tcPr>
          <w:p>
            <w:pPr>
              <w:pStyle w:val="TableParagraph"/>
              <w:spacing w:line="274" w:lineRule="exact"/>
              <w:ind w:left="1462" w:right="1462"/>
              <w:jc w:val="center"/>
              <w:rPr>
                <w:b/>
                <w:sz w:val="24"/>
              </w:rPr>
            </w:pPr>
            <w:r>
              <w:rPr>
                <w:b/>
                <w:sz w:val="24"/>
              </w:rPr>
              <w:t>CATEGORÍA</w:t>
            </w:r>
          </w:p>
        </w:tc>
        <w:tc>
          <w:tcPr>
            <w:tcW w:w="4415" w:type="dxa"/>
          </w:tcPr>
          <w:p>
            <w:pPr>
              <w:pStyle w:val="TableParagraph"/>
              <w:spacing w:line="274" w:lineRule="exact"/>
              <w:ind w:left="1447"/>
              <w:rPr>
                <w:b/>
                <w:sz w:val="24"/>
              </w:rPr>
            </w:pPr>
            <w:r>
              <w:rPr>
                <w:b/>
                <w:sz w:val="24"/>
              </w:rPr>
              <w:t>PREGUNTAS</w:t>
            </w:r>
          </w:p>
        </w:tc>
      </w:tr>
      <w:tr>
        <w:trPr>
          <w:trHeight w:val="3725" w:hRule="exact"/>
        </w:trPr>
        <w:tc>
          <w:tcPr>
            <w:tcW w:w="4414" w:type="dxa"/>
          </w:tcPr>
          <w:p>
            <w:pPr>
              <w:pStyle w:val="TableParagraph"/>
              <w:spacing w:line="274" w:lineRule="exact"/>
              <w:ind w:right="451"/>
              <w:rPr>
                <w:sz w:val="24"/>
              </w:rPr>
            </w:pPr>
            <w:r>
              <w:rPr>
                <w:sz w:val="24"/>
              </w:rPr>
              <w:t>Datos generales</w:t>
            </w:r>
          </w:p>
        </w:tc>
        <w:tc>
          <w:tcPr>
            <w:tcW w:w="4415" w:type="dxa"/>
          </w:tcPr>
          <w:p>
            <w:pPr>
              <w:pStyle w:val="TableParagraph"/>
              <w:numPr>
                <w:ilvl w:val="0"/>
                <w:numId w:val="21"/>
              </w:numPr>
              <w:tabs>
                <w:tab w:pos="878" w:val="left" w:leader="none"/>
                <w:tab w:pos="879" w:val="left" w:leader="none"/>
              </w:tabs>
              <w:spacing w:line="290" w:lineRule="exact" w:before="0" w:after="0"/>
              <w:ind w:left="878" w:right="0" w:hanging="360"/>
              <w:jc w:val="left"/>
              <w:rPr>
                <w:sz w:val="24"/>
              </w:rPr>
            </w:pPr>
            <w:r>
              <w:rPr>
                <w:sz w:val="24"/>
              </w:rPr>
              <w:t>Nombre</w:t>
            </w:r>
          </w:p>
          <w:p>
            <w:pPr>
              <w:pStyle w:val="TableParagraph"/>
              <w:numPr>
                <w:ilvl w:val="0"/>
                <w:numId w:val="21"/>
              </w:numPr>
              <w:tabs>
                <w:tab w:pos="878" w:val="left" w:leader="none"/>
                <w:tab w:pos="879" w:val="left" w:leader="none"/>
              </w:tabs>
              <w:spacing w:line="292" w:lineRule="exact" w:before="0" w:after="0"/>
              <w:ind w:left="878" w:right="0" w:hanging="360"/>
              <w:jc w:val="left"/>
              <w:rPr>
                <w:sz w:val="24"/>
              </w:rPr>
            </w:pPr>
            <w:r>
              <w:rPr>
                <w:sz w:val="24"/>
              </w:rPr>
              <w:t>Edad</w:t>
            </w:r>
          </w:p>
          <w:p>
            <w:pPr>
              <w:pStyle w:val="TableParagraph"/>
              <w:numPr>
                <w:ilvl w:val="0"/>
                <w:numId w:val="21"/>
              </w:numPr>
              <w:tabs>
                <w:tab w:pos="878" w:val="left" w:leader="none"/>
                <w:tab w:pos="879" w:val="left" w:leader="none"/>
              </w:tabs>
              <w:spacing w:line="292" w:lineRule="exact" w:before="0" w:after="0"/>
              <w:ind w:left="878" w:right="0" w:hanging="360"/>
              <w:jc w:val="left"/>
              <w:rPr>
                <w:sz w:val="24"/>
              </w:rPr>
            </w:pPr>
            <w:r>
              <w:rPr>
                <w:sz w:val="24"/>
              </w:rPr>
              <w:t>Estado</w:t>
            </w:r>
            <w:r>
              <w:rPr>
                <w:spacing w:val="-5"/>
                <w:sz w:val="24"/>
              </w:rPr>
              <w:t> </w:t>
            </w:r>
            <w:r>
              <w:rPr>
                <w:sz w:val="24"/>
              </w:rPr>
              <w:t>Civil</w:t>
            </w:r>
          </w:p>
          <w:p>
            <w:pPr>
              <w:pStyle w:val="TableParagraph"/>
              <w:numPr>
                <w:ilvl w:val="0"/>
                <w:numId w:val="21"/>
              </w:numPr>
              <w:tabs>
                <w:tab w:pos="878" w:val="left" w:leader="none"/>
                <w:tab w:pos="879" w:val="left" w:leader="none"/>
              </w:tabs>
              <w:spacing w:line="293" w:lineRule="exact" w:before="0" w:after="0"/>
              <w:ind w:left="878" w:right="0" w:hanging="360"/>
              <w:jc w:val="left"/>
              <w:rPr>
                <w:sz w:val="24"/>
              </w:rPr>
            </w:pPr>
            <w:r>
              <w:rPr>
                <w:sz w:val="24"/>
              </w:rPr>
              <w:t>Ocupación</w:t>
            </w:r>
          </w:p>
          <w:p>
            <w:pPr>
              <w:pStyle w:val="TableParagraph"/>
              <w:numPr>
                <w:ilvl w:val="0"/>
                <w:numId w:val="21"/>
              </w:numPr>
              <w:tabs>
                <w:tab w:pos="878" w:val="left" w:leader="none"/>
                <w:tab w:pos="879" w:val="left" w:leader="none"/>
              </w:tabs>
              <w:spacing w:line="293" w:lineRule="exact" w:before="0" w:after="0"/>
              <w:ind w:left="878" w:right="0" w:hanging="360"/>
              <w:jc w:val="left"/>
              <w:rPr>
                <w:sz w:val="24"/>
              </w:rPr>
            </w:pPr>
            <w:r>
              <w:rPr>
                <w:sz w:val="24"/>
              </w:rPr>
              <w:t>Nivel de</w:t>
            </w:r>
            <w:r>
              <w:rPr>
                <w:spacing w:val="-5"/>
                <w:sz w:val="24"/>
              </w:rPr>
              <w:t> </w:t>
            </w:r>
            <w:r>
              <w:rPr>
                <w:sz w:val="24"/>
              </w:rPr>
              <w:t>escolaridad</w:t>
            </w:r>
          </w:p>
          <w:p>
            <w:pPr>
              <w:pStyle w:val="TableParagraph"/>
              <w:numPr>
                <w:ilvl w:val="0"/>
                <w:numId w:val="21"/>
              </w:numPr>
              <w:tabs>
                <w:tab w:pos="878" w:val="left" w:leader="none"/>
                <w:tab w:pos="879" w:val="left" w:leader="none"/>
              </w:tabs>
              <w:spacing w:line="274" w:lineRule="exact" w:before="21" w:after="0"/>
              <w:ind w:left="878" w:right="282" w:hanging="360"/>
              <w:jc w:val="left"/>
              <w:rPr>
                <w:sz w:val="24"/>
              </w:rPr>
            </w:pPr>
            <w:r>
              <w:rPr>
                <w:sz w:val="24"/>
              </w:rPr>
              <w:t>Delito por el cual se encuentra en el</w:t>
            </w:r>
            <w:r>
              <w:rPr>
                <w:spacing w:val="-5"/>
                <w:sz w:val="24"/>
              </w:rPr>
              <w:t> </w:t>
            </w:r>
            <w:r>
              <w:rPr>
                <w:sz w:val="24"/>
              </w:rPr>
              <w:t>reclusorio</w:t>
            </w:r>
          </w:p>
          <w:p>
            <w:pPr>
              <w:pStyle w:val="TableParagraph"/>
              <w:numPr>
                <w:ilvl w:val="0"/>
                <w:numId w:val="21"/>
              </w:numPr>
              <w:tabs>
                <w:tab w:pos="878" w:val="left" w:leader="none"/>
                <w:tab w:pos="879" w:val="left" w:leader="none"/>
              </w:tabs>
              <w:spacing w:line="290" w:lineRule="exact" w:before="0" w:after="0"/>
              <w:ind w:left="878" w:right="0" w:hanging="360"/>
              <w:jc w:val="left"/>
              <w:rPr>
                <w:sz w:val="24"/>
              </w:rPr>
            </w:pPr>
            <w:r>
              <w:rPr>
                <w:sz w:val="24"/>
              </w:rPr>
              <w:t>Estado</w:t>
            </w:r>
            <w:r>
              <w:rPr>
                <w:spacing w:val="-4"/>
                <w:sz w:val="24"/>
              </w:rPr>
              <w:t> </w:t>
            </w:r>
            <w:r>
              <w:rPr>
                <w:sz w:val="24"/>
              </w:rPr>
              <w:t>procesal</w:t>
            </w:r>
          </w:p>
          <w:p>
            <w:pPr>
              <w:pStyle w:val="TableParagraph"/>
              <w:numPr>
                <w:ilvl w:val="0"/>
                <w:numId w:val="21"/>
              </w:numPr>
              <w:tabs>
                <w:tab w:pos="878" w:val="left" w:leader="none"/>
                <w:tab w:pos="879" w:val="left" w:leader="none"/>
              </w:tabs>
              <w:spacing w:line="293" w:lineRule="exact" w:before="0" w:after="0"/>
              <w:ind w:left="878" w:right="0" w:hanging="360"/>
              <w:jc w:val="left"/>
              <w:rPr>
                <w:sz w:val="24"/>
              </w:rPr>
            </w:pPr>
            <w:r>
              <w:rPr>
                <w:sz w:val="24"/>
              </w:rPr>
              <w:t>Tiempo que lleva</w:t>
            </w:r>
            <w:r>
              <w:rPr>
                <w:spacing w:val="-9"/>
                <w:sz w:val="24"/>
              </w:rPr>
              <w:t> </w:t>
            </w:r>
            <w:r>
              <w:rPr>
                <w:sz w:val="24"/>
              </w:rPr>
              <w:t>interna</w:t>
            </w:r>
          </w:p>
          <w:p>
            <w:pPr>
              <w:pStyle w:val="TableParagraph"/>
              <w:numPr>
                <w:ilvl w:val="0"/>
                <w:numId w:val="21"/>
              </w:numPr>
              <w:tabs>
                <w:tab w:pos="878" w:val="left" w:leader="none"/>
                <w:tab w:pos="879" w:val="left" w:leader="none"/>
              </w:tabs>
              <w:spacing w:line="292" w:lineRule="exact" w:before="0" w:after="0"/>
              <w:ind w:left="878" w:right="0" w:hanging="360"/>
              <w:jc w:val="left"/>
              <w:rPr>
                <w:sz w:val="24"/>
              </w:rPr>
            </w:pPr>
            <w:r>
              <w:rPr>
                <w:sz w:val="24"/>
              </w:rPr>
              <w:t>Primo delincuente o</w:t>
            </w:r>
            <w:r>
              <w:rPr>
                <w:spacing w:val="-10"/>
                <w:sz w:val="24"/>
              </w:rPr>
              <w:t> </w:t>
            </w:r>
            <w:r>
              <w:rPr>
                <w:sz w:val="24"/>
              </w:rPr>
              <w:t>reincidente</w:t>
            </w:r>
          </w:p>
          <w:p>
            <w:pPr>
              <w:pStyle w:val="TableParagraph"/>
              <w:numPr>
                <w:ilvl w:val="0"/>
                <w:numId w:val="21"/>
              </w:numPr>
              <w:tabs>
                <w:tab w:pos="878" w:val="left" w:leader="none"/>
                <w:tab w:pos="879" w:val="left" w:leader="none"/>
              </w:tabs>
              <w:spacing w:line="292" w:lineRule="exact" w:before="0" w:after="0"/>
              <w:ind w:left="878" w:right="0" w:hanging="360"/>
              <w:jc w:val="left"/>
              <w:rPr>
                <w:sz w:val="24"/>
              </w:rPr>
            </w:pPr>
            <w:r>
              <w:rPr>
                <w:sz w:val="24"/>
              </w:rPr>
              <w:t>Breve relato de los</w:t>
            </w:r>
            <w:r>
              <w:rPr>
                <w:spacing w:val="-10"/>
                <w:sz w:val="24"/>
              </w:rPr>
              <w:t> </w:t>
            </w:r>
            <w:r>
              <w:rPr>
                <w:sz w:val="24"/>
              </w:rPr>
              <w:t>hechos</w:t>
            </w:r>
          </w:p>
        </w:tc>
      </w:tr>
      <w:tr>
        <w:trPr>
          <w:trHeight w:val="3695" w:hRule="exact"/>
        </w:trPr>
        <w:tc>
          <w:tcPr>
            <w:tcW w:w="4414" w:type="dxa"/>
          </w:tcPr>
          <w:p>
            <w:pPr>
              <w:pStyle w:val="TableParagraph"/>
              <w:spacing w:line="274" w:lineRule="exact"/>
              <w:ind w:right="451"/>
              <w:rPr>
                <w:sz w:val="24"/>
              </w:rPr>
            </w:pPr>
            <w:r>
              <w:rPr>
                <w:sz w:val="24"/>
              </w:rPr>
              <w:t>Datos procesales</w:t>
            </w:r>
          </w:p>
        </w:tc>
        <w:tc>
          <w:tcPr>
            <w:tcW w:w="4415" w:type="dxa"/>
          </w:tcPr>
          <w:p>
            <w:pPr>
              <w:pStyle w:val="TableParagraph"/>
              <w:numPr>
                <w:ilvl w:val="0"/>
                <w:numId w:val="22"/>
              </w:numPr>
              <w:tabs>
                <w:tab w:pos="823" w:val="left" w:leader="none"/>
                <w:tab w:pos="824" w:val="left" w:leader="none"/>
              </w:tabs>
              <w:spacing w:line="276" w:lineRule="exact" w:before="17" w:after="0"/>
              <w:ind w:left="823" w:right="325" w:hanging="360"/>
              <w:jc w:val="left"/>
              <w:rPr>
                <w:sz w:val="24"/>
              </w:rPr>
            </w:pPr>
            <w:r>
              <w:rPr>
                <w:sz w:val="24"/>
              </w:rPr>
              <w:t>¿Es asistida por defensor/a</w:t>
            </w:r>
            <w:r>
              <w:rPr>
                <w:spacing w:val="-8"/>
                <w:sz w:val="24"/>
              </w:rPr>
              <w:t> </w:t>
            </w:r>
            <w:r>
              <w:rPr>
                <w:sz w:val="24"/>
              </w:rPr>
              <w:t>de oficio o</w:t>
            </w:r>
            <w:r>
              <w:rPr>
                <w:spacing w:val="-4"/>
                <w:sz w:val="24"/>
              </w:rPr>
              <w:t> </w:t>
            </w:r>
            <w:r>
              <w:rPr>
                <w:sz w:val="24"/>
              </w:rPr>
              <w:t>particular?</w:t>
            </w:r>
          </w:p>
          <w:p>
            <w:pPr>
              <w:pStyle w:val="TableParagraph"/>
              <w:numPr>
                <w:ilvl w:val="0"/>
                <w:numId w:val="22"/>
              </w:numPr>
              <w:tabs>
                <w:tab w:pos="823" w:val="left" w:leader="none"/>
                <w:tab w:pos="824" w:val="left" w:leader="none"/>
              </w:tabs>
              <w:spacing w:line="237" w:lineRule="auto" w:before="0" w:after="0"/>
              <w:ind w:left="823" w:right="217" w:hanging="360"/>
              <w:jc w:val="left"/>
              <w:rPr>
                <w:sz w:val="24"/>
              </w:rPr>
            </w:pPr>
            <w:r>
              <w:rPr>
                <w:sz w:val="24"/>
              </w:rPr>
              <w:t>¿Su abogado/a le ha informado en todo momento del procedimiento sus</w:t>
            </w:r>
            <w:r>
              <w:rPr>
                <w:spacing w:val="-12"/>
                <w:sz w:val="24"/>
              </w:rPr>
              <w:t> </w:t>
            </w:r>
            <w:r>
              <w:rPr>
                <w:sz w:val="24"/>
              </w:rPr>
              <w:t>derechos?</w:t>
            </w:r>
          </w:p>
          <w:p>
            <w:pPr>
              <w:pStyle w:val="TableParagraph"/>
              <w:numPr>
                <w:ilvl w:val="0"/>
                <w:numId w:val="22"/>
              </w:numPr>
              <w:tabs>
                <w:tab w:pos="823" w:val="left" w:leader="none"/>
                <w:tab w:pos="824" w:val="left" w:leader="none"/>
              </w:tabs>
              <w:spacing w:line="240" w:lineRule="auto" w:before="1" w:after="0"/>
              <w:ind w:left="823" w:right="284" w:hanging="360"/>
              <w:jc w:val="left"/>
              <w:rPr>
                <w:sz w:val="24"/>
              </w:rPr>
            </w:pPr>
            <w:r>
              <w:rPr>
                <w:sz w:val="24"/>
              </w:rPr>
              <w:t>¿Cómo califica el trabajo de su abogado/a?</w:t>
            </w:r>
          </w:p>
          <w:p>
            <w:pPr>
              <w:pStyle w:val="TableParagraph"/>
              <w:numPr>
                <w:ilvl w:val="0"/>
                <w:numId w:val="22"/>
              </w:numPr>
              <w:tabs>
                <w:tab w:pos="823" w:val="left" w:leader="none"/>
                <w:tab w:pos="824" w:val="left" w:leader="none"/>
              </w:tabs>
              <w:spacing w:line="240" w:lineRule="auto" w:before="0" w:after="0"/>
              <w:ind w:left="823" w:right="860" w:hanging="360"/>
              <w:jc w:val="left"/>
              <w:rPr>
                <w:sz w:val="24"/>
              </w:rPr>
            </w:pPr>
            <w:r>
              <w:rPr>
                <w:sz w:val="24"/>
              </w:rPr>
              <w:t>¿Conoce el estatus de</w:t>
            </w:r>
            <w:r>
              <w:rPr>
                <w:spacing w:val="-9"/>
                <w:sz w:val="24"/>
              </w:rPr>
              <w:t> </w:t>
            </w:r>
            <w:r>
              <w:rPr>
                <w:sz w:val="24"/>
              </w:rPr>
              <w:t>su procedimiento?</w:t>
            </w:r>
          </w:p>
          <w:p>
            <w:pPr>
              <w:pStyle w:val="TableParagraph"/>
              <w:numPr>
                <w:ilvl w:val="0"/>
                <w:numId w:val="22"/>
              </w:numPr>
              <w:tabs>
                <w:tab w:pos="823" w:val="left" w:leader="none"/>
                <w:tab w:pos="824" w:val="left" w:leader="none"/>
              </w:tabs>
              <w:spacing w:line="274" w:lineRule="exact" w:before="22" w:after="0"/>
              <w:ind w:left="823" w:right="246" w:hanging="360"/>
              <w:jc w:val="left"/>
              <w:rPr>
                <w:sz w:val="24"/>
              </w:rPr>
            </w:pPr>
            <w:r>
              <w:rPr>
                <w:sz w:val="24"/>
              </w:rPr>
              <w:t>¿Conoce el argumento del</w:t>
            </w:r>
            <w:r>
              <w:rPr>
                <w:spacing w:val="-13"/>
                <w:sz w:val="24"/>
              </w:rPr>
              <w:t> </w:t>
            </w:r>
            <w:r>
              <w:rPr>
                <w:sz w:val="24"/>
              </w:rPr>
              <w:t>juez por el cuál la</w:t>
            </w:r>
            <w:r>
              <w:rPr>
                <w:spacing w:val="-10"/>
                <w:sz w:val="24"/>
              </w:rPr>
              <w:t> </w:t>
            </w:r>
            <w:r>
              <w:rPr>
                <w:sz w:val="24"/>
              </w:rPr>
              <w:t>sentencio?</w:t>
            </w:r>
          </w:p>
          <w:p>
            <w:pPr>
              <w:pStyle w:val="TableParagraph"/>
              <w:numPr>
                <w:ilvl w:val="0"/>
                <w:numId w:val="22"/>
              </w:numPr>
              <w:tabs>
                <w:tab w:pos="823" w:val="left" w:leader="none"/>
                <w:tab w:pos="824" w:val="left" w:leader="none"/>
              </w:tabs>
              <w:spacing w:line="276" w:lineRule="exact" w:before="18" w:after="0"/>
              <w:ind w:left="823" w:right="350" w:hanging="360"/>
              <w:jc w:val="left"/>
              <w:rPr>
                <w:sz w:val="24"/>
              </w:rPr>
            </w:pPr>
            <w:r>
              <w:rPr>
                <w:sz w:val="24"/>
              </w:rPr>
              <w:t>¿Su defensor/a ha interpuesto algún</w:t>
            </w:r>
            <w:r>
              <w:rPr>
                <w:spacing w:val="-3"/>
                <w:sz w:val="24"/>
              </w:rPr>
              <w:t> </w:t>
            </w:r>
            <w:r>
              <w:rPr>
                <w:sz w:val="24"/>
              </w:rPr>
              <w:t>recurso?</w:t>
            </w:r>
          </w:p>
        </w:tc>
      </w:tr>
      <w:tr>
        <w:trPr>
          <w:trHeight w:val="1975" w:hRule="exact"/>
        </w:trPr>
        <w:tc>
          <w:tcPr>
            <w:tcW w:w="4414" w:type="dxa"/>
          </w:tcPr>
          <w:p>
            <w:pPr>
              <w:pStyle w:val="TableParagraph"/>
              <w:spacing w:line="278" w:lineRule="auto"/>
              <w:ind w:right="451"/>
              <w:rPr>
                <w:sz w:val="24"/>
              </w:rPr>
            </w:pPr>
            <w:r>
              <w:rPr>
                <w:sz w:val="24"/>
              </w:rPr>
              <w:t>Antecedente de violencia de género durante el procedimiento</w:t>
            </w:r>
          </w:p>
        </w:tc>
        <w:tc>
          <w:tcPr>
            <w:tcW w:w="4415" w:type="dxa"/>
          </w:tcPr>
          <w:p>
            <w:pPr>
              <w:pStyle w:val="TableParagraph"/>
              <w:numPr>
                <w:ilvl w:val="0"/>
                <w:numId w:val="23"/>
              </w:numPr>
              <w:tabs>
                <w:tab w:pos="823" w:val="left" w:leader="none"/>
                <w:tab w:pos="824" w:val="left" w:leader="none"/>
              </w:tabs>
              <w:spacing w:line="276" w:lineRule="exact" w:before="16" w:after="0"/>
              <w:ind w:left="823" w:right="232" w:hanging="360"/>
              <w:jc w:val="left"/>
              <w:rPr>
                <w:sz w:val="24"/>
              </w:rPr>
            </w:pPr>
            <w:r>
              <w:rPr>
                <w:sz w:val="24"/>
              </w:rPr>
              <w:t>¿Cómo ha sido el trato que ha recibido por parte del</w:t>
            </w:r>
            <w:r>
              <w:rPr>
                <w:spacing w:val="-8"/>
                <w:sz w:val="24"/>
              </w:rPr>
              <w:t> </w:t>
            </w:r>
            <w:r>
              <w:rPr>
                <w:sz w:val="24"/>
              </w:rPr>
              <w:t>ministerio público, el/la juez/a, y el personal del</w:t>
            </w:r>
            <w:r>
              <w:rPr>
                <w:spacing w:val="-10"/>
                <w:sz w:val="24"/>
              </w:rPr>
              <w:t> </w:t>
            </w:r>
            <w:r>
              <w:rPr>
                <w:sz w:val="24"/>
              </w:rPr>
              <w:t>reclusorio?</w:t>
            </w:r>
          </w:p>
          <w:p>
            <w:pPr>
              <w:pStyle w:val="TableParagraph"/>
              <w:numPr>
                <w:ilvl w:val="0"/>
                <w:numId w:val="23"/>
              </w:numPr>
              <w:tabs>
                <w:tab w:pos="823" w:val="left" w:leader="none"/>
                <w:tab w:pos="824" w:val="left" w:leader="none"/>
              </w:tabs>
              <w:spacing w:line="276" w:lineRule="exact" w:before="16" w:after="0"/>
              <w:ind w:left="823" w:right="109" w:hanging="360"/>
              <w:jc w:val="left"/>
              <w:rPr>
                <w:sz w:val="24"/>
              </w:rPr>
            </w:pPr>
            <w:r>
              <w:rPr>
                <w:sz w:val="24"/>
              </w:rPr>
              <w:t>¿El trato que reciben ustedes en el reclusorio, es el mismo que reciben los</w:t>
            </w:r>
            <w:r>
              <w:rPr>
                <w:spacing w:val="-7"/>
                <w:sz w:val="24"/>
              </w:rPr>
              <w:t> </w:t>
            </w:r>
            <w:r>
              <w:rPr>
                <w:sz w:val="24"/>
              </w:rPr>
              <w:t>hombres?</w:t>
            </w:r>
          </w:p>
        </w:tc>
      </w:tr>
    </w:tbl>
    <w:p>
      <w:pPr>
        <w:spacing w:after="0" w:line="276" w:lineRule="exact"/>
        <w:jc w:val="left"/>
        <w:rPr>
          <w:sz w:val="24"/>
        </w:rPr>
        <w:sectPr>
          <w:pgSz w:w="12240" w:h="15840"/>
          <w:pgMar w:header="0" w:footer="942" w:top="1500" w:bottom="1200" w:left="1600" w:right="1580"/>
        </w:sectPr>
      </w:pPr>
    </w:p>
    <w:p>
      <w:pPr>
        <w:spacing w:line="278" w:lineRule="auto" w:before="51"/>
        <w:ind w:left="102" w:right="96" w:firstLine="0"/>
        <w:jc w:val="left"/>
        <w:rPr>
          <w:b/>
          <w:sz w:val="22"/>
        </w:rPr>
      </w:pPr>
      <w:r>
        <w:rPr>
          <w:b/>
          <w:sz w:val="22"/>
        </w:rPr>
        <w:t>Anexo</w:t>
      </w:r>
      <w:r>
        <w:rPr>
          <w:b/>
          <w:spacing w:val="-10"/>
          <w:sz w:val="22"/>
        </w:rPr>
        <w:t> </w:t>
      </w:r>
      <w:r>
        <w:rPr>
          <w:b/>
          <w:sz w:val="22"/>
        </w:rPr>
        <w:t>3:</w:t>
      </w:r>
      <w:r>
        <w:rPr>
          <w:b/>
          <w:spacing w:val="-9"/>
          <w:sz w:val="22"/>
        </w:rPr>
        <w:t> </w:t>
      </w:r>
      <w:r>
        <w:rPr>
          <w:b/>
          <w:sz w:val="22"/>
        </w:rPr>
        <w:t>Resultado</w:t>
      </w:r>
      <w:r>
        <w:rPr>
          <w:b/>
          <w:spacing w:val="-13"/>
          <w:sz w:val="22"/>
        </w:rPr>
        <w:t> </w:t>
      </w:r>
      <w:r>
        <w:rPr>
          <w:b/>
          <w:sz w:val="22"/>
        </w:rPr>
        <w:t>del</w:t>
      </w:r>
      <w:r>
        <w:rPr>
          <w:b/>
          <w:spacing w:val="-14"/>
          <w:sz w:val="22"/>
        </w:rPr>
        <w:t> </w:t>
      </w:r>
      <w:r>
        <w:rPr>
          <w:b/>
          <w:sz w:val="22"/>
        </w:rPr>
        <w:t>grupo</w:t>
      </w:r>
      <w:r>
        <w:rPr>
          <w:b/>
          <w:spacing w:val="-10"/>
          <w:sz w:val="22"/>
        </w:rPr>
        <w:t> </w:t>
      </w:r>
      <w:r>
        <w:rPr>
          <w:b/>
          <w:sz w:val="22"/>
        </w:rPr>
        <w:t>focal</w:t>
      </w:r>
      <w:r>
        <w:rPr>
          <w:b/>
          <w:spacing w:val="-9"/>
          <w:sz w:val="22"/>
        </w:rPr>
        <w:t> </w:t>
      </w:r>
      <w:r>
        <w:rPr>
          <w:b/>
          <w:sz w:val="22"/>
        </w:rPr>
        <w:t>con</w:t>
      </w:r>
      <w:r>
        <w:rPr>
          <w:b/>
          <w:spacing w:val="-13"/>
          <w:sz w:val="22"/>
        </w:rPr>
        <w:t> </w:t>
      </w:r>
      <w:r>
        <w:rPr>
          <w:b/>
          <w:sz w:val="22"/>
        </w:rPr>
        <w:t>las</w:t>
      </w:r>
      <w:r>
        <w:rPr>
          <w:b/>
          <w:spacing w:val="-11"/>
          <w:sz w:val="22"/>
        </w:rPr>
        <w:t> </w:t>
      </w:r>
      <w:r>
        <w:rPr>
          <w:b/>
          <w:sz w:val="22"/>
        </w:rPr>
        <w:t>mujeres</w:t>
      </w:r>
      <w:r>
        <w:rPr>
          <w:b/>
          <w:spacing w:val="-10"/>
          <w:sz w:val="22"/>
        </w:rPr>
        <w:t> </w:t>
      </w:r>
      <w:r>
        <w:rPr>
          <w:b/>
          <w:sz w:val="22"/>
        </w:rPr>
        <w:t>recluídas</w:t>
      </w:r>
      <w:r>
        <w:rPr>
          <w:b/>
          <w:spacing w:val="-13"/>
          <w:sz w:val="22"/>
        </w:rPr>
        <w:t> </w:t>
      </w:r>
      <w:r>
        <w:rPr>
          <w:b/>
          <w:sz w:val="22"/>
        </w:rPr>
        <w:t>en</w:t>
      </w:r>
      <w:r>
        <w:rPr>
          <w:b/>
          <w:spacing w:val="-11"/>
          <w:sz w:val="22"/>
        </w:rPr>
        <w:t> </w:t>
      </w:r>
      <w:r>
        <w:rPr>
          <w:b/>
          <w:sz w:val="22"/>
        </w:rPr>
        <w:t>el</w:t>
      </w:r>
      <w:r>
        <w:rPr>
          <w:b/>
          <w:spacing w:val="-9"/>
          <w:sz w:val="22"/>
        </w:rPr>
        <w:t> </w:t>
      </w:r>
      <w:r>
        <w:rPr>
          <w:b/>
          <w:sz w:val="22"/>
        </w:rPr>
        <w:t>Centro</w:t>
      </w:r>
      <w:r>
        <w:rPr>
          <w:b/>
          <w:spacing w:val="-10"/>
          <w:sz w:val="22"/>
        </w:rPr>
        <w:t> </w:t>
      </w:r>
      <w:r>
        <w:rPr>
          <w:b/>
          <w:sz w:val="22"/>
        </w:rPr>
        <w:t>Preventivo y de Readaptación Social de el Oro Estado de</w:t>
      </w:r>
      <w:r>
        <w:rPr>
          <w:b/>
          <w:spacing w:val="-3"/>
          <w:sz w:val="22"/>
        </w:rPr>
        <w:t> </w:t>
      </w:r>
      <w:r>
        <w:rPr>
          <w:b/>
          <w:sz w:val="22"/>
        </w:rPr>
        <w:t>México</w:t>
      </w:r>
    </w:p>
    <w:p>
      <w:pPr>
        <w:pStyle w:val="BodyText"/>
        <w:spacing w:before="4"/>
        <w:rPr>
          <w:b/>
          <w:sz w:val="17"/>
        </w:rPr>
      </w:pPr>
    </w:p>
    <w:p>
      <w:pPr>
        <w:pStyle w:val="BodyText"/>
        <w:ind w:left="102" w:right="96"/>
      </w:pPr>
      <w:r>
        <w:rPr/>
        <w:t>CASO 1:</w:t>
      </w:r>
    </w:p>
    <w:p>
      <w:pPr>
        <w:pStyle w:val="BodyText"/>
        <w:spacing w:before="8"/>
        <w:rPr>
          <w:sz w:val="28"/>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5"/>
      </w:tblGrid>
      <w:tr>
        <w:trPr>
          <w:trHeight w:val="1796" w:hRule="exact"/>
        </w:trPr>
        <w:tc>
          <w:tcPr>
            <w:tcW w:w="4414" w:type="dxa"/>
            <w:vMerge w:val="restart"/>
          </w:tcPr>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1"/>
              </w:rPr>
            </w:pPr>
          </w:p>
          <w:p>
            <w:pPr>
              <w:pStyle w:val="TableParagraph"/>
              <w:spacing w:before="1"/>
              <w:ind w:right="451"/>
              <w:rPr>
                <w:sz w:val="20"/>
              </w:rPr>
            </w:pPr>
            <w:r>
              <w:rPr>
                <w:sz w:val="20"/>
              </w:rPr>
              <w:t>DATOS GENERALES</w:t>
            </w:r>
          </w:p>
        </w:tc>
        <w:tc>
          <w:tcPr>
            <w:tcW w:w="4415" w:type="dxa"/>
          </w:tcPr>
          <w:p>
            <w:pPr>
              <w:pStyle w:val="TableParagraph"/>
              <w:spacing w:line="276" w:lineRule="auto"/>
              <w:ind w:right="101"/>
              <w:jc w:val="both"/>
              <w:rPr>
                <w:sz w:val="20"/>
              </w:rPr>
            </w:pPr>
            <w:r>
              <w:rPr>
                <w:sz w:val="20"/>
              </w:rPr>
              <w:t>Brenda,</w:t>
            </w:r>
            <w:r>
              <w:rPr>
                <w:spacing w:val="-15"/>
                <w:sz w:val="20"/>
              </w:rPr>
              <w:t> </w:t>
            </w:r>
            <w:r>
              <w:rPr>
                <w:sz w:val="20"/>
              </w:rPr>
              <w:t>36</w:t>
            </w:r>
            <w:r>
              <w:rPr>
                <w:spacing w:val="-16"/>
                <w:sz w:val="20"/>
              </w:rPr>
              <w:t> </w:t>
            </w:r>
            <w:r>
              <w:rPr>
                <w:sz w:val="20"/>
              </w:rPr>
              <w:t>años,</w:t>
            </w:r>
            <w:r>
              <w:rPr>
                <w:spacing w:val="-17"/>
                <w:sz w:val="20"/>
              </w:rPr>
              <w:t> </w:t>
            </w:r>
            <w:r>
              <w:rPr>
                <w:sz w:val="20"/>
              </w:rPr>
              <w:t>madre</w:t>
            </w:r>
            <w:r>
              <w:rPr>
                <w:spacing w:val="-18"/>
                <w:sz w:val="20"/>
              </w:rPr>
              <w:t> </w:t>
            </w:r>
            <w:r>
              <w:rPr>
                <w:sz w:val="20"/>
              </w:rPr>
              <w:t>soltera,</w:t>
            </w:r>
            <w:r>
              <w:rPr>
                <w:spacing w:val="-14"/>
                <w:sz w:val="20"/>
              </w:rPr>
              <w:t> </w:t>
            </w:r>
            <w:r>
              <w:rPr>
                <w:sz w:val="20"/>
              </w:rPr>
              <w:t>cinco</w:t>
            </w:r>
            <w:r>
              <w:rPr>
                <w:spacing w:val="-15"/>
                <w:sz w:val="20"/>
              </w:rPr>
              <w:t> </w:t>
            </w:r>
            <w:r>
              <w:rPr>
                <w:sz w:val="20"/>
              </w:rPr>
              <w:t>hijos,</w:t>
            </w:r>
            <w:r>
              <w:rPr>
                <w:spacing w:val="-15"/>
                <w:sz w:val="20"/>
              </w:rPr>
              <w:t> </w:t>
            </w:r>
            <w:r>
              <w:rPr>
                <w:sz w:val="20"/>
              </w:rPr>
              <w:t>uno de ellos aún bebé, ocupación ama de casa, grado de estudios secundaria inconclusa. Se le acusa por ser cómplice de robo, tiene un mes recluída. Se encuentra en prisión preventiva (Procesada).</w:t>
            </w:r>
            <w:r>
              <w:rPr>
                <w:spacing w:val="-12"/>
                <w:sz w:val="20"/>
              </w:rPr>
              <w:t> </w:t>
            </w:r>
            <w:r>
              <w:rPr>
                <w:sz w:val="20"/>
              </w:rPr>
              <w:t>Primodelincuente.</w:t>
            </w:r>
          </w:p>
        </w:tc>
      </w:tr>
      <w:tr>
        <w:trPr>
          <w:trHeight w:val="3120" w:hRule="exact"/>
        </w:trPr>
        <w:tc>
          <w:tcPr>
            <w:tcW w:w="4414" w:type="dxa"/>
            <w:vMerge/>
          </w:tcPr>
          <w:p>
            <w:pPr/>
          </w:p>
        </w:tc>
        <w:tc>
          <w:tcPr>
            <w:tcW w:w="4415" w:type="dxa"/>
          </w:tcPr>
          <w:p>
            <w:pPr>
              <w:pStyle w:val="TableParagraph"/>
              <w:spacing w:line="276" w:lineRule="auto"/>
              <w:ind w:right="102"/>
              <w:jc w:val="both"/>
              <w:rPr>
                <w:sz w:val="20"/>
              </w:rPr>
            </w:pPr>
            <w:r>
              <w:rPr>
                <w:sz w:val="20"/>
              </w:rPr>
              <w:t>Breve relato de los hechos: Conoció a un muchacho con el que mantuvo una relación. Él era trailero, un día llevó una camioneta a su casa y la guardó atrás de la casa y la tapó, ella le</w:t>
            </w:r>
            <w:r>
              <w:rPr>
                <w:spacing w:val="-10"/>
                <w:sz w:val="20"/>
              </w:rPr>
              <w:t> </w:t>
            </w:r>
            <w:r>
              <w:rPr>
                <w:sz w:val="20"/>
              </w:rPr>
              <w:t>preguntó</w:t>
            </w:r>
            <w:r>
              <w:rPr>
                <w:spacing w:val="-11"/>
                <w:sz w:val="20"/>
              </w:rPr>
              <w:t> </w:t>
            </w:r>
            <w:r>
              <w:rPr>
                <w:sz w:val="20"/>
              </w:rPr>
              <w:t>por</w:t>
            </w:r>
            <w:r>
              <w:rPr>
                <w:spacing w:val="-11"/>
                <w:sz w:val="20"/>
              </w:rPr>
              <w:t> </w:t>
            </w:r>
            <w:r>
              <w:rPr>
                <w:sz w:val="20"/>
              </w:rPr>
              <w:t>qué</w:t>
            </w:r>
            <w:r>
              <w:rPr>
                <w:spacing w:val="-10"/>
                <w:sz w:val="20"/>
              </w:rPr>
              <w:t> </w:t>
            </w:r>
            <w:r>
              <w:rPr>
                <w:sz w:val="20"/>
              </w:rPr>
              <w:t>la</w:t>
            </w:r>
            <w:r>
              <w:rPr>
                <w:spacing w:val="-13"/>
                <w:sz w:val="20"/>
              </w:rPr>
              <w:t> </w:t>
            </w:r>
            <w:r>
              <w:rPr>
                <w:sz w:val="20"/>
              </w:rPr>
              <w:t>tapaba</w:t>
            </w:r>
            <w:r>
              <w:rPr>
                <w:spacing w:val="-8"/>
                <w:sz w:val="20"/>
              </w:rPr>
              <w:t> </w:t>
            </w:r>
            <w:r>
              <w:rPr>
                <w:sz w:val="20"/>
              </w:rPr>
              <w:t>y</w:t>
            </w:r>
            <w:r>
              <w:rPr>
                <w:spacing w:val="-13"/>
                <w:sz w:val="20"/>
              </w:rPr>
              <w:t> </w:t>
            </w:r>
            <w:r>
              <w:rPr>
                <w:sz w:val="20"/>
              </w:rPr>
              <w:t>él</w:t>
            </w:r>
            <w:r>
              <w:rPr>
                <w:spacing w:val="-9"/>
                <w:sz w:val="20"/>
              </w:rPr>
              <w:t> </w:t>
            </w:r>
            <w:r>
              <w:rPr>
                <w:sz w:val="20"/>
              </w:rPr>
              <w:t>le</w:t>
            </w:r>
            <w:r>
              <w:rPr>
                <w:spacing w:val="-10"/>
                <w:sz w:val="20"/>
              </w:rPr>
              <w:t> </w:t>
            </w:r>
            <w:r>
              <w:rPr>
                <w:sz w:val="20"/>
              </w:rPr>
              <w:t>dijo</w:t>
            </w:r>
            <w:r>
              <w:rPr>
                <w:spacing w:val="-11"/>
                <w:sz w:val="20"/>
              </w:rPr>
              <w:t> </w:t>
            </w:r>
            <w:r>
              <w:rPr>
                <w:sz w:val="20"/>
              </w:rPr>
              <w:t>que</w:t>
            </w:r>
            <w:r>
              <w:rPr>
                <w:spacing w:val="-10"/>
                <w:sz w:val="20"/>
              </w:rPr>
              <w:t> </w:t>
            </w:r>
            <w:r>
              <w:rPr>
                <w:sz w:val="20"/>
              </w:rPr>
              <w:t>era robada, ella le dijo que no podía tener dicha camioneta en su casa y que la llevara a otro lado, él le dijo que no dijera nada y que ni llamara a la policía porque si lo hacía se iba a desquitar con sus hijos, y metió piezas de la camioneta en su</w:t>
            </w:r>
            <w:r>
              <w:rPr>
                <w:spacing w:val="-9"/>
                <w:sz w:val="20"/>
              </w:rPr>
              <w:t> </w:t>
            </w:r>
            <w:r>
              <w:rPr>
                <w:sz w:val="20"/>
              </w:rPr>
              <w:t>casa.</w:t>
            </w:r>
          </w:p>
        </w:tc>
      </w:tr>
      <w:tr>
        <w:trPr>
          <w:trHeight w:val="1500" w:hRule="exact"/>
        </w:trPr>
        <w:tc>
          <w:tcPr>
            <w:tcW w:w="4414" w:type="dxa"/>
            <w:vMerge/>
          </w:tcPr>
          <w:p>
            <w:pPr/>
          </w:p>
        </w:tc>
        <w:tc>
          <w:tcPr>
            <w:tcW w:w="4415" w:type="dxa"/>
          </w:tcPr>
          <w:p>
            <w:pPr>
              <w:pStyle w:val="TableParagraph"/>
              <w:spacing w:line="276" w:lineRule="auto"/>
              <w:ind w:right="102"/>
              <w:jc w:val="both"/>
              <w:rPr>
                <w:sz w:val="20"/>
              </w:rPr>
            </w:pPr>
            <w:r>
              <w:rPr>
                <w:sz w:val="20"/>
              </w:rPr>
              <w:t>Antecedente de violencia de género: El “caballo2, como le dice a su pareja, en</w:t>
            </w:r>
            <w:r>
              <w:rPr>
                <w:spacing w:val="-37"/>
                <w:sz w:val="20"/>
              </w:rPr>
              <w:t> </w:t>
            </w:r>
            <w:r>
              <w:rPr>
                <w:sz w:val="20"/>
              </w:rPr>
              <w:t>diversas ocasiones la golpeó y la forzaba a tener relaciones</w:t>
            </w:r>
            <w:r>
              <w:rPr>
                <w:spacing w:val="-10"/>
                <w:sz w:val="20"/>
              </w:rPr>
              <w:t> </w:t>
            </w:r>
            <w:r>
              <w:rPr>
                <w:sz w:val="20"/>
              </w:rPr>
              <w:t>sexuales.</w:t>
            </w:r>
          </w:p>
        </w:tc>
      </w:tr>
      <w:tr>
        <w:trPr>
          <w:trHeight w:val="3121" w:hRule="exact"/>
        </w:trPr>
        <w:tc>
          <w:tcPr>
            <w:tcW w:w="4414" w:type="dxa"/>
          </w:tcPr>
          <w:p>
            <w:pPr>
              <w:pStyle w:val="TableParagraph"/>
              <w:ind w:left="0"/>
              <w:rPr>
                <w:sz w:val="20"/>
              </w:rPr>
            </w:pPr>
          </w:p>
          <w:p>
            <w:pPr>
              <w:pStyle w:val="TableParagraph"/>
              <w:ind w:left="0"/>
              <w:rPr>
                <w:sz w:val="20"/>
              </w:rPr>
            </w:pPr>
          </w:p>
          <w:p>
            <w:pPr>
              <w:pStyle w:val="TableParagraph"/>
              <w:ind w:left="0"/>
              <w:rPr>
                <w:sz w:val="20"/>
              </w:rPr>
            </w:pPr>
          </w:p>
          <w:p>
            <w:pPr>
              <w:pStyle w:val="TableParagraph"/>
              <w:spacing w:before="11"/>
              <w:ind w:left="0"/>
              <w:rPr>
                <w:sz w:val="20"/>
              </w:rPr>
            </w:pPr>
          </w:p>
          <w:p>
            <w:pPr>
              <w:pStyle w:val="TableParagraph"/>
              <w:ind w:right="451"/>
              <w:rPr>
                <w:sz w:val="20"/>
              </w:rPr>
            </w:pPr>
            <w:r>
              <w:rPr>
                <w:sz w:val="20"/>
              </w:rPr>
              <w:t>PROCEDIMIENTO</w:t>
            </w:r>
          </w:p>
        </w:tc>
        <w:tc>
          <w:tcPr>
            <w:tcW w:w="4415" w:type="dxa"/>
          </w:tcPr>
          <w:p>
            <w:pPr>
              <w:pStyle w:val="TableParagraph"/>
              <w:spacing w:line="276" w:lineRule="auto" w:before="2"/>
              <w:ind w:right="101"/>
              <w:jc w:val="both"/>
              <w:rPr>
                <w:sz w:val="20"/>
              </w:rPr>
            </w:pPr>
            <w:r>
              <w:rPr>
                <w:sz w:val="20"/>
              </w:rPr>
              <w:t>La interna señala que quien lleva su procedimiento es un abogado y una abogada privada. Considera que su procedimiento ha tenido anomalías ya que los policías la detuvieron a la fuerza, sin permitirle que les explicaran, asimismo el Ministerio Público, no permitió que pudiera explicar los hechos. Considera que el trabajo de su abogado y abogada defensora, no ha sido muy bueno ya que</w:t>
            </w:r>
            <w:r>
              <w:rPr>
                <w:spacing w:val="-2"/>
                <w:sz w:val="20"/>
              </w:rPr>
              <w:t> </w:t>
            </w:r>
            <w:r>
              <w:rPr>
                <w:sz w:val="20"/>
              </w:rPr>
              <w:t>a</w:t>
            </w:r>
            <w:r>
              <w:rPr>
                <w:spacing w:val="-5"/>
                <w:sz w:val="20"/>
              </w:rPr>
              <w:t> </w:t>
            </w:r>
            <w:r>
              <w:rPr>
                <w:sz w:val="20"/>
              </w:rPr>
              <w:t>la</w:t>
            </w:r>
            <w:r>
              <w:rPr>
                <w:spacing w:val="-5"/>
                <w:sz w:val="20"/>
              </w:rPr>
              <w:t> </w:t>
            </w:r>
            <w:r>
              <w:rPr>
                <w:sz w:val="20"/>
              </w:rPr>
              <w:t>fecha</w:t>
            </w:r>
            <w:r>
              <w:rPr>
                <w:spacing w:val="-5"/>
                <w:sz w:val="20"/>
              </w:rPr>
              <w:t> </w:t>
            </w:r>
            <w:r>
              <w:rPr>
                <w:sz w:val="20"/>
              </w:rPr>
              <w:t>no</w:t>
            </w:r>
            <w:r>
              <w:rPr>
                <w:spacing w:val="-5"/>
                <w:sz w:val="20"/>
              </w:rPr>
              <w:t> </w:t>
            </w:r>
            <w:r>
              <w:rPr>
                <w:sz w:val="20"/>
              </w:rPr>
              <w:t>ha</w:t>
            </w:r>
            <w:r>
              <w:rPr>
                <w:spacing w:val="-5"/>
                <w:sz w:val="20"/>
              </w:rPr>
              <w:t> </w:t>
            </w:r>
            <w:r>
              <w:rPr>
                <w:sz w:val="20"/>
              </w:rPr>
              <w:t>podido</w:t>
            </w:r>
            <w:r>
              <w:rPr>
                <w:spacing w:val="-3"/>
                <w:sz w:val="20"/>
              </w:rPr>
              <w:t> </w:t>
            </w:r>
            <w:r>
              <w:rPr>
                <w:sz w:val="20"/>
              </w:rPr>
              <w:t>ver</w:t>
            </w:r>
            <w:r>
              <w:rPr>
                <w:spacing w:val="-2"/>
                <w:sz w:val="20"/>
              </w:rPr>
              <w:t> </w:t>
            </w:r>
            <w:r>
              <w:rPr>
                <w:sz w:val="20"/>
              </w:rPr>
              <w:t>a</w:t>
            </w:r>
            <w:r>
              <w:rPr>
                <w:spacing w:val="-4"/>
                <w:sz w:val="20"/>
              </w:rPr>
              <w:t> </w:t>
            </w:r>
            <w:r>
              <w:rPr>
                <w:sz w:val="20"/>
              </w:rPr>
              <w:t>su</w:t>
            </w:r>
            <w:r>
              <w:rPr>
                <w:spacing w:val="-5"/>
                <w:sz w:val="20"/>
              </w:rPr>
              <w:t> </w:t>
            </w:r>
            <w:r>
              <w:rPr>
                <w:sz w:val="20"/>
              </w:rPr>
              <w:t>bebé,</w:t>
            </w:r>
            <w:r>
              <w:rPr>
                <w:spacing w:val="-2"/>
                <w:sz w:val="20"/>
              </w:rPr>
              <w:t> </w:t>
            </w:r>
            <w:r>
              <w:rPr>
                <w:sz w:val="20"/>
              </w:rPr>
              <w:t>y</w:t>
            </w:r>
            <w:r>
              <w:rPr>
                <w:spacing w:val="-6"/>
                <w:sz w:val="20"/>
              </w:rPr>
              <w:t> </w:t>
            </w:r>
            <w:r>
              <w:rPr>
                <w:sz w:val="20"/>
              </w:rPr>
              <w:t>no la han podido</w:t>
            </w:r>
            <w:r>
              <w:rPr>
                <w:spacing w:val="-7"/>
                <w:sz w:val="20"/>
              </w:rPr>
              <w:t> </w:t>
            </w:r>
            <w:r>
              <w:rPr>
                <w:sz w:val="20"/>
              </w:rPr>
              <w:t>sacar.</w:t>
            </w:r>
          </w:p>
        </w:tc>
      </w:tr>
      <w:tr>
        <w:trPr>
          <w:trHeight w:val="2062" w:hRule="exact"/>
        </w:trPr>
        <w:tc>
          <w:tcPr>
            <w:tcW w:w="4414" w:type="dxa"/>
          </w:tcPr>
          <w:p>
            <w:pPr>
              <w:pStyle w:val="TableParagraph"/>
              <w:ind w:left="0"/>
              <w:rPr>
                <w:sz w:val="20"/>
              </w:rPr>
            </w:pPr>
          </w:p>
          <w:p>
            <w:pPr>
              <w:pStyle w:val="TableParagraph"/>
              <w:ind w:left="0"/>
              <w:rPr>
                <w:sz w:val="20"/>
              </w:rPr>
            </w:pPr>
          </w:p>
          <w:p>
            <w:pPr>
              <w:pStyle w:val="TableParagraph"/>
              <w:ind w:left="0"/>
              <w:rPr>
                <w:sz w:val="20"/>
              </w:rPr>
            </w:pPr>
          </w:p>
          <w:p>
            <w:pPr>
              <w:pStyle w:val="TableParagraph"/>
              <w:spacing w:before="8"/>
              <w:ind w:left="0"/>
              <w:rPr>
                <w:sz w:val="20"/>
              </w:rPr>
            </w:pPr>
          </w:p>
          <w:p>
            <w:pPr>
              <w:pStyle w:val="TableParagraph"/>
              <w:spacing w:line="278" w:lineRule="auto" w:before="1"/>
              <w:rPr>
                <w:sz w:val="20"/>
              </w:rPr>
            </w:pPr>
            <w:r>
              <w:rPr>
                <w:sz w:val="20"/>
              </w:rPr>
              <w:t>ANTECEDENTE DE VIOLENCIA DE GÉNERO DURANTE EL PROCEDIMIENTO</w:t>
            </w:r>
          </w:p>
        </w:tc>
        <w:tc>
          <w:tcPr>
            <w:tcW w:w="4415" w:type="dxa"/>
          </w:tcPr>
          <w:p>
            <w:pPr>
              <w:pStyle w:val="TableParagraph"/>
              <w:spacing w:line="276" w:lineRule="auto"/>
              <w:ind w:right="103"/>
              <w:jc w:val="both"/>
              <w:rPr>
                <w:sz w:val="20"/>
              </w:rPr>
            </w:pPr>
            <w:r>
              <w:rPr>
                <w:sz w:val="20"/>
              </w:rPr>
              <w:t>La interna refiere que los policías la golpearon, y dejaron al bebé en su casa sin que ella pudiera</w:t>
            </w:r>
            <w:r>
              <w:rPr>
                <w:spacing w:val="-10"/>
                <w:sz w:val="20"/>
              </w:rPr>
              <w:t> </w:t>
            </w:r>
            <w:r>
              <w:rPr>
                <w:sz w:val="20"/>
              </w:rPr>
              <w:t>comunicarse</w:t>
            </w:r>
            <w:r>
              <w:rPr>
                <w:spacing w:val="-10"/>
                <w:sz w:val="20"/>
              </w:rPr>
              <w:t> </w:t>
            </w:r>
            <w:r>
              <w:rPr>
                <w:sz w:val="20"/>
              </w:rPr>
              <w:t>con</w:t>
            </w:r>
            <w:r>
              <w:rPr>
                <w:spacing w:val="-11"/>
                <w:sz w:val="20"/>
              </w:rPr>
              <w:t> </w:t>
            </w:r>
            <w:r>
              <w:rPr>
                <w:sz w:val="20"/>
              </w:rPr>
              <w:t>algún</w:t>
            </w:r>
            <w:r>
              <w:rPr>
                <w:spacing w:val="-10"/>
                <w:sz w:val="20"/>
              </w:rPr>
              <w:t> </w:t>
            </w:r>
            <w:r>
              <w:rPr>
                <w:sz w:val="20"/>
              </w:rPr>
              <w:t>familiar</w:t>
            </w:r>
            <w:r>
              <w:rPr>
                <w:spacing w:val="-9"/>
                <w:sz w:val="20"/>
              </w:rPr>
              <w:t> </w:t>
            </w:r>
            <w:r>
              <w:rPr>
                <w:sz w:val="20"/>
              </w:rPr>
              <w:t>o</w:t>
            </w:r>
            <w:r>
              <w:rPr>
                <w:spacing w:val="-10"/>
                <w:sz w:val="20"/>
              </w:rPr>
              <w:t> </w:t>
            </w:r>
            <w:r>
              <w:rPr>
                <w:sz w:val="20"/>
              </w:rPr>
              <w:t>amigo para que cuidaran a su</w:t>
            </w:r>
            <w:r>
              <w:rPr>
                <w:spacing w:val="-12"/>
                <w:sz w:val="20"/>
              </w:rPr>
              <w:t> </w:t>
            </w:r>
            <w:r>
              <w:rPr>
                <w:sz w:val="20"/>
              </w:rPr>
              <w:t>bebé.</w:t>
            </w:r>
          </w:p>
          <w:p>
            <w:pPr>
              <w:pStyle w:val="TableParagraph"/>
              <w:spacing w:before="4"/>
              <w:ind w:left="0"/>
              <w:rPr>
                <w:sz w:val="17"/>
              </w:rPr>
            </w:pPr>
          </w:p>
          <w:p>
            <w:pPr>
              <w:pStyle w:val="TableParagraph"/>
              <w:spacing w:line="276" w:lineRule="auto"/>
              <w:ind w:right="105"/>
              <w:jc w:val="both"/>
              <w:rPr>
                <w:sz w:val="20"/>
              </w:rPr>
            </w:pPr>
            <w:r>
              <w:rPr>
                <w:sz w:val="20"/>
              </w:rPr>
              <w:t>Dentro del Centro Preventivo y de Readaptación Social, existen conductas de discriminación</w:t>
            </w:r>
            <w:r>
              <w:rPr>
                <w:spacing w:val="-14"/>
                <w:sz w:val="20"/>
              </w:rPr>
              <w:t> </w:t>
            </w:r>
            <w:r>
              <w:rPr>
                <w:sz w:val="20"/>
              </w:rPr>
              <w:t>hacia</w:t>
            </w:r>
            <w:r>
              <w:rPr>
                <w:spacing w:val="-14"/>
                <w:sz w:val="20"/>
              </w:rPr>
              <w:t> </w:t>
            </w:r>
            <w:r>
              <w:rPr>
                <w:sz w:val="20"/>
              </w:rPr>
              <w:t>las</w:t>
            </w:r>
            <w:r>
              <w:rPr>
                <w:spacing w:val="-15"/>
                <w:sz w:val="20"/>
              </w:rPr>
              <w:t> </w:t>
            </w:r>
            <w:r>
              <w:rPr>
                <w:sz w:val="20"/>
              </w:rPr>
              <w:t>mujeres,</w:t>
            </w:r>
            <w:r>
              <w:rPr>
                <w:spacing w:val="-16"/>
                <w:sz w:val="20"/>
              </w:rPr>
              <w:t> </w:t>
            </w:r>
            <w:r>
              <w:rPr>
                <w:sz w:val="20"/>
              </w:rPr>
              <w:t>Brenda</w:t>
            </w:r>
            <w:r>
              <w:rPr>
                <w:spacing w:val="-16"/>
                <w:sz w:val="20"/>
              </w:rPr>
              <w:t> </w:t>
            </w:r>
            <w:r>
              <w:rPr>
                <w:sz w:val="20"/>
              </w:rPr>
              <w:t>refiere</w:t>
            </w:r>
          </w:p>
        </w:tc>
      </w:tr>
    </w:tbl>
    <w:p>
      <w:pPr>
        <w:spacing w:after="0" w:line="276" w:lineRule="auto"/>
        <w:jc w:val="both"/>
        <w:rPr>
          <w:sz w:val="20"/>
        </w:rPr>
        <w:sectPr>
          <w:pgSz w:w="12240" w:h="15840"/>
          <w:pgMar w:header="0" w:footer="942" w:top="1360" w:bottom="1200" w:left="1600" w:right="1580"/>
        </w:sectPr>
      </w:pPr>
    </w:p>
    <w:p>
      <w:pPr>
        <w:pStyle w:val="BodyText"/>
        <w:ind w:left="101"/>
        <w:rPr>
          <w:sz w:val="20"/>
        </w:rPr>
      </w:pPr>
      <w:r>
        <w:rPr>
          <w:sz w:val="20"/>
        </w:rPr>
        <w:pict>
          <v:group style="width:441.95pt;height:64.5pt;mso-position-horizontal-relative:char;mso-position-vertical-relative:line" coordorigin="0,0" coordsize="8839,1290">
            <v:line style="position:absolute" from="10,10" to="4414,10" stroked="true" strokeweight=".48pt" strokecolor="#000000"/>
            <v:line style="position:absolute" from="4424,10" to="8829,10" stroked="true" strokeweight=".48pt" strokecolor="#000000"/>
            <v:line style="position:absolute" from="5,5" to="5,1284" stroked="true" strokeweight=".48pt" strokecolor="#000000"/>
            <v:line style="position:absolute" from="10,1279" to="4414,1279" stroked="true" strokeweight=".48pt" strokecolor="#000000"/>
            <v:line style="position:absolute" from="4419,5" to="4419,1284" stroked="true" strokeweight=".47998pt" strokecolor="#000000"/>
            <v:line style="position:absolute" from="4424,1279" to="8829,1279" stroked="true" strokeweight=".48pt" strokecolor="#000000"/>
            <v:line style="position:absolute" from="8834,5" to="8834,1284" stroked="true" strokeweight=".47998pt" strokecolor="#000000"/>
            <v:shape style="position:absolute;left:4419;top:10;width:4415;height:1270" type="#_x0000_t202" filled="false" stroked="false">
              <v:textbox inset="0,0,0,0">
                <w:txbxContent>
                  <w:p>
                    <w:pPr>
                      <w:spacing w:line="276" w:lineRule="auto" w:before="7"/>
                      <w:ind w:left="108" w:right="108" w:firstLine="0"/>
                      <w:jc w:val="both"/>
                      <w:rPr>
                        <w:sz w:val="20"/>
                      </w:rPr>
                    </w:pPr>
                    <w:r>
                      <w:rPr>
                        <w:sz w:val="20"/>
                      </w:rPr>
                      <w:t>que, el espacio en el que se encuentran las mujeres es muy pequeño, además de que los talleres</w:t>
                    </w:r>
                    <w:r>
                      <w:rPr>
                        <w:spacing w:val="-9"/>
                        <w:sz w:val="20"/>
                      </w:rPr>
                      <w:t> </w:t>
                    </w:r>
                    <w:r>
                      <w:rPr>
                        <w:sz w:val="20"/>
                      </w:rPr>
                      <w:t>que</w:t>
                    </w:r>
                    <w:r>
                      <w:rPr>
                        <w:spacing w:val="-10"/>
                        <w:sz w:val="20"/>
                      </w:rPr>
                      <w:t> </w:t>
                    </w:r>
                    <w:r>
                      <w:rPr>
                        <w:sz w:val="20"/>
                      </w:rPr>
                      <w:t>realizan</w:t>
                    </w:r>
                    <w:r>
                      <w:rPr>
                        <w:spacing w:val="-10"/>
                        <w:sz w:val="20"/>
                      </w:rPr>
                      <w:t> </w:t>
                    </w:r>
                    <w:r>
                      <w:rPr>
                        <w:sz w:val="20"/>
                      </w:rPr>
                      <w:t>sólo</w:t>
                    </w:r>
                    <w:r>
                      <w:rPr>
                        <w:spacing w:val="-10"/>
                        <w:sz w:val="20"/>
                      </w:rPr>
                      <w:t> </w:t>
                    </w:r>
                    <w:r>
                      <w:rPr>
                        <w:sz w:val="20"/>
                      </w:rPr>
                      <w:t>son</w:t>
                    </w:r>
                    <w:r>
                      <w:rPr>
                        <w:spacing w:val="-9"/>
                        <w:sz w:val="20"/>
                      </w:rPr>
                      <w:t> </w:t>
                    </w:r>
                    <w:r>
                      <w:rPr>
                        <w:sz w:val="20"/>
                      </w:rPr>
                      <w:t>de</w:t>
                    </w:r>
                    <w:r>
                      <w:rPr>
                        <w:spacing w:val="-11"/>
                        <w:sz w:val="20"/>
                      </w:rPr>
                      <w:t> </w:t>
                    </w:r>
                    <w:r>
                      <w:rPr>
                        <w:sz w:val="20"/>
                      </w:rPr>
                      <w:t>bordado,</w:t>
                    </w:r>
                    <w:r>
                      <w:rPr>
                        <w:spacing w:val="-5"/>
                        <w:sz w:val="20"/>
                      </w:rPr>
                      <w:t> </w:t>
                    </w:r>
                    <w:r>
                      <w:rPr>
                        <w:sz w:val="20"/>
                      </w:rPr>
                      <w:t>y</w:t>
                    </w:r>
                    <w:r>
                      <w:rPr>
                        <w:spacing w:val="-14"/>
                        <w:sz w:val="20"/>
                      </w:rPr>
                      <w:t> </w:t>
                    </w:r>
                    <w:r>
                      <w:rPr>
                        <w:sz w:val="20"/>
                      </w:rPr>
                      <w:t>que a la fecha no le han permitido ver a su</w:t>
                    </w:r>
                    <w:r>
                      <w:rPr>
                        <w:spacing w:val="-15"/>
                        <w:sz w:val="20"/>
                      </w:rPr>
                      <w:t> </w:t>
                    </w:r>
                    <w:r>
                      <w:rPr>
                        <w:sz w:val="20"/>
                      </w:rPr>
                      <w:t>bebé.</w:t>
                    </w:r>
                  </w:p>
                </w:txbxContent>
              </v:textbox>
              <w10:wrap type="none"/>
            </v:shape>
          </v:group>
        </w:pict>
      </w:r>
      <w:r>
        <w:rPr>
          <w:sz w:val="20"/>
        </w:rPr>
      </w:r>
    </w:p>
    <w:p>
      <w:pPr>
        <w:pStyle w:val="BodyText"/>
        <w:rPr>
          <w:sz w:val="20"/>
        </w:rPr>
      </w:pPr>
    </w:p>
    <w:p>
      <w:pPr>
        <w:pStyle w:val="BodyText"/>
        <w:spacing w:before="3"/>
        <w:rPr>
          <w:sz w:val="20"/>
        </w:rPr>
      </w:pPr>
    </w:p>
    <w:p>
      <w:pPr>
        <w:pStyle w:val="BodyText"/>
        <w:spacing w:before="73"/>
        <w:ind w:left="102" w:right="96"/>
      </w:pPr>
      <w:r>
        <w:rPr/>
        <w:t>CASO 2:</w:t>
      </w:r>
    </w:p>
    <w:p>
      <w:pPr>
        <w:pStyle w:val="BodyText"/>
        <w:spacing w:before="8"/>
        <w:rPr>
          <w:sz w:val="28"/>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5"/>
      </w:tblGrid>
      <w:tr>
        <w:trPr>
          <w:trHeight w:val="1796" w:hRule="exact"/>
        </w:trPr>
        <w:tc>
          <w:tcPr>
            <w:tcW w:w="4414" w:type="dxa"/>
            <w:vMerge w:val="restart"/>
          </w:tcPr>
          <w:p>
            <w:pPr>
              <w:pStyle w:val="TableParagraph"/>
              <w:spacing w:line="230" w:lineRule="exact"/>
              <w:ind w:right="451"/>
              <w:rPr>
                <w:sz w:val="20"/>
              </w:rPr>
            </w:pPr>
            <w:r>
              <w:rPr>
                <w:sz w:val="20"/>
              </w:rPr>
              <w:t>DATOS GENERALES</w:t>
            </w:r>
          </w:p>
        </w:tc>
        <w:tc>
          <w:tcPr>
            <w:tcW w:w="4415" w:type="dxa"/>
          </w:tcPr>
          <w:p>
            <w:pPr>
              <w:pStyle w:val="TableParagraph"/>
              <w:spacing w:line="276" w:lineRule="auto"/>
              <w:ind w:right="100"/>
              <w:jc w:val="both"/>
              <w:rPr>
                <w:sz w:val="20"/>
              </w:rPr>
            </w:pPr>
            <w:r>
              <w:rPr>
                <w:sz w:val="20"/>
              </w:rPr>
              <w:t>Verónica, 27 años de edad, soltera, ocupación empleada, grado máximo de estudios: secundaria. Se le imputa el delito de Homicidio Calificado.</w:t>
            </w:r>
            <w:r>
              <w:rPr>
                <w:spacing w:val="-11"/>
                <w:sz w:val="20"/>
              </w:rPr>
              <w:t> </w:t>
            </w:r>
            <w:r>
              <w:rPr>
                <w:sz w:val="20"/>
              </w:rPr>
              <w:t>Sentenciada</w:t>
            </w:r>
            <w:r>
              <w:rPr>
                <w:spacing w:val="-10"/>
                <w:sz w:val="20"/>
              </w:rPr>
              <w:t> </w:t>
            </w:r>
            <w:r>
              <w:rPr>
                <w:sz w:val="20"/>
              </w:rPr>
              <w:t>a</w:t>
            </w:r>
            <w:r>
              <w:rPr>
                <w:spacing w:val="-13"/>
                <w:sz w:val="20"/>
              </w:rPr>
              <w:t> </w:t>
            </w:r>
            <w:r>
              <w:rPr>
                <w:sz w:val="20"/>
              </w:rPr>
              <w:t>47</w:t>
            </w:r>
            <w:r>
              <w:rPr>
                <w:spacing w:val="-13"/>
                <w:sz w:val="20"/>
              </w:rPr>
              <w:t> </w:t>
            </w:r>
            <w:r>
              <w:rPr>
                <w:sz w:val="20"/>
              </w:rPr>
              <w:t>años</w:t>
            </w:r>
            <w:r>
              <w:rPr>
                <w:spacing w:val="-9"/>
                <w:sz w:val="20"/>
              </w:rPr>
              <w:t> </w:t>
            </w:r>
            <w:r>
              <w:rPr>
                <w:sz w:val="20"/>
              </w:rPr>
              <w:t>y</w:t>
            </w:r>
            <w:r>
              <w:rPr>
                <w:spacing w:val="-14"/>
                <w:sz w:val="20"/>
              </w:rPr>
              <w:t> </w:t>
            </w:r>
            <w:r>
              <w:rPr>
                <w:sz w:val="20"/>
              </w:rPr>
              <w:t>9</w:t>
            </w:r>
            <w:r>
              <w:rPr>
                <w:spacing w:val="-13"/>
                <w:sz w:val="20"/>
              </w:rPr>
              <w:t> </w:t>
            </w:r>
            <w:r>
              <w:rPr>
                <w:sz w:val="20"/>
              </w:rPr>
              <w:t>meses</w:t>
            </w:r>
            <w:r>
              <w:rPr>
                <w:spacing w:val="-12"/>
                <w:sz w:val="20"/>
              </w:rPr>
              <w:t> </w:t>
            </w:r>
            <w:r>
              <w:rPr>
                <w:sz w:val="20"/>
              </w:rPr>
              <w:t>de prisión, lleva compurgando ocho años con 11 meses.</w:t>
            </w:r>
            <w:r>
              <w:rPr>
                <w:spacing w:val="-9"/>
                <w:sz w:val="20"/>
              </w:rPr>
              <w:t> </w:t>
            </w:r>
            <w:r>
              <w:rPr>
                <w:sz w:val="20"/>
              </w:rPr>
              <w:t>Primodelincuente.</w:t>
            </w:r>
          </w:p>
        </w:tc>
      </w:tr>
      <w:tr>
        <w:trPr>
          <w:trHeight w:val="3850" w:hRule="exact"/>
        </w:trPr>
        <w:tc>
          <w:tcPr>
            <w:tcW w:w="4414" w:type="dxa"/>
            <w:vMerge/>
          </w:tcPr>
          <w:p>
            <w:pPr/>
          </w:p>
        </w:tc>
        <w:tc>
          <w:tcPr>
            <w:tcW w:w="4415" w:type="dxa"/>
          </w:tcPr>
          <w:p>
            <w:pPr>
              <w:pStyle w:val="TableParagraph"/>
              <w:spacing w:line="276" w:lineRule="auto" w:before="2"/>
              <w:ind w:right="101"/>
              <w:jc w:val="both"/>
              <w:rPr>
                <w:sz w:val="20"/>
              </w:rPr>
            </w:pPr>
            <w:r>
              <w:rPr>
                <w:sz w:val="20"/>
              </w:rPr>
              <w:t>Breve relato de los hechos: Acompañó a un primo, menor de edad, que iba a robar dinero a su tía. Ella sabía que su primo iba a robar dinero, y la dejó a fuera para vigilar si se acercaba alguien, ella lo acompañó porque su primo necesitaba el dinero ya que tenía unas deudas que pagar, Cuando salió su primo, le dijo</w:t>
            </w:r>
            <w:r>
              <w:rPr>
                <w:spacing w:val="-6"/>
                <w:sz w:val="20"/>
              </w:rPr>
              <w:t> </w:t>
            </w:r>
            <w:r>
              <w:rPr>
                <w:sz w:val="20"/>
              </w:rPr>
              <w:t>que</w:t>
            </w:r>
            <w:r>
              <w:rPr>
                <w:spacing w:val="-6"/>
                <w:sz w:val="20"/>
              </w:rPr>
              <w:t> </w:t>
            </w:r>
            <w:r>
              <w:rPr>
                <w:sz w:val="20"/>
              </w:rPr>
              <w:t>había</w:t>
            </w:r>
            <w:r>
              <w:rPr>
                <w:spacing w:val="-6"/>
                <w:sz w:val="20"/>
              </w:rPr>
              <w:t> </w:t>
            </w:r>
            <w:r>
              <w:rPr>
                <w:sz w:val="20"/>
              </w:rPr>
              <w:t>matado</w:t>
            </w:r>
            <w:r>
              <w:rPr>
                <w:spacing w:val="-6"/>
                <w:sz w:val="20"/>
              </w:rPr>
              <w:t> </w:t>
            </w:r>
            <w:r>
              <w:rPr>
                <w:sz w:val="20"/>
              </w:rPr>
              <w:t>a</w:t>
            </w:r>
            <w:r>
              <w:rPr>
                <w:spacing w:val="-6"/>
                <w:sz w:val="20"/>
              </w:rPr>
              <w:t> </w:t>
            </w:r>
            <w:r>
              <w:rPr>
                <w:sz w:val="20"/>
              </w:rPr>
              <w:t>su</w:t>
            </w:r>
            <w:r>
              <w:rPr>
                <w:spacing w:val="-6"/>
                <w:sz w:val="20"/>
              </w:rPr>
              <w:t> </w:t>
            </w:r>
            <w:r>
              <w:rPr>
                <w:sz w:val="20"/>
              </w:rPr>
              <w:t>tía,</w:t>
            </w:r>
            <w:r>
              <w:rPr>
                <w:spacing w:val="-5"/>
                <w:sz w:val="20"/>
              </w:rPr>
              <w:t> </w:t>
            </w:r>
            <w:r>
              <w:rPr>
                <w:sz w:val="20"/>
              </w:rPr>
              <w:t>cuando</w:t>
            </w:r>
            <w:r>
              <w:rPr>
                <w:spacing w:val="-6"/>
                <w:sz w:val="20"/>
              </w:rPr>
              <w:t> </w:t>
            </w:r>
            <w:r>
              <w:rPr>
                <w:sz w:val="20"/>
              </w:rPr>
              <w:t>llegaron los judiciales le preguntaron si ella sabía sobre los hechos, ella respondió que sí, pero jamás refirió que sólo sabía del robo, pero no del homicidio.</w:t>
            </w:r>
          </w:p>
        </w:tc>
      </w:tr>
      <w:tr>
        <w:trPr>
          <w:trHeight w:val="3584" w:hRule="exact"/>
        </w:trPr>
        <w:tc>
          <w:tcPr>
            <w:tcW w:w="4414" w:type="dxa"/>
          </w:tcPr>
          <w:p>
            <w:pPr>
              <w:pStyle w:val="TableParagraph"/>
              <w:ind w:left="0"/>
              <w:rPr>
                <w:sz w:val="20"/>
              </w:rPr>
            </w:pPr>
          </w:p>
          <w:p>
            <w:pPr>
              <w:pStyle w:val="TableParagraph"/>
              <w:ind w:left="0"/>
              <w:rPr>
                <w:sz w:val="20"/>
              </w:rPr>
            </w:pPr>
          </w:p>
          <w:p>
            <w:pPr>
              <w:pStyle w:val="TableParagraph"/>
              <w:ind w:left="0"/>
              <w:rPr>
                <w:sz w:val="20"/>
              </w:rPr>
            </w:pPr>
          </w:p>
          <w:p>
            <w:pPr>
              <w:pStyle w:val="TableParagraph"/>
              <w:spacing w:before="9"/>
              <w:ind w:left="0"/>
              <w:rPr>
                <w:sz w:val="20"/>
              </w:rPr>
            </w:pPr>
          </w:p>
          <w:p>
            <w:pPr>
              <w:pStyle w:val="TableParagraph"/>
              <w:ind w:right="451"/>
              <w:rPr>
                <w:sz w:val="20"/>
              </w:rPr>
            </w:pPr>
            <w:r>
              <w:rPr>
                <w:sz w:val="20"/>
              </w:rPr>
              <w:t>ASPECTOS PROCEDIMENTALES</w:t>
            </w:r>
          </w:p>
        </w:tc>
        <w:tc>
          <w:tcPr>
            <w:tcW w:w="4415" w:type="dxa"/>
          </w:tcPr>
          <w:p>
            <w:pPr>
              <w:pStyle w:val="TableParagraph"/>
              <w:spacing w:line="276" w:lineRule="auto"/>
              <w:ind w:right="103"/>
              <w:jc w:val="both"/>
              <w:rPr>
                <w:sz w:val="20"/>
              </w:rPr>
            </w:pPr>
            <w:r>
              <w:rPr>
                <w:sz w:val="20"/>
              </w:rPr>
              <w:t>Verónica, refiere que ante el Ministerio Público la representó un Defensor de Oficio, sin embargo, nunca tuvo comunicación con él,</w:t>
            </w:r>
            <w:r>
              <w:rPr>
                <w:spacing w:val="-39"/>
                <w:sz w:val="20"/>
              </w:rPr>
              <w:t> </w:t>
            </w:r>
            <w:r>
              <w:rPr>
                <w:sz w:val="20"/>
              </w:rPr>
              <w:t>sólo supo que un defensor la representaba porque se lo comentó el Agente del Ministerio</w:t>
            </w:r>
            <w:r>
              <w:rPr>
                <w:spacing w:val="-14"/>
                <w:sz w:val="20"/>
              </w:rPr>
              <w:t> </w:t>
            </w:r>
            <w:r>
              <w:rPr>
                <w:sz w:val="20"/>
              </w:rPr>
              <w:t>Público.</w:t>
            </w:r>
          </w:p>
          <w:p>
            <w:pPr>
              <w:pStyle w:val="TableParagraph"/>
              <w:spacing w:before="4"/>
              <w:ind w:left="0"/>
              <w:rPr>
                <w:sz w:val="17"/>
              </w:rPr>
            </w:pPr>
          </w:p>
          <w:p>
            <w:pPr>
              <w:pStyle w:val="TableParagraph"/>
              <w:spacing w:line="276" w:lineRule="auto"/>
              <w:ind w:right="104"/>
              <w:jc w:val="both"/>
              <w:rPr>
                <w:sz w:val="20"/>
              </w:rPr>
            </w:pPr>
            <w:r>
              <w:rPr>
                <w:sz w:val="20"/>
              </w:rPr>
              <w:t>Posteriormente fue defendida por un abogado particular que contrató su familia. Al final la jueza</w:t>
            </w:r>
            <w:r>
              <w:rPr>
                <w:spacing w:val="-8"/>
                <w:sz w:val="20"/>
              </w:rPr>
              <w:t> </w:t>
            </w:r>
            <w:r>
              <w:rPr>
                <w:sz w:val="20"/>
              </w:rPr>
              <w:t>la</w:t>
            </w:r>
            <w:r>
              <w:rPr>
                <w:spacing w:val="-10"/>
                <w:sz w:val="20"/>
              </w:rPr>
              <w:t> </w:t>
            </w:r>
            <w:r>
              <w:rPr>
                <w:sz w:val="20"/>
              </w:rPr>
              <w:t>condenó,</w:t>
            </w:r>
            <w:r>
              <w:rPr>
                <w:spacing w:val="-10"/>
                <w:sz w:val="20"/>
              </w:rPr>
              <w:t> </w:t>
            </w:r>
            <w:r>
              <w:rPr>
                <w:sz w:val="20"/>
              </w:rPr>
              <w:t>bajo</w:t>
            </w:r>
            <w:r>
              <w:rPr>
                <w:spacing w:val="-10"/>
                <w:sz w:val="20"/>
              </w:rPr>
              <w:t> </w:t>
            </w:r>
            <w:r>
              <w:rPr>
                <w:sz w:val="20"/>
              </w:rPr>
              <w:t>el</w:t>
            </w:r>
            <w:r>
              <w:rPr>
                <w:spacing w:val="-9"/>
                <w:sz w:val="20"/>
              </w:rPr>
              <w:t> </w:t>
            </w:r>
            <w:r>
              <w:rPr>
                <w:sz w:val="20"/>
              </w:rPr>
              <w:t>argumento</w:t>
            </w:r>
            <w:r>
              <w:rPr>
                <w:spacing w:val="-11"/>
                <w:sz w:val="20"/>
              </w:rPr>
              <w:t> </w:t>
            </w:r>
            <w:r>
              <w:rPr>
                <w:sz w:val="20"/>
              </w:rPr>
              <w:t>de</w:t>
            </w:r>
            <w:r>
              <w:rPr>
                <w:spacing w:val="-11"/>
                <w:sz w:val="20"/>
              </w:rPr>
              <w:t> </w:t>
            </w:r>
            <w:r>
              <w:rPr>
                <w:sz w:val="20"/>
              </w:rPr>
              <w:t>que</w:t>
            </w:r>
            <w:r>
              <w:rPr>
                <w:spacing w:val="-11"/>
                <w:sz w:val="20"/>
              </w:rPr>
              <w:t> </w:t>
            </w:r>
            <w:r>
              <w:rPr>
                <w:sz w:val="20"/>
              </w:rPr>
              <w:t>ella era mayor de edad e indujo a su primo a delinquir. No se interpuso recurso alguno en contra de la sentencia dictada en contra de Verónica.</w:t>
            </w:r>
          </w:p>
        </w:tc>
      </w:tr>
      <w:tr>
        <w:trPr>
          <w:trHeight w:val="1003" w:hRule="exact"/>
        </w:trPr>
        <w:tc>
          <w:tcPr>
            <w:tcW w:w="4414" w:type="dxa"/>
          </w:tcPr>
          <w:p>
            <w:pPr>
              <w:pStyle w:val="TableParagraph"/>
              <w:spacing w:line="276" w:lineRule="auto"/>
              <w:rPr>
                <w:sz w:val="20"/>
              </w:rPr>
            </w:pPr>
            <w:r>
              <w:rPr>
                <w:sz w:val="20"/>
              </w:rPr>
              <w:t>ANTECEDENTE DE VIOLENCIA DE GÉNERO DURANTE EL PROCEDIMIENTO</w:t>
            </w:r>
          </w:p>
        </w:tc>
        <w:tc>
          <w:tcPr>
            <w:tcW w:w="4415" w:type="dxa"/>
          </w:tcPr>
          <w:p>
            <w:pPr>
              <w:pStyle w:val="TableParagraph"/>
              <w:spacing w:line="276" w:lineRule="auto"/>
              <w:ind w:right="105"/>
              <w:jc w:val="both"/>
              <w:rPr>
                <w:sz w:val="20"/>
              </w:rPr>
            </w:pPr>
            <w:r>
              <w:rPr>
                <w:sz w:val="20"/>
              </w:rPr>
              <w:t>Los judiciales coaccionaron psicológicamente</w:t>
            </w:r>
            <w:r>
              <w:rPr>
                <w:spacing w:val="-30"/>
                <w:sz w:val="20"/>
              </w:rPr>
              <w:t> </w:t>
            </w:r>
            <w:r>
              <w:rPr>
                <w:sz w:val="20"/>
              </w:rPr>
              <w:t>a Verónica</w:t>
            </w:r>
            <w:r>
              <w:rPr>
                <w:spacing w:val="-10"/>
                <w:sz w:val="20"/>
              </w:rPr>
              <w:t> </w:t>
            </w:r>
            <w:r>
              <w:rPr>
                <w:sz w:val="20"/>
              </w:rPr>
              <w:t>para</w:t>
            </w:r>
            <w:r>
              <w:rPr>
                <w:spacing w:val="-10"/>
                <w:sz w:val="20"/>
              </w:rPr>
              <w:t> </w:t>
            </w:r>
            <w:r>
              <w:rPr>
                <w:sz w:val="20"/>
              </w:rPr>
              <w:t>efetos</w:t>
            </w:r>
            <w:r>
              <w:rPr>
                <w:spacing w:val="-9"/>
                <w:sz w:val="20"/>
              </w:rPr>
              <w:t> </w:t>
            </w:r>
            <w:r>
              <w:rPr>
                <w:sz w:val="20"/>
              </w:rPr>
              <w:t>de</w:t>
            </w:r>
            <w:r>
              <w:rPr>
                <w:spacing w:val="-7"/>
                <w:sz w:val="20"/>
              </w:rPr>
              <w:t> </w:t>
            </w:r>
            <w:r>
              <w:rPr>
                <w:sz w:val="20"/>
              </w:rPr>
              <w:t>que</w:t>
            </w:r>
            <w:r>
              <w:rPr>
                <w:spacing w:val="-10"/>
                <w:sz w:val="20"/>
              </w:rPr>
              <w:t> </w:t>
            </w:r>
            <w:r>
              <w:rPr>
                <w:sz w:val="20"/>
              </w:rPr>
              <w:t>ella</w:t>
            </w:r>
            <w:r>
              <w:rPr>
                <w:spacing w:val="-10"/>
                <w:sz w:val="20"/>
              </w:rPr>
              <w:t> </w:t>
            </w:r>
            <w:r>
              <w:rPr>
                <w:sz w:val="20"/>
              </w:rPr>
              <w:t>declarara</w:t>
            </w:r>
            <w:r>
              <w:rPr>
                <w:spacing w:val="-10"/>
                <w:sz w:val="20"/>
              </w:rPr>
              <w:t> </w:t>
            </w:r>
            <w:r>
              <w:rPr>
                <w:sz w:val="20"/>
              </w:rPr>
              <w:t>en</w:t>
            </w:r>
            <w:r>
              <w:rPr>
                <w:spacing w:val="-8"/>
                <w:sz w:val="20"/>
              </w:rPr>
              <w:t> </w:t>
            </w:r>
            <w:r>
              <w:rPr>
                <w:sz w:val="20"/>
              </w:rPr>
              <w:t>la forma en que ellos</w:t>
            </w:r>
            <w:r>
              <w:rPr>
                <w:spacing w:val="-7"/>
                <w:sz w:val="20"/>
              </w:rPr>
              <w:t> </w:t>
            </w:r>
            <w:r>
              <w:rPr>
                <w:sz w:val="20"/>
              </w:rPr>
              <w:t>pedían.</w:t>
            </w:r>
          </w:p>
        </w:tc>
      </w:tr>
    </w:tbl>
    <w:p>
      <w:pPr>
        <w:spacing w:after="0" w:line="276" w:lineRule="auto"/>
        <w:jc w:val="both"/>
        <w:rPr>
          <w:sz w:val="20"/>
        </w:rPr>
        <w:sectPr>
          <w:pgSz w:w="12240" w:h="15840"/>
          <w:pgMar w:header="0" w:footer="942" w:top="1420" w:bottom="1200" w:left="1600" w:right="1580"/>
        </w:sectPr>
      </w:pPr>
    </w:p>
    <w:p>
      <w:pPr>
        <w:pStyle w:val="BodyText"/>
        <w:ind w:left="101"/>
        <w:rPr>
          <w:sz w:val="20"/>
        </w:rPr>
      </w:pPr>
      <w:r>
        <w:rPr>
          <w:sz w:val="20"/>
        </w:rPr>
        <w:pict>
          <v:group style="width:441.95pt;height:90.9pt;mso-position-horizontal-relative:char;mso-position-vertical-relative:line" coordorigin="0,0" coordsize="8839,1818">
            <v:line style="position:absolute" from="10,10" to="4414,10" stroked="true" strokeweight=".48pt" strokecolor="#000000"/>
            <v:line style="position:absolute" from="4424,10" to="8829,10" stroked="true" strokeweight=".48pt" strokecolor="#000000"/>
            <v:line style="position:absolute" from="5,5" to="5,1812" stroked="true" strokeweight=".48pt" strokecolor="#000000"/>
            <v:line style="position:absolute" from="10,1807" to="4414,1807" stroked="true" strokeweight=".48001pt" strokecolor="#000000"/>
            <v:line style="position:absolute" from="4419,5" to="4419,1812" stroked="true" strokeweight=".47998pt" strokecolor="#000000"/>
            <v:line style="position:absolute" from="4424,1807" to="8829,1807" stroked="true" strokeweight=".48001pt" strokecolor="#000000"/>
            <v:line style="position:absolute" from="8834,5" to="8834,1812" stroked="true" strokeweight=".47998pt" strokecolor="#000000"/>
            <v:shape style="position:absolute;left:4419;top:10;width:4415;height:1798" type="#_x0000_t202" filled="false" stroked="false">
              <v:textbox inset="0,0,0,0">
                <w:txbxContent>
                  <w:p>
                    <w:pPr>
                      <w:spacing w:line="276" w:lineRule="auto" w:before="7"/>
                      <w:ind w:left="108" w:right="105" w:firstLine="0"/>
                      <w:jc w:val="both"/>
                      <w:rPr>
                        <w:sz w:val="20"/>
                      </w:rPr>
                    </w:pPr>
                    <w:r>
                      <w:rPr>
                        <w:sz w:val="20"/>
                      </w:rPr>
                      <w:t>Asimismo refiere que dentro del Centro Preventivo y de Readaptación Social, que las mujeres sólo se encuentran adentro de un cuarto, ya que no pueden salir mientras los hombres se encuentran afuera, y eso sucede</w:t>
                    </w:r>
                    <w:r>
                      <w:rPr>
                        <w:spacing w:val="-35"/>
                        <w:sz w:val="20"/>
                      </w:rPr>
                      <w:t> </w:t>
                    </w:r>
                    <w:r>
                      <w:rPr>
                        <w:sz w:val="20"/>
                      </w:rPr>
                      <w:t>la mayor parte del</w:t>
                    </w:r>
                    <w:r>
                      <w:rPr>
                        <w:spacing w:val="-7"/>
                        <w:sz w:val="20"/>
                      </w:rPr>
                      <w:t> </w:t>
                    </w:r>
                    <w:r>
                      <w:rPr>
                        <w:sz w:val="20"/>
                      </w:rPr>
                      <w:t>día.</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5"/>
        <w:ind w:left="102" w:right="96"/>
      </w:pPr>
      <w:r>
        <w:rPr/>
        <w:t>CASO 3:</w:t>
      </w:r>
    </w:p>
    <w:p>
      <w:pPr>
        <w:pStyle w:val="BodyText"/>
        <w:spacing w:before="8"/>
        <w:rPr>
          <w:sz w:val="28"/>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5"/>
      </w:tblGrid>
      <w:tr>
        <w:trPr>
          <w:trHeight w:val="1426" w:hRule="exact"/>
        </w:trPr>
        <w:tc>
          <w:tcPr>
            <w:tcW w:w="4414" w:type="dxa"/>
            <w:vMerge w:val="restart"/>
          </w:tcPr>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1"/>
              </w:rPr>
            </w:pPr>
          </w:p>
          <w:p>
            <w:pPr>
              <w:pStyle w:val="TableParagraph"/>
              <w:ind w:right="451"/>
              <w:rPr>
                <w:sz w:val="20"/>
              </w:rPr>
            </w:pPr>
            <w:r>
              <w:rPr>
                <w:sz w:val="20"/>
              </w:rPr>
              <w:t>DATOS GENERALES</w:t>
            </w:r>
          </w:p>
        </w:tc>
        <w:tc>
          <w:tcPr>
            <w:tcW w:w="4415" w:type="dxa"/>
          </w:tcPr>
          <w:p>
            <w:pPr>
              <w:pStyle w:val="TableParagraph"/>
              <w:spacing w:line="276" w:lineRule="auto"/>
              <w:ind w:right="102"/>
              <w:jc w:val="both"/>
              <w:rPr>
                <w:sz w:val="20"/>
              </w:rPr>
            </w:pPr>
            <w:r>
              <w:rPr>
                <w:sz w:val="20"/>
              </w:rPr>
              <w:t>Erika,</w:t>
            </w:r>
            <w:r>
              <w:rPr>
                <w:spacing w:val="-10"/>
                <w:sz w:val="20"/>
              </w:rPr>
              <w:t> </w:t>
            </w:r>
            <w:r>
              <w:rPr>
                <w:sz w:val="20"/>
              </w:rPr>
              <w:t>37</w:t>
            </w:r>
            <w:r>
              <w:rPr>
                <w:spacing w:val="-10"/>
                <w:sz w:val="20"/>
              </w:rPr>
              <w:t> </w:t>
            </w:r>
            <w:r>
              <w:rPr>
                <w:sz w:val="20"/>
              </w:rPr>
              <w:t>años</w:t>
            </w:r>
            <w:r>
              <w:rPr>
                <w:spacing w:val="-9"/>
                <w:sz w:val="20"/>
              </w:rPr>
              <w:t> </w:t>
            </w:r>
            <w:r>
              <w:rPr>
                <w:sz w:val="20"/>
              </w:rPr>
              <w:t>de</w:t>
            </w:r>
            <w:r>
              <w:rPr>
                <w:spacing w:val="-10"/>
                <w:sz w:val="20"/>
              </w:rPr>
              <w:t> </w:t>
            </w:r>
            <w:r>
              <w:rPr>
                <w:sz w:val="20"/>
              </w:rPr>
              <w:t>edad,</w:t>
            </w:r>
            <w:r>
              <w:rPr>
                <w:spacing w:val="-10"/>
                <w:sz w:val="20"/>
              </w:rPr>
              <w:t> </w:t>
            </w:r>
            <w:r>
              <w:rPr>
                <w:sz w:val="20"/>
              </w:rPr>
              <w:t>unión</w:t>
            </w:r>
            <w:r>
              <w:rPr>
                <w:spacing w:val="-11"/>
                <w:sz w:val="20"/>
              </w:rPr>
              <w:t> </w:t>
            </w:r>
            <w:r>
              <w:rPr>
                <w:sz w:val="20"/>
              </w:rPr>
              <w:t>libre,</w:t>
            </w:r>
            <w:r>
              <w:rPr>
                <w:spacing w:val="-10"/>
                <w:sz w:val="20"/>
              </w:rPr>
              <w:t> </w:t>
            </w:r>
            <w:r>
              <w:rPr>
                <w:sz w:val="20"/>
              </w:rPr>
              <w:t>se</w:t>
            </w:r>
            <w:r>
              <w:rPr>
                <w:spacing w:val="-10"/>
                <w:sz w:val="20"/>
              </w:rPr>
              <w:t> </w:t>
            </w:r>
            <w:r>
              <w:rPr>
                <w:sz w:val="20"/>
              </w:rPr>
              <w:t>dedica</w:t>
            </w:r>
            <w:r>
              <w:rPr>
                <w:spacing w:val="-8"/>
                <w:sz w:val="20"/>
              </w:rPr>
              <w:t> </w:t>
            </w:r>
            <w:r>
              <w:rPr>
                <w:sz w:val="20"/>
              </w:rPr>
              <w:t>al campo, grado de estudios primaria inconclusa. Sentenciada a un año de prisión por delito de Intento de Homicidio.</w:t>
            </w:r>
            <w:r>
              <w:rPr>
                <w:spacing w:val="-15"/>
                <w:sz w:val="20"/>
              </w:rPr>
              <w:t> </w:t>
            </w:r>
            <w:r>
              <w:rPr>
                <w:sz w:val="20"/>
              </w:rPr>
              <w:t>Primodelincante.</w:t>
            </w:r>
          </w:p>
        </w:tc>
      </w:tr>
      <w:tr>
        <w:trPr>
          <w:trHeight w:val="2857" w:hRule="exact"/>
        </w:trPr>
        <w:tc>
          <w:tcPr>
            <w:tcW w:w="4414" w:type="dxa"/>
            <w:vMerge/>
          </w:tcPr>
          <w:p>
            <w:pPr/>
          </w:p>
        </w:tc>
        <w:tc>
          <w:tcPr>
            <w:tcW w:w="4415" w:type="dxa"/>
          </w:tcPr>
          <w:p>
            <w:pPr>
              <w:pStyle w:val="TableParagraph"/>
              <w:spacing w:line="276" w:lineRule="auto"/>
              <w:ind w:right="99"/>
              <w:jc w:val="both"/>
              <w:rPr>
                <w:sz w:val="20"/>
              </w:rPr>
            </w:pPr>
            <w:r>
              <w:rPr>
                <w:sz w:val="20"/>
              </w:rPr>
              <w:t>Breve relato de los hechos: Estaba embarazada, el bebé no era de su pareja, un día fue a realizar pagos a El Oro, a una tienda de</w:t>
            </w:r>
            <w:r>
              <w:rPr>
                <w:spacing w:val="-11"/>
                <w:sz w:val="20"/>
              </w:rPr>
              <w:t> </w:t>
            </w:r>
            <w:r>
              <w:rPr>
                <w:sz w:val="20"/>
              </w:rPr>
              <w:t>Electra,</w:t>
            </w:r>
            <w:r>
              <w:rPr>
                <w:spacing w:val="-11"/>
                <w:sz w:val="20"/>
              </w:rPr>
              <w:t> </w:t>
            </w:r>
            <w:r>
              <w:rPr>
                <w:sz w:val="20"/>
              </w:rPr>
              <w:t>comenzó</w:t>
            </w:r>
            <w:r>
              <w:rPr>
                <w:spacing w:val="-10"/>
                <w:sz w:val="20"/>
              </w:rPr>
              <w:t> </w:t>
            </w:r>
            <w:r>
              <w:rPr>
                <w:sz w:val="20"/>
              </w:rPr>
              <w:t>a</w:t>
            </w:r>
            <w:r>
              <w:rPr>
                <w:spacing w:val="-10"/>
                <w:sz w:val="20"/>
              </w:rPr>
              <w:t> </w:t>
            </w:r>
            <w:r>
              <w:rPr>
                <w:sz w:val="20"/>
              </w:rPr>
              <w:t>sentir</w:t>
            </w:r>
            <w:r>
              <w:rPr>
                <w:spacing w:val="-9"/>
                <w:sz w:val="20"/>
              </w:rPr>
              <w:t> </w:t>
            </w:r>
            <w:r>
              <w:rPr>
                <w:sz w:val="20"/>
              </w:rPr>
              <w:t>dolores</w:t>
            </w:r>
            <w:r>
              <w:rPr>
                <w:spacing w:val="-4"/>
                <w:sz w:val="20"/>
              </w:rPr>
              <w:t> </w:t>
            </w:r>
            <w:r>
              <w:rPr>
                <w:sz w:val="20"/>
              </w:rPr>
              <w:t>y</w:t>
            </w:r>
            <w:r>
              <w:rPr>
                <w:spacing w:val="-14"/>
                <w:sz w:val="20"/>
              </w:rPr>
              <w:t> </w:t>
            </w:r>
            <w:r>
              <w:rPr>
                <w:sz w:val="20"/>
              </w:rPr>
              <w:t>tuvo</w:t>
            </w:r>
            <w:r>
              <w:rPr>
                <w:spacing w:val="-10"/>
                <w:sz w:val="20"/>
              </w:rPr>
              <w:t> </w:t>
            </w:r>
            <w:r>
              <w:rPr>
                <w:sz w:val="20"/>
              </w:rPr>
              <w:t>a</w:t>
            </w:r>
            <w:r>
              <w:rPr>
                <w:spacing w:val="-10"/>
                <w:sz w:val="20"/>
              </w:rPr>
              <w:t> </w:t>
            </w:r>
            <w:r>
              <w:rPr>
                <w:sz w:val="20"/>
              </w:rPr>
              <w:t>su bebé, lo tuvo en el baño de Electra, lo dejó en el baño, ya que por miedo siempre había tratado de ocultar su embarazo, por temor, al otro día se entregó, abandonó a su bebé por miedo a sus familiares, al rechazo social y, sobre todo al rechazo y maltrato de su</w:t>
            </w:r>
            <w:r>
              <w:rPr>
                <w:spacing w:val="-19"/>
                <w:sz w:val="20"/>
              </w:rPr>
              <w:t> </w:t>
            </w:r>
            <w:r>
              <w:rPr>
                <w:sz w:val="20"/>
              </w:rPr>
              <w:t>pareja.</w:t>
            </w:r>
          </w:p>
        </w:tc>
      </w:tr>
      <w:tr>
        <w:trPr>
          <w:trHeight w:val="2724" w:hRule="exact"/>
        </w:trPr>
        <w:tc>
          <w:tcPr>
            <w:tcW w:w="4414" w:type="dxa"/>
            <w:vMerge/>
          </w:tcPr>
          <w:p>
            <w:pPr/>
          </w:p>
        </w:tc>
        <w:tc>
          <w:tcPr>
            <w:tcW w:w="4415" w:type="dxa"/>
          </w:tcPr>
          <w:p>
            <w:pPr>
              <w:pStyle w:val="TableParagraph"/>
              <w:spacing w:line="276" w:lineRule="auto"/>
              <w:ind w:right="104"/>
              <w:jc w:val="both"/>
              <w:rPr>
                <w:sz w:val="20"/>
              </w:rPr>
            </w:pPr>
            <w:r>
              <w:rPr>
                <w:sz w:val="20"/>
              </w:rPr>
              <w:t>Antecedente de violencia de género: La tacha social de la gente que sabía que el bebé que esperaba no era de su pareja.</w:t>
            </w:r>
          </w:p>
          <w:p>
            <w:pPr>
              <w:pStyle w:val="TableParagraph"/>
              <w:spacing w:before="6"/>
              <w:ind w:left="0"/>
              <w:rPr>
                <w:sz w:val="17"/>
              </w:rPr>
            </w:pPr>
          </w:p>
          <w:p>
            <w:pPr>
              <w:pStyle w:val="TableParagraph"/>
              <w:spacing w:line="276" w:lineRule="auto"/>
              <w:ind w:right="107"/>
              <w:jc w:val="both"/>
              <w:rPr>
                <w:sz w:val="20"/>
              </w:rPr>
            </w:pPr>
            <w:r>
              <w:rPr>
                <w:sz w:val="20"/>
              </w:rPr>
              <w:t>Al</w:t>
            </w:r>
            <w:r>
              <w:rPr>
                <w:spacing w:val="-6"/>
                <w:sz w:val="20"/>
              </w:rPr>
              <w:t> </w:t>
            </w:r>
            <w:r>
              <w:rPr>
                <w:sz w:val="20"/>
              </w:rPr>
              <w:t>conocer</w:t>
            </w:r>
            <w:r>
              <w:rPr>
                <w:spacing w:val="-5"/>
                <w:sz w:val="20"/>
              </w:rPr>
              <w:t> </w:t>
            </w:r>
            <w:r>
              <w:rPr>
                <w:sz w:val="20"/>
              </w:rPr>
              <w:t>los</w:t>
            </w:r>
            <w:r>
              <w:rPr>
                <w:spacing w:val="-5"/>
                <w:sz w:val="20"/>
              </w:rPr>
              <w:t> </w:t>
            </w:r>
            <w:r>
              <w:rPr>
                <w:sz w:val="20"/>
              </w:rPr>
              <w:t>hechos</w:t>
            </w:r>
            <w:r>
              <w:rPr>
                <w:spacing w:val="-7"/>
                <w:sz w:val="20"/>
              </w:rPr>
              <w:t> </w:t>
            </w:r>
            <w:r>
              <w:rPr>
                <w:sz w:val="20"/>
              </w:rPr>
              <w:t>su</w:t>
            </w:r>
            <w:r>
              <w:rPr>
                <w:spacing w:val="-6"/>
                <w:sz w:val="20"/>
              </w:rPr>
              <w:t> </w:t>
            </w:r>
            <w:r>
              <w:rPr>
                <w:sz w:val="20"/>
              </w:rPr>
              <w:t>pareja</w:t>
            </w:r>
            <w:r>
              <w:rPr>
                <w:spacing w:val="-8"/>
                <w:sz w:val="20"/>
              </w:rPr>
              <w:t> </w:t>
            </w:r>
            <w:r>
              <w:rPr>
                <w:sz w:val="20"/>
              </w:rPr>
              <w:t>la</w:t>
            </w:r>
            <w:r>
              <w:rPr>
                <w:spacing w:val="-8"/>
                <w:sz w:val="20"/>
              </w:rPr>
              <w:t> </w:t>
            </w:r>
            <w:r>
              <w:rPr>
                <w:sz w:val="20"/>
              </w:rPr>
              <w:t>dejó</w:t>
            </w:r>
            <w:r>
              <w:rPr>
                <w:spacing w:val="-3"/>
                <w:sz w:val="20"/>
              </w:rPr>
              <w:t> </w:t>
            </w:r>
            <w:r>
              <w:rPr>
                <w:sz w:val="20"/>
              </w:rPr>
              <w:t>y</w:t>
            </w:r>
            <w:r>
              <w:rPr>
                <w:spacing w:val="-12"/>
                <w:sz w:val="20"/>
              </w:rPr>
              <w:t> </w:t>
            </w:r>
            <w:r>
              <w:rPr>
                <w:sz w:val="20"/>
              </w:rPr>
              <w:t>nunca la fue a buscar a la</w:t>
            </w:r>
            <w:r>
              <w:rPr>
                <w:spacing w:val="-10"/>
                <w:sz w:val="20"/>
              </w:rPr>
              <w:t> </w:t>
            </w:r>
            <w:r>
              <w:rPr>
                <w:sz w:val="20"/>
              </w:rPr>
              <w:t>cárcel.</w:t>
            </w:r>
          </w:p>
          <w:p>
            <w:pPr>
              <w:pStyle w:val="TableParagraph"/>
              <w:spacing w:before="4"/>
              <w:ind w:left="0"/>
              <w:rPr>
                <w:sz w:val="17"/>
              </w:rPr>
            </w:pPr>
          </w:p>
          <w:p>
            <w:pPr>
              <w:pStyle w:val="TableParagraph"/>
              <w:spacing w:line="276" w:lineRule="auto"/>
              <w:ind w:right="104"/>
              <w:jc w:val="both"/>
              <w:rPr>
                <w:sz w:val="20"/>
              </w:rPr>
            </w:pPr>
            <w:r>
              <w:rPr>
                <w:sz w:val="20"/>
              </w:rPr>
              <w:t>Actualmente el menor se encuentra en Toluca, y ella se autocastiga por no ser una buena madre.</w:t>
            </w:r>
          </w:p>
        </w:tc>
      </w:tr>
      <w:tr>
        <w:trPr>
          <w:trHeight w:val="1006" w:hRule="exact"/>
        </w:trPr>
        <w:tc>
          <w:tcPr>
            <w:tcW w:w="4414" w:type="dxa"/>
          </w:tcPr>
          <w:p>
            <w:pPr>
              <w:pStyle w:val="TableParagraph"/>
              <w:spacing w:before="2"/>
              <w:ind w:right="451"/>
              <w:rPr>
                <w:sz w:val="20"/>
              </w:rPr>
            </w:pPr>
            <w:r>
              <w:rPr>
                <w:sz w:val="20"/>
              </w:rPr>
              <w:t>PROCEDIMIENTO</w:t>
            </w:r>
          </w:p>
        </w:tc>
        <w:tc>
          <w:tcPr>
            <w:tcW w:w="4415" w:type="dxa"/>
          </w:tcPr>
          <w:p>
            <w:pPr>
              <w:pStyle w:val="TableParagraph"/>
              <w:spacing w:line="276" w:lineRule="auto" w:before="2"/>
              <w:ind w:right="102"/>
              <w:jc w:val="both"/>
              <w:rPr>
                <w:sz w:val="20"/>
              </w:rPr>
            </w:pPr>
            <w:r>
              <w:rPr>
                <w:sz w:val="20"/>
              </w:rPr>
              <w:t>Erika se entregó al día siguiente de la comisión de</w:t>
            </w:r>
            <w:r>
              <w:rPr>
                <w:spacing w:val="-6"/>
                <w:sz w:val="20"/>
              </w:rPr>
              <w:t> </w:t>
            </w:r>
            <w:r>
              <w:rPr>
                <w:sz w:val="20"/>
              </w:rPr>
              <w:t>los</w:t>
            </w:r>
            <w:r>
              <w:rPr>
                <w:spacing w:val="-5"/>
                <w:sz w:val="20"/>
              </w:rPr>
              <w:t> </w:t>
            </w:r>
            <w:r>
              <w:rPr>
                <w:sz w:val="20"/>
              </w:rPr>
              <w:t>hechos</w:t>
            </w:r>
            <w:r>
              <w:rPr>
                <w:spacing w:val="-2"/>
                <w:sz w:val="20"/>
              </w:rPr>
              <w:t> </w:t>
            </w:r>
            <w:r>
              <w:rPr>
                <w:sz w:val="20"/>
              </w:rPr>
              <w:t>y</w:t>
            </w:r>
            <w:r>
              <w:rPr>
                <w:spacing w:val="-9"/>
                <w:sz w:val="20"/>
              </w:rPr>
              <w:t> </w:t>
            </w:r>
            <w:r>
              <w:rPr>
                <w:sz w:val="20"/>
              </w:rPr>
              <w:t>fue</w:t>
            </w:r>
            <w:r>
              <w:rPr>
                <w:spacing w:val="-6"/>
                <w:sz w:val="20"/>
              </w:rPr>
              <w:t> </w:t>
            </w:r>
            <w:r>
              <w:rPr>
                <w:sz w:val="20"/>
              </w:rPr>
              <w:t>asistida</w:t>
            </w:r>
            <w:r>
              <w:rPr>
                <w:spacing w:val="-3"/>
                <w:sz w:val="20"/>
              </w:rPr>
              <w:t> </w:t>
            </w:r>
            <w:r>
              <w:rPr>
                <w:sz w:val="20"/>
              </w:rPr>
              <w:t>por</w:t>
            </w:r>
            <w:r>
              <w:rPr>
                <w:spacing w:val="-5"/>
                <w:sz w:val="20"/>
              </w:rPr>
              <w:t> </w:t>
            </w:r>
            <w:r>
              <w:rPr>
                <w:sz w:val="20"/>
              </w:rPr>
              <w:t>un</w:t>
            </w:r>
            <w:r>
              <w:rPr>
                <w:spacing w:val="-6"/>
                <w:sz w:val="20"/>
              </w:rPr>
              <w:t> </w:t>
            </w:r>
            <w:r>
              <w:rPr>
                <w:sz w:val="20"/>
              </w:rPr>
              <w:t>Defensor</w:t>
            </w:r>
            <w:r>
              <w:rPr>
                <w:spacing w:val="-5"/>
                <w:sz w:val="20"/>
              </w:rPr>
              <w:t> </w:t>
            </w:r>
            <w:r>
              <w:rPr>
                <w:sz w:val="20"/>
              </w:rPr>
              <w:t>de Oficio.</w:t>
            </w:r>
          </w:p>
        </w:tc>
      </w:tr>
    </w:tbl>
    <w:p>
      <w:pPr>
        <w:spacing w:after="0" w:line="276" w:lineRule="auto"/>
        <w:jc w:val="both"/>
        <w:rPr>
          <w:sz w:val="20"/>
        </w:rPr>
        <w:sectPr>
          <w:pgSz w:w="12240" w:h="15840"/>
          <w:pgMar w:header="0" w:footer="942" w:top="1420" w:bottom="120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5"/>
      </w:tblGrid>
      <w:tr>
        <w:trPr>
          <w:trHeight w:val="475" w:hRule="exact"/>
        </w:trPr>
        <w:tc>
          <w:tcPr>
            <w:tcW w:w="4414" w:type="dxa"/>
          </w:tcPr>
          <w:p>
            <w:pPr/>
          </w:p>
        </w:tc>
        <w:tc>
          <w:tcPr>
            <w:tcW w:w="4415" w:type="dxa"/>
          </w:tcPr>
          <w:p>
            <w:pPr>
              <w:pStyle w:val="TableParagraph"/>
              <w:spacing w:line="228" w:lineRule="exact"/>
              <w:rPr>
                <w:sz w:val="20"/>
              </w:rPr>
            </w:pPr>
            <w:r>
              <w:rPr>
                <w:sz w:val="20"/>
              </w:rPr>
              <w:t>Se sentenció a un año de prisión.</w:t>
            </w:r>
          </w:p>
        </w:tc>
      </w:tr>
      <w:tr>
        <w:trPr>
          <w:trHeight w:val="1003" w:hRule="exact"/>
        </w:trPr>
        <w:tc>
          <w:tcPr>
            <w:tcW w:w="4414" w:type="dxa"/>
          </w:tcPr>
          <w:p>
            <w:pPr>
              <w:pStyle w:val="TableParagraph"/>
              <w:spacing w:line="276" w:lineRule="auto"/>
              <w:rPr>
                <w:sz w:val="20"/>
              </w:rPr>
            </w:pPr>
            <w:r>
              <w:rPr>
                <w:sz w:val="20"/>
              </w:rPr>
              <w:t>ANTECEDENTE DE VIOLENCIA DE GÉNERO DURANTE EL PROCEDIMIENTO</w:t>
            </w:r>
          </w:p>
        </w:tc>
        <w:tc>
          <w:tcPr>
            <w:tcW w:w="4415" w:type="dxa"/>
          </w:tcPr>
          <w:p>
            <w:pPr>
              <w:pStyle w:val="TableParagraph"/>
              <w:spacing w:line="276" w:lineRule="auto"/>
              <w:ind w:right="105"/>
              <w:jc w:val="both"/>
              <w:rPr>
                <w:sz w:val="20"/>
              </w:rPr>
            </w:pPr>
            <w:r>
              <w:rPr>
                <w:sz w:val="20"/>
              </w:rPr>
              <w:t>Erika refiere que el Agente del Ministerio Público,</w:t>
            </w:r>
            <w:r>
              <w:rPr>
                <w:spacing w:val="-8"/>
                <w:sz w:val="20"/>
              </w:rPr>
              <w:t> </w:t>
            </w:r>
            <w:r>
              <w:rPr>
                <w:sz w:val="20"/>
              </w:rPr>
              <w:t>le</w:t>
            </w:r>
            <w:r>
              <w:rPr>
                <w:spacing w:val="-10"/>
                <w:sz w:val="20"/>
              </w:rPr>
              <w:t> </w:t>
            </w:r>
            <w:r>
              <w:rPr>
                <w:sz w:val="20"/>
              </w:rPr>
              <w:t>dijo</w:t>
            </w:r>
            <w:r>
              <w:rPr>
                <w:spacing w:val="-8"/>
                <w:sz w:val="20"/>
              </w:rPr>
              <w:t> </w:t>
            </w:r>
            <w:r>
              <w:rPr>
                <w:sz w:val="20"/>
              </w:rPr>
              <w:t>que</w:t>
            </w:r>
            <w:r>
              <w:rPr>
                <w:spacing w:val="-8"/>
                <w:sz w:val="20"/>
              </w:rPr>
              <w:t> </w:t>
            </w:r>
            <w:r>
              <w:rPr>
                <w:sz w:val="20"/>
              </w:rPr>
              <w:t>ni</w:t>
            </w:r>
            <w:r>
              <w:rPr>
                <w:spacing w:val="-10"/>
                <w:sz w:val="20"/>
              </w:rPr>
              <w:t> </w:t>
            </w:r>
            <w:r>
              <w:rPr>
                <w:sz w:val="20"/>
              </w:rPr>
              <w:t>los</w:t>
            </w:r>
            <w:r>
              <w:rPr>
                <w:spacing w:val="-9"/>
                <w:sz w:val="20"/>
              </w:rPr>
              <w:t> </w:t>
            </w:r>
            <w:r>
              <w:rPr>
                <w:sz w:val="20"/>
              </w:rPr>
              <w:t>animales</w:t>
            </w:r>
            <w:r>
              <w:rPr>
                <w:spacing w:val="-9"/>
                <w:sz w:val="20"/>
              </w:rPr>
              <w:t> </w:t>
            </w:r>
            <w:r>
              <w:rPr>
                <w:sz w:val="20"/>
              </w:rPr>
              <w:t>tiraban</w:t>
            </w:r>
            <w:r>
              <w:rPr>
                <w:spacing w:val="-8"/>
                <w:sz w:val="20"/>
              </w:rPr>
              <w:t> </w:t>
            </w:r>
            <w:r>
              <w:rPr>
                <w:sz w:val="20"/>
              </w:rPr>
              <w:t>a</w:t>
            </w:r>
            <w:r>
              <w:rPr>
                <w:spacing w:val="-10"/>
                <w:sz w:val="20"/>
              </w:rPr>
              <w:t> </w:t>
            </w:r>
            <w:r>
              <w:rPr>
                <w:sz w:val="20"/>
              </w:rPr>
              <w:t>sus hijos, y que ya se había</w:t>
            </w:r>
            <w:r>
              <w:rPr>
                <w:spacing w:val="-15"/>
                <w:sz w:val="20"/>
              </w:rPr>
              <w:t> </w:t>
            </w:r>
            <w:r>
              <w:rPr>
                <w:sz w:val="20"/>
              </w:rPr>
              <w:t>chingado.</w:t>
            </w:r>
          </w:p>
        </w:tc>
      </w:tr>
    </w:tbl>
    <w:p>
      <w:pPr>
        <w:pStyle w:val="BodyText"/>
        <w:rPr>
          <w:sz w:val="20"/>
        </w:rPr>
      </w:pPr>
    </w:p>
    <w:p>
      <w:pPr>
        <w:pStyle w:val="BodyText"/>
        <w:spacing w:before="7"/>
        <w:rPr>
          <w:sz w:val="23"/>
        </w:rPr>
      </w:pPr>
    </w:p>
    <w:p>
      <w:pPr>
        <w:pStyle w:val="BodyText"/>
        <w:spacing w:before="73"/>
        <w:ind w:left="102" w:right="96"/>
      </w:pPr>
      <w:r>
        <w:rPr/>
        <w:t>CASO 4:</w:t>
      </w:r>
    </w:p>
    <w:p>
      <w:pPr>
        <w:pStyle w:val="BodyText"/>
        <w:spacing w:before="5" w:after="1"/>
        <w:rPr>
          <w:sz w:val="28"/>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5"/>
      </w:tblGrid>
      <w:tr>
        <w:trPr>
          <w:trHeight w:val="1270" w:hRule="exact"/>
        </w:trPr>
        <w:tc>
          <w:tcPr>
            <w:tcW w:w="4414" w:type="dxa"/>
            <w:vMerge w:val="restart"/>
          </w:tcPr>
          <w:p>
            <w:pPr>
              <w:pStyle w:val="TableParagraph"/>
              <w:ind w:right="451"/>
              <w:rPr>
                <w:sz w:val="20"/>
              </w:rPr>
            </w:pPr>
            <w:r>
              <w:rPr>
                <w:sz w:val="20"/>
              </w:rPr>
              <w:t>DATOS GENERALES</w:t>
            </w:r>
          </w:p>
        </w:tc>
        <w:tc>
          <w:tcPr>
            <w:tcW w:w="4415" w:type="dxa"/>
          </w:tcPr>
          <w:p>
            <w:pPr>
              <w:pStyle w:val="TableParagraph"/>
              <w:spacing w:line="276" w:lineRule="auto"/>
              <w:ind w:right="108"/>
              <w:jc w:val="both"/>
              <w:rPr>
                <w:sz w:val="20"/>
              </w:rPr>
            </w:pPr>
            <w:r>
              <w:rPr>
                <w:sz w:val="20"/>
              </w:rPr>
              <w:t>Adriana, 31 años de edad, obrera, grado máximo de estudios primaria. Se encuentra sentenciada a 5 años 4 meses de prisión, por Homicidio Calificado.</w:t>
            </w:r>
          </w:p>
        </w:tc>
      </w:tr>
      <w:tr>
        <w:trPr>
          <w:trHeight w:val="1997" w:hRule="exact"/>
        </w:trPr>
        <w:tc>
          <w:tcPr>
            <w:tcW w:w="4414" w:type="dxa"/>
            <w:vMerge/>
          </w:tcPr>
          <w:p>
            <w:pPr/>
          </w:p>
        </w:tc>
        <w:tc>
          <w:tcPr>
            <w:tcW w:w="4415" w:type="dxa"/>
          </w:tcPr>
          <w:p>
            <w:pPr>
              <w:pStyle w:val="TableParagraph"/>
              <w:spacing w:line="276" w:lineRule="auto"/>
              <w:ind w:right="103"/>
              <w:jc w:val="both"/>
              <w:rPr>
                <w:sz w:val="20"/>
              </w:rPr>
            </w:pPr>
            <w:r>
              <w:rPr>
                <w:sz w:val="20"/>
              </w:rPr>
              <w:t>Breve relato de los hechos: Adriana fue acusada por su tío de haber matado a una señora, aunque también fueron acusados dos hombres más, sólo se sentenció a Adriana,</w:t>
            </w:r>
            <w:r>
              <w:rPr>
                <w:spacing w:val="-18"/>
                <w:sz w:val="20"/>
              </w:rPr>
              <w:t> </w:t>
            </w:r>
            <w:r>
              <w:rPr>
                <w:sz w:val="20"/>
              </w:rPr>
              <w:t>ella manifiesta no conocer a la</w:t>
            </w:r>
            <w:r>
              <w:rPr>
                <w:spacing w:val="-10"/>
                <w:sz w:val="20"/>
              </w:rPr>
              <w:t> </w:t>
            </w:r>
            <w:r>
              <w:rPr>
                <w:sz w:val="20"/>
              </w:rPr>
              <w:t>señora.</w:t>
            </w:r>
          </w:p>
        </w:tc>
      </w:tr>
      <w:tr>
        <w:trPr>
          <w:trHeight w:val="1795" w:hRule="exact"/>
        </w:trPr>
        <w:tc>
          <w:tcPr>
            <w:tcW w:w="4414" w:type="dxa"/>
          </w:tcPr>
          <w:p>
            <w:pPr>
              <w:pStyle w:val="TableParagraph"/>
              <w:spacing w:line="230" w:lineRule="exact"/>
              <w:ind w:left="158" w:right="451"/>
              <w:rPr>
                <w:sz w:val="20"/>
              </w:rPr>
            </w:pPr>
            <w:r>
              <w:rPr>
                <w:sz w:val="20"/>
              </w:rPr>
              <w:t>PROCEDIMIENTO</w:t>
            </w:r>
          </w:p>
        </w:tc>
        <w:tc>
          <w:tcPr>
            <w:tcW w:w="4415" w:type="dxa"/>
          </w:tcPr>
          <w:p>
            <w:pPr>
              <w:pStyle w:val="TableParagraph"/>
              <w:spacing w:line="276" w:lineRule="auto"/>
              <w:ind w:right="104"/>
              <w:jc w:val="both"/>
              <w:rPr>
                <w:sz w:val="20"/>
              </w:rPr>
            </w:pPr>
            <w:r>
              <w:rPr>
                <w:sz w:val="20"/>
              </w:rPr>
              <w:t>Adriana manifiesta que nunca estuvo en contacto con su abogado, nunca supo por qué se encontraba en prisión. Fue defendida por Defensor Público. Desconoce el argumento del Juez</w:t>
            </w:r>
            <w:r>
              <w:rPr>
                <w:spacing w:val="-14"/>
                <w:sz w:val="20"/>
              </w:rPr>
              <w:t> </w:t>
            </w:r>
            <w:r>
              <w:rPr>
                <w:sz w:val="20"/>
              </w:rPr>
              <w:t>para</w:t>
            </w:r>
            <w:r>
              <w:rPr>
                <w:spacing w:val="-10"/>
                <w:sz w:val="20"/>
              </w:rPr>
              <w:t> </w:t>
            </w:r>
            <w:r>
              <w:rPr>
                <w:sz w:val="20"/>
              </w:rPr>
              <w:t>haberla</w:t>
            </w:r>
            <w:r>
              <w:rPr>
                <w:spacing w:val="-11"/>
                <w:sz w:val="20"/>
              </w:rPr>
              <w:t> </w:t>
            </w:r>
            <w:r>
              <w:rPr>
                <w:sz w:val="20"/>
              </w:rPr>
              <w:t>sentenciado.</w:t>
            </w:r>
            <w:r>
              <w:rPr>
                <w:spacing w:val="-11"/>
                <w:sz w:val="20"/>
              </w:rPr>
              <w:t> </w:t>
            </w:r>
            <w:r>
              <w:rPr>
                <w:sz w:val="20"/>
              </w:rPr>
              <w:t>No</w:t>
            </w:r>
            <w:r>
              <w:rPr>
                <w:spacing w:val="-10"/>
                <w:sz w:val="20"/>
              </w:rPr>
              <w:t> </w:t>
            </w:r>
            <w:r>
              <w:rPr>
                <w:sz w:val="20"/>
              </w:rPr>
              <w:t>se</w:t>
            </w:r>
            <w:r>
              <w:rPr>
                <w:spacing w:val="-10"/>
                <w:sz w:val="20"/>
              </w:rPr>
              <w:t> </w:t>
            </w:r>
            <w:r>
              <w:rPr>
                <w:sz w:val="20"/>
              </w:rPr>
              <w:t>interpuso ningún recurso en contra de la</w:t>
            </w:r>
            <w:r>
              <w:rPr>
                <w:spacing w:val="-19"/>
                <w:sz w:val="20"/>
              </w:rPr>
              <w:t> </w:t>
            </w:r>
            <w:r>
              <w:rPr>
                <w:sz w:val="20"/>
              </w:rPr>
              <w:t>sentencia.</w:t>
            </w:r>
          </w:p>
        </w:tc>
      </w:tr>
      <w:tr>
        <w:trPr>
          <w:trHeight w:val="1798" w:hRule="exact"/>
        </w:trPr>
        <w:tc>
          <w:tcPr>
            <w:tcW w:w="4414" w:type="dxa"/>
          </w:tcPr>
          <w:p>
            <w:pPr>
              <w:pStyle w:val="TableParagraph"/>
              <w:spacing w:line="278" w:lineRule="auto"/>
              <w:rPr>
                <w:sz w:val="20"/>
              </w:rPr>
            </w:pPr>
            <w:r>
              <w:rPr>
                <w:sz w:val="20"/>
              </w:rPr>
              <w:t>ANTECEDENTE DE VIOLENCIA DE GÉNERO DURANTE EL PROCEDIMIENTO</w:t>
            </w:r>
          </w:p>
        </w:tc>
        <w:tc>
          <w:tcPr>
            <w:tcW w:w="4415" w:type="dxa"/>
          </w:tcPr>
          <w:p>
            <w:pPr>
              <w:pStyle w:val="TableParagraph"/>
              <w:spacing w:line="276" w:lineRule="auto"/>
              <w:ind w:right="102"/>
              <w:jc w:val="both"/>
              <w:rPr>
                <w:sz w:val="20"/>
              </w:rPr>
            </w:pPr>
            <w:r>
              <w:rPr>
                <w:sz w:val="20"/>
              </w:rPr>
              <w:t>Adriana refiere que en diversas ocasiones ha peticionado</w:t>
            </w:r>
            <w:r>
              <w:rPr>
                <w:spacing w:val="-11"/>
                <w:sz w:val="20"/>
              </w:rPr>
              <w:t> </w:t>
            </w:r>
            <w:r>
              <w:rPr>
                <w:sz w:val="20"/>
              </w:rPr>
              <w:t>audiencia</w:t>
            </w:r>
            <w:r>
              <w:rPr>
                <w:spacing w:val="-14"/>
                <w:sz w:val="20"/>
              </w:rPr>
              <w:t> </w:t>
            </w:r>
            <w:r>
              <w:rPr>
                <w:sz w:val="20"/>
              </w:rPr>
              <w:t>con</w:t>
            </w:r>
            <w:r>
              <w:rPr>
                <w:spacing w:val="-12"/>
                <w:sz w:val="20"/>
              </w:rPr>
              <w:t> </w:t>
            </w:r>
            <w:r>
              <w:rPr>
                <w:sz w:val="20"/>
              </w:rPr>
              <w:t>el</w:t>
            </w:r>
            <w:r>
              <w:rPr>
                <w:spacing w:val="-14"/>
                <w:sz w:val="20"/>
              </w:rPr>
              <w:t> </w:t>
            </w:r>
            <w:r>
              <w:rPr>
                <w:sz w:val="20"/>
              </w:rPr>
              <w:t>Director</w:t>
            </w:r>
            <w:r>
              <w:rPr>
                <w:spacing w:val="-11"/>
                <w:sz w:val="20"/>
              </w:rPr>
              <w:t> </w:t>
            </w:r>
            <w:r>
              <w:rPr>
                <w:sz w:val="20"/>
              </w:rPr>
              <w:t>del</w:t>
            </w:r>
            <w:r>
              <w:rPr>
                <w:spacing w:val="-12"/>
                <w:sz w:val="20"/>
              </w:rPr>
              <w:t> </w:t>
            </w:r>
            <w:r>
              <w:rPr>
                <w:sz w:val="20"/>
              </w:rPr>
              <w:t>Centro Preventivo y de Readaptación Social, para plantearle las condiciones en las que se encuentran viviendo, sin recibir respuesta favorable.</w:t>
            </w:r>
          </w:p>
        </w:tc>
      </w:tr>
    </w:tbl>
    <w:p>
      <w:pPr>
        <w:pStyle w:val="BodyText"/>
        <w:rPr>
          <w:sz w:val="20"/>
        </w:rPr>
      </w:pPr>
    </w:p>
    <w:p>
      <w:pPr>
        <w:pStyle w:val="BodyText"/>
        <w:spacing w:before="11"/>
        <w:rPr>
          <w:sz w:val="23"/>
        </w:rPr>
      </w:pPr>
    </w:p>
    <w:p>
      <w:pPr>
        <w:pStyle w:val="BodyText"/>
        <w:spacing w:before="73"/>
        <w:ind w:left="102" w:right="96"/>
      </w:pPr>
      <w:r>
        <w:rPr/>
        <w:t>CASO 5:</w:t>
      </w:r>
    </w:p>
    <w:p>
      <w:pPr>
        <w:pStyle w:val="BodyText"/>
        <w:spacing w:before="7"/>
        <w:rPr>
          <w:sz w:val="24"/>
        </w:rPr>
      </w:pPr>
      <w:r>
        <w:rPr/>
        <w:pict>
          <v:group style="position:absolute;margin-left:85.094002pt;margin-top:16.138964pt;width:441.95pt;height:68.95pt;mso-position-horizontal-relative:page;mso-position-vertical-relative:paragraph;z-index:6616;mso-wrap-distance-left:0;mso-wrap-distance-right:0" coordorigin="1702,323" coordsize="8839,1379">
            <v:line style="position:absolute" from="1712,333" to="6116,333" stroked="true" strokeweight=".47998pt" strokecolor="#000000"/>
            <v:line style="position:absolute" from="6126,333" to="10531,333" stroked="true" strokeweight=".47998pt" strokecolor="#000000"/>
            <v:line style="position:absolute" from="1707,328" to="1707,1696" stroked="true" strokeweight=".48pt" strokecolor="#000000"/>
            <v:line style="position:absolute" from="1712,1691" to="6116,1691" stroked="true" strokeweight=".48004pt" strokecolor="#000000"/>
            <v:line style="position:absolute" from="6121,328" to="6121,1696" stroked="true" strokeweight=".47998pt" strokecolor="#000000"/>
            <v:line style="position:absolute" from="6126,1691" to="10531,1691" stroked="true" strokeweight=".48004pt" strokecolor="#000000"/>
            <v:line style="position:absolute" from="10536,328" to="10536,1696" stroked="true" strokeweight=".47998pt" strokecolor="#000000"/>
            <v:shape style="position:absolute;left:6121;top:333;width:4415;height:1359" type="#_x0000_t202" filled="false" stroked="false">
              <v:textbox inset="0,0,0,0">
                <w:txbxContent>
                  <w:p>
                    <w:pPr>
                      <w:spacing w:line="276" w:lineRule="auto" w:before="4"/>
                      <w:ind w:left="108" w:right="105" w:firstLine="0"/>
                      <w:jc w:val="both"/>
                      <w:rPr>
                        <w:sz w:val="20"/>
                      </w:rPr>
                    </w:pPr>
                    <w:r>
                      <w:rPr>
                        <w:sz w:val="20"/>
                      </w:rPr>
                      <w:t>María de la Paz, de 30 años de edad, soltera, de escolaridad secundaria, tiene cuatro hijos,</w:t>
                    </w:r>
                    <w:r>
                      <w:rPr>
                        <w:spacing w:val="-37"/>
                        <w:sz w:val="20"/>
                      </w:rPr>
                      <w:t> </w:t>
                    </w:r>
                    <w:r>
                      <w:rPr>
                        <w:sz w:val="20"/>
                      </w:rPr>
                      <w:t>el más pequeño tiene cuatro meses. Detenida</w:t>
                    </w:r>
                    <w:r>
                      <w:rPr>
                        <w:spacing w:val="-30"/>
                        <w:sz w:val="20"/>
                      </w:rPr>
                      <w:t> </w:t>
                    </w:r>
                    <w:r>
                      <w:rPr>
                        <w:sz w:val="20"/>
                      </w:rPr>
                      <w:t>por delito de lesiones.</w:t>
                    </w:r>
                    <w:r>
                      <w:rPr>
                        <w:spacing w:val="-12"/>
                        <w:sz w:val="20"/>
                      </w:rPr>
                      <w:t> </w:t>
                    </w:r>
                    <w:r>
                      <w:rPr>
                        <w:sz w:val="20"/>
                      </w:rPr>
                      <w:t>Primodelincuente.</w:t>
                    </w:r>
                  </w:p>
                </w:txbxContent>
              </v:textbox>
              <w10:wrap type="none"/>
            </v:shape>
            <w10:wrap type="topAndBottom"/>
          </v:group>
        </w:pict>
      </w:r>
    </w:p>
    <w:p>
      <w:pPr>
        <w:spacing w:after="0"/>
        <w:rPr>
          <w:sz w:val="24"/>
        </w:rPr>
        <w:sectPr>
          <w:pgSz w:w="12240" w:h="15840"/>
          <w:pgMar w:header="0" w:footer="942" w:top="1420" w:bottom="120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5"/>
      </w:tblGrid>
      <w:tr>
        <w:trPr>
          <w:trHeight w:val="3320" w:hRule="exact"/>
        </w:trPr>
        <w:tc>
          <w:tcPr>
            <w:tcW w:w="4414" w:type="dxa"/>
          </w:tcPr>
          <w:p>
            <w:pPr>
              <w:pStyle w:val="TableParagraph"/>
              <w:spacing w:line="228" w:lineRule="exact"/>
              <w:ind w:right="451"/>
              <w:rPr>
                <w:sz w:val="20"/>
              </w:rPr>
            </w:pPr>
            <w:r>
              <w:rPr>
                <w:sz w:val="20"/>
              </w:rPr>
              <w:t>DATOS GENERALES</w:t>
            </w:r>
          </w:p>
        </w:tc>
        <w:tc>
          <w:tcPr>
            <w:tcW w:w="4415" w:type="dxa"/>
          </w:tcPr>
          <w:p>
            <w:pPr>
              <w:pStyle w:val="TableParagraph"/>
              <w:spacing w:line="276" w:lineRule="auto"/>
              <w:ind w:right="101"/>
              <w:jc w:val="both"/>
              <w:rPr>
                <w:sz w:val="20"/>
              </w:rPr>
            </w:pPr>
            <w:r>
              <w:rPr>
                <w:sz w:val="20"/>
              </w:rPr>
              <w:t>Breve relato de los hechos: El ciclo escolar pasado</w:t>
            </w:r>
            <w:r>
              <w:rPr>
                <w:spacing w:val="-4"/>
                <w:sz w:val="20"/>
              </w:rPr>
              <w:t> </w:t>
            </w:r>
            <w:r>
              <w:rPr>
                <w:sz w:val="20"/>
              </w:rPr>
              <w:t>vendía</w:t>
            </w:r>
            <w:r>
              <w:rPr>
                <w:spacing w:val="-7"/>
                <w:sz w:val="20"/>
              </w:rPr>
              <w:t> </w:t>
            </w:r>
            <w:r>
              <w:rPr>
                <w:sz w:val="20"/>
              </w:rPr>
              <w:t>en</w:t>
            </w:r>
            <w:r>
              <w:rPr>
                <w:spacing w:val="-7"/>
                <w:sz w:val="20"/>
              </w:rPr>
              <w:t> </w:t>
            </w:r>
            <w:r>
              <w:rPr>
                <w:sz w:val="20"/>
              </w:rPr>
              <w:t>la</w:t>
            </w:r>
            <w:r>
              <w:rPr>
                <w:spacing w:val="-7"/>
                <w:sz w:val="20"/>
              </w:rPr>
              <w:t> </w:t>
            </w:r>
            <w:r>
              <w:rPr>
                <w:sz w:val="20"/>
              </w:rPr>
              <w:t>tienda</w:t>
            </w:r>
            <w:r>
              <w:rPr>
                <w:spacing w:val="-5"/>
                <w:sz w:val="20"/>
              </w:rPr>
              <w:t> </w:t>
            </w:r>
            <w:r>
              <w:rPr>
                <w:sz w:val="20"/>
              </w:rPr>
              <w:t>de</w:t>
            </w:r>
            <w:r>
              <w:rPr>
                <w:spacing w:val="-7"/>
                <w:sz w:val="20"/>
              </w:rPr>
              <w:t> </w:t>
            </w:r>
            <w:r>
              <w:rPr>
                <w:sz w:val="20"/>
              </w:rPr>
              <w:t>la</w:t>
            </w:r>
            <w:r>
              <w:rPr>
                <w:spacing w:val="-7"/>
                <w:sz w:val="20"/>
              </w:rPr>
              <w:t> </w:t>
            </w:r>
            <w:r>
              <w:rPr>
                <w:sz w:val="20"/>
              </w:rPr>
              <w:t>escuela,</w:t>
            </w:r>
            <w:r>
              <w:rPr>
                <w:spacing w:val="-7"/>
                <w:sz w:val="20"/>
              </w:rPr>
              <w:t> </w:t>
            </w:r>
            <w:r>
              <w:rPr>
                <w:sz w:val="20"/>
              </w:rPr>
              <w:t>como la cambiaron decidió vender afuera, la encargada de la tienda escolar se molestó, porque</w:t>
            </w:r>
            <w:r>
              <w:rPr>
                <w:spacing w:val="-9"/>
                <w:sz w:val="20"/>
              </w:rPr>
              <w:t> </w:t>
            </w:r>
            <w:r>
              <w:rPr>
                <w:sz w:val="20"/>
              </w:rPr>
              <w:t>María</w:t>
            </w:r>
            <w:r>
              <w:rPr>
                <w:spacing w:val="-7"/>
                <w:sz w:val="20"/>
              </w:rPr>
              <w:t> </w:t>
            </w:r>
            <w:r>
              <w:rPr>
                <w:sz w:val="20"/>
              </w:rPr>
              <w:t>de</w:t>
            </w:r>
            <w:r>
              <w:rPr>
                <w:spacing w:val="-7"/>
                <w:sz w:val="20"/>
              </w:rPr>
              <w:t> </w:t>
            </w:r>
            <w:r>
              <w:rPr>
                <w:sz w:val="20"/>
              </w:rPr>
              <w:t>la</w:t>
            </w:r>
            <w:r>
              <w:rPr>
                <w:spacing w:val="-7"/>
                <w:sz w:val="20"/>
              </w:rPr>
              <w:t> </w:t>
            </w:r>
            <w:r>
              <w:rPr>
                <w:sz w:val="20"/>
              </w:rPr>
              <w:t>Paz</w:t>
            </w:r>
            <w:r>
              <w:rPr>
                <w:spacing w:val="-10"/>
                <w:sz w:val="20"/>
              </w:rPr>
              <w:t> </w:t>
            </w:r>
            <w:r>
              <w:rPr>
                <w:sz w:val="20"/>
              </w:rPr>
              <w:t>vendía</w:t>
            </w:r>
            <w:r>
              <w:rPr>
                <w:spacing w:val="-10"/>
                <w:sz w:val="20"/>
              </w:rPr>
              <w:t> </w:t>
            </w:r>
            <w:r>
              <w:rPr>
                <w:sz w:val="20"/>
              </w:rPr>
              <w:t>más,</w:t>
            </w:r>
            <w:r>
              <w:rPr>
                <w:spacing w:val="-7"/>
                <w:sz w:val="20"/>
              </w:rPr>
              <w:t> </w:t>
            </w:r>
            <w:r>
              <w:rPr>
                <w:sz w:val="20"/>
              </w:rPr>
              <w:t>y</w:t>
            </w:r>
            <w:r>
              <w:rPr>
                <w:spacing w:val="-13"/>
                <w:sz w:val="20"/>
              </w:rPr>
              <w:t> </w:t>
            </w:r>
            <w:r>
              <w:rPr>
                <w:sz w:val="20"/>
              </w:rPr>
              <w:t>cada</w:t>
            </w:r>
            <w:r>
              <w:rPr>
                <w:spacing w:val="-7"/>
                <w:sz w:val="20"/>
              </w:rPr>
              <w:t> </w:t>
            </w:r>
            <w:r>
              <w:rPr>
                <w:sz w:val="20"/>
              </w:rPr>
              <w:t>que pasaba frente a su puesto la ofendía, un lunes por la mañana cuando María de la Paz estaba colocando su puesto, llegó la otra señora y comenzó</w:t>
            </w:r>
            <w:r>
              <w:rPr>
                <w:spacing w:val="-10"/>
                <w:sz w:val="20"/>
              </w:rPr>
              <w:t> </w:t>
            </w:r>
            <w:r>
              <w:rPr>
                <w:sz w:val="20"/>
              </w:rPr>
              <w:t>a</w:t>
            </w:r>
            <w:r>
              <w:rPr>
                <w:spacing w:val="-8"/>
                <w:sz w:val="20"/>
              </w:rPr>
              <w:t> </w:t>
            </w:r>
            <w:r>
              <w:rPr>
                <w:sz w:val="20"/>
              </w:rPr>
              <w:t>agredirla,</w:t>
            </w:r>
            <w:r>
              <w:rPr>
                <w:spacing w:val="-11"/>
                <w:sz w:val="20"/>
              </w:rPr>
              <w:t> </w:t>
            </w:r>
            <w:r>
              <w:rPr>
                <w:sz w:val="20"/>
              </w:rPr>
              <w:t>por</w:t>
            </w:r>
            <w:r>
              <w:rPr>
                <w:spacing w:val="-9"/>
                <w:sz w:val="20"/>
              </w:rPr>
              <w:t> </w:t>
            </w:r>
            <w:r>
              <w:rPr>
                <w:sz w:val="20"/>
              </w:rPr>
              <w:t>lo</w:t>
            </w:r>
            <w:r>
              <w:rPr>
                <w:spacing w:val="-8"/>
                <w:sz w:val="20"/>
              </w:rPr>
              <w:t> </w:t>
            </w:r>
            <w:r>
              <w:rPr>
                <w:sz w:val="20"/>
              </w:rPr>
              <w:t>que</w:t>
            </w:r>
            <w:r>
              <w:rPr>
                <w:spacing w:val="-10"/>
                <w:sz w:val="20"/>
              </w:rPr>
              <w:t> </w:t>
            </w:r>
            <w:r>
              <w:rPr>
                <w:sz w:val="20"/>
              </w:rPr>
              <w:t>María</w:t>
            </w:r>
            <w:r>
              <w:rPr>
                <w:spacing w:val="-10"/>
                <w:sz w:val="20"/>
              </w:rPr>
              <w:t> </w:t>
            </w:r>
            <w:r>
              <w:rPr>
                <w:sz w:val="20"/>
              </w:rPr>
              <w:t>de</w:t>
            </w:r>
            <w:r>
              <w:rPr>
                <w:spacing w:val="-10"/>
                <w:sz w:val="20"/>
              </w:rPr>
              <w:t> </w:t>
            </w:r>
            <w:r>
              <w:rPr>
                <w:sz w:val="20"/>
              </w:rPr>
              <w:t>la</w:t>
            </w:r>
            <w:r>
              <w:rPr>
                <w:spacing w:val="-8"/>
                <w:sz w:val="20"/>
              </w:rPr>
              <w:t> </w:t>
            </w:r>
            <w:r>
              <w:rPr>
                <w:sz w:val="20"/>
              </w:rPr>
              <w:t>Paz comenzó a</w:t>
            </w:r>
            <w:r>
              <w:rPr>
                <w:spacing w:val="-9"/>
                <w:sz w:val="20"/>
              </w:rPr>
              <w:t> </w:t>
            </w:r>
            <w:r>
              <w:rPr>
                <w:sz w:val="20"/>
              </w:rPr>
              <w:t>golpearla.</w:t>
            </w:r>
          </w:p>
        </w:tc>
      </w:tr>
      <w:tr>
        <w:trPr>
          <w:trHeight w:val="1534" w:hRule="exact"/>
        </w:trPr>
        <w:tc>
          <w:tcPr>
            <w:tcW w:w="4414" w:type="dxa"/>
          </w:tcPr>
          <w:p>
            <w:pPr>
              <w:pStyle w:val="TableParagraph"/>
              <w:spacing w:line="228" w:lineRule="exact"/>
              <w:ind w:left="158" w:right="451"/>
              <w:rPr>
                <w:sz w:val="20"/>
              </w:rPr>
            </w:pPr>
            <w:r>
              <w:rPr>
                <w:sz w:val="20"/>
              </w:rPr>
              <w:t>PROCEDIMIENTO</w:t>
            </w:r>
          </w:p>
        </w:tc>
        <w:tc>
          <w:tcPr>
            <w:tcW w:w="4415" w:type="dxa"/>
          </w:tcPr>
          <w:p>
            <w:pPr>
              <w:pStyle w:val="TableParagraph"/>
              <w:spacing w:line="276" w:lineRule="auto"/>
              <w:ind w:right="108"/>
              <w:jc w:val="both"/>
              <w:rPr>
                <w:sz w:val="20"/>
              </w:rPr>
            </w:pPr>
            <w:r>
              <w:rPr>
                <w:sz w:val="20"/>
              </w:rPr>
              <w:t>Fue representada por un Defensor de Oficio, el cual le dijo que tenía que pagar la cantidad  de</w:t>
            </w:r>
          </w:p>
          <w:p>
            <w:pPr>
              <w:pStyle w:val="TableParagraph"/>
              <w:spacing w:line="276" w:lineRule="auto"/>
              <w:ind w:right="104"/>
              <w:jc w:val="both"/>
              <w:rPr>
                <w:sz w:val="20"/>
              </w:rPr>
            </w:pPr>
            <w:r>
              <w:rPr>
                <w:sz w:val="20"/>
              </w:rPr>
              <w:t>$17,000 pesos, para que se solucionara el asunto, como María de la Paz sólo pudo conseguir $8,000 mil pesos, la detuvieron.</w:t>
            </w:r>
          </w:p>
        </w:tc>
      </w:tr>
      <w:tr>
        <w:trPr>
          <w:trHeight w:val="1268" w:hRule="exact"/>
        </w:trPr>
        <w:tc>
          <w:tcPr>
            <w:tcW w:w="4414" w:type="dxa"/>
          </w:tcPr>
          <w:p>
            <w:pPr>
              <w:pStyle w:val="TableParagraph"/>
              <w:spacing w:line="276" w:lineRule="auto"/>
              <w:rPr>
                <w:sz w:val="20"/>
              </w:rPr>
            </w:pPr>
            <w:r>
              <w:rPr>
                <w:sz w:val="20"/>
              </w:rPr>
              <w:t>ANTECEDENTE DE VIOLENCIA DE GÉNERO DURANTE EL PROCEDIMIENTO</w:t>
            </w:r>
          </w:p>
        </w:tc>
        <w:tc>
          <w:tcPr>
            <w:tcW w:w="4415" w:type="dxa"/>
          </w:tcPr>
          <w:p>
            <w:pPr>
              <w:pStyle w:val="TableParagraph"/>
              <w:spacing w:line="276" w:lineRule="auto"/>
              <w:ind w:right="101"/>
              <w:jc w:val="both"/>
              <w:rPr>
                <w:sz w:val="20"/>
              </w:rPr>
            </w:pPr>
            <w:r>
              <w:rPr>
                <w:sz w:val="20"/>
              </w:rPr>
              <w:t>María de la Paz refiere que los policías ministeriales le hacían comentarios de carácter sexual, incluso uno de ellos la tocó, por lo que ella le rompió la camisa.</w:t>
            </w:r>
          </w:p>
        </w:tc>
      </w:tr>
    </w:tbl>
    <w:p>
      <w:pPr>
        <w:pStyle w:val="BodyText"/>
        <w:rPr>
          <w:sz w:val="20"/>
        </w:rPr>
      </w:pPr>
    </w:p>
    <w:p>
      <w:pPr>
        <w:pStyle w:val="BodyText"/>
        <w:spacing w:before="7"/>
        <w:rPr>
          <w:sz w:val="23"/>
        </w:rPr>
      </w:pPr>
    </w:p>
    <w:p>
      <w:pPr>
        <w:pStyle w:val="BodyText"/>
        <w:spacing w:before="73"/>
        <w:ind w:left="102" w:right="96"/>
      </w:pPr>
      <w:r>
        <w:rPr/>
        <w:t>CASO 6:</w:t>
      </w:r>
    </w:p>
    <w:p>
      <w:pPr>
        <w:pStyle w:val="BodyText"/>
        <w:spacing w:before="5" w:after="1"/>
        <w:rPr>
          <w:sz w:val="28"/>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5"/>
      </w:tblGrid>
      <w:tr>
        <w:trPr>
          <w:trHeight w:val="2062" w:hRule="exact"/>
        </w:trPr>
        <w:tc>
          <w:tcPr>
            <w:tcW w:w="4414" w:type="dxa"/>
            <w:vMerge w:val="restart"/>
          </w:tcPr>
          <w:p>
            <w:pPr>
              <w:pStyle w:val="TableParagraph"/>
              <w:ind w:left="0"/>
              <w:rPr>
                <w:sz w:val="20"/>
              </w:rPr>
            </w:pPr>
          </w:p>
          <w:p>
            <w:pPr>
              <w:pStyle w:val="TableParagraph"/>
              <w:ind w:left="0"/>
              <w:rPr>
                <w:sz w:val="20"/>
              </w:rPr>
            </w:pPr>
          </w:p>
          <w:p>
            <w:pPr>
              <w:pStyle w:val="TableParagraph"/>
              <w:ind w:left="0"/>
              <w:rPr>
                <w:sz w:val="20"/>
              </w:rPr>
            </w:pPr>
          </w:p>
          <w:p>
            <w:pPr>
              <w:pStyle w:val="TableParagraph"/>
              <w:spacing w:before="10"/>
              <w:ind w:left="0"/>
              <w:rPr>
                <w:sz w:val="20"/>
              </w:rPr>
            </w:pPr>
          </w:p>
          <w:p>
            <w:pPr>
              <w:pStyle w:val="TableParagraph"/>
              <w:spacing w:before="1"/>
              <w:ind w:right="451"/>
              <w:rPr>
                <w:sz w:val="20"/>
              </w:rPr>
            </w:pPr>
            <w:r>
              <w:rPr>
                <w:sz w:val="20"/>
              </w:rPr>
              <w:t>DATOS GENERALES</w:t>
            </w:r>
          </w:p>
        </w:tc>
        <w:tc>
          <w:tcPr>
            <w:tcW w:w="4415" w:type="dxa"/>
          </w:tcPr>
          <w:p>
            <w:pPr>
              <w:pStyle w:val="TableParagraph"/>
              <w:spacing w:line="276" w:lineRule="auto"/>
              <w:ind w:right="105"/>
              <w:jc w:val="both"/>
              <w:rPr>
                <w:sz w:val="20"/>
              </w:rPr>
            </w:pPr>
            <w:r>
              <w:rPr>
                <w:sz w:val="20"/>
              </w:rPr>
              <w:t>María Guadalupe, 20 años de edad, vive en unión libre, tiene dos hijos, uno de dos años y ocho meses y el otro de cuatro años, actualmente se encuentran al cuidado de su papá. De instrucción primaria, ama de casa. Sentenciada a 40 años de prisión por delito de extorsión. Primodelincuente.</w:t>
            </w:r>
          </w:p>
        </w:tc>
      </w:tr>
      <w:tr>
        <w:trPr>
          <w:trHeight w:val="2590" w:hRule="exact"/>
        </w:trPr>
        <w:tc>
          <w:tcPr>
            <w:tcW w:w="4414" w:type="dxa"/>
            <w:vMerge/>
          </w:tcPr>
          <w:p>
            <w:pPr/>
          </w:p>
        </w:tc>
        <w:tc>
          <w:tcPr>
            <w:tcW w:w="4415" w:type="dxa"/>
          </w:tcPr>
          <w:p>
            <w:pPr>
              <w:pStyle w:val="TableParagraph"/>
              <w:spacing w:line="276" w:lineRule="auto"/>
              <w:ind w:right="106"/>
              <w:jc w:val="both"/>
              <w:rPr>
                <w:sz w:val="20"/>
              </w:rPr>
            </w:pPr>
            <w:r>
              <w:rPr>
                <w:sz w:val="20"/>
              </w:rPr>
              <w:t>Breve relato de los hechos: Estaban necesitados de dinero, su esposo le propuso que</w:t>
            </w:r>
            <w:r>
              <w:rPr>
                <w:spacing w:val="-6"/>
                <w:sz w:val="20"/>
              </w:rPr>
              <w:t> </w:t>
            </w:r>
            <w:r>
              <w:rPr>
                <w:sz w:val="20"/>
              </w:rPr>
              <w:t>extorsionaran</w:t>
            </w:r>
            <w:r>
              <w:rPr>
                <w:spacing w:val="-8"/>
                <w:sz w:val="20"/>
              </w:rPr>
              <w:t> </w:t>
            </w:r>
            <w:r>
              <w:rPr>
                <w:sz w:val="20"/>
              </w:rPr>
              <w:t>a</w:t>
            </w:r>
            <w:r>
              <w:rPr>
                <w:spacing w:val="-6"/>
                <w:sz w:val="20"/>
              </w:rPr>
              <w:t> </w:t>
            </w:r>
            <w:r>
              <w:rPr>
                <w:sz w:val="20"/>
              </w:rPr>
              <w:t>su</w:t>
            </w:r>
            <w:r>
              <w:rPr>
                <w:spacing w:val="-6"/>
                <w:sz w:val="20"/>
              </w:rPr>
              <w:t> </w:t>
            </w:r>
            <w:r>
              <w:rPr>
                <w:sz w:val="20"/>
              </w:rPr>
              <w:t>prima,</w:t>
            </w:r>
            <w:r>
              <w:rPr>
                <w:spacing w:val="-8"/>
                <w:sz w:val="20"/>
              </w:rPr>
              <w:t> </w:t>
            </w:r>
            <w:r>
              <w:rPr>
                <w:sz w:val="20"/>
              </w:rPr>
              <w:t>pedía</w:t>
            </w:r>
            <w:r>
              <w:rPr>
                <w:spacing w:val="-6"/>
                <w:sz w:val="20"/>
              </w:rPr>
              <w:t> </w:t>
            </w:r>
            <w:r>
              <w:rPr>
                <w:sz w:val="20"/>
              </w:rPr>
              <w:t>la</w:t>
            </w:r>
            <w:r>
              <w:rPr>
                <w:spacing w:val="-6"/>
                <w:sz w:val="20"/>
              </w:rPr>
              <w:t> </w:t>
            </w:r>
            <w:r>
              <w:rPr>
                <w:sz w:val="20"/>
              </w:rPr>
              <w:t>cantidad de $1,500.00 pesos, llamó varias veces a su prima por teléfono, amenazándola que en caso de que no le entregara la cantidad le iban a pasar cosas a la a su familia, un día llegaron unos oficiales a su casa y la detuvieron por delito de</w:t>
            </w:r>
            <w:r>
              <w:rPr>
                <w:spacing w:val="-5"/>
                <w:sz w:val="20"/>
              </w:rPr>
              <w:t> </w:t>
            </w:r>
            <w:r>
              <w:rPr>
                <w:sz w:val="20"/>
              </w:rPr>
              <w:t>extorción.</w:t>
            </w:r>
          </w:p>
        </w:tc>
      </w:tr>
      <w:tr>
        <w:trPr>
          <w:trHeight w:val="1006" w:hRule="exact"/>
        </w:trPr>
        <w:tc>
          <w:tcPr>
            <w:tcW w:w="4414" w:type="dxa"/>
            <w:vMerge/>
          </w:tcPr>
          <w:p>
            <w:pPr/>
          </w:p>
        </w:tc>
        <w:tc>
          <w:tcPr>
            <w:tcW w:w="4415" w:type="dxa"/>
          </w:tcPr>
          <w:p>
            <w:pPr>
              <w:pStyle w:val="TableParagraph"/>
              <w:spacing w:line="276" w:lineRule="auto" w:before="2"/>
              <w:ind w:right="108"/>
              <w:jc w:val="both"/>
              <w:rPr>
                <w:sz w:val="20"/>
              </w:rPr>
            </w:pPr>
            <w:r>
              <w:rPr>
                <w:sz w:val="20"/>
              </w:rPr>
              <w:t>Antecedente de violencia de género: Su pareja en repetidas ocasiones la golpeó y la obligaba a robar. Él se encuentra libre.</w:t>
            </w:r>
          </w:p>
        </w:tc>
      </w:tr>
    </w:tbl>
    <w:p>
      <w:pPr>
        <w:spacing w:after="0" w:line="276" w:lineRule="auto"/>
        <w:jc w:val="both"/>
        <w:rPr>
          <w:sz w:val="20"/>
        </w:rPr>
        <w:sectPr>
          <w:pgSz w:w="12240" w:h="15840"/>
          <w:pgMar w:header="0" w:footer="942" w:top="1420" w:bottom="120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5"/>
      </w:tblGrid>
      <w:tr>
        <w:trPr>
          <w:trHeight w:val="2328" w:hRule="exact"/>
        </w:trPr>
        <w:tc>
          <w:tcPr>
            <w:tcW w:w="4414" w:type="dxa"/>
          </w:tcPr>
          <w:p>
            <w:pPr>
              <w:pStyle w:val="TableParagraph"/>
              <w:spacing w:line="228" w:lineRule="exact"/>
              <w:ind w:left="158" w:right="451"/>
              <w:rPr>
                <w:sz w:val="20"/>
              </w:rPr>
            </w:pPr>
            <w:r>
              <w:rPr>
                <w:sz w:val="20"/>
              </w:rPr>
              <w:t>PROCEDIMIENTO</w:t>
            </w:r>
          </w:p>
        </w:tc>
        <w:tc>
          <w:tcPr>
            <w:tcW w:w="4415" w:type="dxa"/>
          </w:tcPr>
          <w:p>
            <w:pPr>
              <w:pStyle w:val="TableParagraph"/>
              <w:spacing w:line="276" w:lineRule="auto"/>
              <w:ind w:right="103"/>
              <w:jc w:val="both"/>
              <w:rPr>
                <w:sz w:val="20"/>
              </w:rPr>
            </w:pPr>
            <w:r>
              <w:rPr>
                <w:sz w:val="20"/>
              </w:rPr>
              <w:t>María Guadalupe, fue defendida por un Defensor Público, señala que la prueba que sustentó su condena, fue la sabana de mensajes que mandó a su prima. Cuando salió la sentencia su abogado le dijo que no iba a interponer apelación, refiriéndole lo siguiente “ya lo hiciste, ahora chingate y paga tu sentencia”.</w:t>
            </w:r>
          </w:p>
        </w:tc>
      </w:tr>
      <w:tr>
        <w:trPr>
          <w:trHeight w:val="3385" w:hRule="exact"/>
        </w:trPr>
        <w:tc>
          <w:tcPr>
            <w:tcW w:w="4414" w:type="dxa"/>
          </w:tcPr>
          <w:p>
            <w:pPr>
              <w:pStyle w:val="TableParagraph"/>
              <w:spacing w:line="276" w:lineRule="auto"/>
              <w:rPr>
                <w:sz w:val="20"/>
              </w:rPr>
            </w:pPr>
            <w:r>
              <w:rPr>
                <w:sz w:val="20"/>
              </w:rPr>
              <w:t>ANTECEDENTE DE VIOLENCIA DE GÉNERO DURANTE EL PROCEDIMIENTO</w:t>
            </w:r>
          </w:p>
        </w:tc>
        <w:tc>
          <w:tcPr>
            <w:tcW w:w="4415" w:type="dxa"/>
          </w:tcPr>
          <w:p>
            <w:pPr>
              <w:pStyle w:val="TableParagraph"/>
              <w:spacing w:line="276" w:lineRule="auto"/>
              <w:ind w:right="100"/>
              <w:jc w:val="both"/>
              <w:rPr>
                <w:sz w:val="20"/>
              </w:rPr>
            </w:pPr>
            <w:r>
              <w:rPr>
                <w:sz w:val="20"/>
              </w:rPr>
              <w:t>María Guadalupe refiere que existe discriminación para las mujeres a que no las atienden, se encuentran encerradas en el dormitorio, no las llevan a actividad educativa. La Trabajadora Social, la Psicóloga, el Médico y el Odontólogo, sólo atienden a los hombres y a las mujeres no, a ellas sólo les enseñan manualidades y bordado, mientras que los hombres les enseñan carpintería, repujado y herrería. Desde que entró a prisión, en diciembre del 2014, no ha visto a sus hijos, ni</w:t>
            </w:r>
            <w:r>
              <w:rPr>
                <w:spacing w:val="-17"/>
                <w:sz w:val="20"/>
              </w:rPr>
              <w:t> </w:t>
            </w:r>
            <w:r>
              <w:rPr>
                <w:sz w:val="20"/>
              </w:rPr>
              <w:t>a su pareja, sólo la visita su</w:t>
            </w:r>
            <w:r>
              <w:rPr>
                <w:spacing w:val="-5"/>
                <w:sz w:val="20"/>
              </w:rPr>
              <w:t> </w:t>
            </w:r>
            <w:r>
              <w:rPr>
                <w:sz w:val="20"/>
              </w:rPr>
              <w:t>mamá.</w:t>
            </w:r>
          </w:p>
        </w:tc>
      </w:tr>
    </w:tbl>
    <w:p>
      <w:pPr>
        <w:pStyle w:val="BodyText"/>
        <w:rPr>
          <w:sz w:val="20"/>
        </w:rPr>
      </w:pPr>
    </w:p>
    <w:p>
      <w:pPr>
        <w:pStyle w:val="BodyText"/>
        <w:spacing w:before="3"/>
        <w:rPr>
          <w:sz w:val="23"/>
        </w:rPr>
      </w:pPr>
    </w:p>
    <w:p>
      <w:pPr>
        <w:pStyle w:val="Heading8"/>
        <w:spacing w:before="72"/>
        <w:ind w:left="102" w:right="96"/>
        <w:jc w:val="left"/>
        <w:rPr>
          <w:rFonts w:ascii="Arial"/>
        </w:rPr>
      </w:pPr>
      <w:r>
        <w:rPr>
          <w:rFonts w:ascii="Arial"/>
        </w:rPr>
        <w:t>CASO 7:</w:t>
      </w:r>
    </w:p>
    <w:p>
      <w:pPr>
        <w:pStyle w:val="BodyText"/>
        <w:spacing w:before="8"/>
        <w:rPr>
          <w:b/>
          <w:sz w:val="28"/>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5"/>
      </w:tblGrid>
      <w:tr>
        <w:trPr>
          <w:trHeight w:val="1534" w:hRule="exact"/>
        </w:trPr>
        <w:tc>
          <w:tcPr>
            <w:tcW w:w="4414" w:type="dxa"/>
            <w:vMerge w:val="restart"/>
          </w:tcPr>
          <w:p>
            <w:pPr>
              <w:pStyle w:val="TableParagraph"/>
              <w:spacing w:before="2"/>
              <w:ind w:right="451"/>
              <w:rPr>
                <w:sz w:val="20"/>
              </w:rPr>
            </w:pPr>
            <w:r>
              <w:rPr>
                <w:sz w:val="20"/>
              </w:rPr>
              <w:t>DATOS GENERALES</w:t>
            </w:r>
          </w:p>
        </w:tc>
        <w:tc>
          <w:tcPr>
            <w:tcW w:w="4415" w:type="dxa"/>
          </w:tcPr>
          <w:p>
            <w:pPr>
              <w:pStyle w:val="TableParagraph"/>
              <w:spacing w:line="276" w:lineRule="auto" w:before="2"/>
              <w:ind w:right="102"/>
              <w:jc w:val="both"/>
              <w:rPr>
                <w:sz w:val="20"/>
              </w:rPr>
            </w:pPr>
            <w:r>
              <w:rPr>
                <w:sz w:val="20"/>
              </w:rPr>
              <w:t>Maribel, de 34 años de edad, sin estudios, madre soltera, tiene tres hijos y una hija, de ocupación empleada de una tortería. Sentenciada a veintisiete años de prisión por delito de secuestro, primodelincuente.</w:t>
            </w:r>
          </w:p>
        </w:tc>
      </w:tr>
      <w:tr>
        <w:trPr>
          <w:trHeight w:val="3913" w:hRule="exact"/>
        </w:trPr>
        <w:tc>
          <w:tcPr>
            <w:tcW w:w="4414" w:type="dxa"/>
            <w:vMerge/>
          </w:tcPr>
          <w:p>
            <w:pPr/>
          </w:p>
        </w:tc>
        <w:tc>
          <w:tcPr>
            <w:tcW w:w="4415" w:type="dxa"/>
          </w:tcPr>
          <w:p>
            <w:pPr>
              <w:pStyle w:val="TableParagraph"/>
              <w:spacing w:line="276" w:lineRule="auto"/>
              <w:ind w:right="102"/>
              <w:jc w:val="both"/>
              <w:rPr>
                <w:sz w:val="20"/>
              </w:rPr>
            </w:pPr>
            <w:r>
              <w:rPr>
                <w:sz w:val="20"/>
              </w:rPr>
              <w:t>Breve relato de los hechos: Maribel mantenía una relación con un hombre menor que ella, el cual un día le dijo que había secuestrado a</w:t>
            </w:r>
            <w:r>
              <w:rPr>
                <w:spacing w:val="-20"/>
                <w:sz w:val="20"/>
              </w:rPr>
              <w:t> </w:t>
            </w:r>
            <w:r>
              <w:rPr>
                <w:sz w:val="20"/>
              </w:rPr>
              <w:t>una chica</w:t>
            </w:r>
            <w:r>
              <w:rPr>
                <w:spacing w:val="-5"/>
                <w:sz w:val="20"/>
              </w:rPr>
              <w:t> </w:t>
            </w:r>
            <w:r>
              <w:rPr>
                <w:sz w:val="20"/>
              </w:rPr>
              <w:t>y</w:t>
            </w:r>
            <w:r>
              <w:rPr>
                <w:spacing w:val="-10"/>
                <w:sz w:val="20"/>
              </w:rPr>
              <w:t> </w:t>
            </w:r>
            <w:r>
              <w:rPr>
                <w:sz w:val="20"/>
              </w:rPr>
              <w:t>que</w:t>
            </w:r>
            <w:r>
              <w:rPr>
                <w:spacing w:val="-7"/>
                <w:sz w:val="20"/>
              </w:rPr>
              <w:t> </w:t>
            </w:r>
            <w:r>
              <w:rPr>
                <w:sz w:val="20"/>
              </w:rPr>
              <w:t>a</w:t>
            </w:r>
            <w:r>
              <w:rPr>
                <w:spacing w:val="-7"/>
                <w:sz w:val="20"/>
              </w:rPr>
              <w:t> </w:t>
            </w:r>
            <w:r>
              <w:rPr>
                <w:sz w:val="20"/>
              </w:rPr>
              <w:t>ella</w:t>
            </w:r>
            <w:r>
              <w:rPr>
                <w:spacing w:val="-7"/>
                <w:sz w:val="20"/>
              </w:rPr>
              <w:t> </w:t>
            </w:r>
            <w:r>
              <w:rPr>
                <w:sz w:val="20"/>
              </w:rPr>
              <w:t>le</w:t>
            </w:r>
            <w:r>
              <w:rPr>
                <w:spacing w:val="-7"/>
                <w:sz w:val="20"/>
              </w:rPr>
              <w:t> </w:t>
            </w:r>
            <w:r>
              <w:rPr>
                <w:sz w:val="20"/>
              </w:rPr>
              <w:t>tocaría</w:t>
            </w:r>
            <w:r>
              <w:rPr>
                <w:spacing w:val="-4"/>
                <w:sz w:val="20"/>
              </w:rPr>
              <w:t> </w:t>
            </w:r>
            <w:r>
              <w:rPr>
                <w:sz w:val="20"/>
              </w:rPr>
              <w:t>cuidarla,</w:t>
            </w:r>
            <w:r>
              <w:rPr>
                <w:spacing w:val="-2"/>
                <w:sz w:val="20"/>
              </w:rPr>
              <w:t> </w:t>
            </w:r>
            <w:r>
              <w:rPr>
                <w:sz w:val="20"/>
              </w:rPr>
              <w:t>y</w:t>
            </w:r>
            <w:r>
              <w:rPr>
                <w:spacing w:val="-10"/>
                <w:sz w:val="20"/>
              </w:rPr>
              <w:t> </w:t>
            </w:r>
            <w:r>
              <w:rPr>
                <w:sz w:val="20"/>
              </w:rPr>
              <w:t>que</w:t>
            </w:r>
            <w:r>
              <w:rPr>
                <w:spacing w:val="-7"/>
                <w:sz w:val="20"/>
              </w:rPr>
              <w:t> </w:t>
            </w:r>
            <w:r>
              <w:rPr>
                <w:sz w:val="20"/>
              </w:rPr>
              <w:t>si</w:t>
            </w:r>
            <w:r>
              <w:rPr>
                <w:spacing w:val="-8"/>
                <w:sz w:val="20"/>
              </w:rPr>
              <w:t> </w:t>
            </w:r>
            <w:r>
              <w:rPr>
                <w:sz w:val="20"/>
              </w:rPr>
              <w:t>no lo hacía nunca volvería a ver a sus hijos, por lo que Maribel accedió, y cuidó de la chica secuestrada, sin embargo, ella manifiesta que fue por el temor de que le pasara algo a sus hijos.</w:t>
            </w:r>
            <w:r>
              <w:rPr>
                <w:spacing w:val="-10"/>
                <w:sz w:val="20"/>
              </w:rPr>
              <w:t> </w:t>
            </w:r>
            <w:r>
              <w:rPr>
                <w:sz w:val="20"/>
              </w:rPr>
              <w:t>Un</w:t>
            </w:r>
            <w:r>
              <w:rPr>
                <w:spacing w:val="-8"/>
                <w:sz w:val="20"/>
              </w:rPr>
              <w:t> </w:t>
            </w:r>
            <w:r>
              <w:rPr>
                <w:sz w:val="20"/>
              </w:rPr>
              <w:t>día</w:t>
            </w:r>
            <w:r>
              <w:rPr>
                <w:spacing w:val="-8"/>
                <w:sz w:val="20"/>
              </w:rPr>
              <w:t> </w:t>
            </w:r>
            <w:r>
              <w:rPr>
                <w:sz w:val="20"/>
              </w:rPr>
              <w:t>unos</w:t>
            </w:r>
            <w:r>
              <w:rPr>
                <w:spacing w:val="-9"/>
                <w:sz w:val="20"/>
              </w:rPr>
              <w:t> </w:t>
            </w:r>
            <w:r>
              <w:rPr>
                <w:sz w:val="20"/>
              </w:rPr>
              <w:t>oficiales</w:t>
            </w:r>
            <w:r>
              <w:rPr>
                <w:spacing w:val="-7"/>
                <w:sz w:val="20"/>
              </w:rPr>
              <w:t> </w:t>
            </w:r>
            <w:r>
              <w:rPr>
                <w:sz w:val="20"/>
              </w:rPr>
              <w:t>llegaron</w:t>
            </w:r>
            <w:r>
              <w:rPr>
                <w:spacing w:val="-8"/>
                <w:sz w:val="20"/>
              </w:rPr>
              <w:t> </w:t>
            </w:r>
            <w:r>
              <w:rPr>
                <w:sz w:val="20"/>
              </w:rPr>
              <w:t>a</w:t>
            </w:r>
            <w:r>
              <w:rPr>
                <w:spacing w:val="-8"/>
                <w:sz w:val="20"/>
              </w:rPr>
              <w:t> </w:t>
            </w:r>
            <w:r>
              <w:rPr>
                <w:sz w:val="20"/>
              </w:rPr>
              <w:t>su</w:t>
            </w:r>
            <w:r>
              <w:rPr>
                <w:spacing w:val="-10"/>
                <w:sz w:val="20"/>
              </w:rPr>
              <w:t> </w:t>
            </w:r>
            <w:r>
              <w:rPr>
                <w:sz w:val="20"/>
              </w:rPr>
              <w:t>trabajo y le pidieron que los acompañara, para esto su pareja ya se había ido, la llevaron al Ministerio Público,</w:t>
            </w:r>
            <w:r>
              <w:rPr>
                <w:spacing w:val="-8"/>
                <w:sz w:val="20"/>
              </w:rPr>
              <w:t> </w:t>
            </w:r>
            <w:r>
              <w:rPr>
                <w:sz w:val="20"/>
              </w:rPr>
              <w:t>la</w:t>
            </w:r>
            <w:r>
              <w:rPr>
                <w:spacing w:val="-10"/>
                <w:sz w:val="20"/>
              </w:rPr>
              <w:t> </w:t>
            </w:r>
            <w:r>
              <w:rPr>
                <w:sz w:val="20"/>
              </w:rPr>
              <w:t>defendió</w:t>
            </w:r>
            <w:r>
              <w:rPr>
                <w:spacing w:val="-10"/>
                <w:sz w:val="20"/>
              </w:rPr>
              <w:t> </w:t>
            </w:r>
            <w:r>
              <w:rPr>
                <w:sz w:val="20"/>
              </w:rPr>
              <w:t>un</w:t>
            </w:r>
            <w:r>
              <w:rPr>
                <w:spacing w:val="-10"/>
                <w:sz w:val="20"/>
              </w:rPr>
              <w:t> </w:t>
            </w:r>
            <w:r>
              <w:rPr>
                <w:sz w:val="20"/>
              </w:rPr>
              <w:t>Defensor</w:t>
            </w:r>
            <w:r>
              <w:rPr>
                <w:spacing w:val="-9"/>
                <w:sz w:val="20"/>
              </w:rPr>
              <w:t> </w:t>
            </w:r>
            <w:r>
              <w:rPr>
                <w:sz w:val="20"/>
              </w:rPr>
              <w:t>Público,</w:t>
            </w:r>
            <w:r>
              <w:rPr>
                <w:spacing w:val="-11"/>
                <w:sz w:val="20"/>
              </w:rPr>
              <w:t> </w:t>
            </w:r>
            <w:r>
              <w:rPr>
                <w:sz w:val="20"/>
              </w:rPr>
              <w:t>con</w:t>
            </w:r>
            <w:r>
              <w:rPr>
                <w:spacing w:val="-10"/>
                <w:sz w:val="20"/>
              </w:rPr>
              <w:t> </w:t>
            </w:r>
            <w:r>
              <w:rPr>
                <w:sz w:val="20"/>
              </w:rPr>
              <w:t>el que nunca tuvo contacto, hasta </w:t>
            </w:r>
            <w:r>
              <w:rPr>
                <w:spacing w:val="2"/>
                <w:sz w:val="20"/>
              </w:rPr>
              <w:t>el </w:t>
            </w:r>
            <w:r>
              <w:rPr>
                <w:sz w:val="20"/>
              </w:rPr>
              <w:t>día que se le dictó sentencia supo de qué se le</w:t>
            </w:r>
            <w:r>
              <w:rPr>
                <w:spacing w:val="-11"/>
                <w:sz w:val="20"/>
              </w:rPr>
              <w:t> </w:t>
            </w:r>
            <w:r>
              <w:rPr>
                <w:sz w:val="20"/>
              </w:rPr>
              <w:t>acusaba.</w:t>
            </w:r>
          </w:p>
        </w:tc>
      </w:tr>
    </w:tbl>
    <w:p>
      <w:pPr>
        <w:spacing w:after="0" w:line="276" w:lineRule="auto"/>
        <w:jc w:val="both"/>
        <w:rPr>
          <w:sz w:val="20"/>
        </w:rPr>
        <w:sectPr>
          <w:pgSz w:w="12240" w:h="15840"/>
          <w:pgMar w:header="0" w:footer="942" w:top="1420" w:bottom="120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5"/>
      </w:tblGrid>
      <w:tr>
        <w:trPr>
          <w:trHeight w:val="1006" w:hRule="exact"/>
        </w:trPr>
        <w:tc>
          <w:tcPr>
            <w:tcW w:w="4414" w:type="dxa"/>
          </w:tcPr>
          <w:p>
            <w:pPr/>
          </w:p>
        </w:tc>
        <w:tc>
          <w:tcPr>
            <w:tcW w:w="4415" w:type="dxa"/>
          </w:tcPr>
          <w:p>
            <w:pPr>
              <w:pStyle w:val="TableParagraph"/>
              <w:spacing w:line="276" w:lineRule="auto"/>
              <w:ind w:right="104"/>
              <w:jc w:val="both"/>
              <w:rPr>
                <w:sz w:val="20"/>
              </w:rPr>
            </w:pPr>
            <w:r>
              <w:rPr>
                <w:sz w:val="20"/>
              </w:rPr>
              <w:t>Antecedente de violencia de género: Maribel refiere que accedió a ayudarle a su pareja por temor a que le pasara algo a sus hijos.</w:t>
            </w:r>
          </w:p>
        </w:tc>
      </w:tr>
      <w:tr>
        <w:trPr>
          <w:trHeight w:val="2060" w:hRule="exact"/>
        </w:trPr>
        <w:tc>
          <w:tcPr>
            <w:tcW w:w="4414" w:type="dxa"/>
          </w:tcPr>
          <w:p>
            <w:pPr>
              <w:pStyle w:val="TableParagraph"/>
              <w:spacing w:line="226" w:lineRule="exact"/>
              <w:ind w:left="158" w:right="451"/>
              <w:rPr>
                <w:sz w:val="20"/>
              </w:rPr>
            </w:pPr>
            <w:r>
              <w:rPr>
                <w:sz w:val="20"/>
              </w:rPr>
              <w:t>PROCEDIMIENTO</w:t>
            </w:r>
          </w:p>
        </w:tc>
        <w:tc>
          <w:tcPr>
            <w:tcW w:w="4415" w:type="dxa"/>
          </w:tcPr>
          <w:p>
            <w:pPr>
              <w:pStyle w:val="TableParagraph"/>
              <w:spacing w:line="276" w:lineRule="auto"/>
              <w:ind w:right="102"/>
              <w:jc w:val="both"/>
              <w:rPr>
                <w:sz w:val="20"/>
              </w:rPr>
            </w:pPr>
            <w:r>
              <w:rPr>
                <w:sz w:val="20"/>
              </w:rPr>
              <w:t>Fue asistida por un Defensor de Oficio, nunca declaro en presencia de su abogado, no sabía en realidad de que se le acusaba hasta que se le dictó sentencia. Su mamá contrató un abogado particular, el cual apeló pero se confirmó</w:t>
            </w:r>
            <w:r>
              <w:rPr>
                <w:spacing w:val="-12"/>
                <w:sz w:val="20"/>
              </w:rPr>
              <w:t> </w:t>
            </w:r>
            <w:r>
              <w:rPr>
                <w:sz w:val="20"/>
              </w:rPr>
              <w:t>la</w:t>
            </w:r>
            <w:r>
              <w:rPr>
                <w:spacing w:val="-11"/>
                <w:sz w:val="20"/>
              </w:rPr>
              <w:t> </w:t>
            </w:r>
            <w:r>
              <w:rPr>
                <w:sz w:val="20"/>
              </w:rPr>
              <w:t>sentencia</w:t>
            </w:r>
            <w:r>
              <w:rPr>
                <w:spacing w:val="-6"/>
                <w:sz w:val="20"/>
              </w:rPr>
              <w:t> </w:t>
            </w:r>
            <w:r>
              <w:rPr>
                <w:sz w:val="20"/>
              </w:rPr>
              <w:t>y</w:t>
            </w:r>
            <w:r>
              <w:rPr>
                <w:spacing w:val="-14"/>
                <w:sz w:val="20"/>
              </w:rPr>
              <w:t> </w:t>
            </w:r>
            <w:r>
              <w:rPr>
                <w:sz w:val="20"/>
              </w:rPr>
              <w:t>ahora</w:t>
            </w:r>
            <w:r>
              <w:rPr>
                <w:spacing w:val="-13"/>
                <w:sz w:val="20"/>
              </w:rPr>
              <w:t> </w:t>
            </w:r>
            <w:r>
              <w:rPr>
                <w:sz w:val="20"/>
              </w:rPr>
              <w:t>está</w:t>
            </w:r>
            <w:r>
              <w:rPr>
                <w:spacing w:val="-11"/>
                <w:sz w:val="20"/>
              </w:rPr>
              <w:t> </w:t>
            </w:r>
            <w:r>
              <w:rPr>
                <w:sz w:val="20"/>
              </w:rPr>
              <w:t>esperando</w:t>
            </w:r>
            <w:r>
              <w:rPr>
                <w:spacing w:val="-10"/>
                <w:sz w:val="20"/>
              </w:rPr>
              <w:t> </w:t>
            </w:r>
            <w:r>
              <w:rPr>
                <w:sz w:val="20"/>
              </w:rPr>
              <w:t>el amparo.</w:t>
            </w:r>
          </w:p>
        </w:tc>
      </w:tr>
      <w:tr>
        <w:trPr>
          <w:trHeight w:val="2062" w:hRule="exact"/>
        </w:trPr>
        <w:tc>
          <w:tcPr>
            <w:tcW w:w="4414" w:type="dxa"/>
          </w:tcPr>
          <w:p>
            <w:pPr>
              <w:pStyle w:val="TableParagraph"/>
              <w:spacing w:line="276" w:lineRule="auto"/>
              <w:rPr>
                <w:sz w:val="20"/>
              </w:rPr>
            </w:pPr>
            <w:r>
              <w:rPr>
                <w:sz w:val="20"/>
              </w:rPr>
              <w:t>ANTECEDENTE DE VIOLENCIA DE GÉNERO DURANTE EL PROCEDIMIENTO</w:t>
            </w:r>
          </w:p>
        </w:tc>
        <w:tc>
          <w:tcPr>
            <w:tcW w:w="4415" w:type="dxa"/>
          </w:tcPr>
          <w:p>
            <w:pPr>
              <w:pStyle w:val="TableParagraph"/>
              <w:spacing w:line="276" w:lineRule="auto"/>
              <w:ind w:right="103"/>
              <w:jc w:val="both"/>
              <w:rPr>
                <w:sz w:val="20"/>
              </w:rPr>
            </w:pPr>
            <w:r>
              <w:rPr>
                <w:sz w:val="20"/>
              </w:rPr>
              <w:t>Maribel refiere que al momento en que la detuvieron los policías ministeriales, le taparon la cabeza y la golpearon, asimismo se queja</w:t>
            </w:r>
            <w:r>
              <w:rPr>
                <w:spacing w:val="-28"/>
                <w:sz w:val="20"/>
              </w:rPr>
              <w:t> </w:t>
            </w:r>
            <w:r>
              <w:rPr>
                <w:sz w:val="20"/>
              </w:rPr>
              <w:t>de que</w:t>
            </w:r>
            <w:r>
              <w:rPr>
                <w:spacing w:val="-15"/>
                <w:sz w:val="20"/>
              </w:rPr>
              <w:t> </w:t>
            </w:r>
            <w:r>
              <w:rPr>
                <w:sz w:val="20"/>
              </w:rPr>
              <w:t>en</w:t>
            </w:r>
            <w:r>
              <w:rPr>
                <w:spacing w:val="-16"/>
                <w:sz w:val="20"/>
              </w:rPr>
              <w:t> </w:t>
            </w:r>
            <w:r>
              <w:rPr>
                <w:sz w:val="20"/>
              </w:rPr>
              <w:t>prisión</w:t>
            </w:r>
            <w:r>
              <w:rPr>
                <w:spacing w:val="-14"/>
                <w:sz w:val="20"/>
              </w:rPr>
              <w:t> </w:t>
            </w:r>
            <w:r>
              <w:rPr>
                <w:sz w:val="20"/>
              </w:rPr>
              <w:t>se</w:t>
            </w:r>
            <w:r>
              <w:rPr>
                <w:spacing w:val="-15"/>
                <w:sz w:val="20"/>
              </w:rPr>
              <w:t> </w:t>
            </w:r>
            <w:r>
              <w:rPr>
                <w:sz w:val="20"/>
              </w:rPr>
              <w:t>encuentra</w:t>
            </w:r>
            <w:r>
              <w:rPr>
                <w:spacing w:val="-15"/>
                <w:sz w:val="20"/>
              </w:rPr>
              <w:t> </w:t>
            </w:r>
            <w:r>
              <w:rPr>
                <w:sz w:val="20"/>
              </w:rPr>
              <w:t>encerrada</w:t>
            </w:r>
            <w:r>
              <w:rPr>
                <w:spacing w:val="-18"/>
                <w:sz w:val="20"/>
              </w:rPr>
              <w:t> </w:t>
            </w:r>
            <w:r>
              <w:rPr>
                <w:sz w:val="20"/>
              </w:rPr>
              <w:t>junto</w:t>
            </w:r>
            <w:r>
              <w:rPr>
                <w:spacing w:val="-16"/>
                <w:sz w:val="20"/>
              </w:rPr>
              <w:t> </w:t>
            </w:r>
            <w:r>
              <w:rPr>
                <w:sz w:val="20"/>
              </w:rPr>
              <w:t>con las otras internas en un cuartito, las</w:t>
            </w:r>
            <w:r>
              <w:rPr>
                <w:spacing w:val="-33"/>
                <w:sz w:val="20"/>
              </w:rPr>
              <w:t> </w:t>
            </w:r>
            <w:r>
              <w:rPr>
                <w:sz w:val="20"/>
              </w:rPr>
              <w:t>actividades que les dan son de bordado, lo cual no les deja recursos, y que nos las dejan salir al</w:t>
            </w:r>
            <w:r>
              <w:rPr>
                <w:spacing w:val="-18"/>
                <w:sz w:val="20"/>
              </w:rPr>
              <w:t> </w:t>
            </w:r>
            <w:r>
              <w:rPr>
                <w:sz w:val="20"/>
              </w:rPr>
              <w:t>patio.</w:t>
            </w:r>
          </w:p>
        </w:tc>
      </w:tr>
    </w:tbl>
    <w:p>
      <w:pPr>
        <w:spacing w:after="0" w:line="276" w:lineRule="auto"/>
        <w:jc w:val="both"/>
        <w:rPr>
          <w:sz w:val="20"/>
        </w:rPr>
        <w:sectPr>
          <w:pgSz w:w="12240" w:h="15840"/>
          <w:pgMar w:header="0" w:footer="942" w:top="1420" w:bottom="1140" w:left="1600" w:right="1580"/>
        </w:sectPr>
      </w:pPr>
    </w:p>
    <w:p>
      <w:pPr>
        <w:pStyle w:val="Heading8"/>
        <w:spacing w:line="276" w:lineRule="auto" w:before="51"/>
        <w:ind w:left="102" w:right="197"/>
        <w:rPr>
          <w:rFonts w:ascii="Arial" w:hAnsi="Arial"/>
        </w:rPr>
      </w:pPr>
      <w:r>
        <w:rPr>
          <w:rFonts w:ascii="Arial" w:hAnsi="Arial"/>
        </w:rPr>
        <w:t>Anexo</w:t>
      </w:r>
      <w:r>
        <w:rPr>
          <w:rFonts w:ascii="Arial" w:hAnsi="Arial"/>
          <w:spacing w:val="-6"/>
        </w:rPr>
        <w:t> </w:t>
      </w:r>
      <w:r>
        <w:rPr>
          <w:rFonts w:ascii="Arial" w:hAnsi="Arial"/>
        </w:rPr>
        <w:t>4:</w:t>
      </w:r>
      <w:r>
        <w:rPr>
          <w:rFonts w:ascii="Arial" w:hAnsi="Arial"/>
          <w:spacing w:val="-6"/>
        </w:rPr>
        <w:t> </w:t>
      </w:r>
      <w:r>
        <w:rPr>
          <w:rFonts w:ascii="Arial" w:hAnsi="Arial"/>
        </w:rPr>
        <w:t>Carta</w:t>
      </w:r>
      <w:r>
        <w:rPr>
          <w:rFonts w:ascii="Arial" w:hAnsi="Arial"/>
          <w:spacing w:val="-6"/>
        </w:rPr>
        <w:t> </w:t>
      </w:r>
      <w:r>
        <w:rPr>
          <w:rFonts w:ascii="Arial" w:hAnsi="Arial"/>
        </w:rPr>
        <w:t>enviada</w:t>
      </w:r>
      <w:r>
        <w:rPr>
          <w:rFonts w:ascii="Arial" w:hAnsi="Arial"/>
          <w:spacing w:val="-6"/>
        </w:rPr>
        <w:t> </w:t>
      </w:r>
      <w:r>
        <w:rPr>
          <w:rFonts w:ascii="Arial" w:hAnsi="Arial"/>
        </w:rPr>
        <w:t>al</w:t>
      </w:r>
      <w:r>
        <w:rPr>
          <w:rFonts w:ascii="Arial" w:hAnsi="Arial"/>
          <w:spacing w:val="-8"/>
        </w:rPr>
        <w:t> </w:t>
      </w:r>
      <w:r>
        <w:rPr>
          <w:rFonts w:ascii="Arial" w:hAnsi="Arial"/>
        </w:rPr>
        <w:t>Grupo</w:t>
      </w:r>
      <w:r>
        <w:rPr>
          <w:rFonts w:ascii="Arial" w:hAnsi="Arial"/>
          <w:spacing w:val="-7"/>
        </w:rPr>
        <w:t> </w:t>
      </w:r>
      <w:r>
        <w:rPr>
          <w:rFonts w:ascii="Arial" w:hAnsi="Arial"/>
        </w:rPr>
        <w:t>Profesional</w:t>
      </w:r>
      <w:r>
        <w:rPr>
          <w:rFonts w:ascii="Arial" w:hAnsi="Arial"/>
          <w:spacing w:val="-5"/>
        </w:rPr>
        <w:t> </w:t>
      </w:r>
      <w:r>
        <w:rPr>
          <w:rFonts w:ascii="Arial" w:hAnsi="Arial"/>
        </w:rPr>
        <w:t>de</w:t>
      </w:r>
      <w:r>
        <w:rPr>
          <w:rFonts w:ascii="Arial" w:hAnsi="Arial"/>
          <w:spacing w:val="-6"/>
        </w:rPr>
        <w:t> </w:t>
      </w:r>
      <w:r>
        <w:rPr>
          <w:rFonts w:ascii="Arial" w:hAnsi="Arial"/>
        </w:rPr>
        <w:t>Serevicios</w:t>
      </w:r>
      <w:r>
        <w:rPr>
          <w:rFonts w:ascii="Arial" w:hAnsi="Arial"/>
          <w:spacing w:val="-4"/>
        </w:rPr>
        <w:t> </w:t>
      </w:r>
      <w:r>
        <w:rPr>
          <w:rFonts w:ascii="Arial" w:hAnsi="Arial"/>
        </w:rPr>
        <w:t>Colín</w:t>
      </w:r>
      <w:r>
        <w:rPr>
          <w:rFonts w:ascii="Arial" w:hAnsi="Arial"/>
          <w:spacing w:val="-9"/>
        </w:rPr>
        <w:t> </w:t>
      </w:r>
      <w:r>
        <w:rPr>
          <w:rFonts w:ascii="Arial" w:hAnsi="Arial"/>
        </w:rPr>
        <w:t>Maya,</w:t>
      </w:r>
      <w:r>
        <w:rPr>
          <w:rFonts w:ascii="Arial" w:hAnsi="Arial"/>
          <w:spacing w:val="-5"/>
        </w:rPr>
        <w:t> </w:t>
      </w:r>
      <w:r>
        <w:rPr>
          <w:rFonts w:ascii="Arial" w:hAnsi="Arial"/>
        </w:rPr>
        <w:t>solicitando</w:t>
      </w:r>
      <w:r>
        <w:rPr>
          <w:rFonts w:ascii="Arial" w:hAnsi="Arial"/>
          <w:spacing w:val="-9"/>
        </w:rPr>
        <w:t> </w:t>
      </w:r>
      <w:r>
        <w:rPr>
          <w:rFonts w:ascii="Arial" w:hAnsi="Arial"/>
        </w:rPr>
        <w:t>el apoyo para la impresión de 100 ejemplares de la Guía para la incorporación de la perspectiva de género en la defensa de las mujeres</w:t>
      </w:r>
      <w:r>
        <w:rPr>
          <w:rFonts w:ascii="Arial" w:hAnsi="Arial"/>
          <w:spacing w:val="-7"/>
        </w:rPr>
        <w:t> </w:t>
      </w:r>
      <w:r>
        <w:rPr>
          <w:rFonts w:ascii="Arial" w:hAnsi="Arial"/>
        </w:rPr>
        <w:t>indiciadas</w:t>
      </w:r>
    </w:p>
    <w:p>
      <w:pPr>
        <w:pStyle w:val="BodyText"/>
        <w:rPr>
          <w:b/>
        </w:rPr>
      </w:pPr>
    </w:p>
    <w:p>
      <w:pPr>
        <w:pStyle w:val="BodyText"/>
        <w:rPr>
          <w:b/>
        </w:rPr>
      </w:pPr>
    </w:p>
    <w:p>
      <w:pPr>
        <w:spacing w:before="188"/>
        <w:ind w:left="2833" w:right="0" w:firstLine="0"/>
        <w:jc w:val="left"/>
        <w:rPr>
          <w:rFonts w:ascii="Cambria" w:hAnsi="Cambria"/>
          <w:sz w:val="24"/>
        </w:rPr>
      </w:pPr>
      <w:r>
        <w:rPr>
          <w:rFonts w:ascii="Cambria" w:hAnsi="Cambria"/>
          <w:w w:val="110"/>
          <w:sz w:val="24"/>
        </w:rPr>
        <w:t>Toluca, Estado de México; 20 de diciembre del 2015</w:t>
      </w:r>
    </w:p>
    <w:p>
      <w:pPr>
        <w:pStyle w:val="BodyText"/>
        <w:rPr>
          <w:rFonts w:ascii="Cambria"/>
          <w:sz w:val="24"/>
        </w:rPr>
      </w:pPr>
    </w:p>
    <w:p>
      <w:pPr>
        <w:pStyle w:val="BodyText"/>
        <w:rPr>
          <w:rFonts w:ascii="Cambria"/>
          <w:sz w:val="24"/>
        </w:rPr>
      </w:pPr>
    </w:p>
    <w:p>
      <w:pPr>
        <w:spacing w:before="213"/>
        <w:ind w:left="102" w:right="0" w:firstLine="0"/>
        <w:jc w:val="both"/>
        <w:rPr>
          <w:rFonts w:ascii="Georgia" w:hAnsi="Georgia"/>
          <w:b/>
          <w:sz w:val="24"/>
        </w:rPr>
      </w:pPr>
      <w:r>
        <w:rPr>
          <w:rFonts w:ascii="Georgia" w:hAnsi="Georgia"/>
          <w:b/>
          <w:sz w:val="24"/>
        </w:rPr>
        <w:t>LIC. KARLA COLÍN MAYA</w:t>
      </w:r>
    </w:p>
    <w:p>
      <w:pPr>
        <w:pStyle w:val="BodyText"/>
        <w:spacing w:before="9"/>
        <w:rPr>
          <w:rFonts w:ascii="Georgia"/>
          <w:b/>
          <w:sz w:val="21"/>
        </w:rPr>
      </w:pPr>
    </w:p>
    <w:p>
      <w:pPr>
        <w:spacing w:line="285" w:lineRule="auto" w:before="0"/>
        <w:ind w:left="102" w:right="4783" w:firstLine="0"/>
        <w:jc w:val="both"/>
        <w:rPr>
          <w:rFonts w:ascii="Georgia" w:hAnsi="Georgia"/>
          <w:b/>
          <w:sz w:val="24"/>
        </w:rPr>
      </w:pPr>
      <w:r>
        <w:rPr>
          <w:rFonts w:ascii="Georgia" w:hAnsi="Georgia"/>
          <w:b/>
          <w:sz w:val="24"/>
        </w:rPr>
        <w:t>DIRECTORA GENERAL DEL GRUPO PROFESIONAL DE SERVICIOS</w:t>
      </w:r>
      <w:r>
        <w:rPr>
          <w:rFonts w:ascii="Georgia" w:hAnsi="Georgia"/>
          <w:b/>
          <w:spacing w:val="-36"/>
          <w:sz w:val="24"/>
        </w:rPr>
        <w:t> </w:t>
      </w:r>
      <w:r>
        <w:rPr>
          <w:rFonts w:ascii="Georgia" w:hAnsi="Georgia"/>
          <w:b/>
          <w:sz w:val="24"/>
        </w:rPr>
        <w:t>COLÍN-MAYA</w:t>
      </w:r>
      <w:r>
        <w:rPr>
          <w:rFonts w:ascii="Georgia" w:hAnsi="Georgia"/>
          <w:b/>
          <w:spacing w:val="-36"/>
          <w:sz w:val="24"/>
        </w:rPr>
        <w:t> </w:t>
      </w:r>
      <w:r>
        <w:rPr>
          <w:rFonts w:ascii="Georgia" w:hAnsi="Georgia"/>
          <w:b/>
          <w:sz w:val="24"/>
        </w:rPr>
        <w:t>SC</w:t>
      </w:r>
      <w:r>
        <w:rPr>
          <w:rFonts w:ascii="Georgia" w:hAnsi="Georgia"/>
          <w:b/>
          <w:spacing w:val="-36"/>
          <w:sz w:val="24"/>
        </w:rPr>
        <w:t> </w:t>
      </w:r>
      <w:r>
        <w:rPr>
          <w:rFonts w:ascii="Georgia" w:hAnsi="Georgia"/>
          <w:b/>
          <w:sz w:val="24"/>
        </w:rPr>
        <w:t>de</w:t>
      </w:r>
      <w:r>
        <w:rPr>
          <w:rFonts w:ascii="Georgia" w:hAnsi="Georgia"/>
          <w:b/>
          <w:spacing w:val="-36"/>
          <w:sz w:val="24"/>
        </w:rPr>
        <w:t> </w:t>
      </w:r>
      <w:r>
        <w:rPr>
          <w:rFonts w:ascii="Georgia" w:hAnsi="Georgia"/>
          <w:b/>
          <w:sz w:val="24"/>
        </w:rPr>
        <w:t>RL</w:t>
      </w:r>
    </w:p>
    <w:p>
      <w:pPr>
        <w:spacing w:before="2"/>
        <w:ind w:left="102" w:right="0" w:firstLine="0"/>
        <w:jc w:val="both"/>
        <w:rPr>
          <w:rFonts w:ascii="Georgia"/>
          <w:b/>
          <w:sz w:val="24"/>
        </w:rPr>
      </w:pPr>
      <w:r>
        <w:rPr>
          <w:rFonts w:ascii="Georgia"/>
          <w:b/>
          <w:sz w:val="24"/>
        </w:rPr>
        <w:t>de CV</w:t>
      </w:r>
    </w:p>
    <w:p>
      <w:pPr>
        <w:pStyle w:val="BodyText"/>
        <w:rPr>
          <w:rFonts w:ascii="Georgia"/>
          <w:b/>
          <w:sz w:val="24"/>
        </w:rPr>
      </w:pPr>
    </w:p>
    <w:p>
      <w:pPr>
        <w:pStyle w:val="BodyText"/>
        <w:rPr>
          <w:rFonts w:ascii="Georgia"/>
          <w:b/>
          <w:sz w:val="24"/>
        </w:rPr>
      </w:pPr>
    </w:p>
    <w:p>
      <w:pPr>
        <w:pStyle w:val="BodyText"/>
        <w:spacing w:before="4"/>
        <w:rPr>
          <w:rFonts w:ascii="Georgia"/>
          <w:b/>
          <w:sz w:val="19"/>
        </w:rPr>
      </w:pPr>
    </w:p>
    <w:p>
      <w:pPr>
        <w:spacing w:line="276" w:lineRule="auto" w:before="0"/>
        <w:ind w:left="102" w:right="102" w:firstLine="707"/>
        <w:jc w:val="both"/>
        <w:rPr>
          <w:rFonts w:ascii="Cambria" w:hAnsi="Cambria"/>
          <w:sz w:val="24"/>
        </w:rPr>
      </w:pPr>
      <w:r>
        <w:rPr>
          <w:rFonts w:ascii="Cambria" w:hAnsi="Cambria"/>
          <w:w w:val="110"/>
          <w:sz w:val="24"/>
        </w:rPr>
        <w:t>Quien suscribe, Lic. Abraham Montoya Velasco, me dirijo a usted, con      el debido respeto para solicitar apoyo del Grupo Profesional de Servicios que  se encuentra a su digna dirección, para la reproducción  de  una  Guía  que  tiene como finalidad, incorporar la perspectiva de género en la defensa de las mujeres indiciadas, que es producto de  los  estudios  realizados  por  el suscrito, en la Especialidad en Género, Violencia y  Políticas  Públicas,  impartida en la Facultad de Ciencias Políticas y Sociales, de la Universidad Autónoma  del  Estado  de</w:t>
      </w:r>
      <w:r>
        <w:rPr>
          <w:rFonts w:ascii="Cambria" w:hAnsi="Cambria"/>
          <w:spacing w:val="-12"/>
          <w:w w:val="110"/>
          <w:sz w:val="24"/>
        </w:rPr>
        <w:t> </w:t>
      </w:r>
      <w:r>
        <w:rPr>
          <w:rFonts w:ascii="Cambria" w:hAnsi="Cambria"/>
          <w:w w:val="110"/>
          <w:sz w:val="24"/>
        </w:rPr>
        <w:t>México.</w:t>
      </w:r>
    </w:p>
    <w:p>
      <w:pPr>
        <w:spacing w:line="276" w:lineRule="auto" w:before="199"/>
        <w:ind w:left="102" w:right="105" w:firstLine="707"/>
        <w:jc w:val="both"/>
        <w:rPr>
          <w:rFonts w:ascii="Cambria" w:hAnsi="Cambria"/>
          <w:sz w:val="24"/>
        </w:rPr>
      </w:pPr>
      <w:r>
        <w:rPr>
          <w:rFonts w:ascii="Cambria" w:hAnsi="Cambria"/>
          <w:w w:val="110"/>
          <w:sz w:val="24"/>
        </w:rPr>
        <w:t>Del diagnóstico realizado en 2015, mediante la aplicación de cuestionarios a abogados/as que se encargan de defender penalmente, se obtuvo que no existe incorporación de la perspectiva de género en la defensa de las mujeres indiciadas y que desconocen la legislación nacional e internacional protectora de los derechos de las    </w:t>
      </w:r>
      <w:r>
        <w:rPr>
          <w:rFonts w:ascii="Cambria" w:hAnsi="Cambria"/>
          <w:spacing w:val="14"/>
          <w:w w:val="110"/>
          <w:sz w:val="24"/>
        </w:rPr>
        <w:t> </w:t>
      </w:r>
      <w:r>
        <w:rPr>
          <w:rFonts w:ascii="Cambria" w:hAnsi="Cambria"/>
          <w:w w:val="110"/>
          <w:sz w:val="24"/>
        </w:rPr>
        <w:t>mujeres.</w:t>
      </w:r>
    </w:p>
    <w:p>
      <w:pPr>
        <w:spacing w:line="276" w:lineRule="auto" w:before="197"/>
        <w:ind w:left="102" w:right="104" w:firstLine="707"/>
        <w:jc w:val="both"/>
        <w:rPr>
          <w:rFonts w:ascii="Cambria" w:hAnsi="Cambria"/>
          <w:sz w:val="24"/>
        </w:rPr>
      </w:pPr>
      <w:r>
        <w:rPr>
          <w:rFonts w:ascii="Cambria" w:hAnsi="Cambria"/>
          <w:w w:val="110"/>
          <w:sz w:val="24"/>
        </w:rPr>
        <w:t>Resulta crucial, el hecho de incorporar la perspectiva de género en la defensa de las mujeres indiciadas, para efecto de que puedan tener un adecuado acceso a la justicia, lejos de todo prejuicio sexista que entorpezca       el debido proceso; para lo cual es necesario capacitar a quienes se encargan    de defender los derechos de las mujeres que cometen o son acusadas de cometer  conductas </w:t>
      </w:r>
      <w:r>
        <w:rPr>
          <w:rFonts w:ascii="Cambria" w:hAnsi="Cambria"/>
          <w:spacing w:val="15"/>
          <w:w w:val="110"/>
          <w:sz w:val="24"/>
        </w:rPr>
        <w:t> </w:t>
      </w:r>
      <w:r>
        <w:rPr>
          <w:rFonts w:ascii="Cambria" w:hAnsi="Cambria"/>
          <w:w w:val="110"/>
          <w:sz w:val="24"/>
        </w:rPr>
        <w:t>delictivas.</w:t>
      </w:r>
    </w:p>
    <w:p>
      <w:pPr>
        <w:spacing w:line="283" w:lineRule="auto" w:before="197"/>
        <w:ind w:left="102" w:right="103" w:firstLine="707"/>
        <w:jc w:val="both"/>
        <w:rPr>
          <w:rFonts w:ascii="Georgia" w:hAnsi="Georgia"/>
          <w:sz w:val="24"/>
        </w:rPr>
      </w:pPr>
      <w:r>
        <w:rPr>
          <w:rFonts w:ascii="Cambria" w:hAnsi="Cambria"/>
          <w:w w:val="110"/>
          <w:sz w:val="24"/>
        </w:rPr>
        <w:t>En ese orden de ideas, solicito el apoyo para la reproducción de 100 </w:t>
      </w:r>
      <w:r>
        <w:rPr>
          <w:rFonts w:ascii="Georgia" w:hAnsi="Georgia"/>
          <w:w w:val="110"/>
          <w:sz w:val="24"/>
        </w:rPr>
        <w:t>ejemplares de la “Guía para la incorporación de la perspectiva de género en la defensa de las mujeres indiciadas”; el apoyo que se pueda brindar a éste</w:t>
      </w:r>
    </w:p>
    <w:p>
      <w:pPr>
        <w:spacing w:after="0" w:line="283" w:lineRule="auto"/>
        <w:jc w:val="both"/>
        <w:rPr>
          <w:rFonts w:ascii="Georgia" w:hAnsi="Georgia"/>
          <w:sz w:val="24"/>
        </w:rPr>
        <w:sectPr>
          <w:footerReference w:type="default" r:id="rId158"/>
          <w:pgSz w:w="12240" w:h="15840"/>
          <w:pgMar w:footer="942" w:header="0" w:top="1360" w:bottom="1140" w:left="1600" w:right="1500"/>
          <w:pgNumType w:start="130"/>
        </w:sectPr>
      </w:pPr>
    </w:p>
    <w:p>
      <w:pPr>
        <w:spacing w:line="278" w:lineRule="auto" w:before="51"/>
        <w:ind w:left="102" w:right="101" w:firstLine="0"/>
        <w:jc w:val="both"/>
        <w:rPr>
          <w:rFonts w:ascii="Cambria" w:hAnsi="Cambria"/>
          <w:sz w:val="24"/>
        </w:rPr>
      </w:pPr>
      <w:r>
        <w:rPr>
          <w:rFonts w:ascii="Cambria" w:hAnsi="Cambria"/>
          <w:w w:val="110"/>
          <w:sz w:val="24"/>
        </w:rPr>
        <w:t>proyecto, resaltará el interés y compromiso social por parte del Grupo Profesional y de Servicios Colín-Maya, al colaborar en la erradicación de la violencia que sufren las mujeres en     reclusión.</w:t>
      </w:r>
    </w:p>
    <w:p>
      <w:pPr>
        <w:spacing w:before="199"/>
        <w:ind w:left="810" w:right="0" w:firstLine="0"/>
        <w:jc w:val="left"/>
        <w:rPr>
          <w:rFonts w:ascii="Cambria" w:hAnsi="Cambria"/>
          <w:sz w:val="24"/>
        </w:rPr>
      </w:pPr>
      <w:r>
        <w:rPr>
          <w:rFonts w:ascii="Cambria" w:hAnsi="Cambria"/>
          <w:w w:val="110"/>
          <w:sz w:val="24"/>
        </w:rPr>
        <w:t>A continuación se detalla la impresión de los ejemplares:</w:t>
      </w:r>
    </w:p>
    <w:p>
      <w:pPr>
        <w:pStyle w:val="BodyText"/>
        <w:spacing w:before="9" w:after="1"/>
        <w:rPr>
          <w:rFonts w:ascii="Cambria"/>
          <w:sz w:val="20"/>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5"/>
      </w:tblGrid>
      <w:tr>
        <w:trPr>
          <w:trHeight w:val="535" w:hRule="exact"/>
        </w:trPr>
        <w:tc>
          <w:tcPr>
            <w:tcW w:w="4414" w:type="dxa"/>
          </w:tcPr>
          <w:p>
            <w:pPr>
              <w:pStyle w:val="TableParagraph"/>
              <w:spacing w:line="279" w:lineRule="exact"/>
              <w:ind w:right="451"/>
              <w:rPr>
                <w:rFonts w:ascii="Cambria" w:hAnsi="Cambria"/>
                <w:sz w:val="24"/>
              </w:rPr>
            </w:pPr>
            <w:r>
              <w:rPr>
                <w:rFonts w:ascii="Cambria" w:hAnsi="Cambria"/>
                <w:w w:val="110"/>
                <w:sz w:val="24"/>
              </w:rPr>
              <w:t>Número de</w:t>
            </w:r>
            <w:r>
              <w:rPr>
                <w:rFonts w:ascii="Cambria" w:hAnsi="Cambria"/>
                <w:spacing w:val="56"/>
                <w:w w:val="110"/>
                <w:sz w:val="24"/>
              </w:rPr>
              <w:t> </w:t>
            </w:r>
            <w:r>
              <w:rPr>
                <w:rFonts w:ascii="Cambria" w:hAnsi="Cambria"/>
                <w:w w:val="110"/>
                <w:sz w:val="24"/>
              </w:rPr>
              <w:t>ejemplares</w:t>
            </w:r>
          </w:p>
        </w:tc>
        <w:tc>
          <w:tcPr>
            <w:tcW w:w="4415" w:type="dxa"/>
          </w:tcPr>
          <w:p>
            <w:pPr>
              <w:pStyle w:val="TableParagraph"/>
              <w:spacing w:line="279" w:lineRule="exact"/>
              <w:rPr>
                <w:rFonts w:ascii="Cambria"/>
                <w:sz w:val="24"/>
              </w:rPr>
            </w:pPr>
            <w:r>
              <w:rPr>
                <w:rFonts w:ascii="Cambria"/>
                <w:w w:val="110"/>
                <w:sz w:val="24"/>
              </w:rPr>
              <w:t>100</w:t>
            </w:r>
          </w:p>
        </w:tc>
      </w:tr>
      <w:tr>
        <w:trPr>
          <w:trHeight w:val="533" w:hRule="exact"/>
        </w:trPr>
        <w:tc>
          <w:tcPr>
            <w:tcW w:w="4414" w:type="dxa"/>
          </w:tcPr>
          <w:p>
            <w:pPr>
              <w:pStyle w:val="TableParagraph"/>
              <w:spacing w:line="279" w:lineRule="exact"/>
              <w:ind w:right="451"/>
              <w:rPr>
                <w:rFonts w:ascii="Cambria" w:hAnsi="Cambria"/>
                <w:sz w:val="24"/>
              </w:rPr>
            </w:pPr>
            <w:r>
              <w:rPr>
                <w:rFonts w:ascii="Cambria" w:hAnsi="Cambria"/>
                <w:w w:val="110"/>
                <w:sz w:val="24"/>
              </w:rPr>
              <w:t>Tipo de impresión</w:t>
            </w:r>
          </w:p>
        </w:tc>
        <w:tc>
          <w:tcPr>
            <w:tcW w:w="4415" w:type="dxa"/>
          </w:tcPr>
          <w:p>
            <w:pPr>
              <w:pStyle w:val="TableParagraph"/>
              <w:spacing w:line="279" w:lineRule="exact"/>
              <w:rPr>
                <w:rFonts w:ascii="Cambria"/>
                <w:sz w:val="24"/>
              </w:rPr>
            </w:pPr>
            <w:r>
              <w:rPr>
                <w:rFonts w:ascii="Cambria"/>
                <w:w w:val="115"/>
                <w:sz w:val="24"/>
              </w:rPr>
              <w:t>Color</w:t>
            </w:r>
          </w:p>
        </w:tc>
      </w:tr>
      <w:tr>
        <w:trPr>
          <w:trHeight w:val="536" w:hRule="exact"/>
        </w:trPr>
        <w:tc>
          <w:tcPr>
            <w:tcW w:w="4414" w:type="dxa"/>
          </w:tcPr>
          <w:p>
            <w:pPr>
              <w:pStyle w:val="TableParagraph"/>
              <w:spacing w:line="280" w:lineRule="exact"/>
              <w:ind w:right="451"/>
              <w:rPr>
                <w:rFonts w:ascii="Cambria"/>
                <w:sz w:val="24"/>
              </w:rPr>
            </w:pPr>
            <w:r>
              <w:rPr>
                <w:rFonts w:ascii="Cambria"/>
                <w:w w:val="110"/>
                <w:sz w:val="24"/>
              </w:rPr>
              <w:t>Material</w:t>
            </w:r>
          </w:p>
        </w:tc>
        <w:tc>
          <w:tcPr>
            <w:tcW w:w="4415" w:type="dxa"/>
          </w:tcPr>
          <w:p>
            <w:pPr>
              <w:pStyle w:val="TableParagraph"/>
              <w:spacing w:line="280" w:lineRule="exact"/>
              <w:rPr>
                <w:rFonts w:ascii="Cambria" w:hAnsi="Cambria"/>
                <w:sz w:val="24"/>
              </w:rPr>
            </w:pPr>
            <w:r>
              <w:rPr>
                <w:rFonts w:ascii="Cambria" w:hAnsi="Cambria"/>
                <w:w w:val="115"/>
                <w:sz w:val="24"/>
              </w:rPr>
              <w:t>Hojas bond, tamaño carta</w:t>
            </w:r>
          </w:p>
        </w:tc>
      </w:tr>
      <w:tr>
        <w:trPr>
          <w:trHeight w:val="533" w:hRule="exact"/>
        </w:trPr>
        <w:tc>
          <w:tcPr>
            <w:tcW w:w="4414" w:type="dxa"/>
          </w:tcPr>
          <w:p>
            <w:pPr>
              <w:pStyle w:val="TableParagraph"/>
              <w:spacing w:line="279" w:lineRule="exact"/>
              <w:ind w:right="451"/>
              <w:rPr>
                <w:rFonts w:ascii="Cambria" w:hAnsi="Cambria"/>
                <w:sz w:val="24"/>
              </w:rPr>
            </w:pPr>
            <w:r>
              <w:rPr>
                <w:rFonts w:ascii="Cambria" w:hAnsi="Cambria"/>
                <w:w w:val="110"/>
                <w:sz w:val="24"/>
              </w:rPr>
              <w:t>Número  de hojas</w:t>
            </w:r>
          </w:p>
        </w:tc>
        <w:tc>
          <w:tcPr>
            <w:tcW w:w="4415" w:type="dxa"/>
          </w:tcPr>
          <w:p>
            <w:pPr>
              <w:pStyle w:val="TableParagraph"/>
              <w:spacing w:line="279" w:lineRule="exact"/>
              <w:rPr>
                <w:rFonts w:ascii="Cambria"/>
                <w:sz w:val="24"/>
              </w:rPr>
            </w:pPr>
            <w:r>
              <w:rPr>
                <w:rFonts w:ascii="Cambria"/>
                <w:w w:val="110"/>
                <w:sz w:val="24"/>
              </w:rPr>
              <w:t>60</w:t>
            </w:r>
          </w:p>
        </w:tc>
      </w:tr>
      <w:tr>
        <w:trPr>
          <w:trHeight w:val="535" w:hRule="exact"/>
        </w:trPr>
        <w:tc>
          <w:tcPr>
            <w:tcW w:w="4414" w:type="dxa"/>
          </w:tcPr>
          <w:p>
            <w:pPr>
              <w:pStyle w:val="TableParagraph"/>
              <w:spacing w:line="279" w:lineRule="exact"/>
              <w:ind w:right="451"/>
              <w:rPr>
                <w:rFonts w:ascii="Cambria"/>
                <w:sz w:val="24"/>
              </w:rPr>
            </w:pPr>
            <w:r>
              <w:rPr>
                <w:rFonts w:ascii="Cambria"/>
                <w:w w:val="110"/>
                <w:sz w:val="24"/>
              </w:rPr>
              <w:t>Tipo  de encuadernado</w:t>
            </w:r>
          </w:p>
        </w:tc>
        <w:tc>
          <w:tcPr>
            <w:tcW w:w="4415" w:type="dxa"/>
          </w:tcPr>
          <w:p>
            <w:pPr>
              <w:pStyle w:val="TableParagraph"/>
              <w:spacing w:line="279" w:lineRule="exact"/>
              <w:rPr>
                <w:rFonts w:ascii="Cambria"/>
                <w:sz w:val="24"/>
              </w:rPr>
            </w:pPr>
            <w:r>
              <w:rPr>
                <w:rFonts w:ascii="Cambria"/>
                <w:w w:val="115"/>
                <w:sz w:val="24"/>
              </w:rPr>
              <w:t>Empastado</w:t>
            </w:r>
          </w:p>
        </w:tc>
      </w:tr>
    </w:tbl>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3"/>
        <w:rPr>
          <w:rFonts w:ascii="Cambria"/>
          <w:sz w:val="23"/>
        </w:rPr>
      </w:pPr>
    </w:p>
    <w:p>
      <w:pPr>
        <w:spacing w:line="278" w:lineRule="auto" w:before="65"/>
        <w:ind w:left="102" w:right="103" w:firstLine="0"/>
        <w:jc w:val="both"/>
        <w:rPr>
          <w:rFonts w:ascii="Cambria" w:hAnsi="Cambria"/>
          <w:sz w:val="24"/>
        </w:rPr>
      </w:pPr>
      <w:r>
        <w:rPr>
          <w:rFonts w:ascii="Cambria" w:hAnsi="Cambria"/>
          <w:w w:val="115"/>
          <w:sz w:val="24"/>
        </w:rPr>
        <w:t>Sin otro particular por el momento, esperando una respuesta favorable a mi solicitud, me despido de usted, deseándole que tenga felices fiestas decembrinas.</w:t>
      </w:r>
    </w:p>
    <w:p>
      <w:pPr>
        <w:pStyle w:val="BodyText"/>
        <w:rPr>
          <w:rFonts w:ascii="Cambria"/>
          <w:sz w:val="24"/>
        </w:rPr>
      </w:pPr>
    </w:p>
    <w:p>
      <w:pPr>
        <w:pStyle w:val="BodyText"/>
        <w:rPr>
          <w:rFonts w:ascii="Cambria"/>
          <w:sz w:val="24"/>
        </w:rPr>
      </w:pPr>
    </w:p>
    <w:p>
      <w:pPr>
        <w:spacing w:before="159"/>
        <w:ind w:left="2309" w:right="2314" w:firstLine="0"/>
        <w:jc w:val="center"/>
        <w:rPr>
          <w:rFonts w:ascii="Cambria"/>
          <w:sz w:val="24"/>
        </w:rPr>
      </w:pPr>
      <w:r>
        <w:rPr>
          <w:rFonts w:ascii="Cambria"/>
          <w:w w:val="115"/>
          <w:sz w:val="24"/>
        </w:rPr>
        <w:t>A T E N T A M E N T  E</w:t>
      </w:r>
    </w:p>
    <w:p>
      <w:pPr>
        <w:pStyle w:val="BodyText"/>
        <w:rPr>
          <w:rFonts w:ascii="Cambria"/>
          <w:sz w:val="24"/>
        </w:rPr>
      </w:pPr>
    </w:p>
    <w:p>
      <w:pPr>
        <w:pStyle w:val="BodyText"/>
        <w:rPr>
          <w:rFonts w:ascii="Cambria"/>
          <w:sz w:val="24"/>
        </w:rPr>
      </w:pPr>
    </w:p>
    <w:p>
      <w:pPr>
        <w:pStyle w:val="BodyText"/>
        <w:rPr>
          <w:rFonts w:ascii="Cambria"/>
          <w:sz w:val="24"/>
        </w:rPr>
      </w:pPr>
    </w:p>
    <w:p>
      <w:pPr>
        <w:pStyle w:val="BodyText"/>
        <w:rPr>
          <w:rFonts w:ascii="Cambria"/>
          <w:sz w:val="24"/>
        </w:rPr>
      </w:pPr>
    </w:p>
    <w:p>
      <w:pPr>
        <w:spacing w:before="165"/>
        <w:ind w:left="2309" w:right="2317" w:firstLine="0"/>
        <w:jc w:val="center"/>
        <w:rPr>
          <w:rFonts w:ascii="Cambria"/>
          <w:sz w:val="24"/>
        </w:rPr>
      </w:pPr>
      <w:r>
        <w:rPr>
          <w:rFonts w:ascii="Cambria"/>
          <w:w w:val="120"/>
          <w:sz w:val="24"/>
        </w:rPr>
        <w:t>LIC. ABRAHAM MONTOYA VELASCO</w:t>
      </w:r>
    </w:p>
    <w:sectPr>
      <w:pgSz w:w="12240" w:h="15840"/>
      <w:pgMar w:header="0" w:footer="942" w:top="1360" w:bottom="1200" w:left="1600" w:right="15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ambria">
    <w:altName w:val="Cambria"/>
    <w:charset w:val="0"/>
    <w:family w:val="roman"/>
    <w:pitch w:val="variable"/>
  </w:font>
  <w:font w:name="Aharoni">
    <w:altName w:val="Aharoni"/>
    <w:charset w:val="0"/>
    <w:family w:val="auto"/>
    <w:pitch w:val="variable"/>
  </w:font>
  <w:font w:name="Calibri Light">
    <w:altName w:val="Calibri Light"/>
    <w:charset w:val="0"/>
    <w:family w:val="swiss"/>
    <w:pitch w:val="variable"/>
  </w:font>
  <w:font w:name="Georgia">
    <w:altName w:val="Georgia"/>
    <w:charset w:val="0"/>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5pt;margin-top:730.880005pt;width:9.6pt;height:13.05pt;mso-position-horizontal-relative:page;mso-position-vertical-relative:page;z-index:-100456" type="#_x0000_t202" filled="false" stroked="false">
          <v:textbox inset="0,0,0,0">
            <w:txbxContent>
              <w:p>
                <w:pPr>
                  <w:pStyle w:val="BodyText"/>
                  <w:spacing w:line="245" w:lineRule="exact"/>
                  <w:ind w:left="40"/>
                  <w:rPr>
                    <w:rFonts w:ascii="Calibri"/>
                  </w:rPr>
                </w:pPr>
                <w:r>
                  <w:rPr/>
                  <w:fldChar w:fldCharType="begin"/>
                </w:r>
                <w:r>
                  <w:rPr>
                    <w:rFonts w:ascii="Calibri"/>
                    <w:w w:val="100"/>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00240" type="#_x0000_t202" filled="false" stroked="false">
          <v:textbox inset="0,0,0,0">
            <w:txbxContent>
              <w:p>
                <w:pPr>
                  <w:pStyle w:val="BodyText"/>
                  <w:spacing w:line="245" w:lineRule="exact"/>
                  <w:ind w:left="20"/>
                  <w:rPr>
                    <w:rFonts w:ascii="Calibri"/>
                  </w:rPr>
                </w:pPr>
                <w:r>
                  <w:rPr>
                    <w:rFonts w:ascii="Calibri"/>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0021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0019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54</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00168" type="#_x0000_t202" filled="false" stroked="false">
          <v:textbox inset="0,0,0,0">
            <w:txbxContent>
              <w:p>
                <w:pPr>
                  <w:pStyle w:val="BodyText"/>
                  <w:spacing w:line="245" w:lineRule="exact"/>
                  <w:ind w:left="20"/>
                  <w:rPr>
                    <w:rFonts w:ascii="Calibri"/>
                  </w:rPr>
                </w:pPr>
                <w:r>
                  <w:rPr>
                    <w:rFonts w:ascii="Calibri"/>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0014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68</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00120" type="#_x0000_t202" filled="false" stroked="false">
          <v:textbox inset="0,0,0,0">
            <w:txbxContent>
              <w:p>
                <w:pPr>
                  <w:pStyle w:val="BodyText"/>
                  <w:spacing w:line="245" w:lineRule="exact"/>
                  <w:ind w:left="20"/>
                  <w:rPr>
                    <w:rFonts w:ascii="Calibri"/>
                  </w:rPr>
                </w:pPr>
                <w:r>
                  <w:rPr>
                    <w:rFonts w:ascii="Calibri"/>
                  </w:rPr>
                  <w:t>70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3"/>
      </w:rPr>
    </w:pPr>
    <w:r>
      <w:rPr/>
      <w:pict>
        <v:shape style="position:absolute;margin-left:513.859985pt;margin-top:730.880005pt;width:15.3pt;height:13.05pt;mso-position-horizontal-relative:page;mso-position-vertical-relative:page;z-index:-10009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72</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00432" type="#_x0000_t202" filled="false" stroked="false">
          <v:textbox inset="0,0,0,0">
            <w:txbxContent>
              <w:p>
                <w:pPr>
                  <w:pStyle w:val="BodyText"/>
                  <w:spacing w:line="245" w:lineRule="exact"/>
                  <w:ind w:left="20"/>
                  <w:rPr>
                    <w:rFonts w:ascii="Calibri"/>
                  </w:rPr>
                </w:pPr>
                <w:r>
                  <w:rPr>
                    <w:rFonts w:ascii="Calibri"/>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0007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77</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00048" type="#_x0000_t202" filled="false" stroked="false">
          <v:textbox inset="0,0,0,0">
            <w:txbxContent>
              <w:p>
                <w:pPr>
                  <w:pStyle w:val="BodyText"/>
                  <w:spacing w:line="245" w:lineRule="exact"/>
                  <w:ind w:left="20"/>
                  <w:rPr>
                    <w:rFonts w:ascii="Calibri"/>
                  </w:rPr>
                </w:pPr>
                <w:r>
                  <w:rPr>
                    <w:rFonts w:ascii="Calibri"/>
                  </w:rPr>
                  <w:t>80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00024" type="#_x0000_t202" filled="false" stroked="false">
          <v:textbox inset="0,0,0,0">
            <w:txbxContent>
              <w:p>
                <w:pPr>
                  <w:pStyle w:val="BodyText"/>
                  <w:spacing w:line="245" w:lineRule="exact"/>
                  <w:ind w:left="20"/>
                  <w:rPr>
                    <w:rFonts w:ascii="Calibri"/>
                  </w:rPr>
                </w:pPr>
                <w:r>
                  <w:rPr>
                    <w:rFonts w:ascii="Calibri"/>
                  </w:rPr>
                  <w:t>81</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3"/>
      </w:rPr>
    </w:pPr>
    <w:r>
      <w:rPr/>
      <w:pict>
        <v:shape style="position:absolute;margin-left:513.859985pt;margin-top:730.880005pt;width:15.3pt;height:13.05pt;mso-position-horizontal-relative:page;mso-position-vertical-relative:page;z-index:-10000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84</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99976" type="#_x0000_t202" filled="false" stroked="false">
          <v:textbox inset="0,0,0,0">
            <w:txbxContent>
              <w:p>
                <w:pPr>
                  <w:pStyle w:val="BodyText"/>
                  <w:spacing w:line="245" w:lineRule="exact"/>
                  <w:ind w:left="20"/>
                  <w:rPr>
                    <w:rFonts w:ascii="Calibri"/>
                  </w:rPr>
                </w:pPr>
                <w:r>
                  <w:rPr>
                    <w:rFonts w:ascii="Calibri"/>
                  </w:rPr>
                  <w:t>90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shape style="position:absolute;margin-left:513.859985pt;margin-top:730.880005pt;width:15.3pt;height:13.05pt;mso-position-horizontal-relative:page;mso-position-vertical-relative:page;z-index:-9995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95</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0040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9992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100</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9990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106</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9988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110</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08.339996pt;margin-top:730.880005pt;width:20.75pt;height:13.05pt;mso-position-horizontal-relative:page;mso-position-vertical-relative:page;z-index:-9985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129</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9983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130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00384" type="#_x0000_t202" filled="false" stroked="false">
          <v:textbox inset="0,0,0,0">
            <w:txbxContent>
              <w:p>
                <w:pPr>
                  <w:pStyle w:val="BodyText"/>
                  <w:spacing w:line="245" w:lineRule="exact"/>
                  <w:ind w:left="20"/>
                  <w:rPr>
                    <w:rFonts w:ascii="Calibri"/>
                  </w:rPr>
                </w:pPr>
                <w:r>
                  <w:rPr>
                    <w:rFonts w:ascii="Calibri"/>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0036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00336" type="#_x0000_t202" filled="false" stroked="false">
          <v:textbox inset="0,0,0,0">
            <w:txbxContent>
              <w:p>
                <w:pPr>
                  <w:pStyle w:val="BodyText"/>
                  <w:spacing w:line="245" w:lineRule="exact"/>
                  <w:ind w:left="20"/>
                  <w:rPr>
                    <w:rFonts w:ascii="Calibri"/>
                  </w:rPr>
                </w:pPr>
                <w:r>
                  <w:rPr>
                    <w:rFonts w:ascii="Calibri"/>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0031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00288" type="#_x0000_t202" filled="false" stroked="false">
          <v:textbox inset="0,0,0,0">
            <w:txbxContent>
              <w:p>
                <w:pPr>
                  <w:pStyle w:val="BodyText"/>
                  <w:spacing w:line="245" w:lineRule="exact"/>
                  <w:ind w:left="20"/>
                  <w:rPr>
                    <w:rFonts w:ascii="Calibri"/>
                  </w:rPr>
                </w:pPr>
                <w:r>
                  <w:rPr>
                    <w:rFonts w:ascii="Calibri"/>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0026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2">
    <w:multiLevelType w:val="hybridMultilevel"/>
    <w:lvl w:ilvl="0">
      <w:start w:val="1"/>
      <w:numFmt w:val="bullet"/>
      <w:lvlText w:val=""/>
      <w:lvlJc w:val="left"/>
      <w:pPr>
        <w:ind w:left="823" w:hanging="361"/>
      </w:pPr>
      <w:rPr>
        <w:rFonts w:hint="default" w:ascii="Symbol" w:hAnsi="Symbol" w:eastAsia="Symbol" w:cs="Symbol"/>
        <w:w w:val="100"/>
        <w:sz w:val="24"/>
        <w:szCs w:val="24"/>
      </w:rPr>
    </w:lvl>
    <w:lvl w:ilvl="1">
      <w:start w:val="1"/>
      <w:numFmt w:val="bullet"/>
      <w:lvlText w:val="•"/>
      <w:lvlJc w:val="left"/>
      <w:pPr>
        <w:ind w:left="1178" w:hanging="361"/>
      </w:pPr>
      <w:rPr>
        <w:rFonts w:hint="default"/>
      </w:rPr>
    </w:lvl>
    <w:lvl w:ilvl="2">
      <w:start w:val="1"/>
      <w:numFmt w:val="bullet"/>
      <w:lvlText w:val="•"/>
      <w:lvlJc w:val="left"/>
      <w:pPr>
        <w:ind w:left="1537" w:hanging="361"/>
      </w:pPr>
      <w:rPr>
        <w:rFonts w:hint="default"/>
      </w:rPr>
    </w:lvl>
    <w:lvl w:ilvl="3">
      <w:start w:val="1"/>
      <w:numFmt w:val="bullet"/>
      <w:lvlText w:val="•"/>
      <w:lvlJc w:val="left"/>
      <w:pPr>
        <w:ind w:left="1895" w:hanging="361"/>
      </w:pPr>
      <w:rPr>
        <w:rFonts w:hint="default"/>
      </w:rPr>
    </w:lvl>
    <w:lvl w:ilvl="4">
      <w:start w:val="1"/>
      <w:numFmt w:val="bullet"/>
      <w:lvlText w:val="•"/>
      <w:lvlJc w:val="left"/>
      <w:pPr>
        <w:ind w:left="2254" w:hanging="361"/>
      </w:pPr>
      <w:rPr>
        <w:rFonts w:hint="default"/>
      </w:rPr>
    </w:lvl>
    <w:lvl w:ilvl="5">
      <w:start w:val="1"/>
      <w:numFmt w:val="bullet"/>
      <w:lvlText w:val="•"/>
      <w:lvlJc w:val="left"/>
      <w:pPr>
        <w:ind w:left="2612" w:hanging="361"/>
      </w:pPr>
      <w:rPr>
        <w:rFonts w:hint="default"/>
      </w:rPr>
    </w:lvl>
    <w:lvl w:ilvl="6">
      <w:start w:val="1"/>
      <w:numFmt w:val="bullet"/>
      <w:lvlText w:val="•"/>
      <w:lvlJc w:val="left"/>
      <w:pPr>
        <w:ind w:left="2971" w:hanging="361"/>
      </w:pPr>
      <w:rPr>
        <w:rFonts w:hint="default"/>
      </w:rPr>
    </w:lvl>
    <w:lvl w:ilvl="7">
      <w:start w:val="1"/>
      <w:numFmt w:val="bullet"/>
      <w:lvlText w:val="•"/>
      <w:lvlJc w:val="left"/>
      <w:pPr>
        <w:ind w:left="3329" w:hanging="361"/>
      </w:pPr>
      <w:rPr>
        <w:rFonts w:hint="default"/>
      </w:rPr>
    </w:lvl>
    <w:lvl w:ilvl="8">
      <w:start w:val="1"/>
      <w:numFmt w:val="bullet"/>
      <w:lvlText w:val="•"/>
      <w:lvlJc w:val="left"/>
      <w:pPr>
        <w:ind w:left="3688" w:hanging="361"/>
      </w:pPr>
      <w:rPr>
        <w:rFonts w:hint="default"/>
      </w:rPr>
    </w:lvl>
  </w:abstractNum>
  <w:abstractNum w:abstractNumId="21">
    <w:multiLevelType w:val="hybridMultilevel"/>
    <w:lvl w:ilvl="0">
      <w:start w:val="1"/>
      <w:numFmt w:val="bullet"/>
      <w:lvlText w:val=""/>
      <w:lvlJc w:val="left"/>
      <w:pPr>
        <w:ind w:left="823" w:hanging="361"/>
      </w:pPr>
      <w:rPr>
        <w:rFonts w:hint="default" w:ascii="Symbol" w:hAnsi="Symbol" w:eastAsia="Symbol" w:cs="Symbol"/>
        <w:w w:val="100"/>
        <w:sz w:val="24"/>
        <w:szCs w:val="24"/>
      </w:rPr>
    </w:lvl>
    <w:lvl w:ilvl="1">
      <w:start w:val="1"/>
      <w:numFmt w:val="bullet"/>
      <w:lvlText w:val="•"/>
      <w:lvlJc w:val="left"/>
      <w:pPr>
        <w:ind w:left="1178" w:hanging="361"/>
      </w:pPr>
      <w:rPr>
        <w:rFonts w:hint="default"/>
      </w:rPr>
    </w:lvl>
    <w:lvl w:ilvl="2">
      <w:start w:val="1"/>
      <w:numFmt w:val="bullet"/>
      <w:lvlText w:val="•"/>
      <w:lvlJc w:val="left"/>
      <w:pPr>
        <w:ind w:left="1537" w:hanging="361"/>
      </w:pPr>
      <w:rPr>
        <w:rFonts w:hint="default"/>
      </w:rPr>
    </w:lvl>
    <w:lvl w:ilvl="3">
      <w:start w:val="1"/>
      <w:numFmt w:val="bullet"/>
      <w:lvlText w:val="•"/>
      <w:lvlJc w:val="left"/>
      <w:pPr>
        <w:ind w:left="1895" w:hanging="361"/>
      </w:pPr>
      <w:rPr>
        <w:rFonts w:hint="default"/>
      </w:rPr>
    </w:lvl>
    <w:lvl w:ilvl="4">
      <w:start w:val="1"/>
      <w:numFmt w:val="bullet"/>
      <w:lvlText w:val="•"/>
      <w:lvlJc w:val="left"/>
      <w:pPr>
        <w:ind w:left="2254" w:hanging="361"/>
      </w:pPr>
      <w:rPr>
        <w:rFonts w:hint="default"/>
      </w:rPr>
    </w:lvl>
    <w:lvl w:ilvl="5">
      <w:start w:val="1"/>
      <w:numFmt w:val="bullet"/>
      <w:lvlText w:val="•"/>
      <w:lvlJc w:val="left"/>
      <w:pPr>
        <w:ind w:left="2612" w:hanging="361"/>
      </w:pPr>
      <w:rPr>
        <w:rFonts w:hint="default"/>
      </w:rPr>
    </w:lvl>
    <w:lvl w:ilvl="6">
      <w:start w:val="1"/>
      <w:numFmt w:val="bullet"/>
      <w:lvlText w:val="•"/>
      <w:lvlJc w:val="left"/>
      <w:pPr>
        <w:ind w:left="2971" w:hanging="361"/>
      </w:pPr>
      <w:rPr>
        <w:rFonts w:hint="default"/>
      </w:rPr>
    </w:lvl>
    <w:lvl w:ilvl="7">
      <w:start w:val="1"/>
      <w:numFmt w:val="bullet"/>
      <w:lvlText w:val="•"/>
      <w:lvlJc w:val="left"/>
      <w:pPr>
        <w:ind w:left="3329" w:hanging="361"/>
      </w:pPr>
      <w:rPr>
        <w:rFonts w:hint="default"/>
      </w:rPr>
    </w:lvl>
    <w:lvl w:ilvl="8">
      <w:start w:val="1"/>
      <w:numFmt w:val="bullet"/>
      <w:lvlText w:val="•"/>
      <w:lvlJc w:val="left"/>
      <w:pPr>
        <w:ind w:left="3688" w:hanging="361"/>
      </w:pPr>
      <w:rPr>
        <w:rFonts w:hint="default"/>
      </w:rPr>
    </w:lvl>
  </w:abstractNum>
  <w:abstractNum w:abstractNumId="20">
    <w:multiLevelType w:val="hybridMultilevel"/>
    <w:lvl w:ilvl="0">
      <w:start w:val="1"/>
      <w:numFmt w:val="bullet"/>
      <w:lvlText w:val=""/>
      <w:lvlJc w:val="left"/>
      <w:pPr>
        <w:ind w:left="878" w:hanging="361"/>
      </w:pPr>
      <w:rPr>
        <w:rFonts w:hint="default" w:ascii="Symbol" w:hAnsi="Symbol" w:eastAsia="Symbol" w:cs="Symbol"/>
        <w:w w:val="100"/>
        <w:sz w:val="24"/>
        <w:szCs w:val="24"/>
      </w:rPr>
    </w:lvl>
    <w:lvl w:ilvl="1">
      <w:start w:val="1"/>
      <w:numFmt w:val="bullet"/>
      <w:lvlText w:val="•"/>
      <w:lvlJc w:val="left"/>
      <w:pPr>
        <w:ind w:left="1232" w:hanging="361"/>
      </w:pPr>
      <w:rPr>
        <w:rFonts w:hint="default"/>
      </w:rPr>
    </w:lvl>
    <w:lvl w:ilvl="2">
      <w:start w:val="1"/>
      <w:numFmt w:val="bullet"/>
      <w:lvlText w:val="•"/>
      <w:lvlJc w:val="left"/>
      <w:pPr>
        <w:ind w:left="1585" w:hanging="361"/>
      </w:pPr>
      <w:rPr>
        <w:rFonts w:hint="default"/>
      </w:rPr>
    </w:lvl>
    <w:lvl w:ilvl="3">
      <w:start w:val="1"/>
      <w:numFmt w:val="bullet"/>
      <w:lvlText w:val="•"/>
      <w:lvlJc w:val="left"/>
      <w:pPr>
        <w:ind w:left="1937" w:hanging="361"/>
      </w:pPr>
      <w:rPr>
        <w:rFonts w:hint="default"/>
      </w:rPr>
    </w:lvl>
    <w:lvl w:ilvl="4">
      <w:start w:val="1"/>
      <w:numFmt w:val="bullet"/>
      <w:lvlText w:val="•"/>
      <w:lvlJc w:val="left"/>
      <w:pPr>
        <w:ind w:left="2290" w:hanging="361"/>
      </w:pPr>
      <w:rPr>
        <w:rFonts w:hint="default"/>
      </w:rPr>
    </w:lvl>
    <w:lvl w:ilvl="5">
      <w:start w:val="1"/>
      <w:numFmt w:val="bullet"/>
      <w:lvlText w:val="•"/>
      <w:lvlJc w:val="left"/>
      <w:pPr>
        <w:ind w:left="2642" w:hanging="361"/>
      </w:pPr>
      <w:rPr>
        <w:rFonts w:hint="default"/>
      </w:rPr>
    </w:lvl>
    <w:lvl w:ilvl="6">
      <w:start w:val="1"/>
      <w:numFmt w:val="bullet"/>
      <w:lvlText w:val="•"/>
      <w:lvlJc w:val="left"/>
      <w:pPr>
        <w:ind w:left="2995" w:hanging="361"/>
      </w:pPr>
      <w:rPr>
        <w:rFonts w:hint="default"/>
      </w:rPr>
    </w:lvl>
    <w:lvl w:ilvl="7">
      <w:start w:val="1"/>
      <w:numFmt w:val="bullet"/>
      <w:lvlText w:val="•"/>
      <w:lvlJc w:val="left"/>
      <w:pPr>
        <w:ind w:left="3347" w:hanging="361"/>
      </w:pPr>
      <w:rPr>
        <w:rFonts w:hint="default"/>
      </w:rPr>
    </w:lvl>
    <w:lvl w:ilvl="8">
      <w:start w:val="1"/>
      <w:numFmt w:val="bullet"/>
      <w:lvlText w:val="•"/>
      <w:lvlJc w:val="left"/>
      <w:pPr>
        <w:ind w:left="3700" w:hanging="361"/>
      </w:pPr>
      <w:rPr>
        <w:rFonts w:hint="default"/>
      </w:rPr>
    </w:lvl>
  </w:abstractNum>
  <w:abstractNum w:abstractNumId="19">
    <w:multiLevelType w:val="hybridMultilevel"/>
    <w:lvl w:ilvl="0">
      <w:start w:val="1"/>
      <w:numFmt w:val="decimal"/>
      <w:lvlText w:val="%1."/>
      <w:lvlJc w:val="left"/>
      <w:pPr>
        <w:ind w:left="619" w:hanging="353"/>
        <w:jc w:val="right"/>
      </w:pPr>
      <w:rPr>
        <w:rFonts w:hint="default" w:ascii="Arial" w:hAnsi="Arial" w:eastAsia="Arial" w:cs="Arial"/>
        <w:spacing w:val="-1"/>
        <w:w w:val="100"/>
        <w:sz w:val="22"/>
        <w:szCs w:val="22"/>
      </w:rPr>
    </w:lvl>
    <w:lvl w:ilvl="1">
      <w:start w:val="1"/>
      <w:numFmt w:val="bullet"/>
      <w:lvlText w:val="•"/>
      <w:lvlJc w:val="left"/>
      <w:pPr>
        <w:ind w:left="1196" w:hanging="353"/>
      </w:pPr>
      <w:rPr>
        <w:rFonts w:hint="default"/>
      </w:rPr>
    </w:lvl>
    <w:lvl w:ilvl="2">
      <w:start w:val="1"/>
      <w:numFmt w:val="bullet"/>
      <w:lvlText w:val="•"/>
      <w:lvlJc w:val="left"/>
      <w:pPr>
        <w:ind w:left="1773" w:hanging="353"/>
      </w:pPr>
      <w:rPr>
        <w:rFonts w:hint="default"/>
      </w:rPr>
    </w:lvl>
    <w:lvl w:ilvl="3">
      <w:start w:val="1"/>
      <w:numFmt w:val="bullet"/>
      <w:lvlText w:val="•"/>
      <w:lvlJc w:val="left"/>
      <w:pPr>
        <w:ind w:left="2350" w:hanging="353"/>
      </w:pPr>
      <w:rPr>
        <w:rFonts w:hint="default"/>
      </w:rPr>
    </w:lvl>
    <w:lvl w:ilvl="4">
      <w:start w:val="1"/>
      <w:numFmt w:val="bullet"/>
      <w:lvlText w:val="•"/>
      <w:lvlJc w:val="left"/>
      <w:pPr>
        <w:ind w:left="2927" w:hanging="353"/>
      </w:pPr>
      <w:rPr>
        <w:rFonts w:hint="default"/>
      </w:rPr>
    </w:lvl>
    <w:lvl w:ilvl="5">
      <w:start w:val="1"/>
      <w:numFmt w:val="bullet"/>
      <w:lvlText w:val="•"/>
      <w:lvlJc w:val="left"/>
      <w:pPr>
        <w:ind w:left="3504" w:hanging="353"/>
      </w:pPr>
      <w:rPr>
        <w:rFonts w:hint="default"/>
      </w:rPr>
    </w:lvl>
    <w:lvl w:ilvl="6">
      <w:start w:val="1"/>
      <w:numFmt w:val="bullet"/>
      <w:lvlText w:val="•"/>
      <w:lvlJc w:val="left"/>
      <w:pPr>
        <w:ind w:left="4081" w:hanging="353"/>
      </w:pPr>
      <w:rPr>
        <w:rFonts w:hint="default"/>
      </w:rPr>
    </w:lvl>
    <w:lvl w:ilvl="7">
      <w:start w:val="1"/>
      <w:numFmt w:val="bullet"/>
      <w:lvlText w:val="•"/>
      <w:lvlJc w:val="left"/>
      <w:pPr>
        <w:ind w:left="4658" w:hanging="353"/>
      </w:pPr>
      <w:rPr>
        <w:rFonts w:hint="default"/>
      </w:rPr>
    </w:lvl>
    <w:lvl w:ilvl="8">
      <w:start w:val="1"/>
      <w:numFmt w:val="bullet"/>
      <w:lvlText w:val="•"/>
      <w:lvlJc w:val="left"/>
      <w:pPr>
        <w:ind w:left="5235" w:hanging="353"/>
      </w:pPr>
      <w:rPr>
        <w:rFonts w:hint="default"/>
      </w:rPr>
    </w:lvl>
  </w:abstractNum>
  <w:abstractNum w:abstractNumId="18">
    <w:multiLevelType w:val="hybridMultilevel"/>
    <w:lvl w:ilvl="0">
      <w:start w:val="1"/>
      <w:numFmt w:val="decimal"/>
      <w:lvlText w:val="%1."/>
      <w:lvlJc w:val="left"/>
      <w:pPr>
        <w:ind w:left="625" w:hanging="442"/>
        <w:jc w:val="left"/>
      </w:pPr>
      <w:rPr>
        <w:rFonts w:hint="default" w:ascii="Arial" w:hAnsi="Arial" w:eastAsia="Arial" w:cs="Arial"/>
        <w:spacing w:val="-1"/>
        <w:w w:val="100"/>
        <w:sz w:val="22"/>
        <w:szCs w:val="22"/>
      </w:rPr>
    </w:lvl>
    <w:lvl w:ilvl="1">
      <w:start w:val="1"/>
      <w:numFmt w:val="bullet"/>
      <w:lvlText w:val="•"/>
      <w:lvlJc w:val="left"/>
      <w:pPr>
        <w:ind w:left="1206" w:hanging="442"/>
      </w:pPr>
      <w:rPr>
        <w:rFonts w:hint="default"/>
      </w:rPr>
    </w:lvl>
    <w:lvl w:ilvl="2">
      <w:start w:val="1"/>
      <w:numFmt w:val="bullet"/>
      <w:lvlText w:val="•"/>
      <w:lvlJc w:val="left"/>
      <w:pPr>
        <w:ind w:left="1792" w:hanging="442"/>
      </w:pPr>
      <w:rPr>
        <w:rFonts w:hint="default"/>
      </w:rPr>
    </w:lvl>
    <w:lvl w:ilvl="3">
      <w:start w:val="1"/>
      <w:numFmt w:val="bullet"/>
      <w:lvlText w:val="•"/>
      <w:lvlJc w:val="left"/>
      <w:pPr>
        <w:ind w:left="2379" w:hanging="442"/>
      </w:pPr>
      <w:rPr>
        <w:rFonts w:hint="default"/>
      </w:rPr>
    </w:lvl>
    <w:lvl w:ilvl="4">
      <w:start w:val="1"/>
      <w:numFmt w:val="bullet"/>
      <w:lvlText w:val="•"/>
      <w:lvlJc w:val="left"/>
      <w:pPr>
        <w:ind w:left="2965" w:hanging="442"/>
      </w:pPr>
      <w:rPr>
        <w:rFonts w:hint="default"/>
      </w:rPr>
    </w:lvl>
    <w:lvl w:ilvl="5">
      <w:start w:val="1"/>
      <w:numFmt w:val="bullet"/>
      <w:lvlText w:val="•"/>
      <w:lvlJc w:val="left"/>
      <w:pPr>
        <w:ind w:left="3552" w:hanging="442"/>
      </w:pPr>
      <w:rPr>
        <w:rFonts w:hint="default"/>
      </w:rPr>
    </w:lvl>
    <w:lvl w:ilvl="6">
      <w:start w:val="1"/>
      <w:numFmt w:val="bullet"/>
      <w:lvlText w:val="•"/>
      <w:lvlJc w:val="left"/>
      <w:pPr>
        <w:ind w:left="4138" w:hanging="442"/>
      </w:pPr>
      <w:rPr>
        <w:rFonts w:hint="default"/>
      </w:rPr>
    </w:lvl>
    <w:lvl w:ilvl="7">
      <w:start w:val="1"/>
      <w:numFmt w:val="bullet"/>
      <w:lvlText w:val="•"/>
      <w:lvlJc w:val="left"/>
      <w:pPr>
        <w:ind w:left="4725" w:hanging="442"/>
      </w:pPr>
      <w:rPr>
        <w:rFonts w:hint="default"/>
      </w:rPr>
    </w:lvl>
    <w:lvl w:ilvl="8">
      <w:start w:val="1"/>
      <w:numFmt w:val="bullet"/>
      <w:lvlText w:val="•"/>
      <w:lvlJc w:val="left"/>
      <w:pPr>
        <w:ind w:left="5311" w:hanging="442"/>
      </w:pPr>
      <w:rPr>
        <w:rFonts w:hint="default"/>
      </w:rPr>
    </w:lvl>
  </w:abstractNum>
  <w:abstractNum w:abstractNumId="17">
    <w:multiLevelType w:val="hybridMultilevel"/>
    <w:lvl w:ilvl="0">
      <w:start w:val="3"/>
      <w:numFmt w:val="decimal"/>
      <w:lvlText w:val="%1."/>
      <w:lvlJc w:val="left"/>
      <w:pPr>
        <w:ind w:left="625" w:hanging="442"/>
        <w:jc w:val="left"/>
      </w:pPr>
      <w:rPr>
        <w:rFonts w:hint="default" w:ascii="Arial" w:hAnsi="Arial" w:eastAsia="Arial" w:cs="Arial"/>
        <w:spacing w:val="-1"/>
        <w:w w:val="100"/>
        <w:sz w:val="22"/>
        <w:szCs w:val="22"/>
      </w:rPr>
    </w:lvl>
    <w:lvl w:ilvl="1">
      <w:start w:val="1"/>
      <w:numFmt w:val="bullet"/>
      <w:lvlText w:val="•"/>
      <w:lvlJc w:val="left"/>
      <w:pPr>
        <w:ind w:left="1206" w:hanging="442"/>
      </w:pPr>
      <w:rPr>
        <w:rFonts w:hint="default"/>
      </w:rPr>
    </w:lvl>
    <w:lvl w:ilvl="2">
      <w:start w:val="1"/>
      <w:numFmt w:val="bullet"/>
      <w:lvlText w:val="•"/>
      <w:lvlJc w:val="left"/>
      <w:pPr>
        <w:ind w:left="1792" w:hanging="442"/>
      </w:pPr>
      <w:rPr>
        <w:rFonts w:hint="default"/>
      </w:rPr>
    </w:lvl>
    <w:lvl w:ilvl="3">
      <w:start w:val="1"/>
      <w:numFmt w:val="bullet"/>
      <w:lvlText w:val="•"/>
      <w:lvlJc w:val="left"/>
      <w:pPr>
        <w:ind w:left="2379" w:hanging="442"/>
      </w:pPr>
      <w:rPr>
        <w:rFonts w:hint="default"/>
      </w:rPr>
    </w:lvl>
    <w:lvl w:ilvl="4">
      <w:start w:val="1"/>
      <w:numFmt w:val="bullet"/>
      <w:lvlText w:val="•"/>
      <w:lvlJc w:val="left"/>
      <w:pPr>
        <w:ind w:left="2965" w:hanging="442"/>
      </w:pPr>
      <w:rPr>
        <w:rFonts w:hint="default"/>
      </w:rPr>
    </w:lvl>
    <w:lvl w:ilvl="5">
      <w:start w:val="1"/>
      <w:numFmt w:val="bullet"/>
      <w:lvlText w:val="•"/>
      <w:lvlJc w:val="left"/>
      <w:pPr>
        <w:ind w:left="3552" w:hanging="442"/>
      </w:pPr>
      <w:rPr>
        <w:rFonts w:hint="default"/>
      </w:rPr>
    </w:lvl>
    <w:lvl w:ilvl="6">
      <w:start w:val="1"/>
      <w:numFmt w:val="bullet"/>
      <w:lvlText w:val="•"/>
      <w:lvlJc w:val="left"/>
      <w:pPr>
        <w:ind w:left="4138" w:hanging="442"/>
      </w:pPr>
      <w:rPr>
        <w:rFonts w:hint="default"/>
      </w:rPr>
    </w:lvl>
    <w:lvl w:ilvl="7">
      <w:start w:val="1"/>
      <w:numFmt w:val="bullet"/>
      <w:lvlText w:val="•"/>
      <w:lvlJc w:val="left"/>
      <w:pPr>
        <w:ind w:left="4725" w:hanging="442"/>
      </w:pPr>
      <w:rPr>
        <w:rFonts w:hint="default"/>
      </w:rPr>
    </w:lvl>
    <w:lvl w:ilvl="8">
      <w:start w:val="1"/>
      <w:numFmt w:val="bullet"/>
      <w:lvlText w:val="•"/>
      <w:lvlJc w:val="left"/>
      <w:pPr>
        <w:ind w:left="5311" w:hanging="442"/>
      </w:pPr>
      <w:rPr>
        <w:rFonts w:hint="default"/>
      </w:rPr>
    </w:lvl>
  </w:abstractNum>
  <w:abstractNum w:abstractNumId="16">
    <w:multiLevelType w:val="hybridMultilevel"/>
    <w:lvl w:ilvl="0">
      <w:start w:val="1"/>
      <w:numFmt w:val="decimal"/>
      <w:lvlText w:val="%1."/>
      <w:lvlJc w:val="left"/>
      <w:pPr>
        <w:ind w:left="1411" w:hanging="360"/>
        <w:jc w:val="left"/>
      </w:pPr>
      <w:rPr>
        <w:rFonts w:hint="default" w:ascii="Calibri" w:hAnsi="Calibri" w:eastAsia="Calibri" w:cs="Calibri"/>
        <w:color w:val="585858"/>
        <w:spacing w:val="-1"/>
        <w:w w:val="99"/>
        <w:sz w:val="20"/>
        <w:szCs w:val="20"/>
      </w:rPr>
    </w:lvl>
    <w:lvl w:ilvl="1">
      <w:start w:val="1"/>
      <w:numFmt w:val="bullet"/>
      <w:lvlText w:val="•"/>
      <w:lvlJc w:val="left"/>
      <w:pPr>
        <w:ind w:left="1661" w:hanging="360"/>
      </w:pPr>
      <w:rPr>
        <w:rFonts w:hint="default"/>
      </w:rPr>
    </w:lvl>
    <w:lvl w:ilvl="2">
      <w:start w:val="1"/>
      <w:numFmt w:val="bullet"/>
      <w:lvlText w:val="•"/>
      <w:lvlJc w:val="left"/>
      <w:pPr>
        <w:ind w:left="1903" w:hanging="360"/>
      </w:pPr>
      <w:rPr>
        <w:rFonts w:hint="default"/>
      </w:rPr>
    </w:lvl>
    <w:lvl w:ilvl="3">
      <w:start w:val="1"/>
      <w:numFmt w:val="bullet"/>
      <w:lvlText w:val="•"/>
      <w:lvlJc w:val="left"/>
      <w:pPr>
        <w:ind w:left="2144" w:hanging="360"/>
      </w:pPr>
      <w:rPr>
        <w:rFonts w:hint="default"/>
      </w:rPr>
    </w:lvl>
    <w:lvl w:ilvl="4">
      <w:start w:val="1"/>
      <w:numFmt w:val="bullet"/>
      <w:lvlText w:val="•"/>
      <w:lvlJc w:val="left"/>
      <w:pPr>
        <w:ind w:left="2386" w:hanging="360"/>
      </w:pPr>
      <w:rPr>
        <w:rFonts w:hint="default"/>
      </w:rPr>
    </w:lvl>
    <w:lvl w:ilvl="5">
      <w:start w:val="1"/>
      <w:numFmt w:val="bullet"/>
      <w:lvlText w:val="•"/>
      <w:lvlJc w:val="left"/>
      <w:pPr>
        <w:ind w:left="2627" w:hanging="360"/>
      </w:pPr>
      <w:rPr>
        <w:rFonts w:hint="default"/>
      </w:rPr>
    </w:lvl>
    <w:lvl w:ilvl="6">
      <w:start w:val="1"/>
      <w:numFmt w:val="bullet"/>
      <w:lvlText w:val="•"/>
      <w:lvlJc w:val="left"/>
      <w:pPr>
        <w:ind w:left="2869" w:hanging="360"/>
      </w:pPr>
      <w:rPr>
        <w:rFonts w:hint="default"/>
      </w:rPr>
    </w:lvl>
    <w:lvl w:ilvl="7">
      <w:start w:val="1"/>
      <w:numFmt w:val="bullet"/>
      <w:lvlText w:val="•"/>
      <w:lvlJc w:val="left"/>
      <w:pPr>
        <w:ind w:left="3110" w:hanging="360"/>
      </w:pPr>
      <w:rPr>
        <w:rFonts w:hint="default"/>
      </w:rPr>
    </w:lvl>
    <w:lvl w:ilvl="8">
      <w:start w:val="1"/>
      <w:numFmt w:val="bullet"/>
      <w:lvlText w:val="•"/>
      <w:lvlJc w:val="left"/>
      <w:pPr>
        <w:ind w:left="3352" w:hanging="360"/>
      </w:pPr>
      <w:rPr>
        <w:rFonts w:hint="default"/>
      </w:rPr>
    </w:lvl>
  </w:abstractNum>
  <w:abstractNum w:abstractNumId="15">
    <w:multiLevelType w:val="hybridMultilevel"/>
    <w:lvl w:ilvl="0">
      <w:start w:val="1"/>
      <w:numFmt w:val="bullet"/>
      <w:lvlText w:val=""/>
      <w:lvlJc w:val="left"/>
      <w:pPr>
        <w:ind w:left="1411" w:hanging="360"/>
      </w:pPr>
      <w:rPr>
        <w:rFonts w:hint="default" w:ascii="Symbol" w:hAnsi="Symbol" w:eastAsia="Symbol" w:cs="Symbol"/>
        <w:color w:val="585858"/>
        <w:w w:val="99"/>
        <w:sz w:val="20"/>
        <w:szCs w:val="20"/>
      </w:rPr>
    </w:lvl>
    <w:lvl w:ilvl="1">
      <w:start w:val="1"/>
      <w:numFmt w:val="bullet"/>
      <w:lvlText w:val="•"/>
      <w:lvlJc w:val="left"/>
      <w:pPr>
        <w:ind w:left="1661" w:hanging="360"/>
      </w:pPr>
      <w:rPr>
        <w:rFonts w:hint="default"/>
      </w:rPr>
    </w:lvl>
    <w:lvl w:ilvl="2">
      <w:start w:val="1"/>
      <w:numFmt w:val="bullet"/>
      <w:lvlText w:val="•"/>
      <w:lvlJc w:val="left"/>
      <w:pPr>
        <w:ind w:left="1903" w:hanging="360"/>
      </w:pPr>
      <w:rPr>
        <w:rFonts w:hint="default"/>
      </w:rPr>
    </w:lvl>
    <w:lvl w:ilvl="3">
      <w:start w:val="1"/>
      <w:numFmt w:val="bullet"/>
      <w:lvlText w:val="•"/>
      <w:lvlJc w:val="left"/>
      <w:pPr>
        <w:ind w:left="2144" w:hanging="360"/>
      </w:pPr>
      <w:rPr>
        <w:rFonts w:hint="default"/>
      </w:rPr>
    </w:lvl>
    <w:lvl w:ilvl="4">
      <w:start w:val="1"/>
      <w:numFmt w:val="bullet"/>
      <w:lvlText w:val="•"/>
      <w:lvlJc w:val="left"/>
      <w:pPr>
        <w:ind w:left="2386" w:hanging="360"/>
      </w:pPr>
      <w:rPr>
        <w:rFonts w:hint="default"/>
      </w:rPr>
    </w:lvl>
    <w:lvl w:ilvl="5">
      <w:start w:val="1"/>
      <w:numFmt w:val="bullet"/>
      <w:lvlText w:val="•"/>
      <w:lvlJc w:val="left"/>
      <w:pPr>
        <w:ind w:left="2627" w:hanging="360"/>
      </w:pPr>
      <w:rPr>
        <w:rFonts w:hint="default"/>
      </w:rPr>
    </w:lvl>
    <w:lvl w:ilvl="6">
      <w:start w:val="1"/>
      <w:numFmt w:val="bullet"/>
      <w:lvlText w:val="•"/>
      <w:lvlJc w:val="left"/>
      <w:pPr>
        <w:ind w:left="2869" w:hanging="360"/>
      </w:pPr>
      <w:rPr>
        <w:rFonts w:hint="default"/>
      </w:rPr>
    </w:lvl>
    <w:lvl w:ilvl="7">
      <w:start w:val="1"/>
      <w:numFmt w:val="bullet"/>
      <w:lvlText w:val="•"/>
      <w:lvlJc w:val="left"/>
      <w:pPr>
        <w:ind w:left="3110" w:hanging="360"/>
      </w:pPr>
      <w:rPr>
        <w:rFonts w:hint="default"/>
      </w:rPr>
    </w:lvl>
    <w:lvl w:ilvl="8">
      <w:start w:val="1"/>
      <w:numFmt w:val="bullet"/>
      <w:lvlText w:val="•"/>
      <w:lvlJc w:val="left"/>
      <w:pPr>
        <w:ind w:left="3352" w:hanging="360"/>
      </w:pPr>
      <w:rPr>
        <w:rFonts w:hint="default"/>
      </w:rPr>
    </w:lvl>
  </w:abstractNum>
  <w:abstractNum w:abstractNumId="14">
    <w:multiLevelType w:val="hybridMultilevel"/>
    <w:lvl w:ilvl="0">
      <w:start w:val="1"/>
      <w:numFmt w:val="bullet"/>
      <w:lvlText w:val=""/>
      <w:lvlJc w:val="left"/>
      <w:pPr>
        <w:ind w:left="2575" w:hanging="2576"/>
      </w:pPr>
      <w:rPr>
        <w:rFonts w:hint="default" w:ascii="Symbol" w:hAnsi="Symbol" w:eastAsia="Symbol" w:cs="Symbol"/>
        <w:color w:val="585858"/>
        <w:w w:val="99"/>
        <w:sz w:val="20"/>
        <w:szCs w:val="20"/>
      </w:rPr>
    </w:lvl>
    <w:lvl w:ilvl="1">
      <w:start w:val="1"/>
      <w:numFmt w:val="bullet"/>
      <w:lvlText w:val="•"/>
      <w:lvlJc w:val="left"/>
      <w:pPr>
        <w:ind w:left="2600" w:hanging="2576"/>
      </w:pPr>
      <w:rPr>
        <w:rFonts w:hint="default"/>
      </w:rPr>
    </w:lvl>
    <w:lvl w:ilvl="2">
      <w:start w:val="1"/>
      <w:numFmt w:val="bullet"/>
      <w:lvlText w:val="•"/>
      <w:lvlJc w:val="left"/>
      <w:pPr>
        <w:ind w:left="2620" w:hanging="2576"/>
      </w:pPr>
      <w:rPr>
        <w:rFonts w:hint="default"/>
      </w:rPr>
    </w:lvl>
    <w:lvl w:ilvl="3">
      <w:start w:val="1"/>
      <w:numFmt w:val="bullet"/>
      <w:lvlText w:val="•"/>
      <w:lvlJc w:val="left"/>
      <w:pPr>
        <w:ind w:left="2640" w:hanging="2576"/>
      </w:pPr>
      <w:rPr>
        <w:rFonts w:hint="default"/>
      </w:rPr>
    </w:lvl>
    <w:lvl w:ilvl="4">
      <w:start w:val="1"/>
      <w:numFmt w:val="bullet"/>
      <w:lvlText w:val="•"/>
      <w:lvlJc w:val="left"/>
      <w:pPr>
        <w:ind w:left="2660" w:hanging="2576"/>
      </w:pPr>
      <w:rPr>
        <w:rFonts w:hint="default"/>
      </w:rPr>
    </w:lvl>
    <w:lvl w:ilvl="5">
      <w:start w:val="1"/>
      <w:numFmt w:val="bullet"/>
      <w:lvlText w:val="•"/>
      <w:lvlJc w:val="left"/>
      <w:pPr>
        <w:ind w:left="2680" w:hanging="2576"/>
      </w:pPr>
      <w:rPr>
        <w:rFonts w:hint="default"/>
      </w:rPr>
    </w:lvl>
    <w:lvl w:ilvl="6">
      <w:start w:val="1"/>
      <w:numFmt w:val="bullet"/>
      <w:lvlText w:val="•"/>
      <w:lvlJc w:val="left"/>
      <w:pPr>
        <w:ind w:left="2700" w:hanging="2576"/>
      </w:pPr>
      <w:rPr>
        <w:rFonts w:hint="default"/>
      </w:rPr>
    </w:lvl>
    <w:lvl w:ilvl="7">
      <w:start w:val="1"/>
      <w:numFmt w:val="bullet"/>
      <w:lvlText w:val="•"/>
      <w:lvlJc w:val="left"/>
      <w:pPr>
        <w:ind w:left="2720" w:hanging="2576"/>
      </w:pPr>
      <w:rPr>
        <w:rFonts w:hint="default"/>
      </w:rPr>
    </w:lvl>
    <w:lvl w:ilvl="8">
      <w:start w:val="1"/>
      <w:numFmt w:val="bullet"/>
      <w:lvlText w:val="•"/>
      <w:lvlJc w:val="left"/>
      <w:pPr>
        <w:ind w:left="2740" w:hanging="2576"/>
      </w:pPr>
      <w:rPr>
        <w:rFonts w:hint="default"/>
      </w:rPr>
    </w:lvl>
  </w:abstractNum>
  <w:abstractNum w:abstractNumId="13">
    <w:multiLevelType w:val="hybridMultilevel"/>
    <w:lvl w:ilvl="0">
      <w:start w:val="1"/>
      <w:numFmt w:val="bullet"/>
      <w:lvlText w:val=""/>
      <w:lvlJc w:val="left"/>
      <w:pPr>
        <w:ind w:left="360" w:hanging="360"/>
      </w:pPr>
      <w:rPr>
        <w:rFonts w:hint="default" w:ascii="Symbol" w:hAnsi="Symbol" w:eastAsia="Symbol" w:cs="Symbol"/>
        <w:color w:val="585858"/>
        <w:w w:val="99"/>
        <w:sz w:val="20"/>
        <w:szCs w:val="20"/>
      </w:rPr>
    </w:lvl>
    <w:lvl w:ilvl="1">
      <w:start w:val="1"/>
      <w:numFmt w:val="bullet"/>
      <w:lvlText w:val="•"/>
      <w:lvlJc w:val="left"/>
      <w:pPr>
        <w:ind w:left="602" w:hanging="360"/>
      </w:pPr>
      <w:rPr>
        <w:rFonts w:hint="default"/>
      </w:rPr>
    </w:lvl>
    <w:lvl w:ilvl="2">
      <w:start w:val="1"/>
      <w:numFmt w:val="bullet"/>
      <w:lvlText w:val="•"/>
      <w:lvlJc w:val="left"/>
      <w:pPr>
        <w:ind w:left="844" w:hanging="360"/>
      </w:pPr>
      <w:rPr>
        <w:rFonts w:hint="default"/>
      </w:rPr>
    </w:lvl>
    <w:lvl w:ilvl="3">
      <w:start w:val="1"/>
      <w:numFmt w:val="bullet"/>
      <w:lvlText w:val="•"/>
      <w:lvlJc w:val="left"/>
      <w:pPr>
        <w:ind w:left="1086" w:hanging="360"/>
      </w:pPr>
      <w:rPr>
        <w:rFonts w:hint="default"/>
      </w:rPr>
    </w:lvl>
    <w:lvl w:ilvl="4">
      <w:start w:val="1"/>
      <w:numFmt w:val="bullet"/>
      <w:lvlText w:val="•"/>
      <w:lvlJc w:val="left"/>
      <w:pPr>
        <w:ind w:left="1328" w:hanging="360"/>
      </w:pPr>
      <w:rPr>
        <w:rFonts w:hint="default"/>
      </w:rPr>
    </w:lvl>
    <w:lvl w:ilvl="5">
      <w:start w:val="1"/>
      <w:numFmt w:val="bullet"/>
      <w:lvlText w:val="•"/>
      <w:lvlJc w:val="left"/>
      <w:pPr>
        <w:ind w:left="1570" w:hanging="360"/>
      </w:pPr>
      <w:rPr>
        <w:rFonts w:hint="default"/>
      </w:rPr>
    </w:lvl>
    <w:lvl w:ilvl="6">
      <w:start w:val="1"/>
      <w:numFmt w:val="bullet"/>
      <w:lvlText w:val="•"/>
      <w:lvlJc w:val="left"/>
      <w:pPr>
        <w:ind w:left="1812" w:hanging="360"/>
      </w:pPr>
      <w:rPr>
        <w:rFonts w:hint="default"/>
      </w:rPr>
    </w:lvl>
    <w:lvl w:ilvl="7">
      <w:start w:val="1"/>
      <w:numFmt w:val="bullet"/>
      <w:lvlText w:val="•"/>
      <w:lvlJc w:val="left"/>
      <w:pPr>
        <w:ind w:left="2054" w:hanging="360"/>
      </w:pPr>
      <w:rPr>
        <w:rFonts w:hint="default"/>
      </w:rPr>
    </w:lvl>
    <w:lvl w:ilvl="8">
      <w:start w:val="1"/>
      <w:numFmt w:val="bullet"/>
      <w:lvlText w:val="•"/>
      <w:lvlJc w:val="left"/>
      <w:pPr>
        <w:ind w:left="2297" w:hanging="360"/>
      </w:pPr>
      <w:rPr>
        <w:rFonts w:hint="default"/>
      </w:rPr>
    </w:lvl>
  </w:abstractNum>
  <w:abstractNum w:abstractNumId="12">
    <w:multiLevelType w:val="hybridMultilevel"/>
    <w:lvl w:ilvl="0">
      <w:start w:val="1"/>
      <w:numFmt w:val="bullet"/>
      <w:lvlText w:val=""/>
      <w:lvlJc w:val="left"/>
      <w:pPr>
        <w:ind w:left="725" w:hanging="360"/>
      </w:pPr>
      <w:rPr>
        <w:rFonts w:hint="default" w:ascii="Symbol" w:hAnsi="Symbol" w:eastAsia="Symbol" w:cs="Symbol"/>
        <w:color w:val="585858"/>
        <w:w w:val="99"/>
        <w:sz w:val="20"/>
        <w:szCs w:val="20"/>
      </w:rPr>
    </w:lvl>
    <w:lvl w:ilvl="1">
      <w:start w:val="1"/>
      <w:numFmt w:val="bullet"/>
      <w:lvlText w:val="•"/>
      <w:lvlJc w:val="left"/>
      <w:pPr>
        <w:ind w:left="962" w:hanging="360"/>
      </w:pPr>
      <w:rPr>
        <w:rFonts w:hint="default"/>
      </w:rPr>
    </w:lvl>
    <w:lvl w:ilvl="2">
      <w:start w:val="1"/>
      <w:numFmt w:val="bullet"/>
      <w:lvlText w:val="•"/>
      <w:lvlJc w:val="left"/>
      <w:pPr>
        <w:ind w:left="1205" w:hanging="360"/>
      </w:pPr>
      <w:rPr>
        <w:rFonts w:hint="default"/>
      </w:rPr>
    </w:lvl>
    <w:lvl w:ilvl="3">
      <w:start w:val="1"/>
      <w:numFmt w:val="bullet"/>
      <w:lvlText w:val="•"/>
      <w:lvlJc w:val="left"/>
      <w:pPr>
        <w:ind w:left="1448" w:hanging="360"/>
      </w:pPr>
      <w:rPr>
        <w:rFonts w:hint="default"/>
      </w:rPr>
    </w:lvl>
    <w:lvl w:ilvl="4">
      <w:start w:val="1"/>
      <w:numFmt w:val="bullet"/>
      <w:lvlText w:val="•"/>
      <w:lvlJc w:val="left"/>
      <w:pPr>
        <w:ind w:left="1691" w:hanging="360"/>
      </w:pPr>
      <w:rPr>
        <w:rFonts w:hint="default"/>
      </w:rPr>
    </w:lvl>
    <w:lvl w:ilvl="5">
      <w:start w:val="1"/>
      <w:numFmt w:val="bullet"/>
      <w:lvlText w:val="•"/>
      <w:lvlJc w:val="left"/>
      <w:pPr>
        <w:ind w:left="1934" w:hanging="360"/>
      </w:pPr>
      <w:rPr>
        <w:rFonts w:hint="default"/>
      </w:rPr>
    </w:lvl>
    <w:lvl w:ilvl="6">
      <w:start w:val="1"/>
      <w:numFmt w:val="bullet"/>
      <w:lvlText w:val="•"/>
      <w:lvlJc w:val="left"/>
      <w:pPr>
        <w:ind w:left="2177" w:hanging="360"/>
      </w:pPr>
      <w:rPr>
        <w:rFonts w:hint="default"/>
      </w:rPr>
    </w:lvl>
    <w:lvl w:ilvl="7">
      <w:start w:val="1"/>
      <w:numFmt w:val="bullet"/>
      <w:lvlText w:val="•"/>
      <w:lvlJc w:val="left"/>
      <w:pPr>
        <w:ind w:left="2420" w:hanging="360"/>
      </w:pPr>
      <w:rPr>
        <w:rFonts w:hint="default"/>
      </w:rPr>
    </w:lvl>
    <w:lvl w:ilvl="8">
      <w:start w:val="1"/>
      <w:numFmt w:val="bullet"/>
      <w:lvlText w:val="•"/>
      <w:lvlJc w:val="left"/>
      <w:pPr>
        <w:ind w:left="2662" w:hanging="360"/>
      </w:pPr>
      <w:rPr>
        <w:rFonts w:hint="default"/>
      </w:rPr>
    </w:lvl>
  </w:abstractNum>
  <w:abstractNum w:abstractNumId="11">
    <w:multiLevelType w:val="hybridMultilevel"/>
    <w:lvl w:ilvl="0">
      <w:start w:val="1"/>
      <w:numFmt w:val="bullet"/>
      <w:lvlText w:val=""/>
      <w:lvlJc w:val="left"/>
      <w:pPr>
        <w:ind w:left="0" w:hanging="708"/>
      </w:pPr>
      <w:rPr>
        <w:rFonts w:hint="default" w:ascii="Symbol" w:hAnsi="Symbol" w:eastAsia="Symbol" w:cs="Symbol"/>
        <w:w w:val="100"/>
        <w:sz w:val="22"/>
        <w:szCs w:val="22"/>
      </w:rPr>
    </w:lvl>
    <w:lvl w:ilvl="1">
      <w:start w:val="1"/>
      <w:numFmt w:val="bullet"/>
      <w:lvlText w:val="•"/>
      <w:lvlJc w:val="left"/>
      <w:pPr>
        <w:ind w:left="537" w:hanging="708"/>
      </w:pPr>
      <w:rPr>
        <w:rFonts w:hint="default"/>
      </w:rPr>
    </w:lvl>
    <w:lvl w:ilvl="2">
      <w:start w:val="1"/>
      <w:numFmt w:val="bullet"/>
      <w:lvlText w:val="•"/>
      <w:lvlJc w:val="left"/>
      <w:pPr>
        <w:ind w:left="1074" w:hanging="708"/>
      </w:pPr>
      <w:rPr>
        <w:rFonts w:hint="default"/>
      </w:rPr>
    </w:lvl>
    <w:lvl w:ilvl="3">
      <w:start w:val="1"/>
      <w:numFmt w:val="bullet"/>
      <w:lvlText w:val="•"/>
      <w:lvlJc w:val="left"/>
      <w:pPr>
        <w:ind w:left="1611" w:hanging="708"/>
      </w:pPr>
      <w:rPr>
        <w:rFonts w:hint="default"/>
      </w:rPr>
    </w:lvl>
    <w:lvl w:ilvl="4">
      <w:start w:val="1"/>
      <w:numFmt w:val="bullet"/>
      <w:lvlText w:val="•"/>
      <w:lvlJc w:val="left"/>
      <w:pPr>
        <w:ind w:left="2148" w:hanging="708"/>
      </w:pPr>
      <w:rPr>
        <w:rFonts w:hint="default"/>
      </w:rPr>
    </w:lvl>
    <w:lvl w:ilvl="5">
      <w:start w:val="1"/>
      <w:numFmt w:val="bullet"/>
      <w:lvlText w:val="•"/>
      <w:lvlJc w:val="left"/>
      <w:pPr>
        <w:ind w:left="2685" w:hanging="708"/>
      </w:pPr>
      <w:rPr>
        <w:rFonts w:hint="default"/>
      </w:rPr>
    </w:lvl>
    <w:lvl w:ilvl="6">
      <w:start w:val="1"/>
      <w:numFmt w:val="bullet"/>
      <w:lvlText w:val="•"/>
      <w:lvlJc w:val="left"/>
      <w:pPr>
        <w:ind w:left="3222" w:hanging="708"/>
      </w:pPr>
      <w:rPr>
        <w:rFonts w:hint="default"/>
      </w:rPr>
    </w:lvl>
    <w:lvl w:ilvl="7">
      <w:start w:val="1"/>
      <w:numFmt w:val="bullet"/>
      <w:lvlText w:val="•"/>
      <w:lvlJc w:val="left"/>
      <w:pPr>
        <w:ind w:left="3759" w:hanging="708"/>
      </w:pPr>
      <w:rPr>
        <w:rFonts w:hint="default"/>
      </w:rPr>
    </w:lvl>
    <w:lvl w:ilvl="8">
      <w:start w:val="1"/>
      <w:numFmt w:val="bullet"/>
      <w:lvlText w:val="•"/>
      <w:lvlJc w:val="left"/>
      <w:pPr>
        <w:ind w:left="4296" w:hanging="708"/>
      </w:pPr>
      <w:rPr>
        <w:rFonts w:hint="default"/>
      </w:rPr>
    </w:lvl>
  </w:abstractNum>
  <w:abstractNum w:abstractNumId="10">
    <w:multiLevelType w:val="hybridMultilevel"/>
    <w:lvl w:ilvl="0">
      <w:start w:val="3"/>
      <w:numFmt w:val="decimal"/>
      <w:lvlText w:val="%1"/>
      <w:lvlJc w:val="left"/>
      <w:pPr>
        <w:ind w:left="102" w:hanging="828"/>
        <w:jc w:val="left"/>
      </w:pPr>
      <w:rPr>
        <w:rFonts w:hint="default"/>
      </w:rPr>
    </w:lvl>
    <w:lvl w:ilvl="1">
      <w:start w:val="1"/>
      <w:numFmt w:val="decimal"/>
      <w:lvlText w:val="%1.%2"/>
      <w:lvlJc w:val="left"/>
      <w:pPr>
        <w:ind w:left="102" w:hanging="828"/>
        <w:jc w:val="left"/>
      </w:pPr>
      <w:rPr>
        <w:rFonts w:hint="default"/>
        <w:b/>
        <w:bCs/>
        <w:w w:val="99"/>
      </w:rPr>
    </w:lvl>
    <w:lvl w:ilvl="2">
      <w:start w:val="1"/>
      <w:numFmt w:val="decimal"/>
      <w:lvlText w:val="%3."/>
      <w:lvlJc w:val="left"/>
      <w:pPr>
        <w:ind w:left="822" w:hanging="360"/>
        <w:jc w:val="left"/>
      </w:pPr>
      <w:rPr>
        <w:rFonts w:hint="default" w:ascii="Arial" w:hAnsi="Arial" w:eastAsia="Arial" w:cs="Arial"/>
        <w:spacing w:val="-1"/>
        <w:w w:val="100"/>
        <w:sz w:val="22"/>
        <w:szCs w:val="22"/>
      </w:rPr>
    </w:lvl>
    <w:lvl w:ilvl="3">
      <w:start w:val="1"/>
      <w:numFmt w:val="bullet"/>
      <w:lvlText w:val="•"/>
      <w:lvlJc w:val="left"/>
      <w:pPr>
        <w:ind w:left="5070" w:hanging="360"/>
      </w:pPr>
      <w:rPr>
        <w:rFonts w:hint="default"/>
      </w:rPr>
    </w:lvl>
    <w:lvl w:ilvl="4">
      <w:start w:val="1"/>
      <w:numFmt w:val="bullet"/>
      <w:lvlText w:val="•"/>
      <w:lvlJc w:val="left"/>
      <w:pPr>
        <w:ind w:left="5640" w:hanging="360"/>
      </w:pPr>
      <w:rPr>
        <w:rFonts w:hint="default"/>
      </w:rPr>
    </w:lvl>
    <w:lvl w:ilvl="5">
      <w:start w:val="1"/>
      <w:numFmt w:val="bullet"/>
      <w:lvlText w:val="•"/>
      <w:lvlJc w:val="left"/>
      <w:pPr>
        <w:ind w:left="6210" w:hanging="360"/>
      </w:pPr>
      <w:rPr>
        <w:rFonts w:hint="default"/>
      </w:rPr>
    </w:lvl>
    <w:lvl w:ilvl="6">
      <w:start w:val="1"/>
      <w:numFmt w:val="bullet"/>
      <w:lvlText w:val="•"/>
      <w:lvlJc w:val="left"/>
      <w:pPr>
        <w:ind w:left="6780" w:hanging="360"/>
      </w:pPr>
      <w:rPr>
        <w:rFonts w:hint="default"/>
      </w:rPr>
    </w:lvl>
    <w:lvl w:ilvl="7">
      <w:start w:val="1"/>
      <w:numFmt w:val="bullet"/>
      <w:lvlText w:val="•"/>
      <w:lvlJc w:val="left"/>
      <w:pPr>
        <w:ind w:left="7350" w:hanging="360"/>
      </w:pPr>
      <w:rPr>
        <w:rFonts w:hint="default"/>
      </w:rPr>
    </w:lvl>
    <w:lvl w:ilvl="8">
      <w:start w:val="1"/>
      <w:numFmt w:val="bullet"/>
      <w:lvlText w:val="•"/>
      <w:lvlJc w:val="left"/>
      <w:pPr>
        <w:ind w:left="7920" w:hanging="360"/>
      </w:pPr>
      <w:rPr>
        <w:rFonts w:hint="default"/>
      </w:rPr>
    </w:lvl>
  </w:abstractNum>
  <w:abstractNum w:abstractNumId="9">
    <w:multiLevelType w:val="hybridMultilevel"/>
    <w:lvl w:ilvl="0">
      <w:start w:val="1"/>
      <w:numFmt w:val="bullet"/>
      <w:lvlText w:val=""/>
      <w:lvlJc w:val="left"/>
      <w:pPr>
        <w:ind w:left="102" w:hanging="708"/>
      </w:pPr>
      <w:rPr>
        <w:rFonts w:hint="default" w:ascii="Symbol" w:hAnsi="Symbol" w:eastAsia="Symbol" w:cs="Symbol"/>
        <w:w w:val="100"/>
        <w:sz w:val="22"/>
        <w:szCs w:val="22"/>
      </w:rPr>
    </w:lvl>
    <w:lvl w:ilvl="1">
      <w:start w:val="1"/>
      <w:numFmt w:val="bullet"/>
      <w:lvlText w:val="-"/>
      <w:lvlJc w:val="left"/>
      <w:pPr>
        <w:ind w:left="1701" w:hanging="360"/>
      </w:pPr>
      <w:rPr>
        <w:rFonts w:hint="default" w:ascii="Calibri" w:hAnsi="Calibri" w:eastAsia="Calibri" w:cs="Calibri"/>
        <w:color w:val="FFFFFF"/>
        <w:spacing w:val="-4"/>
        <w:w w:val="99"/>
        <w:sz w:val="24"/>
        <w:szCs w:val="24"/>
      </w:rPr>
    </w:lvl>
    <w:lvl w:ilvl="2">
      <w:start w:val="1"/>
      <w:numFmt w:val="bullet"/>
      <w:lvlText w:val="•"/>
      <w:lvlJc w:val="left"/>
      <w:pPr>
        <w:ind w:left="2517" w:hanging="360"/>
      </w:pPr>
      <w:rPr>
        <w:rFonts w:hint="default"/>
      </w:rPr>
    </w:lvl>
    <w:lvl w:ilvl="3">
      <w:start w:val="1"/>
      <w:numFmt w:val="bullet"/>
      <w:lvlText w:val="•"/>
      <w:lvlJc w:val="left"/>
      <w:pPr>
        <w:ind w:left="3335" w:hanging="360"/>
      </w:pPr>
      <w:rPr>
        <w:rFonts w:hint="default"/>
      </w:rPr>
    </w:lvl>
    <w:lvl w:ilvl="4">
      <w:start w:val="1"/>
      <w:numFmt w:val="bullet"/>
      <w:lvlText w:val="•"/>
      <w:lvlJc w:val="left"/>
      <w:pPr>
        <w:ind w:left="4153" w:hanging="360"/>
      </w:pPr>
      <w:rPr>
        <w:rFonts w:hint="default"/>
      </w:rPr>
    </w:lvl>
    <w:lvl w:ilvl="5">
      <w:start w:val="1"/>
      <w:numFmt w:val="bullet"/>
      <w:lvlText w:val="•"/>
      <w:lvlJc w:val="left"/>
      <w:pPr>
        <w:ind w:left="4971" w:hanging="360"/>
      </w:pPr>
      <w:rPr>
        <w:rFonts w:hint="default"/>
      </w:rPr>
    </w:lvl>
    <w:lvl w:ilvl="6">
      <w:start w:val="1"/>
      <w:numFmt w:val="bullet"/>
      <w:lvlText w:val="•"/>
      <w:lvlJc w:val="left"/>
      <w:pPr>
        <w:ind w:left="5788" w:hanging="360"/>
      </w:pPr>
      <w:rPr>
        <w:rFonts w:hint="default"/>
      </w:rPr>
    </w:lvl>
    <w:lvl w:ilvl="7">
      <w:start w:val="1"/>
      <w:numFmt w:val="bullet"/>
      <w:lvlText w:val="•"/>
      <w:lvlJc w:val="left"/>
      <w:pPr>
        <w:ind w:left="6606" w:hanging="360"/>
      </w:pPr>
      <w:rPr>
        <w:rFonts w:hint="default"/>
      </w:rPr>
    </w:lvl>
    <w:lvl w:ilvl="8">
      <w:start w:val="1"/>
      <w:numFmt w:val="bullet"/>
      <w:lvlText w:val="•"/>
      <w:lvlJc w:val="left"/>
      <w:pPr>
        <w:ind w:left="7424" w:hanging="360"/>
      </w:pPr>
      <w:rPr>
        <w:rFonts w:hint="default"/>
      </w:rPr>
    </w:lvl>
  </w:abstractNum>
  <w:abstractNum w:abstractNumId="8">
    <w:multiLevelType w:val="hybridMultilevel"/>
    <w:lvl w:ilvl="0">
      <w:start w:val="2"/>
      <w:numFmt w:val="decimal"/>
      <w:lvlText w:val="%1"/>
      <w:lvlJc w:val="left"/>
      <w:pPr>
        <w:ind w:left="701" w:hanging="600"/>
        <w:jc w:val="left"/>
      </w:pPr>
      <w:rPr>
        <w:rFonts w:hint="default"/>
      </w:rPr>
    </w:lvl>
    <w:lvl w:ilvl="1">
      <w:start w:val="1"/>
      <w:numFmt w:val="decimal"/>
      <w:lvlText w:val="%1.%2"/>
      <w:lvlJc w:val="left"/>
      <w:pPr>
        <w:ind w:left="701" w:hanging="600"/>
        <w:jc w:val="left"/>
      </w:pPr>
      <w:rPr>
        <w:rFonts w:hint="default" w:ascii="Arial" w:hAnsi="Arial" w:eastAsia="Arial" w:cs="Arial"/>
        <w:b/>
        <w:bCs/>
        <w:color w:val="6F2F9F"/>
        <w:w w:val="99"/>
        <w:sz w:val="36"/>
        <w:szCs w:val="36"/>
      </w:rPr>
    </w:lvl>
    <w:lvl w:ilvl="2">
      <w:start w:val="1"/>
      <w:numFmt w:val="decimal"/>
      <w:lvlText w:val="%3."/>
      <w:lvlJc w:val="left"/>
      <w:pPr>
        <w:ind w:left="822" w:hanging="360"/>
        <w:jc w:val="left"/>
      </w:pPr>
      <w:rPr>
        <w:rFonts w:hint="default" w:ascii="Arial" w:hAnsi="Arial" w:eastAsia="Arial" w:cs="Arial"/>
        <w:spacing w:val="-1"/>
        <w:w w:val="100"/>
        <w:sz w:val="22"/>
        <w:szCs w:val="22"/>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7">
    <w:multiLevelType w:val="hybridMultilevel"/>
    <w:lvl w:ilvl="0">
      <w:start w:val="1"/>
      <w:numFmt w:val="bullet"/>
      <w:lvlText w:val=""/>
      <w:lvlJc w:val="left"/>
      <w:pPr>
        <w:ind w:left="1049" w:hanging="360"/>
      </w:pPr>
      <w:rPr>
        <w:rFonts w:hint="default" w:ascii="Symbol" w:hAnsi="Symbol" w:eastAsia="Symbol" w:cs="Symbol"/>
        <w:w w:val="100"/>
        <w:sz w:val="24"/>
        <w:szCs w:val="24"/>
      </w:rPr>
    </w:lvl>
    <w:lvl w:ilvl="1">
      <w:start w:val="1"/>
      <w:numFmt w:val="bullet"/>
      <w:lvlText w:val="•"/>
      <w:lvlJc w:val="left"/>
      <w:pPr>
        <w:ind w:left="1853" w:hanging="360"/>
      </w:pPr>
      <w:rPr>
        <w:rFonts w:hint="default"/>
      </w:rPr>
    </w:lvl>
    <w:lvl w:ilvl="2">
      <w:start w:val="1"/>
      <w:numFmt w:val="bullet"/>
      <w:lvlText w:val="•"/>
      <w:lvlJc w:val="left"/>
      <w:pPr>
        <w:ind w:left="2666" w:hanging="360"/>
      </w:pPr>
      <w:rPr>
        <w:rFonts w:hint="default"/>
      </w:rPr>
    </w:lvl>
    <w:lvl w:ilvl="3">
      <w:start w:val="1"/>
      <w:numFmt w:val="bullet"/>
      <w:lvlText w:val="•"/>
      <w:lvlJc w:val="left"/>
      <w:pPr>
        <w:ind w:left="3479" w:hanging="360"/>
      </w:pPr>
      <w:rPr>
        <w:rFonts w:hint="default"/>
      </w:rPr>
    </w:lvl>
    <w:lvl w:ilvl="4">
      <w:start w:val="1"/>
      <w:numFmt w:val="bullet"/>
      <w:lvlText w:val="•"/>
      <w:lvlJc w:val="left"/>
      <w:pPr>
        <w:ind w:left="4292" w:hanging="360"/>
      </w:pPr>
      <w:rPr>
        <w:rFonts w:hint="default"/>
      </w:rPr>
    </w:lvl>
    <w:lvl w:ilvl="5">
      <w:start w:val="1"/>
      <w:numFmt w:val="bullet"/>
      <w:lvlText w:val="•"/>
      <w:lvlJc w:val="left"/>
      <w:pPr>
        <w:ind w:left="5105" w:hanging="360"/>
      </w:pPr>
      <w:rPr>
        <w:rFonts w:hint="default"/>
      </w:rPr>
    </w:lvl>
    <w:lvl w:ilvl="6">
      <w:start w:val="1"/>
      <w:numFmt w:val="bullet"/>
      <w:lvlText w:val="•"/>
      <w:lvlJc w:val="left"/>
      <w:pPr>
        <w:ind w:left="5918" w:hanging="360"/>
      </w:pPr>
      <w:rPr>
        <w:rFonts w:hint="default"/>
      </w:rPr>
    </w:lvl>
    <w:lvl w:ilvl="7">
      <w:start w:val="1"/>
      <w:numFmt w:val="bullet"/>
      <w:lvlText w:val="•"/>
      <w:lvlJc w:val="left"/>
      <w:pPr>
        <w:ind w:left="6731" w:hanging="360"/>
      </w:pPr>
      <w:rPr>
        <w:rFonts w:hint="default"/>
      </w:rPr>
    </w:lvl>
    <w:lvl w:ilvl="8">
      <w:start w:val="1"/>
      <w:numFmt w:val="bullet"/>
      <w:lvlText w:val="•"/>
      <w:lvlJc w:val="left"/>
      <w:pPr>
        <w:ind w:left="7544" w:hanging="360"/>
      </w:pPr>
      <w:rPr>
        <w:rFonts w:hint="default"/>
      </w:rPr>
    </w:lvl>
  </w:abstractNum>
  <w:abstractNum w:abstractNumId="6">
    <w:multiLevelType w:val="hybridMultilevel"/>
    <w:lvl w:ilvl="0">
      <w:start w:val="1"/>
      <w:numFmt w:val="decimal"/>
      <w:lvlText w:val="%1"/>
      <w:lvlJc w:val="left"/>
      <w:pPr>
        <w:ind w:left="701" w:hanging="600"/>
        <w:jc w:val="left"/>
      </w:pPr>
      <w:rPr>
        <w:rFonts w:hint="default"/>
      </w:rPr>
    </w:lvl>
    <w:lvl w:ilvl="1">
      <w:start w:val="1"/>
      <w:numFmt w:val="decimal"/>
      <w:lvlText w:val="%1.%2"/>
      <w:lvlJc w:val="left"/>
      <w:pPr>
        <w:ind w:left="102" w:hanging="600"/>
        <w:jc w:val="left"/>
      </w:pPr>
      <w:rPr>
        <w:rFonts w:hint="default"/>
        <w:b/>
        <w:bCs/>
        <w:w w:val="99"/>
      </w:rPr>
    </w:lvl>
    <w:lvl w:ilvl="2">
      <w:start w:val="1"/>
      <w:numFmt w:val="decimal"/>
      <w:lvlText w:val="%3."/>
      <w:lvlJc w:val="left"/>
      <w:pPr>
        <w:ind w:left="942" w:hanging="360"/>
        <w:jc w:val="left"/>
      </w:pPr>
      <w:rPr>
        <w:rFonts w:hint="default" w:ascii="Arial" w:hAnsi="Arial" w:eastAsia="Arial" w:cs="Arial"/>
        <w:spacing w:val="-1"/>
        <w:w w:val="100"/>
        <w:sz w:val="22"/>
        <w:szCs w:val="22"/>
      </w:rPr>
    </w:lvl>
    <w:lvl w:ilvl="3">
      <w:start w:val="1"/>
      <w:numFmt w:val="bullet"/>
      <w:lvlText w:val="•"/>
      <w:lvlJc w:val="left"/>
      <w:pPr>
        <w:ind w:left="1486" w:hanging="360"/>
      </w:pPr>
      <w:rPr>
        <w:rFonts w:hint="default"/>
      </w:rPr>
    </w:lvl>
    <w:lvl w:ilvl="4">
      <w:start w:val="1"/>
      <w:numFmt w:val="bullet"/>
      <w:lvlText w:val="•"/>
      <w:lvlJc w:val="left"/>
      <w:pPr>
        <w:ind w:left="2032" w:hanging="360"/>
      </w:pPr>
      <w:rPr>
        <w:rFonts w:hint="default"/>
      </w:rPr>
    </w:lvl>
    <w:lvl w:ilvl="5">
      <w:start w:val="1"/>
      <w:numFmt w:val="bullet"/>
      <w:lvlText w:val="•"/>
      <w:lvlJc w:val="left"/>
      <w:pPr>
        <w:ind w:left="2577" w:hanging="360"/>
      </w:pPr>
      <w:rPr>
        <w:rFonts w:hint="default"/>
      </w:rPr>
    </w:lvl>
    <w:lvl w:ilvl="6">
      <w:start w:val="1"/>
      <w:numFmt w:val="bullet"/>
      <w:lvlText w:val="•"/>
      <w:lvlJc w:val="left"/>
      <w:pPr>
        <w:ind w:left="3123" w:hanging="360"/>
      </w:pPr>
      <w:rPr>
        <w:rFonts w:hint="default"/>
      </w:rPr>
    </w:lvl>
    <w:lvl w:ilvl="7">
      <w:start w:val="1"/>
      <w:numFmt w:val="bullet"/>
      <w:lvlText w:val="•"/>
      <w:lvlJc w:val="left"/>
      <w:pPr>
        <w:ind w:left="3669" w:hanging="360"/>
      </w:pPr>
      <w:rPr>
        <w:rFonts w:hint="default"/>
      </w:rPr>
    </w:lvl>
    <w:lvl w:ilvl="8">
      <w:start w:val="1"/>
      <w:numFmt w:val="bullet"/>
      <w:lvlText w:val="•"/>
      <w:lvlJc w:val="left"/>
      <w:pPr>
        <w:ind w:left="4215" w:hanging="360"/>
      </w:pPr>
      <w:rPr>
        <w:rFonts w:hint="default"/>
      </w:rPr>
    </w:lvl>
  </w:abstractNum>
  <w:abstractNum w:abstractNumId="5">
    <w:multiLevelType w:val="hybridMultilevel"/>
    <w:lvl w:ilvl="0">
      <w:start w:val="3"/>
      <w:numFmt w:val="decimal"/>
      <w:lvlText w:val="%1"/>
      <w:lvlJc w:val="left"/>
      <w:pPr>
        <w:ind w:left="1193" w:hanging="384"/>
        <w:jc w:val="left"/>
      </w:pPr>
      <w:rPr>
        <w:rFonts w:hint="default"/>
      </w:rPr>
    </w:lvl>
    <w:lvl w:ilvl="1">
      <w:start w:val="1"/>
      <w:numFmt w:val="decimal"/>
      <w:lvlText w:val="%1.%2"/>
      <w:lvlJc w:val="left"/>
      <w:pPr>
        <w:ind w:left="1193" w:hanging="384"/>
        <w:jc w:val="left"/>
      </w:pPr>
      <w:rPr>
        <w:rFonts w:hint="default" w:ascii="Arial" w:hAnsi="Arial" w:eastAsia="Arial" w:cs="Arial"/>
        <w:w w:val="99"/>
        <w:sz w:val="24"/>
        <w:szCs w:val="24"/>
      </w:rPr>
    </w:lvl>
    <w:lvl w:ilvl="2">
      <w:start w:val="1"/>
      <w:numFmt w:val="bullet"/>
      <w:lvlText w:val="•"/>
      <w:lvlJc w:val="left"/>
      <w:pPr>
        <w:ind w:left="2772" w:hanging="384"/>
      </w:pPr>
      <w:rPr>
        <w:rFonts w:hint="default"/>
      </w:rPr>
    </w:lvl>
    <w:lvl w:ilvl="3">
      <w:start w:val="1"/>
      <w:numFmt w:val="bullet"/>
      <w:lvlText w:val="•"/>
      <w:lvlJc w:val="left"/>
      <w:pPr>
        <w:ind w:left="3558" w:hanging="384"/>
      </w:pPr>
      <w:rPr>
        <w:rFonts w:hint="default"/>
      </w:rPr>
    </w:lvl>
    <w:lvl w:ilvl="4">
      <w:start w:val="1"/>
      <w:numFmt w:val="bullet"/>
      <w:lvlText w:val="•"/>
      <w:lvlJc w:val="left"/>
      <w:pPr>
        <w:ind w:left="4344" w:hanging="384"/>
      </w:pPr>
      <w:rPr>
        <w:rFonts w:hint="default"/>
      </w:rPr>
    </w:lvl>
    <w:lvl w:ilvl="5">
      <w:start w:val="1"/>
      <w:numFmt w:val="bullet"/>
      <w:lvlText w:val="•"/>
      <w:lvlJc w:val="left"/>
      <w:pPr>
        <w:ind w:left="5130" w:hanging="384"/>
      </w:pPr>
      <w:rPr>
        <w:rFonts w:hint="default"/>
      </w:rPr>
    </w:lvl>
    <w:lvl w:ilvl="6">
      <w:start w:val="1"/>
      <w:numFmt w:val="bullet"/>
      <w:lvlText w:val="•"/>
      <w:lvlJc w:val="left"/>
      <w:pPr>
        <w:ind w:left="5916" w:hanging="384"/>
      </w:pPr>
      <w:rPr>
        <w:rFonts w:hint="default"/>
      </w:rPr>
    </w:lvl>
    <w:lvl w:ilvl="7">
      <w:start w:val="1"/>
      <w:numFmt w:val="bullet"/>
      <w:lvlText w:val="•"/>
      <w:lvlJc w:val="left"/>
      <w:pPr>
        <w:ind w:left="6702" w:hanging="384"/>
      </w:pPr>
      <w:rPr>
        <w:rFonts w:hint="default"/>
      </w:rPr>
    </w:lvl>
    <w:lvl w:ilvl="8">
      <w:start w:val="1"/>
      <w:numFmt w:val="bullet"/>
      <w:lvlText w:val="•"/>
      <w:lvlJc w:val="left"/>
      <w:pPr>
        <w:ind w:left="7488" w:hanging="384"/>
      </w:pPr>
      <w:rPr>
        <w:rFonts w:hint="default"/>
      </w:rPr>
    </w:lvl>
  </w:abstractNum>
  <w:abstractNum w:abstractNumId="4">
    <w:multiLevelType w:val="hybridMultilevel"/>
    <w:lvl w:ilvl="0">
      <w:start w:val="2"/>
      <w:numFmt w:val="decimal"/>
      <w:lvlText w:val="%1"/>
      <w:lvlJc w:val="left"/>
      <w:pPr>
        <w:ind w:left="1195" w:hanging="386"/>
        <w:jc w:val="left"/>
      </w:pPr>
      <w:rPr>
        <w:rFonts w:hint="default"/>
      </w:rPr>
    </w:lvl>
    <w:lvl w:ilvl="1">
      <w:start w:val="1"/>
      <w:numFmt w:val="decimal"/>
      <w:lvlText w:val="%1.%2"/>
      <w:lvlJc w:val="left"/>
      <w:pPr>
        <w:ind w:left="1195" w:hanging="386"/>
        <w:jc w:val="left"/>
      </w:pPr>
      <w:rPr>
        <w:rFonts w:hint="default" w:ascii="Arial" w:hAnsi="Arial" w:eastAsia="Arial" w:cs="Arial"/>
        <w:w w:val="99"/>
        <w:sz w:val="24"/>
        <w:szCs w:val="24"/>
      </w:rPr>
    </w:lvl>
    <w:lvl w:ilvl="2">
      <w:start w:val="1"/>
      <w:numFmt w:val="bullet"/>
      <w:lvlText w:val="•"/>
      <w:lvlJc w:val="left"/>
      <w:pPr>
        <w:ind w:left="2772" w:hanging="386"/>
      </w:pPr>
      <w:rPr>
        <w:rFonts w:hint="default"/>
      </w:rPr>
    </w:lvl>
    <w:lvl w:ilvl="3">
      <w:start w:val="1"/>
      <w:numFmt w:val="bullet"/>
      <w:lvlText w:val="•"/>
      <w:lvlJc w:val="left"/>
      <w:pPr>
        <w:ind w:left="3558" w:hanging="386"/>
      </w:pPr>
      <w:rPr>
        <w:rFonts w:hint="default"/>
      </w:rPr>
    </w:lvl>
    <w:lvl w:ilvl="4">
      <w:start w:val="1"/>
      <w:numFmt w:val="bullet"/>
      <w:lvlText w:val="•"/>
      <w:lvlJc w:val="left"/>
      <w:pPr>
        <w:ind w:left="4344" w:hanging="386"/>
      </w:pPr>
      <w:rPr>
        <w:rFonts w:hint="default"/>
      </w:rPr>
    </w:lvl>
    <w:lvl w:ilvl="5">
      <w:start w:val="1"/>
      <w:numFmt w:val="bullet"/>
      <w:lvlText w:val="•"/>
      <w:lvlJc w:val="left"/>
      <w:pPr>
        <w:ind w:left="5130" w:hanging="386"/>
      </w:pPr>
      <w:rPr>
        <w:rFonts w:hint="default"/>
      </w:rPr>
    </w:lvl>
    <w:lvl w:ilvl="6">
      <w:start w:val="1"/>
      <w:numFmt w:val="bullet"/>
      <w:lvlText w:val="•"/>
      <w:lvlJc w:val="left"/>
      <w:pPr>
        <w:ind w:left="5916" w:hanging="386"/>
      </w:pPr>
      <w:rPr>
        <w:rFonts w:hint="default"/>
      </w:rPr>
    </w:lvl>
    <w:lvl w:ilvl="7">
      <w:start w:val="1"/>
      <w:numFmt w:val="bullet"/>
      <w:lvlText w:val="•"/>
      <w:lvlJc w:val="left"/>
      <w:pPr>
        <w:ind w:left="6702" w:hanging="386"/>
      </w:pPr>
      <w:rPr>
        <w:rFonts w:hint="default"/>
      </w:rPr>
    </w:lvl>
    <w:lvl w:ilvl="8">
      <w:start w:val="1"/>
      <w:numFmt w:val="bullet"/>
      <w:lvlText w:val="•"/>
      <w:lvlJc w:val="left"/>
      <w:pPr>
        <w:ind w:left="7488" w:hanging="386"/>
      </w:pPr>
      <w:rPr>
        <w:rFonts w:hint="default"/>
      </w:rPr>
    </w:lvl>
  </w:abstractNum>
  <w:abstractNum w:abstractNumId="3">
    <w:multiLevelType w:val="hybridMultilevel"/>
    <w:lvl w:ilvl="0">
      <w:start w:val="1"/>
      <w:numFmt w:val="decimal"/>
      <w:lvlText w:val="%1"/>
      <w:lvlJc w:val="left"/>
      <w:pPr>
        <w:ind w:left="1195" w:hanging="386"/>
        <w:jc w:val="left"/>
      </w:pPr>
      <w:rPr>
        <w:rFonts w:hint="default"/>
      </w:rPr>
    </w:lvl>
    <w:lvl w:ilvl="1">
      <w:start w:val="1"/>
      <w:numFmt w:val="decimal"/>
      <w:lvlText w:val="%1.%2"/>
      <w:lvlJc w:val="left"/>
      <w:pPr>
        <w:ind w:left="1195" w:hanging="386"/>
        <w:jc w:val="left"/>
      </w:pPr>
      <w:rPr>
        <w:rFonts w:hint="default" w:ascii="Arial" w:hAnsi="Arial" w:eastAsia="Arial" w:cs="Arial"/>
        <w:w w:val="99"/>
        <w:sz w:val="24"/>
        <w:szCs w:val="24"/>
      </w:rPr>
    </w:lvl>
    <w:lvl w:ilvl="2">
      <w:start w:val="1"/>
      <w:numFmt w:val="bullet"/>
      <w:lvlText w:val="•"/>
      <w:lvlJc w:val="left"/>
      <w:pPr>
        <w:ind w:left="2772" w:hanging="386"/>
      </w:pPr>
      <w:rPr>
        <w:rFonts w:hint="default"/>
      </w:rPr>
    </w:lvl>
    <w:lvl w:ilvl="3">
      <w:start w:val="1"/>
      <w:numFmt w:val="bullet"/>
      <w:lvlText w:val="•"/>
      <w:lvlJc w:val="left"/>
      <w:pPr>
        <w:ind w:left="3558" w:hanging="386"/>
      </w:pPr>
      <w:rPr>
        <w:rFonts w:hint="default"/>
      </w:rPr>
    </w:lvl>
    <w:lvl w:ilvl="4">
      <w:start w:val="1"/>
      <w:numFmt w:val="bullet"/>
      <w:lvlText w:val="•"/>
      <w:lvlJc w:val="left"/>
      <w:pPr>
        <w:ind w:left="4344" w:hanging="386"/>
      </w:pPr>
      <w:rPr>
        <w:rFonts w:hint="default"/>
      </w:rPr>
    </w:lvl>
    <w:lvl w:ilvl="5">
      <w:start w:val="1"/>
      <w:numFmt w:val="bullet"/>
      <w:lvlText w:val="•"/>
      <w:lvlJc w:val="left"/>
      <w:pPr>
        <w:ind w:left="5130" w:hanging="386"/>
      </w:pPr>
      <w:rPr>
        <w:rFonts w:hint="default"/>
      </w:rPr>
    </w:lvl>
    <w:lvl w:ilvl="6">
      <w:start w:val="1"/>
      <w:numFmt w:val="bullet"/>
      <w:lvlText w:val="•"/>
      <w:lvlJc w:val="left"/>
      <w:pPr>
        <w:ind w:left="5916" w:hanging="386"/>
      </w:pPr>
      <w:rPr>
        <w:rFonts w:hint="default"/>
      </w:rPr>
    </w:lvl>
    <w:lvl w:ilvl="7">
      <w:start w:val="1"/>
      <w:numFmt w:val="bullet"/>
      <w:lvlText w:val="•"/>
      <w:lvlJc w:val="left"/>
      <w:pPr>
        <w:ind w:left="6702" w:hanging="386"/>
      </w:pPr>
      <w:rPr>
        <w:rFonts w:hint="default"/>
      </w:rPr>
    </w:lvl>
    <w:lvl w:ilvl="8">
      <w:start w:val="1"/>
      <w:numFmt w:val="bullet"/>
      <w:lvlText w:val="•"/>
      <w:lvlJc w:val="left"/>
      <w:pPr>
        <w:ind w:left="7488" w:hanging="386"/>
      </w:pPr>
      <w:rPr>
        <w:rFonts w:hint="default"/>
      </w:rPr>
    </w:lvl>
  </w:abstractNum>
  <w:abstractNum w:abstractNumId="2">
    <w:multiLevelType w:val="hybridMultilevel"/>
    <w:lvl w:ilvl="0">
      <w:start w:val="4"/>
      <w:numFmt w:val="decimal"/>
      <w:lvlText w:val="%1"/>
      <w:lvlJc w:val="left"/>
      <w:pPr>
        <w:ind w:left="653" w:hanging="552"/>
        <w:jc w:val="left"/>
      </w:pPr>
      <w:rPr>
        <w:rFonts w:hint="default"/>
      </w:rPr>
    </w:lvl>
    <w:lvl w:ilvl="1">
      <w:start w:val="1"/>
      <w:numFmt w:val="decimal"/>
      <w:lvlText w:val="%1.%2"/>
      <w:lvlJc w:val="left"/>
      <w:pPr>
        <w:ind w:left="653" w:hanging="552"/>
        <w:jc w:val="left"/>
      </w:pPr>
      <w:rPr>
        <w:rFonts w:hint="default"/>
      </w:rPr>
    </w:lvl>
    <w:lvl w:ilvl="2">
      <w:start w:val="1"/>
      <w:numFmt w:val="decimal"/>
      <w:lvlText w:val="%1.%2.%3"/>
      <w:lvlJc w:val="left"/>
      <w:pPr>
        <w:ind w:left="653" w:hanging="552"/>
        <w:jc w:val="left"/>
      </w:pPr>
      <w:rPr>
        <w:rFonts w:hint="default" w:ascii="Arial" w:hAnsi="Arial" w:eastAsia="Arial" w:cs="Arial"/>
        <w:i/>
        <w:w w:val="100"/>
        <w:sz w:val="22"/>
        <w:szCs w:val="22"/>
      </w:rPr>
    </w:lvl>
    <w:lvl w:ilvl="3">
      <w:start w:val="1"/>
      <w:numFmt w:val="bullet"/>
      <w:lvlText w:val="•"/>
      <w:lvlJc w:val="left"/>
      <w:pPr>
        <w:ind w:left="3180" w:hanging="552"/>
      </w:pPr>
      <w:rPr>
        <w:rFonts w:hint="default"/>
      </w:rPr>
    </w:lvl>
    <w:lvl w:ilvl="4">
      <w:start w:val="1"/>
      <w:numFmt w:val="bullet"/>
      <w:lvlText w:val="•"/>
      <w:lvlJc w:val="left"/>
      <w:pPr>
        <w:ind w:left="4020" w:hanging="552"/>
      </w:pPr>
      <w:rPr>
        <w:rFonts w:hint="default"/>
      </w:rPr>
    </w:lvl>
    <w:lvl w:ilvl="5">
      <w:start w:val="1"/>
      <w:numFmt w:val="bullet"/>
      <w:lvlText w:val="•"/>
      <w:lvlJc w:val="left"/>
      <w:pPr>
        <w:ind w:left="4860" w:hanging="552"/>
      </w:pPr>
      <w:rPr>
        <w:rFonts w:hint="default"/>
      </w:rPr>
    </w:lvl>
    <w:lvl w:ilvl="6">
      <w:start w:val="1"/>
      <w:numFmt w:val="bullet"/>
      <w:lvlText w:val="•"/>
      <w:lvlJc w:val="left"/>
      <w:pPr>
        <w:ind w:left="5700" w:hanging="552"/>
      </w:pPr>
      <w:rPr>
        <w:rFonts w:hint="default"/>
      </w:rPr>
    </w:lvl>
    <w:lvl w:ilvl="7">
      <w:start w:val="1"/>
      <w:numFmt w:val="bullet"/>
      <w:lvlText w:val="•"/>
      <w:lvlJc w:val="left"/>
      <w:pPr>
        <w:ind w:left="6540" w:hanging="552"/>
      </w:pPr>
      <w:rPr>
        <w:rFonts w:hint="default"/>
      </w:rPr>
    </w:lvl>
    <w:lvl w:ilvl="8">
      <w:start w:val="1"/>
      <w:numFmt w:val="bullet"/>
      <w:lvlText w:val="•"/>
      <w:lvlJc w:val="left"/>
      <w:pPr>
        <w:ind w:left="7380" w:hanging="552"/>
      </w:pPr>
      <w:rPr>
        <w:rFonts w:hint="default"/>
      </w:rPr>
    </w:lvl>
  </w:abstractNum>
  <w:abstractNum w:abstractNumId="1">
    <w:multiLevelType w:val="hybridMultilevel"/>
    <w:lvl w:ilvl="0">
      <w:start w:val="2"/>
      <w:numFmt w:val="decimal"/>
      <w:lvlText w:val="%1."/>
      <w:lvlJc w:val="left"/>
      <w:pPr>
        <w:ind w:left="668" w:hanging="262"/>
        <w:jc w:val="left"/>
      </w:pPr>
      <w:rPr>
        <w:rFonts w:hint="default" w:ascii="Arial" w:hAnsi="Arial" w:eastAsia="Arial" w:cs="Arial"/>
        <w:w w:val="99"/>
        <w:sz w:val="20"/>
        <w:szCs w:val="20"/>
      </w:rPr>
    </w:lvl>
    <w:lvl w:ilvl="1">
      <w:start w:val="1"/>
      <w:numFmt w:val="lowerLetter"/>
      <w:lvlText w:val="%2."/>
      <w:lvlJc w:val="left"/>
      <w:pPr>
        <w:ind w:left="668" w:hanging="214"/>
        <w:jc w:val="left"/>
      </w:pPr>
      <w:rPr>
        <w:rFonts w:hint="default" w:ascii="Arial" w:hAnsi="Arial" w:eastAsia="Arial" w:cs="Arial"/>
        <w:w w:val="99"/>
        <w:sz w:val="20"/>
        <w:szCs w:val="20"/>
      </w:rPr>
    </w:lvl>
    <w:lvl w:ilvl="2">
      <w:start w:val="1"/>
      <w:numFmt w:val="bullet"/>
      <w:lvlText w:val="•"/>
      <w:lvlJc w:val="left"/>
      <w:pPr>
        <w:ind w:left="2340" w:hanging="214"/>
      </w:pPr>
      <w:rPr>
        <w:rFonts w:hint="default"/>
      </w:rPr>
    </w:lvl>
    <w:lvl w:ilvl="3">
      <w:start w:val="1"/>
      <w:numFmt w:val="bullet"/>
      <w:lvlText w:val="•"/>
      <w:lvlJc w:val="left"/>
      <w:pPr>
        <w:ind w:left="3180" w:hanging="214"/>
      </w:pPr>
      <w:rPr>
        <w:rFonts w:hint="default"/>
      </w:rPr>
    </w:lvl>
    <w:lvl w:ilvl="4">
      <w:start w:val="1"/>
      <w:numFmt w:val="bullet"/>
      <w:lvlText w:val="•"/>
      <w:lvlJc w:val="left"/>
      <w:pPr>
        <w:ind w:left="4020" w:hanging="214"/>
      </w:pPr>
      <w:rPr>
        <w:rFonts w:hint="default"/>
      </w:rPr>
    </w:lvl>
    <w:lvl w:ilvl="5">
      <w:start w:val="1"/>
      <w:numFmt w:val="bullet"/>
      <w:lvlText w:val="•"/>
      <w:lvlJc w:val="left"/>
      <w:pPr>
        <w:ind w:left="4860" w:hanging="214"/>
      </w:pPr>
      <w:rPr>
        <w:rFonts w:hint="default"/>
      </w:rPr>
    </w:lvl>
    <w:lvl w:ilvl="6">
      <w:start w:val="1"/>
      <w:numFmt w:val="bullet"/>
      <w:lvlText w:val="•"/>
      <w:lvlJc w:val="left"/>
      <w:pPr>
        <w:ind w:left="5700" w:hanging="214"/>
      </w:pPr>
      <w:rPr>
        <w:rFonts w:hint="default"/>
      </w:rPr>
    </w:lvl>
    <w:lvl w:ilvl="7">
      <w:start w:val="1"/>
      <w:numFmt w:val="bullet"/>
      <w:lvlText w:val="•"/>
      <w:lvlJc w:val="left"/>
      <w:pPr>
        <w:ind w:left="6540" w:hanging="214"/>
      </w:pPr>
      <w:rPr>
        <w:rFonts w:hint="default"/>
      </w:rPr>
    </w:lvl>
    <w:lvl w:ilvl="8">
      <w:start w:val="1"/>
      <w:numFmt w:val="bullet"/>
      <w:lvlText w:val="•"/>
      <w:lvlJc w:val="left"/>
      <w:pPr>
        <w:ind w:left="7380" w:hanging="214"/>
      </w:pPr>
      <w:rPr>
        <w:rFonts w:hint="default"/>
      </w:rPr>
    </w:lvl>
  </w:abstractNum>
  <w:abstractNum w:abstractNumId="0">
    <w:multiLevelType w:val="hybridMultilevel"/>
    <w:lvl w:ilvl="0">
      <w:start w:val="1"/>
      <w:numFmt w:val="decimal"/>
      <w:lvlText w:val="%1."/>
      <w:lvlJc w:val="left"/>
      <w:pPr>
        <w:ind w:left="810" w:hanging="708"/>
        <w:jc w:val="left"/>
      </w:pPr>
      <w:rPr>
        <w:rFonts w:hint="default" w:ascii="Arial" w:hAnsi="Arial" w:eastAsia="Arial" w:cs="Arial"/>
        <w:b/>
        <w:bCs/>
        <w:spacing w:val="-1"/>
        <w:w w:val="100"/>
        <w:sz w:val="22"/>
        <w:szCs w:val="22"/>
      </w:rPr>
    </w:lvl>
    <w:lvl w:ilvl="1">
      <w:start w:val="1"/>
      <w:numFmt w:val="decimal"/>
      <w:lvlText w:val="%1.%2"/>
      <w:lvlJc w:val="left"/>
      <w:pPr>
        <w:ind w:left="462" w:hanging="360"/>
        <w:jc w:val="left"/>
      </w:pPr>
      <w:rPr>
        <w:rFonts w:hint="default"/>
        <w:b/>
        <w:bCs/>
        <w:w w:val="100"/>
      </w:rPr>
    </w:lvl>
    <w:lvl w:ilvl="2">
      <w:start w:val="1"/>
      <w:numFmt w:val="bullet"/>
      <w:lvlText w:val=""/>
      <w:lvlJc w:val="left"/>
      <w:pPr>
        <w:ind w:left="822" w:hanging="360"/>
      </w:pPr>
      <w:rPr>
        <w:rFonts w:hint="default" w:ascii="Symbol" w:hAnsi="Symbol" w:eastAsia="Symbol" w:cs="Symbol"/>
        <w:w w:val="100"/>
        <w:sz w:val="22"/>
        <w:szCs w:val="22"/>
      </w:rPr>
    </w:lvl>
    <w:lvl w:ilvl="3">
      <w:start w:val="1"/>
      <w:numFmt w:val="bullet"/>
      <w:lvlText w:val="•"/>
      <w:lvlJc w:val="left"/>
      <w:pPr>
        <w:ind w:left="1850" w:hanging="360"/>
      </w:pPr>
      <w:rPr>
        <w:rFonts w:hint="default"/>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42"/>
      <w:ind w:left="102"/>
    </w:pPr>
    <w:rPr>
      <w:rFonts w:ascii="Arial" w:hAnsi="Arial" w:eastAsia="Arial" w:cs="Arial"/>
      <w:sz w:val="24"/>
      <w:szCs w:val="24"/>
    </w:rPr>
  </w:style>
  <w:style w:styleId="TOC2" w:type="paragraph">
    <w:name w:val="TOC 2"/>
    <w:basedOn w:val="Normal"/>
    <w:uiPriority w:val="1"/>
    <w:qFormat/>
    <w:pPr>
      <w:spacing w:before="240"/>
      <w:ind w:left="102" w:right="96"/>
    </w:pPr>
    <w:rPr>
      <w:rFonts w:ascii="Arial" w:hAnsi="Arial" w:eastAsia="Arial" w:cs="Arial"/>
      <w:b/>
      <w:bCs/>
      <w:i/>
    </w:rPr>
  </w:style>
  <w:style w:styleId="TOC3" w:type="paragraph">
    <w:name w:val="TOC 3"/>
    <w:basedOn w:val="Normal"/>
    <w:uiPriority w:val="1"/>
    <w:qFormat/>
    <w:pPr>
      <w:spacing w:before="243"/>
      <w:ind w:left="169"/>
    </w:pPr>
    <w:rPr>
      <w:rFonts w:ascii="Arial" w:hAnsi="Arial" w:eastAsia="Arial" w:cs="Arial"/>
      <w:sz w:val="24"/>
      <w:szCs w:val="24"/>
    </w:rPr>
  </w:style>
  <w:style w:styleId="TOC4" w:type="paragraph">
    <w:name w:val="TOC 4"/>
    <w:basedOn w:val="Normal"/>
    <w:uiPriority w:val="1"/>
    <w:qFormat/>
    <w:pPr>
      <w:spacing w:before="240"/>
      <w:ind w:left="1195" w:hanging="385"/>
    </w:pPr>
    <w:rPr>
      <w:rFonts w:ascii="Arial" w:hAnsi="Arial" w:eastAsia="Arial" w:cs="Arial"/>
      <w:sz w:val="24"/>
      <w:szCs w:val="24"/>
    </w:rPr>
  </w:style>
  <w:style w:styleId="TOC5" w:type="paragraph">
    <w:name w:val="TOC 5"/>
    <w:basedOn w:val="Normal"/>
    <w:uiPriority w:val="1"/>
    <w:qFormat/>
    <w:pPr>
      <w:spacing w:before="240"/>
      <w:ind w:left="1195" w:hanging="385"/>
    </w:pPr>
    <w:rPr>
      <w:rFonts w:ascii="Arial" w:hAnsi="Arial" w:eastAsia="Arial" w:cs="Arial"/>
      <w:b/>
      <w:bCs/>
      <w:i/>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153"/>
      <w:outlineLvl w:val="1"/>
    </w:pPr>
    <w:rPr>
      <w:rFonts w:ascii="Aharoni" w:hAnsi="Aharoni" w:eastAsia="Aharoni" w:cs="Aharoni"/>
      <w:b/>
      <w:bCs/>
      <w:sz w:val="96"/>
      <w:szCs w:val="96"/>
    </w:rPr>
  </w:style>
  <w:style w:styleId="Heading2" w:type="paragraph">
    <w:name w:val="Heading 2"/>
    <w:basedOn w:val="Normal"/>
    <w:uiPriority w:val="1"/>
    <w:qFormat/>
    <w:pPr>
      <w:ind w:left="102"/>
      <w:jc w:val="both"/>
      <w:outlineLvl w:val="2"/>
    </w:pPr>
    <w:rPr>
      <w:rFonts w:ascii="Arial" w:hAnsi="Arial" w:eastAsia="Arial" w:cs="Arial"/>
      <w:b/>
      <w:bCs/>
      <w:sz w:val="36"/>
      <w:szCs w:val="36"/>
    </w:rPr>
  </w:style>
  <w:style w:styleId="Heading3" w:type="paragraph">
    <w:name w:val="Heading 3"/>
    <w:basedOn w:val="Normal"/>
    <w:uiPriority w:val="1"/>
    <w:qFormat/>
    <w:pPr>
      <w:spacing w:before="59"/>
      <w:ind w:left="102"/>
      <w:outlineLvl w:val="3"/>
    </w:pPr>
    <w:rPr>
      <w:rFonts w:ascii="Arial" w:hAnsi="Arial" w:eastAsia="Arial" w:cs="Arial"/>
      <w:b/>
      <w:bCs/>
      <w:sz w:val="32"/>
      <w:szCs w:val="32"/>
    </w:rPr>
  </w:style>
  <w:style w:styleId="Heading4" w:type="paragraph">
    <w:name w:val="Heading 4"/>
    <w:basedOn w:val="Normal"/>
    <w:uiPriority w:val="1"/>
    <w:qFormat/>
    <w:pPr>
      <w:ind w:left="102" w:right="125"/>
      <w:outlineLvl w:val="4"/>
    </w:pPr>
    <w:rPr>
      <w:rFonts w:ascii="Cambria" w:hAnsi="Cambria" w:eastAsia="Cambria" w:cs="Cambria"/>
      <w:sz w:val="32"/>
      <w:szCs w:val="32"/>
    </w:rPr>
  </w:style>
  <w:style w:styleId="Heading5" w:type="paragraph">
    <w:name w:val="Heading 5"/>
    <w:basedOn w:val="Normal"/>
    <w:uiPriority w:val="1"/>
    <w:qFormat/>
    <w:pPr>
      <w:spacing w:before="47"/>
      <w:ind w:left="695"/>
      <w:outlineLvl w:val="5"/>
    </w:pPr>
    <w:rPr>
      <w:rFonts w:ascii="Calibri Light" w:hAnsi="Calibri Light" w:eastAsia="Calibri Light" w:cs="Calibri Light"/>
      <w:sz w:val="26"/>
      <w:szCs w:val="26"/>
    </w:rPr>
  </w:style>
  <w:style w:styleId="Heading6" w:type="paragraph">
    <w:name w:val="Heading 6"/>
    <w:basedOn w:val="Normal"/>
    <w:uiPriority w:val="1"/>
    <w:qFormat/>
    <w:pPr>
      <w:spacing w:before="124"/>
      <w:ind w:left="1701" w:hanging="360"/>
      <w:outlineLvl w:val="6"/>
    </w:pPr>
    <w:rPr>
      <w:rFonts w:ascii="Arial" w:hAnsi="Arial" w:eastAsia="Arial" w:cs="Arial"/>
      <w:b/>
      <w:bCs/>
      <w:sz w:val="24"/>
      <w:szCs w:val="24"/>
    </w:rPr>
  </w:style>
  <w:style w:styleId="Heading7" w:type="paragraph">
    <w:name w:val="Heading 7"/>
    <w:basedOn w:val="Normal"/>
    <w:uiPriority w:val="1"/>
    <w:qFormat/>
    <w:pPr>
      <w:ind w:left="122"/>
      <w:outlineLvl w:val="7"/>
    </w:pPr>
    <w:rPr>
      <w:rFonts w:ascii="Cambria" w:hAnsi="Cambria" w:eastAsia="Cambria" w:cs="Cambria"/>
      <w:sz w:val="24"/>
      <w:szCs w:val="24"/>
    </w:rPr>
  </w:style>
  <w:style w:styleId="Heading8" w:type="paragraph">
    <w:name w:val="Heading 8"/>
    <w:basedOn w:val="Normal"/>
    <w:uiPriority w:val="1"/>
    <w:qFormat/>
    <w:pPr>
      <w:ind w:left="912"/>
      <w:jc w:val="both"/>
      <w:outlineLvl w:val="8"/>
    </w:pPr>
    <w:rPr>
      <w:rFonts w:ascii="Calibri" w:hAnsi="Calibri" w:eastAsia="Calibri" w:cs="Calibri"/>
      <w:b/>
      <w:bCs/>
      <w:sz w:val="22"/>
      <w:szCs w:val="22"/>
    </w:rPr>
  </w:style>
  <w:style w:styleId="ListParagraph" w:type="paragraph">
    <w:name w:val="List Paragraph"/>
    <w:basedOn w:val="Normal"/>
    <w:uiPriority w:val="1"/>
    <w:qFormat/>
    <w:pPr>
      <w:ind w:left="102" w:hanging="360"/>
      <w:jc w:val="both"/>
    </w:pPr>
    <w:rPr>
      <w:rFonts w:ascii="Arial" w:hAnsi="Arial" w:eastAsia="Arial" w:cs="Arial"/>
    </w:rPr>
  </w:style>
  <w:style w:styleId="TableParagraph" w:type="paragraph">
    <w:name w:val="Table Paragraph"/>
    <w:basedOn w:val="Normal"/>
    <w:uiPriority w:val="1"/>
    <w:qFormat/>
    <w:pPr>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image" Target="media/image3.png"/><Relationship Id="rId14" Type="http://schemas.openxmlformats.org/officeDocument/2006/relationships/image" Target="media/image4.png"/><Relationship Id="rId15" Type="http://schemas.openxmlformats.org/officeDocument/2006/relationships/image" Target="media/image5.png"/><Relationship Id="rId16" Type="http://schemas.openxmlformats.org/officeDocument/2006/relationships/footer" Target="footer7.xml"/><Relationship Id="rId17" Type="http://schemas.openxmlformats.org/officeDocument/2006/relationships/image" Target="media/image6.png"/><Relationship Id="rId18" Type="http://schemas.openxmlformats.org/officeDocument/2006/relationships/image" Target="media/image7.png"/><Relationship Id="rId19" Type="http://schemas.openxmlformats.org/officeDocument/2006/relationships/image" Target="media/image8.png"/><Relationship Id="rId20" Type="http://schemas.openxmlformats.org/officeDocument/2006/relationships/image" Target="media/image9.png"/><Relationship Id="rId21" Type="http://schemas.openxmlformats.org/officeDocument/2006/relationships/image" Target="media/image10.png"/><Relationship Id="rId22" Type="http://schemas.openxmlformats.org/officeDocument/2006/relationships/image" Target="media/image11.png"/><Relationship Id="rId23" Type="http://schemas.openxmlformats.org/officeDocument/2006/relationships/image" Target="media/image12.png"/><Relationship Id="rId24" Type="http://schemas.openxmlformats.org/officeDocument/2006/relationships/image" Target="media/image13.png"/><Relationship Id="rId25" Type="http://schemas.openxmlformats.org/officeDocument/2006/relationships/image" Target="media/image14.png"/><Relationship Id="rId26" Type="http://schemas.openxmlformats.org/officeDocument/2006/relationships/image" Target="media/image15.png"/><Relationship Id="rId27" Type="http://schemas.openxmlformats.org/officeDocument/2006/relationships/image" Target="media/image16.png"/><Relationship Id="rId28" Type="http://schemas.openxmlformats.org/officeDocument/2006/relationships/image" Target="media/image17.png"/><Relationship Id="rId29" Type="http://schemas.openxmlformats.org/officeDocument/2006/relationships/image" Target="media/image18.png"/><Relationship Id="rId30" Type="http://schemas.openxmlformats.org/officeDocument/2006/relationships/image" Target="media/image19.png"/><Relationship Id="rId31" Type="http://schemas.openxmlformats.org/officeDocument/2006/relationships/image" Target="media/image20.png"/><Relationship Id="rId32" Type="http://schemas.openxmlformats.org/officeDocument/2006/relationships/image" Target="media/image21.png"/><Relationship Id="rId33" Type="http://schemas.openxmlformats.org/officeDocument/2006/relationships/image" Target="media/image22.png"/><Relationship Id="rId34" Type="http://schemas.openxmlformats.org/officeDocument/2006/relationships/image" Target="media/image23.png"/><Relationship Id="rId35" Type="http://schemas.openxmlformats.org/officeDocument/2006/relationships/image" Target="media/image24.png"/><Relationship Id="rId36" Type="http://schemas.openxmlformats.org/officeDocument/2006/relationships/footer" Target="footer8.xml"/><Relationship Id="rId37" Type="http://schemas.openxmlformats.org/officeDocument/2006/relationships/image" Target="media/image25.png"/><Relationship Id="rId38" Type="http://schemas.openxmlformats.org/officeDocument/2006/relationships/image" Target="media/image26.png"/><Relationship Id="rId39" Type="http://schemas.openxmlformats.org/officeDocument/2006/relationships/footer" Target="footer9.xml"/><Relationship Id="rId40" Type="http://schemas.openxmlformats.org/officeDocument/2006/relationships/image" Target="media/image27.png"/><Relationship Id="rId41" Type="http://schemas.openxmlformats.org/officeDocument/2006/relationships/image" Target="media/image28.png"/><Relationship Id="rId42" Type="http://schemas.openxmlformats.org/officeDocument/2006/relationships/image" Target="media/image29.png"/><Relationship Id="rId43" Type="http://schemas.openxmlformats.org/officeDocument/2006/relationships/image" Target="media/image30.png"/><Relationship Id="rId44" Type="http://schemas.openxmlformats.org/officeDocument/2006/relationships/image" Target="media/image31.png"/><Relationship Id="rId45" Type="http://schemas.openxmlformats.org/officeDocument/2006/relationships/image" Target="media/image32.png"/><Relationship Id="rId46" Type="http://schemas.openxmlformats.org/officeDocument/2006/relationships/image" Target="media/image33.png"/><Relationship Id="rId47" Type="http://schemas.openxmlformats.org/officeDocument/2006/relationships/footer" Target="footer10.xml"/><Relationship Id="rId48" Type="http://schemas.openxmlformats.org/officeDocument/2006/relationships/footer" Target="footer11.xml"/><Relationship Id="rId49" Type="http://schemas.openxmlformats.org/officeDocument/2006/relationships/footer" Target="footer12.xml"/><Relationship Id="rId50" Type="http://schemas.openxmlformats.org/officeDocument/2006/relationships/image" Target="media/image34.jpeg"/><Relationship Id="rId51" Type="http://schemas.openxmlformats.org/officeDocument/2006/relationships/footer" Target="footer13.xml"/><Relationship Id="rId52" Type="http://schemas.openxmlformats.org/officeDocument/2006/relationships/footer" Target="footer14.xml"/><Relationship Id="rId53" Type="http://schemas.openxmlformats.org/officeDocument/2006/relationships/image" Target="media/image35.jpeg"/><Relationship Id="rId54" Type="http://schemas.openxmlformats.org/officeDocument/2006/relationships/footer" Target="footer15.xml"/><Relationship Id="rId55" Type="http://schemas.openxmlformats.org/officeDocument/2006/relationships/image" Target="media/image36.jpeg"/><Relationship Id="rId56" Type="http://schemas.openxmlformats.org/officeDocument/2006/relationships/footer" Target="footer16.xml"/><Relationship Id="rId57" Type="http://schemas.openxmlformats.org/officeDocument/2006/relationships/image" Target="media/image37.png"/><Relationship Id="rId58" Type="http://schemas.openxmlformats.org/officeDocument/2006/relationships/image" Target="media/image38.png"/><Relationship Id="rId59" Type="http://schemas.openxmlformats.org/officeDocument/2006/relationships/image" Target="media/image39.jpeg"/><Relationship Id="rId60" Type="http://schemas.openxmlformats.org/officeDocument/2006/relationships/image" Target="media/image40.png"/><Relationship Id="rId61" Type="http://schemas.openxmlformats.org/officeDocument/2006/relationships/image" Target="media/image41.png"/><Relationship Id="rId62" Type="http://schemas.openxmlformats.org/officeDocument/2006/relationships/image" Target="media/image42.png"/><Relationship Id="rId63" Type="http://schemas.openxmlformats.org/officeDocument/2006/relationships/hyperlink" Target="http://www.equidad.scjn.gob/" TargetMode="External"/><Relationship Id="rId64" Type="http://schemas.openxmlformats.org/officeDocument/2006/relationships/image" Target="media/image43.png"/><Relationship Id="rId65" Type="http://schemas.openxmlformats.org/officeDocument/2006/relationships/footer" Target="footer17.xml"/><Relationship Id="rId66" Type="http://schemas.openxmlformats.org/officeDocument/2006/relationships/image" Target="media/image44.png"/><Relationship Id="rId67" Type="http://schemas.openxmlformats.org/officeDocument/2006/relationships/image" Target="media/image45.png"/><Relationship Id="rId68" Type="http://schemas.openxmlformats.org/officeDocument/2006/relationships/image" Target="media/image46.png"/><Relationship Id="rId69" Type="http://schemas.openxmlformats.org/officeDocument/2006/relationships/image" Target="media/image47.png"/><Relationship Id="rId70" Type="http://schemas.openxmlformats.org/officeDocument/2006/relationships/image" Target="media/image48.png"/><Relationship Id="rId71" Type="http://schemas.openxmlformats.org/officeDocument/2006/relationships/image" Target="media/image49.png"/><Relationship Id="rId72" Type="http://schemas.openxmlformats.org/officeDocument/2006/relationships/image" Target="media/image50.png"/><Relationship Id="rId73" Type="http://schemas.openxmlformats.org/officeDocument/2006/relationships/image" Target="media/image51.png"/><Relationship Id="rId74" Type="http://schemas.openxmlformats.org/officeDocument/2006/relationships/image" Target="media/image52.png"/><Relationship Id="rId75" Type="http://schemas.openxmlformats.org/officeDocument/2006/relationships/image" Target="media/image53.png"/><Relationship Id="rId76" Type="http://schemas.openxmlformats.org/officeDocument/2006/relationships/image" Target="media/image54.png"/><Relationship Id="rId77" Type="http://schemas.openxmlformats.org/officeDocument/2006/relationships/image" Target="media/image55.png"/><Relationship Id="rId78" Type="http://schemas.openxmlformats.org/officeDocument/2006/relationships/image" Target="media/image56.png"/><Relationship Id="rId79" Type="http://schemas.openxmlformats.org/officeDocument/2006/relationships/image" Target="media/image57.png"/><Relationship Id="rId80" Type="http://schemas.openxmlformats.org/officeDocument/2006/relationships/footer" Target="footer18.xml"/><Relationship Id="rId81" Type="http://schemas.openxmlformats.org/officeDocument/2006/relationships/image" Target="media/image58.png"/><Relationship Id="rId82" Type="http://schemas.openxmlformats.org/officeDocument/2006/relationships/footer" Target="footer19.xml"/><Relationship Id="rId83" Type="http://schemas.openxmlformats.org/officeDocument/2006/relationships/image" Target="media/image59.png"/><Relationship Id="rId84" Type="http://schemas.openxmlformats.org/officeDocument/2006/relationships/footer" Target="footer20.xml"/><Relationship Id="rId85" Type="http://schemas.openxmlformats.org/officeDocument/2006/relationships/image" Target="media/image60.jpeg"/><Relationship Id="rId86" Type="http://schemas.openxmlformats.org/officeDocument/2006/relationships/footer" Target="footer21.xml"/><Relationship Id="rId87" Type="http://schemas.openxmlformats.org/officeDocument/2006/relationships/image" Target="media/image61.jpeg"/><Relationship Id="rId88" Type="http://schemas.openxmlformats.org/officeDocument/2006/relationships/footer" Target="footer22.xml"/><Relationship Id="rId89" Type="http://schemas.openxmlformats.org/officeDocument/2006/relationships/image" Target="media/image62.png"/><Relationship Id="rId90" Type="http://schemas.openxmlformats.org/officeDocument/2006/relationships/image" Target="media/image63.png"/><Relationship Id="rId91" Type="http://schemas.openxmlformats.org/officeDocument/2006/relationships/footer" Target="footer23.xml"/><Relationship Id="rId92" Type="http://schemas.openxmlformats.org/officeDocument/2006/relationships/image" Target="media/image64.png"/><Relationship Id="rId93" Type="http://schemas.openxmlformats.org/officeDocument/2006/relationships/image" Target="media/image65.png"/><Relationship Id="rId94" Type="http://schemas.openxmlformats.org/officeDocument/2006/relationships/image" Target="media/image66.png"/><Relationship Id="rId95" Type="http://schemas.openxmlformats.org/officeDocument/2006/relationships/footer" Target="footer24.xml"/><Relationship Id="rId96" Type="http://schemas.openxmlformats.org/officeDocument/2006/relationships/footer" Target="footer25.xml"/><Relationship Id="rId97" Type="http://schemas.openxmlformats.org/officeDocument/2006/relationships/image" Target="media/image67.jpeg"/><Relationship Id="rId98" Type="http://schemas.openxmlformats.org/officeDocument/2006/relationships/footer" Target="footer26.xml"/><Relationship Id="rId99" Type="http://schemas.openxmlformats.org/officeDocument/2006/relationships/image" Target="media/image68.png"/><Relationship Id="rId100" Type="http://schemas.openxmlformats.org/officeDocument/2006/relationships/image" Target="media/image69.png"/><Relationship Id="rId101" Type="http://schemas.openxmlformats.org/officeDocument/2006/relationships/footer" Target="footer27.xml"/><Relationship Id="rId102" Type="http://schemas.openxmlformats.org/officeDocument/2006/relationships/footer" Target="footer28.xml"/><Relationship Id="rId103" Type="http://schemas.openxmlformats.org/officeDocument/2006/relationships/image" Target="media/image70.jpeg"/><Relationship Id="rId104" Type="http://schemas.openxmlformats.org/officeDocument/2006/relationships/footer" Target="footer29.xml"/><Relationship Id="rId105" Type="http://schemas.openxmlformats.org/officeDocument/2006/relationships/image" Target="media/image71.png"/><Relationship Id="rId106" Type="http://schemas.openxmlformats.org/officeDocument/2006/relationships/image" Target="media/image72.png"/><Relationship Id="rId107" Type="http://schemas.openxmlformats.org/officeDocument/2006/relationships/image" Target="media/image73.png"/><Relationship Id="rId108" Type="http://schemas.openxmlformats.org/officeDocument/2006/relationships/image" Target="media/image74.png"/><Relationship Id="rId109" Type="http://schemas.openxmlformats.org/officeDocument/2006/relationships/image" Target="media/image75.png"/><Relationship Id="rId110" Type="http://schemas.openxmlformats.org/officeDocument/2006/relationships/image" Target="media/image76.png"/><Relationship Id="rId111" Type="http://schemas.openxmlformats.org/officeDocument/2006/relationships/image" Target="media/image77.png"/><Relationship Id="rId112" Type="http://schemas.openxmlformats.org/officeDocument/2006/relationships/image" Target="media/image78.png"/><Relationship Id="rId113" Type="http://schemas.openxmlformats.org/officeDocument/2006/relationships/image" Target="media/image79.png"/><Relationship Id="rId114" Type="http://schemas.openxmlformats.org/officeDocument/2006/relationships/image" Target="media/image80.png"/><Relationship Id="rId115" Type="http://schemas.openxmlformats.org/officeDocument/2006/relationships/image" Target="media/image81.png"/><Relationship Id="rId116" Type="http://schemas.openxmlformats.org/officeDocument/2006/relationships/image" Target="media/image82.png"/><Relationship Id="rId117" Type="http://schemas.openxmlformats.org/officeDocument/2006/relationships/image" Target="media/image83.png"/><Relationship Id="rId118" Type="http://schemas.openxmlformats.org/officeDocument/2006/relationships/image" Target="media/image84.png"/><Relationship Id="rId119" Type="http://schemas.openxmlformats.org/officeDocument/2006/relationships/image" Target="media/image85.png"/><Relationship Id="rId120" Type="http://schemas.openxmlformats.org/officeDocument/2006/relationships/image" Target="media/image86.png"/><Relationship Id="rId121" Type="http://schemas.openxmlformats.org/officeDocument/2006/relationships/footer" Target="footer30.xml"/><Relationship Id="rId122" Type="http://schemas.openxmlformats.org/officeDocument/2006/relationships/image" Target="media/image87.png"/><Relationship Id="rId123" Type="http://schemas.openxmlformats.org/officeDocument/2006/relationships/image" Target="media/image88.png"/><Relationship Id="rId124" Type="http://schemas.openxmlformats.org/officeDocument/2006/relationships/image" Target="media/image89.png"/><Relationship Id="rId125" Type="http://schemas.openxmlformats.org/officeDocument/2006/relationships/image" Target="media/image90.png"/><Relationship Id="rId126" Type="http://schemas.openxmlformats.org/officeDocument/2006/relationships/footer" Target="footer31.xml"/><Relationship Id="rId127" Type="http://schemas.openxmlformats.org/officeDocument/2006/relationships/image" Target="media/image91.png"/><Relationship Id="rId128" Type="http://schemas.openxmlformats.org/officeDocument/2006/relationships/image" Target="media/image92.png"/><Relationship Id="rId129" Type="http://schemas.openxmlformats.org/officeDocument/2006/relationships/image" Target="media/image93.png"/><Relationship Id="rId130" Type="http://schemas.openxmlformats.org/officeDocument/2006/relationships/image" Target="media/image94.png"/><Relationship Id="rId131" Type="http://schemas.openxmlformats.org/officeDocument/2006/relationships/image" Target="media/image95.png"/><Relationship Id="rId132" Type="http://schemas.openxmlformats.org/officeDocument/2006/relationships/image" Target="media/image96.png"/><Relationship Id="rId133" Type="http://schemas.openxmlformats.org/officeDocument/2006/relationships/image" Target="media/image97.png"/><Relationship Id="rId134" Type="http://schemas.openxmlformats.org/officeDocument/2006/relationships/image" Target="media/image98.png"/><Relationship Id="rId135" Type="http://schemas.openxmlformats.org/officeDocument/2006/relationships/image" Target="media/image99.png"/><Relationship Id="rId136" Type="http://schemas.openxmlformats.org/officeDocument/2006/relationships/image" Target="media/image100.png"/><Relationship Id="rId137" Type="http://schemas.openxmlformats.org/officeDocument/2006/relationships/image" Target="media/image101.png"/><Relationship Id="rId138" Type="http://schemas.openxmlformats.org/officeDocument/2006/relationships/image" Target="media/image102.png"/><Relationship Id="rId139" Type="http://schemas.openxmlformats.org/officeDocument/2006/relationships/image" Target="media/image103.png"/><Relationship Id="rId140" Type="http://schemas.openxmlformats.org/officeDocument/2006/relationships/image" Target="media/image104.png"/><Relationship Id="rId141" Type="http://schemas.openxmlformats.org/officeDocument/2006/relationships/image" Target="media/image105.png"/><Relationship Id="rId142" Type="http://schemas.openxmlformats.org/officeDocument/2006/relationships/footer" Target="footer32.xml"/><Relationship Id="rId143" Type="http://schemas.openxmlformats.org/officeDocument/2006/relationships/image" Target="media/image106.jpeg"/><Relationship Id="rId144" Type="http://schemas.openxmlformats.org/officeDocument/2006/relationships/footer" Target="footer33.xml"/><Relationship Id="rId145" Type="http://schemas.openxmlformats.org/officeDocument/2006/relationships/image" Target="media/image107.png"/><Relationship Id="rId146" Type="http://schemas.openxmlformats.org/officeDocument/2006/relationships/hyperlink" Target="http://equis.org.mx/control_convencionalidad/" TargetMode="External"/><Relationship Id="rId147" Type="http://schemas.openxmlformats.org/officeDocument/2006/relationships/footer" Target="footer34.xml"/><Relationship Id="rId148" Type="http://schemas.openxmlformats.org/officeDocument/2006/relationships/hyperlink" Target="http://www.inmujeres.gob.mx/inmujeres/index.php/ambitointernacional/convencion-de-belem-do-para" TargetMode="External"/><Relationship Id="rId149" Type="http://schemas.openxmlformats.org/officeDocument/2006/relationships/hyperlink" Target="http://www.inmujeres.gob.mx/inmujeres/index.php/ambito%2Cinternacional/cedaw" TargetMode="External"/><Relationship Id="rId150" Type="http://schemas.openxmlformats.org/officeDocument/2006/relationships/hyperlink" Target="http://www.juridicas.unam.mx/publica/librev/rev/juselec/cont/27/drl/drl7.pdf" TargetMode="External"/><Relationship Id="rId151" Type="http://schemas.openxmlformats.org/officeDocument/2006/relationships/hyperlink" Target="http://www.corteidh.or.cr/index.php/jurisprudencia" TargetMode="External"/><Relationship Id="rId152" Type="http://schemas.openxmlformats.org/officeDocument/2006/relationships/hyperlink" Target="http://www.cndh.org.mx/Que_son_Derechos_Humanos" TargetMode="External"/><Relationship Id="rId153" Type="http://schemas.openxmlformats.org/officeDocument/2006/relationships/hyperlink" Target="http://www.cimacnoticias.com.mx/node/69623" TargetMode="External"/><Relationship Id="rId154" Type="http://schemas.openxmlformats.org/officeDocument/2006/relationships/hyperlink" Target="http://mexico.cnn.com/nacional/2015/03/25/la-muerte-de-mariana-lima-primer-caso-de-feminicidio-que-llega-a-la-scjn" TargetMode="External"/><Relationship Id="rId155" Type="http://schemas.openxmlformats.org/officeDocument/2006/relationships/hyperlink" Target="http://www.cnnmexico.com/nacional/2015/03/25/scjn-da-fallo-historico-en-el-caso-de-mariana-lima-y-reabre-el-expediente" TargetMode="External"/><Relationship Id="rId156" Type="http://schemas.openxmlformats.org/officeDocument/2006/relationships/hyperlink" Target="http://sjf.scjn.gob.mx/iusElectoral/paginas/tesis.aspx" TargetMode="External"/><Relationship Id="rId157" Type="http://schemas.openxmlformats.org/officeDocument/2006/relationships/footer" Target="footer35.xml"/><Relationship Id="rId158" Type="http://schemas.openxmlformats.org/officeDocument/2006/relationships/footer" Target="footer36.xml"/><Relationship Id="rId15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loveras08</dc:creator>
  <dcterms:created xsi:type="dcterms:W3CDTF">2017-05-18T20:55:36Z</dcterms:created>
  <dcterms:modified xsi:type="dcterms:W3CDTF">2017-05-18T20:55:36Z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2016-01-11T00:00:00Z</vt:filetime>
  </property>
  <property fmtid="{D5CDD505-2E9C-101B-9397-08002B2CF9AE}" pid="3" name="Creator">
    <vt:lpwstr>Microsoft® Word 2013</vt:lpwstr>
  </property>
  <property fmtid="{D5CDD505-2E9C-101B-9397-08002B2CF9AE}" pid="4" name="LastSaved">
    <vt:filetime>2017-05-18T00:00:00Z</vt:filetime>
  </property>
</Properties>
</file>