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rPr>
      </w:pPr>
    </w:p>
    <w:p>
      <w:pPr>
        <w:spacing w:line="360" w:lineRule="auto" w:before="50"/>
        <w:ind w:left="96" w:right="176" w:firstLine="0"/>
        <w:jc w:val="center"/>
        <w:rPr>
          <w:b/>
          <w:sz w:val="40"/>
        </w:rPr>
      </w:pPr>
      <w:r>
        <w:rPr>
          <w:b/>
          <w:sz w:val="40"/>
        </w:rPr>
        <w:t>UNIVERSIDAD AUTÓNOMA DEL ESTADO DE MÉXICO</w:t>
      </w:r>
    </w:p>
    <w:p>
      <w:pPr>
        <w:spacing w:before="2"/>
        <w:ind w:left="96" w:right="182" w:firstLine="0"/>
        <w:jc w:val="center"/>
        <w:rPr>
          <w:b/>
          <w:sz w:val="36"/>
        </w:rPr>
      </w:pPr>
      <w:r>
        <w:rPr>
          <w:b/>
          <w:sz w:val="36"/>
        </w:rPr>
        <w:t>FACULTAD DE CIENCIAS POLÍTICAS Y SOCIALES</w:t>
      </w:r>
    </w:p>
    <w:p>
      <w:pPr>
        <w:spacing w:before="207"/>
        <w:ind w:left="96" w:right="178" w:firstLine="0"/>
        <w:jc w:val="center"/>
        <w:rPr>
          <w:b/>
          <w:sz w:val="32"/>
        </w:rPr>
      </w:pPr>
      <w:r>
        <w:rPr>
          <w:b/>
          <w:sz w:val="32"/>
        </w:rPr>
        <w:t>Especialidad en Género Violencia y Políticas Públicas</w:t>
      </w:r>
    </w:p>
    <w:p>
      <w:pPr>
        <w:pStyle w:val="BodyText"/>
        <w:rPr>
          <w:b/>
          <w:sz w:val="32"/>
        </w:rPr>
      </w:pPr>
    </w:p>
    <w:p>
      <w:pPr>
        <w:pStyle w:val="BodyText"/>
        <w:rPr>
          <w:b/>
          <w:sz w:val="32"/>
        </w:rPr>
      </w:pPr>
    </w:p>
    <w:p>
      <w:pPr>
        <w:pStyle w:val="BodyText"/>
        <w:rPr>
          <w:b/>
          <w:sz w:val="32"/>
        </w:rPr>
      </w:pPr>
    </w:p>
    <w:p>
      <w:pPr>
        <w:pStyle w:val="BodyText"/>
        <w:spacing w:before="4"/>
        <w:rPr>
          <w:b/>
          <w:sz w:val="28"/>
        </w:rPr>
      </w:pPr>
    </w:p>
    <w:p>
      <w:pPr>
        <w:pStyle w:val="Heading1"/>
        <w:spacing w:before="0"/>
        <w:ind w:left="96" w:right="177"/>
        <w:jc w:val="center"/>
      </w:pPr>
      <w:r>
        <w:rPr/>
        <w:t>Proyecto:</w:t>
      </w:r>
    </w:p>
    <w:p>
      <w:pPr>
        <w:pStyle w:val="BodyText"/>
        <w:rPr>
          <w:b/>
        </w:rPr>
      </w:pPr>
    </w:p>
    <w:p>
      <w:pPr>
        <w:pStyle w:val="BodyText"/>
        <w:spacing w:before="10"/>
        <w:rPr>
          <w:b/>
          <w:sz w:val="23"/>
        </w:rPr>
      </w:pPr>
    </w:p>
    <w:p>
      <w:pPr>
        <w:spacing w:line="360" w:lineRule="auto" w:before="0"/>
        <w:ind w:left="96" w:right="177" w:firstLine="0"/>
        <w:jc w:val="center"/>
        <w:rPr>
          <w:b/>
          <w:sz w:val="28"/>
        </w:rPr>
      </w:pPr>
      <w:r>
        <w:rPr>
          <w:b/>
          <w:sz w:val="28"/>
        </w:rPr>
        <w:t>“Taller sobre salud sexual y reproductiva con perspectiva de género para adolescentes en el medio periurbano”.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8"/>
        <w:rPr>
          <w:b/>
          <w:sz w:val="32"/>
        </w:rPr>
      </w:pPr>
    </w:p>
    <w:p>
      <w:pPr>
        <w:pStyle w:val="Heading1"/>
        <w:spacing w:before="0"/>
        <w:ind w:left="96" w:right="172"/>
        <w:jc w:val="center"/>
      </w:pPr>
      <w:r>
        <w:rPr/>
        <w:t>Presenta:</w:t>
      </w:r>
    </w:p>
    <w:p>
      <w:pPr>
        <w:spacing w:before="135"/>
        <w:ind w:left="96" w:right="175" w:firstLine="0"/>
        <w:jc w:val="center"/>
        <w:rPr>
          <w:b/>
          <w:sz w:val="28"/>
        </w:rPr>
      </w:pPr>
      <w:r>
        <w:rPr>
          <w:b/>
          <w:sz w:val="28"/>
        </w:rPr>
        <w:t>Psic. Fany Guadalupe Enríquez Cano</w:t>
      </w:r>
    </w:p>
    <w:p>
      <w:pPr>
        <w:pStyle w:val="BodyText"/>
        <w:rPr>
          <w:b/>
          <w:sz w:val="28"/>
        </w:rPr>
      </w:pPr>
    </w:p>
    <w:p>
      <w:pPr>
        <w:pStyle w:val="BodyText"/>
        <w:spacing w:before="2"/>
        <w:rPr>
          <w:b/>
          <w:sz w:val="22"/>
        </w:rPr>
      </w:pPr>
    </w:p>
    <w:p>
      <w:pPr>
        <w:pStyle w:val="Heading1"/>
        <w:spacing w:before="0"/>
        <w:ind w:left="96" w:right="174"/>
        <w:jc w:val="center"/>
      </w:pPr>
      <w:r>
        <w:rPr/>
        <w:t>No. Cta. 0020107</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1"/>
        <w:rPr>
          <w:b/>
          <w:sz w:val="35"/>
        </w:rPr>
      </w:pPr>
    </w:p>
    <w:p>
      <w:pPr>
        <w:pStyle w:val="BodyText"/>
        <w:ind w:right="116"/>
        <w:jc w:val="right"/>
      </w:pPr>
      <w:r>
        <w:rPr/>
        <w:t>Diciembre</w:t>
      </w:r>
      <w:r>
        <w:rPr>
          <w:spacing w:val="63"/>
        </w:rPr>
        <w:t> </w:t>
      </w:r>
      <w:r>
        <w:rPr/>
        <w:t>2012.</w:t>
      </w:r>
    </w:p>
    <w:p>
      <w:pPr>
        <w:spacing w:after="0"/>
        <w:jc w:val="right"/>
        <w:sectPr>
          <w:type w:val="continuous"/>
          <w:pgSz w:w="12240" w:h="15840"/>
          <w:pgMar w:top="1500" w:bottom="280" w:left="1660" w:right="1580"/>
        </w:sectPr>
      </w:pPr>
    </w:p>
    <w:p>
      <w:pPr>
        <w:pStyle w:val="BodyText"/>
        <w:rPr>
          <w:sz w:val="20"/>
        </w:rPr>
      </w:pPr>
    </w:p>
    <w:p>
      <w:pPr>
        <w:pStyle w:val="BodyText"/>
        <w:rPr>
          <w:sz w:val="20"/>
        </w:rPr>
      </w:pPr>
    </w:p>
    <w:p>
      <w:pPr>
        <w:pStyle w:val="Heading1"/>
      </w:pPr>
      <w:r>
        <w:rPr/>
        <w:t>INTRODUCCIÓN.</w:t>
      </w:r>
    </w:p>
    <w:p>
      <w:pPr>
        <w:pStyle w:val="BodyText"/>
        <w:rPr>
          <w:b/>
        </w:rPr>
      </w:pPr>
    </w:p>
    <w:p>
      <w:pPr>
        <w:pStyle w:val="BodyText"/>
        <w:spacing w:before="9"/>
        <w:rPr>
          <w:b/>
          <w:sz w:val="23"/>
        </w:rPr>
      </w:pPr>
    </w:p>
    <w:p>
      <w:pPr>
        <w:pStyle w:val="BodyText"/>
        <w:spacing w:line="360" w:lineRule="auto"/>
        <w:ind w:left="142" w:right="142"/>
        <w:jc w:val="both"/>
      </w:pPr>
      <w:r>
        <w:rPr/>
        <w:t>En base a una concepción </w:t>
      </w:r>
      <w:r>
        <w:rPr>
          <w:i/>
        </w:rPr>
        <w:t>biologisista </w:t>
      </w:r>
      <w:r>
        <w:rPr/>
        <w:t>podemos clasificar al ser humano en mujeres y hombres con respecto al sexo de cada uno, sin embargo por encima de las diferencias biológicas y fisiológicas de los sexos, es el proceso sociocultural y educativo el que da lugar a la construcción de géneros.</w:t>
      </w:r>
    </w:p>
    <w:p>
      <w:pPr>
        <w:pStyle w:val="BodyText"/>
      </w:pPr>
    </w:p>
    <w:p>
      <w:pPr>
        <w:pStyle w:val="BodyText"/>
        <w:spacing w:line="360" w:lineRule="auto" w:before="142"/>
        <w:ind w:left="142" w:right="144"/>
        <w:jc w:val="both"/>
      </w:pPr>
      <w:r>
        <w:rPr/>
        <w:t>Si bien desde el nacimiento comenzamos por tener una identidad sexuada, es en el transcurso de la vida a través de las característica del género y del rol de  género construidos socialmente, por el proceso de socialización o asimilación de los modelos culturales, que se determina lo que históricamente y con estereotipos diferentes en cada persona se destina como lo masculino y  lo  femenino (González y Castellanos,</w:t>
      </w:r>
      <w:r>
        <w:rPr>
          <w:spacing w:val="-11"/>
        </w:rPr>
        <w:t> </w:t>
      </w:r>
      <w:r>
        <w:rPr/>
        <w:t>1996).</w:t>
      </w:r>
    </w:p>
    <w:p>
      <w:pPr>
        <w:pStyle w:val="BodyText"/>
      </w:pPr>
    </w:p>
    <w:p>
      <w:pPr>
        <w:pStyle w:val="BodyText"/>
        <w:spacing w:line="360" w:lineRule="auto" w:before="142"/>
        <w:ind w:left="142" w:right="146"/>
        <w:jc w:val="both"/>
      </w:pPr>
      <w:r>
        <w:rPr/>
        <w:t>Al referirnos a la categoría sexual es cuando suponemos que una persona es un hombre o una mujer al observar su vestimenta o maneras de desenvolverse, así pues, el hacer género se entiende como el desarrollo o la práctica de actividades de hombres y mujeres dentro de la sociedad.</w:t>
      </w:r>
    </w:p>
    <w:p>
      <w:pPr>
        <w:pStyle w:val="BodyText"/>
      </w:pPr>
    </w:p>
    <w:p>
      <w:pPr>
        <w:pStyle w:val="BodyText"/>
        <w:spacing w:line="360" w:lineRule="auto" w:before="142"/>
        <w:ind w:left="142" w:right="135"/>
        <w:jc w:val="both"/>
      </w:pPr>
      <w:r>
        <w:rPr/>
        <w:t>Ya que el género se refiere a las actividades socialmente estipuladas y correspondientes a cada sexo, o dicho de otra manera, el género es una  formación cultural de roles de sexo. Se espera que las personas actúen de acuerdo a ellas, ya que dan una definición de lo masculino y lo femenino y de prerrogativas para cada sexo; se podría decir igualmente que el género es una función de relaciones sociales de poder y de desigualdad (West y Zimmerman 1990; González y Castellanos,</w:t>
      </w:r>
      <w:r>
        <w:rPr>
          <w:spacing w:val="-14"/>
        </w:rPr>
        <w:t> </w:t>
      </w:r>
      <w:r>
        <w:rPr/>
        <w:t>1996).</w:t>
      </w:r>
    </w:p>
    <w:p>
      <w:pPr>
        <w:spacing w:after="0" w:line="360" w:lineRule="auto"/>
        <w:jc w:val="both"/>
        <w:sectPr>
          <w:headerReference w:type="default" r:id="rId5"/>
          <w:footerReference w:type="default" r:id="rId6"/>
          <w:pgSz w:w="12240" w:h="15840"/>
          <w:pgMar w:header="764" w:footer="625" w:top="1960" w:bottom="820" w:left="1560" w:right="1560"/>
          <w:pgNumType w:start="2"/>
        </w:sectPr>
      </w:pPr>
    </w:p>
    <w:p>
      <w:pPr>
        <w:pStyle w:val="BodyText"/>
        <w:rPr>
          <w:sz w:val="20"/>
        </w:rPr>
      </w:pPr>
    </w:p>
    <w:p>
      <w:pPr>
        <w:pStyle w:val="BodyText"/>
        <w:rPr>
          <w:sz w:val="20"/>
        </w:rPr>
      </w:pPr>
    </w:p>
    <w:p>
      <w:pPr>
        <w:pStyle w:val="BodyText"/>
        <w:spacing w:line="360" w:lineRule="auto" w:before="195"/>
        <w:ind w:left="142" w:right="136"/>
        <w:jc w:val="both"/>
      </w:pPr>
      <w:r>
        <w:rPr/>
        <w:t>En la declaración de los Derechos humanos de 1948 se dice que todo ser humano tiene derecho a tener integridad física, psicológica y social, es decir que todo ser humano tiene derecho a la salud, y a su vez que la comunidad social tiene la obligación de proporcionar todos los elementos básicos que contribuyan a ello. Así mismo la Organización Mundial de la Salud dice que la salud sexual es “la integración del ser humano de lo somático, lo emocional, lo intelectual y lo social de la conducta sexual, para lograr un enriquecimiento positivo de la personalidad humana que facilite sus posibilidades de comunicación y dar y recibir amor” (Monroy de V., 1990:89)</w:t>
      </w:r>
    </w:p>
    <w:p>
      <w:pPr>
        <w:pStyle w:val="BodyText"/>
      </w:pPr>
    </w:p>
    <w:p>
      <w:pPr>
        <w:pStyle w:val="BodyText"/>
        <w:spacing w:line="360" w:lineRule="auto" w:before="142"/>
        <w:ind w:left="142" w:right="143"/>
        <w:jc w:val="both"/>
      </w:pPr>
      <w:r>
        <w:rPr/>
        <w:t>Se puede entender el concepto de sexualidad, de acuerdo con Monroy de V. (1990), como las características tanto psicológicas, biológicas y socioculturales que nos permiten comprender al mundo y vivirlo a través de nuestro ser como hombres y</w:t>
      </w:r>
      <w:r>
        <w:rPr>
          <w:spacing w:val="-7"/>
        </w:rPr>
        <w:t> </w:t>
      </w:r>
      <w:r>
        <w:rPr/>
        <w:t>mujeres.</w:t>
      </w:r>
    </w:p>
    <w:p>
      <w:pPr>
        <w:pStyle w:val="BodyText"/>
      </w:pPr>
    </w:p>
    <w:p>
      <w:pPr>
        <w:pStyle w:val="BodyText"/>
        <w:spacing w:line="360" w:lineRule="auto" w:before="142"/>
        <w:ind w:left="142" w:right="142"/>
        <w:jc w:val="both"/>
      </w:pPr>
      <w:r>
        <w:rPr/>
        <w:t>En el desarrollo de nuestra sexualidad recibimos diferentes influencias sociales, económicas y culturales, mismas influencias que se manifiestan en el sexo biológico de las conductas que tenemos en relación con otras personas, con nuestro medio y con nosotros mismos.</w:t>
      </w:r>
    </w:p>
    <w:p>
      <w:pPr>
        <w:pStyle w:val="BodyText"/>
      </w:pPr>
    </w:p>
    <w:p>
      <w:pPr>
        <w:pStyle w:val="BodyText"/>
        <w:spacing w:line="360" w:lineRule="auto" w:before="142"/>
        <w:ind w:left="142" w:right="145"/>
        <w:jc w:val="both"/>
      </w:pPr>
      <w:r>
        <w:rPr/>
        <w:t>Es por esto que se debe considerar la importancia de los factores sociales, económicos y culturales y su influencia en la formación de la sexualidad, tenemos así estereotipos culturales que nos permiten pertenecer a un grupo, los estereotipos de género que designan los roles tanto para mujeres y hombres, y los esquemas de género que se refiere a la percepción que adquirimos como individuos de lo que la sociedad espera de cada uno de nosotros como individuos.</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BodyText"/>
        <w:spacing w:line="360" w:lineRule="auto" w:before="195"/>
        <w:ind w:left="142" w:right="145"/>
        <w:jc w:val="both"/>
      </w:pPr>
      <w:r>
        <w:rPr/>
        <w:t>El interés de desarrollar un proyecto dirigido a adolescentes va encaminado a la sensibilización de este grupo en cuanto a su salud sexual y reproductiva con perspectiva de género.</w:t>
      </w:r>
    </w:p>
    <w:p>
      <w:pPr>
        <w:pStyle w:val="BodyText"/>
      </w:pPr>
    </w:p>
    <w:p>
      <w:pPr>
        <w:pStyle w:val="BodyText"/>
        <w:spacing w:line="360" w:lineRule="auto" w:before="142"/>
        <w:ind w:left="142" w:right="140"/>
        <w:jc w:val="both"/>
      </w:pPr>
      <w:r>
        <w:rPr/>
        <w:t>La adolescencia es una época de transición hacia la edad adulta, la cual está llena de cambios físicos, sociales y emocionales donde surgen muchas dudas en  cuanto a la toma de decisiones, el proyecto de vida y planes a futuro, el control de las emociones, la identidad personal, entre otras, y la información al respecto es escasa, las fuentes de información al respecto son muchas veces el círculo de iguales quienes tienen las mismas incertidumbres. (Pick, Susan y Elvia Vargas 1999)</w:t>
      </w:r>
    </w:p>
    <w:p>
      <w:pPr>
        <w:pStyle w:val="BodyText"/>
      </w:pPr>
    </w:p>
    <w:p>
      <w:pPr>
        <w:pStyle w:val="BodyText"/>
        <w:spacing w:line="360" w:lineRule="auto" w:before="142"/>
        <w:ind w:left="142" w:right="138"/>
        <w:jc w:val="both"/>
      </w:pPr>
      <w:r>
        <w:rPr/>
        <w:t>Es por esto que se pretende trabajar con adolescentes por medio de talleres informativos en la temática de salud sexual y reproductiva, ya que se considera un tema un tanto controversial debido a la delicadeza de su contenido.</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Heading1"/>
      </w:pPr>
      <w:r>
        <w:rPr/>
        <w:t>ANTECEDENTES.</w:t>
      </w:r>
    </w:p>
    <w:p>
      <w:pPr>
        <w:pStyle w:val="BodyText"/>
        <w:rPr>
          <w:b/>
        </w:rPr>
      </w:pPr>
    </w:p>
    <w:p>
      <w:pPr>
        <w:pStyle w:val="BodyText"/>
        <w:rPr>
          <w:b/>
        </w:rPr>
      </w:pPr>
    </w:p>
    <w:p>
      <w:pPr>
        <w:pStyle w:val="BodyText"/>
        <w:spacing w:line="360" w:lineRule="auto"/>
        <w:ind w:left="142" w:right="136"/>
        <w:jc w:val="both"/>
      </w:pPr>
      <w:r>
        <w:rPr/>
        <w:t>Las políticas públicas en México, en materia sexual y reproductiva, específicamente en relación con los adolescentes, se han ido modificando de acuerdo al grueso de esta población y sus características demográficas específicas, aunque se ha tenido un lento avance, se tiene cada vez más un  mayor número de investigaciones al</w:t>
      </w:r>
      <w:r>
        <w:rPr>
          <w:spacing w:val="-16"/>
        </w:rPr>
        <w:t> </w:t>
      </w:r>
      <w:r>
        <w:rPr/>
        <w:t>respecto.</w:t>
      </w:r>
    </w:p>
    <w:p>
      <w:pPr>
        <w:pStyle w:val="BodyText"/>
      </w:pPr>
    </w:p>
    <w:p>
      <w:pPr>
        <w:pStyle w:val="BodyText"/>
        <w:spacing w:line="360" w:lineRule="auto" w:before="142"/>
        <w:ind w:left="142" w:right="133"/>
        <w:jc w:val="both"/>
      </w:pPr>
      <w:r>
        <w:rPr/>
        <w:t>Si bien el tema de la salud sexual y reproductiva en adolescentes ha sido un asunto de relevancia, tanto en lo político como en lo académico, se ha dado mayor énfasis en la prevención de enfermedades de transmisión sexual, VIH/SIDA y control de la fecundidad.</w:t>
      </w:r>
    </w:p>
    <w:p>
      <w:pPr>
        <w:pStyle w:val="BodyText"/>
      </w:pPr>
    </w:p>
    <w:p>
      <w:pPr>
        <w:pStyle w:val="BodyText"/>
        <w:spacing w:line="360" w:lineRule="auto" w:before="142"/>
        <w:ind w:left="142" w:right="136"/>
        <w:jc w:val="both"/>
      </w:pPr>
      <w:r>
        <w:rPr/>
        <w:t>El modelo de atención de enfoque demográfico, consolidado en los años sesenta en materia sexual y reproductiva, constituía la justificación principal de los programas públicos de planificación familiar, ya que el “modelo de regulación demográfica” se basa en determinar metas cuantitativas, las cuales tenían como resultado metas en términos de tasas de fecundidad y metas de cobertura de uso de métodos anticonceptivos. Así institucionalmente se habla de un paradigma de doble vertiente, la de ser responsable de la planeación demográfica, y la de tener un aparato de salud responsable de la operación de los programas de  planificación familiar.  (Sandoval,</w:t>
      </w:r>
      <w:r>
        <w:rPr>
          <w:spacing w:val="-14"/>
        </w:rPr>
        <w:t> </w:t>
      </w:r>
      <w:r>
        <w:rPr/>
        <w:t>2002)</w:t>
      </w:r>
    </w:p>
    <w:p>
      <w:pPr>
        <w:pStyle w:val="BodyText"/>
      </w:pPr>
    </w:p>
    <w:p>
      <w:pPr>
        <w:pStyle w:val="BodyText"/>
        <w:spacing w:line="360" w:lineRule="auto" w:before="142"/>
        <w:ind w:left="142" w:right="135"/>
        <w:jc w:val="both"/>
      </w:pPr>
      <w:r>
        <w:rPr/>
        <w:t>Desde mediados de los años noventa se han realizado investigaciones, acciones y políticas sobre sexualidad que han servido para mejorar las condiciones de salud en la juventud, sin embargo éstas han sido bajo una visión de salud pública que se torna limitante y estrecha por la manera en cómo se conceptualiza la sexualidad, que</w:t>
      </w:r>
      <w:r>
        <w:rPr>
          <w:spacing w:val="59"/>
        </w:rPr>
        <w:t> </w:t>
      </w:r>
      <w:r>
        <w:rPr/>
        <w:t>es</w:t>
      </w:r>
      <w:r>
        <w:rPr>
          <w:spacing w:val="58"/>
        </w:rPr>
        <w:t> </w:t>
      </w:r>
      <w:r>
        <w:rPr/>
        <w:t>vista</w:t>
      </w:r>
      <w:r>
        <w:rPr>
          <w:spacing w:val="59"/>
        </w:rPr>
        <w:t> </w:t>
      </w:r>
      <w:r>
        <w:rPr/>
        <w:t>sólo</w:t>
      </w:r>
      <w:r>
        <w:rPr>
          <w:spacing w:val="59"/>
        </w:rPr>
        <w:t> </w:t>
      </w:r>
      <w:r>
        <w:rPr/>
        <w:t>con</w:t>
      </w:r>
      <w:r>
        <w:rPr>
          <w:spacing w:val="59"/>
        </w:rPr>
        <w:t> </w:t>
      </w:r>
      <w:r>
        <w:rPr/>
        <w:t>un</w:t>
      </w:r>
      <w:r>
        <w:rPr>
          <w:spacing w:val="57"/>
        </w:rPr>
        <w:t> </w:t>
      </w:r>
      <w:r>
        <w:rPr/>
        <w:t>enfoque</w:t>
      </w:r>
      <w:r>
        <w:rPr>
          <w:spacing w:val="56"/>
        </w:rPr>
        <w:t> </w:t>
      </w:r>
      <w:r>
        <w:rPr/>
        <w:t>biológico</w:t>
      </w:r>
      <w:r>
        <w:rPr>
          <w:spacing w:val="59"/>
        </w:rPr>
        <w:t> </w:t>
      </w:r>
      <w:r>
        <w:rPr/>
        <w:t>y</w:t>
      </w:r>
      <w:r>
        <w:rPr>
          <w:spacing w:val="56"/>
        </w:rPr>
        <w:t> </w:t>
      </w:r>
      <w:r>
        <w:rPr/>
        <w:t>deja</w:t>
      </w:r>
      <w:r>
        <w:rPr>
          <w:spacing w:val="59"/>
        </w:rPr>
        <w:t> </w:t>
      </w:r>
      <w:r>
        <w:rPr/>
        <w:t>de</w:t>
      </w:r>
      <w:r>
        <w:rPr>
          <w:spacing w:val="59"/>
        </w:rPr>
        <w:t> </w:t>
      </w:r>
      <w:r>
        <w:rPr/>
        <w:t>lado</w:t>
      </w:r>
      <w:r>
        <w:rPr>
          <w:spacing w:val="59"/>
        </w:rPr>
        <w:t> </w:t>
      </w:r>
      <w:r>
        <w:rPr/>
        <w:t>la</w:t>
      </w:r>
      <w:r>
        <w:rPr>
          <w:spacing w:val="56"/>
        </w:rPr>
        <w:t> </w:t>
      </w:r>
      <w:r>
        <w:rPr/>
        <w:t>esfera</w:t>
      </w:r>
      <w:r>
        <w:rPr>
          <w:spacing w:val="56"/>
        </w:rPr>
        <w:t> </w:t>
      </w:r>
      <w:r>
        <w:rPr/>
        <w:t>social</w:t>
      </w:r>
      <w:r>
        <w:rPr>
          <w:spacing w:val="58"/>
        </w:rPr>
        <w:t> </w:t>
      </w:r>
      <w:r>
        <w:rPr/>
        <w:t>y</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BodyText"/>
        <w:spacing w:line="360" w:lineRule="auto" w:before="195"/>
        <w:ind w:left="142" w:right="141"/>
        <w:jc w:val="both"/>
      </w:pPr>
      <w:r>
        <w:rPr/>
        <w:t>afectiva. Es necesario visualizar la sexualidad desde una perspectiva más amplia, ya que si se concibe a las prácticas sexuales como el resultado de las interacciones de factores biológicos, personales, sociales e institucionales, son éstos los elementos que se deben ser igualmente considerados (Juárez y Gayet 2005).</w:t>
      </w:r>
    </w:p>
    <w:p>
      <w:pPr>
        <w:pStyle w:val="BodyText"/>
      </w:pPr>
    </w:p>
    <w:p>
      <w:pPr>
        <w:pStyle w:val="BodyText"/>
        <w:spacing w:line="360" w:lineRule="auto" w:before="142"/>
        <w:ind w:left="142" w:right="141"/>
        <w:jc w:val="both"/>
      </w:pPr>
      <w:r>
        <w:rPr/>
        <w:t>En esta misma década de los noventa se observa un significativo cambio en el lenguaje, en el enfoque y la orientación que presentaban los programas tanto de población, fecundidad, planificación familiar, salud reproductiva y los correspondientes objetivos e instrumentos de política. México por su parte ha logrado consolidar el trabajo equilibrado con ambos modelos (Sandoval, 2002).</w:t>
      </w:r>
    </w:p>
    <w:p>
      <w:pPr>
        <w:pStyle w:val="BodyText"/>
      </w:pPr>
    </w:p>
    <w:p>
      <w:pPr>
        <w:pStyle w:val="BodyText"/>
        <w:spacing w:line="360" w:lineRule="auto" w:before="142"/>
        <w:ind w:left="142" w:right="134"/>
        <w:jc w:val="both"/>
      </w:pPr>
      <w:r>
        <w:rPr/>
        <w:t>El enfoque de salud reproductiva, sus aportaciones y limitaciones, han llevado en los últimos años a incrementar las investigaciones al respecto en distintas disciplinas. Desde la perspectiva de las ciencias sociales los estudios sociodemográficos sobre el comportamiento de la reproducción desde sus inicios se han visto permeados por las discusiones en cuanto a políticas de población y  los programas de planificación familiar, los debates académicos se enfocaban a intervenciones sobre fecundidad de manera estatal; así mismo se produce una segmentación en la investigación sobre la reproducción en México, sólo algunos demógrafos se incorporaron al sector público, y una mayor parte se orientó hacia el estudio de la fuerza de trabajo, la familia, las migraciones y el proceso de salud- enfermedad y mortalidad, dejando los estudios sobre la dinámica de la reproducción y la fecundidad en manos de los primeros. (Szasz y Lerner</w:t>
      </w:r>
      <w:r>
        <w:rPr>
          <w:spacing w:val="-27"/>
        </w:rPr>
        <w:t> </w:t>
      </w:r>
      <w:r>
        <w:rPr/>
        <w:t>2002)</w:t>
      </w:r>
    </w:p>
    <w:p>
      <w:pPr>
        <w:pStyle w:val="BodyText"/>
      </w:pPr>
    </w:p>
    <w:p>
      <w:pPr>
        <w:pStyle w:val="BodyText"/>
        <w:spacing w:line="360" w:lineRule="auto" w:before="142"/>
        <w:ind w:left="142" w:right="138"/>
        <w:jc w:val="both"/>
      </w:pPr>
      <w:r>
        <w:rPr/>
        <w:t>En años consecuentes se desarrollan investigaciones en el sector público y en el Consejo Nacional de Población (CONAPO), que debido a la estructura de estas instituciones el objetivo de estas investigaciones se enfocaba a evaluar el</w:t>
      </w:r>
      <w:r>
        <w:rPr>
          <w:spacing w:val="62"/>
        </w:rPr>
        <w:t> </w:t>
      </w:r>
      <w:r>
        <w:rPr/>
        <w:t>impacto</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BodyText"/>
        <w:spacing w:line="360" w:lineRule="auto" w:before="195"/>
        <w:ind w:left="142" w:right="140"/>
        <w:jc w:val="both"/>
      </w:pPr>
      <w:r>
        <w:rPr/>
        <w:t>de los programas que se implementaban en el sector salud mostrando las tendencias de cambio y las características de la fecundidad. A raíz de enfoques internacionales propuestos en materia de salud reproductiva, en México se inicia  la construcción de éste enfoque desde las ciencias sociales, poniendo énfasis en la perspectiva de los agentes sociales, las interacciones entre individuos, instituciones y grupos sociales bajo los marcos normativos, con las políticas y con el contexto estructural. “El enfoque social de la salud reproductiva pone énfasis en la magnitud del conflicto, en las relaciones de poder entre individuos y grupos, en la divergencia entre las políticas autoritaria y las políticas públicas construidas desde la ciudadanía (Szasz y Lerner</w:t>
      </w:r>
      <w:r>
        <w:rPr>
          <w:spacing w:val="-16"/>
        </w:rPr>
        <w:t> </w:t>
      </w:r>
      <w:r>
        <w:rPr/>
        <w:t>2002).</w:t>
      </w:r>
    </w:p>
    <w:p>
      <w:pPr>
        <w:pStyle w:val="BodyText"/>
      </w:pPr>
    </w:p>
    <w:p>
      <w:pPr>
        <w:pStyle w:val="BodyText"/>
        <w:spacing w:line="360" w:lineRule="auto" w:before="142"/>
        <w:ind w:left="142" w:right="144"/>
        <w:jc w:val="both"/>
      </w:pPr>
      <w:r>
        <w:rPr/>
        <w:t>Si bien en la última década se ha visto un incremento en las investigaciones, acciones y políticas, las cuales han favorecido en las condiciones de salud en adolescentes, la manera de abordar de la salud pública se ha visto limitada en la forma de conceptualizar la sexualidad. La importancia de abordar la sexualidad de manera más amplia permite abordar distintos aspectos que son relevantes en la salud sexual en adolescentes, permite identificar distintas dimensiones y las contradicciones y tensiones que existen entre estas (Juárez y Gayet 2005).</w:t>
      </w:r>
    </w:p>
    <w:p>
      <w:pPr>
        <w:pStyle w:val="BodyText"/>
      </w:pPr>
    </w:p>
    <w:p>
      <w:pPr>
        <w:pStyle w:val="BodyText"/>
        <w:spacing w:line="360" w:lineRule="auto" w:before="142"/>
        <w:ind w:left="142" w:right="139"/>
        <w:jc w:val="both"/>
      </w:pPr>
      <w:r>
        <w:rPr/>
        <w:t>María Montaño, (2010), señala en una entrevista con el secretario de Salud Gabriel O’Shea Cuevas las estrategias en materia de la promoción de una vida sexual responsable al verse un incremento de 14% en los casos de embarazos en adolescentes menores de edad. En éste aspecto el funcionario advierte de la importancia de concientizar a los adolescentes en cuanto a los riesgos de tener relaciones sexuales y romper con sus planes de vida. En éste mismo plano, diversas investigaciones realizadas por parte de la Universidad Autónoma del Estado de México, señalan los embarazos en adolescentes como una creciente preocupación que se puede convertir en un “problema de salud</w:t>
      </w:r>
      <w:r>
        <w:rPr>
          <w:spacing w:val="-30"/>
        </w:rPr>
        <w:t> </w:t>
      </w:r>
      <w:r>
        <w:rPr/>
        <w:t>pública”.</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Heading1"/>
      </w:pPr>
      <w:r>
        <w:rPr/>
        <w:t>PROBLEMATIZACIÓN.</w:t>
      </w:r>
    </w:p>
    <w:p>
      <w:pPr>
        <w:pStyle w:val="BodyText"/>
        <w:rPr>
          <w:b/>
        </w:rPr>
      </w:pPr>
    </w:p>
    <w:p>
      <w:pPr>
        <w:pStyle w:val="BodyText"/>
        <w:rPr>
          <w:b/>
        </w:rPr>
      </w:pPr>
    </w:p>
    <w:p>
      <w:pPr>
        <w:pStyle w:val="BodyText"/>
        <w:spacing w:line="360" w:lineRule="auto"/>
        <w:ind w:left="142" w:right="136"/>
        <w:jc w:val="both"/>
      </w:pPr>
      <w:r>
        <w:rPr/>
        <w:t>Las altas tasas de embarazo en adolescentes llaman la atención debido a su incremento antes mencionado, existe falta de información especializada sobre sexualidad y métodos de protección sexual, y sobre las enfermedades de transmisión sexual. Muchos adolescentes solo poseen vaga información acerca  de estos temas, y muchos de sus conocimientos no se basan en información científica, sino en costumbres o tradiciones que se pasan de generación en generación.</w:t>
      </w:r>
    </w:p>
    <w:p>
      <w:pPr>
        <w:pStyle w:val="BodyText"/>
        <w:spacing w:line="360" w:lineRule="auto" w:before="204"/>
        <w:ind w:left="142" w:right="145"/>
        <w:jc w:val="both"/>
      </w:pPr>
      <w:r>
        <w:rPr/>
        <w:t>El primer contacto de este tipo de información tendría que ser en la familia; sin embargo, este núcleo es en el que se habla menos de estos temas, y muchas veces solo se transmite información de desaprobación, repudio o castigo estereotipando y reforzando los roles de género, convirtiendo el tema de la sexualidad en algo poco tratado y negándole la importancia que tiene en el impacto del desarrollo de los y las</w:t>
      </w:r>
      <w:r>
        <w:rPr>
          <w:spacing w:val="-15"/>
        </w:rPr>
        <w:t> </w:t>
      </w:r>
      <w:r>
        <w:rPr/>
        <w:t>adolescentes.</w:t>
      </w:r>
    </w:p>
    <w:p>
      <w:pPr>
        <w:pStyle w:val="BodyText"/>
        <w:spacing w:line="360" w:lineRule="auto" w:before="204"/>
        <w:ind w:left="142" w:right="145"/>
        <w:jc w:val="both"/>
      </w:pPr>
      <w:r>
        <w:rPr/>
        <w:t>Las escuelas desde sus niveles básicos son el segundo lugar en donde este tipo de información se debe proporcionar, y de manera científica; sin embargo, la falta de información para transmitir correctamente este tipo de información y la prejuicios propios de docentes son una barrera que impide el impacto real en una vida sexual responsable y la disminución de embarazos en adolescentes.</w:t>
      </w:r>
    </w:p>
    <w:p>
      <w:pPr>
        <w:pStyle w:val="BodyText"/>
        <w:spacing w:line="360" w:lineRule="auto" w:before="204"/>
        <w:ind w:left="142" w:right="143"/>
        <w:jc w:val="both"/>
      </w:pPr>
      <w:r>
        <w:rPr/>
        <w:t>Se puede observar que por lo menos en lo que respecta al estado de México, la lucha que ha tratado de llevar el gobierno a través del sector salud ante esta problemática no ha impactado realmente, ya que del 2004 al 2010 según el Instituto Nacional de Estadística y Geografía (INEGI), los embarazos en adolescentes han ido en incremento con respecto a años anteriores.</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BodyText"/>
        <w:spacing w:line="360" w:lineRule="auto" w:before="195"/>
        <w:ind w:left="142" w:right="135"/>
        <w:jc w:val="both"/>
      </w:pPr>
      <w:r>
        <w:rPr/>
        <w:t>Por todas estas razones es urgente la implementación de proyectos escolares  para la transmisión efectiva y eficiente de información sobre salud sexual y reproductiva, muchos de estos, en los que se incluya información a los padres y madres de</w:t>
      </w:r>
      <w:r>
        <w:rPr>
          <w:spacing w:val="-7"/>
        </w:rPr>
        <w:t> </w:t>
      </w:r>
      <w:r>
        <w:rPr/>
        <w:t>familia.</w:t>
      </w:r>
    </w:p>
    <w:p>
      <w:pPr>
        <w:pStyle w:val="BodyText"/>
        <w:spacing w:line="360" w:lineRule="auto" w:before="204"/>
        <w:ind w:left="142" w:right="146"/>
        <w:jc w:val="both"/>
      </w:pPr>
      <w:r>
        <w:rPr/>
        <w:t>Ante la situación anterior se realiza la siguiente pregunta ¿Como informar a los adolescentes en salud sexual y reproductiva con perspectiva de género?</w:t>
      </w:r>
    </w:p>
    <w:p>
      <w:pPr>
        <w:pStyle w:val="BodyText"/>
      </w:pPr>
    </w:p>
    <w:p>
      <w:pPr>
        <w:pStyle w:val="BodyText"/>
        <w:spacing w:line="360" w:lineRule="auto" w:before="202"/>
        <w:ind w:left="142" w:right="143"/>
        <w:jc w:val="both"/>
      </w:pPr>
      <w:r>
        <w:rPr/>
        <w:t>De esta manera, se pretenden realizar distintos talleres de sensibilización en adolescentes sobre temas de salud sexual y reproductiva con perspectiva de género tomando en cuenta el tipo de población con el que se va a trabajar y manejando los temas de la manera mejor adaptada en contenido y métodos de comunicación para poder lograr la sensibilización deseada.</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Heading1"/>
      </w:pPr>
      <w:r>
        <w:rPr/>
        <w:t>Diagnóstico</w:t>
      </w:r>
    </w:p>
    <w:p>
      <w:pPr>
        <w:pStyle w:val="BodyText"/>
        <w:rPr>
          <w:b/>
        </w:rPr>
      </w:pPr>
    </w:p>
    <w:p>
      <w:pPr>
        <w:pStyle w:val="BodyText"/>
        <w:rPr>
          <w:b/>
        </w:rPr>
      </w:pPr>
    </w:p>
    <w:p>
      <w:pPr>
        <w:pStyle w:val="BodyText"/>
        <w:spacing w:line="360" w:lineRule="auto"/>
        <w:ind w:left="142" w:right="142"/>
        <w:jc w:val="both"/>
      </w:pPr>
      <w:r>
        <w:rPr/>
        <w:drawing>
          <wp:anchor distT="0" distB="0" distL="0" distR="0" allowOverlap="1" layoutInCell="1" locked="0" behindDoc="1" simplePos="0" relativeHeight="268418063">
            <wp:simplePos x="0" y="0"/>
            <wp:positionH relativeFrom="page">
              <wp:posOffset>5498591</wp:posOffset>
            </wp:positionH>
            <wp:positionV relativeFrom="paragraph">
              <wp:posOffset>2625291</wp:posOffset>
            </wp:positionV>
            <wp:extent cx="77724" cy="76200"/>
            <wp:effectExtent l="0" t="0" r="0" b="0"/>
            <wp:wrapNone/>
            <wp:docPr id="1" name="image3.png" descr=""/>
            <wp:cNvGraphicFramePr>
              <a:graphicFrameLocks noChangeAspect="1"/>
            </wp:cNvGraphicFramePr>
            <a:graphic>
              <a:graphicData uri="http://schemas.openxmlformats.org/drawingml/2006/picture">
                <pic:pic>
                  <pic:nvPicPr>
                    <pic:cNvPr id="2" name="image3.png"/>
                    <pic:cNvPicPr/>
                  </pic:nvPicPr>
                  <pic:blipFill>
                    <a:blip r:embed="rId8" cstate="print"/>
                    <a:stretch>
                      <a:fillRect/>
                    </a:stretch>
                  </pic:blipFill>
                  <pic:spPr>
                    <a:xfrm>
                      <a:off x="0" y="0"/>
                      <a:ext cx="77724" cy="76200"/>
                    </a:xfrm>
                    <a:prstGeom prst="rect">
                      <a:avLst/>
                    </a:prstGeom>
                  </pic:spPr>
                </pic:pic>
              </a:graphicData>
            </a:graphic>
          </wp:anchor>
        </w:drawing>
      </w:r>
      <w:r>
        <w:rPr/>
        <w:t>De acuerdo con el Censo de población y vivienda del año 2010, (INEGI) en México la población de 15 a 19 años, es decir, la población adolescente ascendía a 11 millones de personas, equivalente al 9.8% de la población total, siendo el 49.9% mujeres adolescentes.</w:t>
      </w:r>
    </w:p>
    <w:p>
      <w:pPr>
        <w:pStyle w:val="BodyText"/>
        <w:rPr>
          <w:sz w:val="20"/>
        </w:rPr>
      </w:pPr>
    </w:p>
    <w:p>
      <w:pPr>
        <w:pStyle w:val="BodyText"/>
        <w:spacing w:before="5"/>
        <w:rPr>
          <w:sz w:val="12"/>
        </w:rPr>
      </w:pPr>
      <w:r>
        <w:rPr/>
        <w:pict>
          <v:group style="position:absolute;margin-left:99.391998pt;margin-top:9.129858pt;width:413.45pt;height:200.2pt;mso-position-horizontal-relative:page;mso-position-vertical-relative:paragraph;z-index:1048;mso-wrap-distance-left:0;mso-wrap-distance-right:0" coordorigin="1988,183" coordsize="8269,4004">
            <v:shape style="position:absolute;left:2626;top:1238;width:5309;height:2510" type="#_x0000_t75" stroked="false">
              <v:imagedata r:id="rId9" o:title=""/>
            </v:shape>
            <v:shape style="position:absolute;left:1995;top:190;width:8254;height:3989" type="#_x0000_t202" filled="false" stroked="true" strokeweight=".75pt" strokecolor="#858585">
              <v:textbox inset="0,0,0,0">
                <w:txbxContent>
                  <w:p>
                    <w:pPr>
                      <w:spacing w:before="143"/>
                      <w:ind w:left="904" w:right="189" w:firstLine="0"/>
                      <w:jc w:val="left"/>
                      <w:rPr>
                        <w:rFonts w:ascii="Calibri" w:hAnsi="Calibri"/>
                        <w:b/>
                        <w:sz w:val="36"/>
                      </w:rPr>
                    </w:pPr>
                    <w:r>
                      <w:rPr>
                        <w:rFonts w:ascii="Calibri" w:hAnsi="Calibri"/>
                        <w:b/>
                        <w:sz w:val="28"/>
                      </w:rPr>
                      <w:t>Población adolescente (15 a 19 años) en México, </w:t>
                    </w:r>
                    <w:r>
                      <w:rPr>
                        <w:rFonts w:ascii="Calibri" w:hAnsi="Calibri"/>
                        <w:b/>
                        <w:sz w:val="36"/>
                      </w:rPr>
                      <w:t>2010</w:t>
                    </w:r>
                  </w:p>
                  <w:p>
                    <w:pPr>
                      <w:spacing w:line="240" w:lineRule="auto" w:before="5"/>
                      <w:rPr>
                        <w:sz w:val="46"/>
                      </w:rPr>
                    </w:pPr>
                  </w:p>
                  <w:p>
                    <w:pPr>
                      <w:spacing w:before="0"/>
                      <w:ind w:left="3388" w:right="4327" w:firstLine="0"/>
                      <w:jc w:val="center"/>
                      <w:rPr>
                        <w:rFonts w:ascii="Calibri"/>
                        <w:sz w:val="20"/>
                      </w:rPr>
                    </w:pPr>
                    <w:r>
                      <w:rPr>
                        <w:rFonts w:ascii="Calibri"/>
                        <w:sz w:val="20"/>
                      </w:rPr>
                      <w:t>9.80%</w:t>
                    </w:r>
                  </w:p>
                  <w:p>
                    <w:pPr>
                      <w:spacing w:line="240" w:lineRule="auto" w:before="0"/>
                      <w:rPr>
                        <w:sz w:val="20"/>
                      </w:rPr>
                    </w:pPr>
                  </w:p>
                  <w:p>
                    <w:pPr>
                      <w:spacing w:line="240" w:lineRule="auto" w:before="10"/>
                      <w:rPr>
                        <w:sz w:val="23"/>
                      </w:rPr>
                    </w:pPr>
                  </w:p>
                  <w:p>
                    <w:pPr>
                      <w:spacing w:line="360" w:lineRule="atLeast" w:before="1"/>
                      <w:ind w:left="6820" w:right="189" w:firstLine="0"/>
                      <w:jc w:val="left"/>
                      <w:rPr>
                        <w:rFonts w:ascii="Calibri" w:hAnsi="Calibri"/>
                        <w:sz w:val="20"/>
                      </w:rPr>
                    </w:pPr>
                    <w:r>
                      <w:rPr>
                        <w:rFonts w:ascii="Calibri" w:hAnsi="Calibri"/>
                        <w:sz w:val="20"/>
                      </w:rPr>
                      <w:t>adolescentes población total</w:t>
                    </w:r>
                  </w:p>
                  <w:p>
                    <w:pPr>
                      <w:spacing w:line="169" w:lineRule="exact" w:before="0"/>
                      <w:ind w:left="2230" w:right="189" w:firstLine="0"/>
                      <w:jc w:val="left"/>
                      <w:rPr>
                        <w:rFonts w:ascii="Calibri"/>
                        <w:sz w:val="20"/>
                      </w:rPr>
                    </w:pPr>
                    <w:r>
                      <w:rPr>
                        <w:rFonts w:ascii="Calibri"/>
                        <w:sz w:val="20"/>
                      </w:rPr>
                      <w:t>90.20%</w:t>
                    </w:r>
                  </w:p>
                </w:txbxContent>
              </v:textbox>
              <w10:wrap type="none"/>
            </v:shape>
            <w10:wrap type="topAndBottom"/>
          </v:group>
        </w:pict>
      </w:r>
    </w:p>
    <w:p>
      <w:pPr>
        <w:spacing w:before="99"/>
        <w:ind w:left="1560" w:right="0" w:firstLine="0"/>
        <w:jc w:val="left"/>
        <w:rPr>
          <w:sz w:val="16"/>
        </w:rPr>
      </w:pPr>
      <w:r>
        <w:rPr>
          <w:sz w:val="16"/>
        </w:rPr>
        <w:t>Fuente: INEGI, Censo de Población y Vivienda 2010.</w:t>
      </w:r>
    </w:p>
    <w:p>
      <w:pPr>
        <w:pStyle w:val="BodyText"/>
        <w:rPr>
          <w:sz w:val="16"/>
        </w:rPr>
      </w:pPr>
    </w:p>
    <w:p>
      <w:pPr>
        <w:pStyle w:val="BodyText"/>
        <w:rPr>
          <w:sz w:val="16"/>
        </w:rPr>
      </w:pPr>
    </w:p>
    <w:p>
      <w:pPr>
        <w:pStyle w:val="BodyText"/>
        <w:spacing w:line="360" w:lineRule="auto" w:before="141"/>
        <w:ind w:left="142" w:right="135"/>
        <w:jc w:val="both"/>
      </w:pPr>
      <w:r>
        <w:rPr/>
        <w:drawing>
          <wp:anchor distT="0" distB="0" distL="0" distR="0" allowOverlap="1" layoutInCell="1" locked="0" behindDoc="1" simplePos="0" relativeHeight="268418087">
            <wp:simplePos x="0" y="0"/>
            <wp:positionH relativeFrom="page">
              <wp:posOffset>5498591</wp:posOffset>
            </wp:positionH>
            <wp:positionV relativeFrom="paragraph">
              <wp:posOffset>-1431088</wp:posOffset>
            </wp:positionV>
            <wp:extent cx="77724" cy="77724"/>
            <wp:effectExtent l="0" t="0" r="0" b="0"/>
            <wp:wrapNone/>
            <wp:docPr id="3" name="image5.png" descr=""/>
            <wp:cNvGraphicFramePr>
              <a:graphicFrameLocks noChangeAspect="1"/>
            </wp:cNvGraphicFramePr>
            <a:graphic>
              <a:graphicData uri="http://schemas.openxmlformats.org/drawingml/2006/picture">
                <pic:pic>
                  <pic:nvPicPr>
                    <pic:cNvPr id="4" name="image5.png"/>
                    <pic:cNvPicPr/>
                  </pic:nvPicPr>
                  <pic:blipFill>
                    <a:blip r:embed="rId10" cstate="print"/>
                    <a:stretch>
                      <a:fillRect/>
                    </a:stretch>
                  </pic:blipFill>
                  <pic:spPr>
                    <a:xfrm>
                      <a:off x="0" y="0"/>
                      <a:ext cx="77724" cy="77724"/>
                    </a:xfrm>
                    <a:prstGeom prst="rect">
                      <a:avLst/>
                    </a:prstGeom>
                  </pic:spPr>
                </pic:pic>
              </a:graphicData>
            </a:graphic>
          </wp:anchor>
        </w:drawing>
      </w:r>
      <w:r>
        <w:rPr/>
        <w:t>Debido a los riesgos que representa la salud materna – infantil, se considera un asunto de salud pública la fecundidad en jóvenes de 15 a 19 años. Según la Encuesta Nacional de la Dinámica Demográfica (ENADID) 2009, la edad mediana en la que las mujeres de 15 a 19 años tienen su primer relación sexual es a los</w:t>
      </w:r>
    </w:p>
    <w:p>
      <w:pPr>
        <w:pStyle w:val="BodyText"/>
        <w:spacing w:line="360" w:lineRule="auto" w:before="5"/>
        <w:ind w:left="142" w:right="146"/>
        <w:jc w:val="both"/>
      </w:pPr>
      <w:r>
        <w:rPr/>
        <w:t>17.8 años; otro dato que arroja esta encuesta es que 6 de 10 diez adolescentes no utilizaron ningún método anticonceptivo en su primera relación sexual, y la edad mediana de las mujeres al usar un primer método anticonceptivo es hasta los 21.7 años.</w:t>
      </w:r>
    </w:p>
    <w:p>
      <w:pPr>
        <w:spacing w:after="0" w:line="360" w:lineRule="auto"/>
        <w:jc w:val="both"/>
        <w:sectPr>
          <w:footerReference w:type="default" r:id="rId7"/>
          <w:pgSz w:w="12240" w:h="15840"/>
          <w:pgMar w:footer="625" w:header="764" w:top="1960" w:bottom="820" w:left="1560" w:right="1560"/>
        </w:sectPr>
      </w:pPr>
    </w:p>
    <w:p>
      <w:pPr>
        <w:pStyle w:val="BodyText"/>
        <w:rPr>
          <w:sz w:val="20"/>
        </w:rPr>
      </w:pPr>
    </w:p>
    <w:p>
      <w:pPr>
        <w:pStyle w:val="BodyText"/>
        <w:rPr>
          <w:sz w:val="20"/>
        </w:rPr>
      </w:pPr>
    </w:p>
    <w:p>
      <w:pPr>
        <w:pStyle w:val="BodyText"/>
        <w:spacing w:line="360" w:lineRule="auto" w:before="195"/>
        <w:ind w:left="142" w:right="143"/>
        <w:jc w:val="both"/>
      </w:pPr>
      <w:r>
        <w:rPr/>
        <w:t>El inicio de la vida sexual ocurre regularmente sin el uso de algún método de prevención del embarazo o de alguna enfermedad de transmisión sexual, y  cuando lo utilizan recurren a métodos poco efectivos como el ritmo o el coito interrumpido.</w:t>
      </w:r>
    </w:p>
    <w:p>
      <w:pPr>
        <w:pStyle w:val="BodyText"/>
      </w:pPr>
    </w:p>
    <w:p>
      <w:pPr>
        <w:pStyle w:val="BodyText"/>
        <w:spacing w:line="360" w:lineRule="auto" w:before="142"/>
        <w:ind w:left="142" w:right="144"/>
        <w:jc w:val="both"/>
      </w:pPr>
      <w:r>
        <w:rPr/>
        <w:t>Las consecuencias de tener una relación sexual sin protección pueden ser un embarazo no deseado, uniones prematuras, maternidad en soltería o un aborto, además de la posibilidad de contraer alguna enfermedad de transmisión sexual.</w:t>
      </w:r>
    </w:p>
    <w:p>
      <w:pPr>
        <w:pStyle w:val="BodyText"/>
        <w:rPr>
          <w:sz w:val="20"/>
        </w:rPr>
      </w:pPr>
    </w:p>
    <w:p>
      <w:pPr>
        <w:pStyle w:val="BodyText"/>
        <w:rPr>
          <w:sz w:val="20"/>
        </w:rPr>
      </w:pPr>
    </w:p>
    <w:p>
      <w:pPr>
        <w:pStyle w:val="BodyText"/>
        <w:spacing w:before="4"/>
        <w:rPr>
          <w:sz w:val="28"/>
        </w:rPr>
      </w:pPr>
      <w:r>
        <w:rPr/>
        <w:pict>
          <v:group style="position:absolute;margin-left:98.626999pt;margin-top:18.290873pt;width:415.35pt;height:286.850pt;mso-position-horizontal-relative:page;mso-position-vertical-relative:paragraph;z-index:1288;mso-wrap-distance-left:0;mso-wrap-distance-right:0" coordorigin="1973,366" coordsize="8307,5737">
            <v:shape style="position:absolute;left:3278;top:1430;width:6358;height:3547" type="#_x0000_t75" stroked="false">
              <v:imagedata r:id="rId12" o:title=""/>
            </v:shape>
            <v:line style="position:absolute" from="3311,4944" to="3247,4944" stroked="true" strokeweight=".75pt" strokecolor="#858585"/>
            <v:line style="position:absolute" from="3311,4389" to="3247,4389" stroked="true" strokeweight=".75pt" strokecolor="#858585"/>
            <v:line style="position:absolute" from="3311,3835" to="3247,3835" stroked="true" strokeweight=".75pt" strokecolor="#858585"/>
            <v:line style="position:absolute" from="3311,3281" to="3247,3281" stroked="true" strokeweight=".75pt" strokecolor="#858585"/>
            <v:line style="position:absolute" from="3311,2729" to="3247,2729" stroked="true" strokeweight=".75pt" strokecolor="#858585"/>
            <v:line style="position:absolute" from="3311,2174" to="3247,2174" stroked="true" strokeweight=".75pt" strokecolor="#858585"/>
            <v:line style="position:absolute" from="3311,4945" to="3311,5008" stroked="true" strokeweight=".75pt" strokecolor="#858585"/>
            <v:line style="position:absolute" from="5986,4945" to="5986,5008" stroked="true" strokeweight=".75pt" strokecolor="#858585"/>
            <v:line style="position:absolute" from="8663,4945" to="8663,5008" stroked="true" strokeweight=".75pt" strokecolor="#858585"/>
            <v:rect style="position:absolute;left:1980;top:373;width:8292;height:5722" filled="false" stroked="true" strokeweight=".75pt" strokecolor="#858585"/>
            <v:shape style="position:absolute;left:2975;top:703;width:6404;height:468" type="#_x0000_t202" filled="false" stroked="false">
              <v:textbox inset="0,0,0,0">
                <w:txbxContent>
                  <w:p>
                    <w:pPr>
                      <w:spacing w:line="215" w:lineRule="exact" w:before="0"/>
                      <w:ind w:left="0" w:right="0" w:firstLine="0"/>
                      <w:jc w:val="center"/>
                      <w:rPr>
                        <w:rFonts w:ascii="Calibri"/>
                        <w:b/>
                        <w:sz w:val="21"/>
                      </w:rPr>
                    </w:pPr>
                    <w:r>
                      <w:rPr>
                        <w:rFonts w:ascii="Calibri"/>
                        <w:b/>
                        <w:sz w:val="21"/>
                      </w:rPr>
                      <w:t>Inicio de vida sexual y uso de metodos anticoncepticos en adolescenes</w:t>
                    </w:r>
                    <w:r>
                      <w:rPr>
                        <w:rFonts w:ascii="Calibri"/>
                        <w:b/>
                        <w:spacing w:val="-26"/>
                        <w:sz w:val="21"/>
                      </w:rPr>
                      <w:t> </w:t>
                    </w:r>
                    <w:r>
                      <w:rPr>
                        <w:rFonts w:ascii="Calibri"/>
                        <w:b/>
                        <w:sz w:val="21"/>
                      </w:rPr>
                      <w:t>en</w:t>
                    </w:r>
                  </w:p>
                  <w:p>
                    <w:pPr>
                      <w:spacing w:line="253" w:lineRule="exact" w:before="0"/>
                      <w:ind w:left="1" w:right="0" w:firstLine="0"/>
                      <w:jc w:val="center"/>
                      <w:rPr>
                        <w:rFonts w:ascii="Calibri" w:hAnsi="Calibri"/>
                        <w:b/>
                        <w:sz w:val="21"/>
                      </w:rPr>
                    </w:pPr>
                    <w:r>
                      <w:rPr>
                        <w:rFonts w:ascii="Calibri" w:hAnsi="Calibri"/>
                        <w:b/>
                        <w:sz w:val="21"/>
                      </w:rPr>
                      <w:t>México.</w:t>
                    </w:r>
                  </w:p>
                </w:txbxContent>
              </v:textbox>
              <w10:wrap type="none"/>
            </v:shape>
            <v:shape style="position:absolute;left:2922;top:2093;width:202;height:1308"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25</w:t>
                    </w:r>
                  </w:p>
                  <w:p>
                    <w:pPr>
                      <w:spacing w:line="240" w:lineRule="auto" w:before="10"/>
                      <w:rPr>
                        <w:sz w:val="26"/>
                      </w:rPr>
                    </w:pPr>
                  </w:p>
                  <w:p>
                    <w:pPr>
                      <w:spacing w:before="0"/>
                      <w:ind w:left="0" w:right="-19" w:firstLine="0"/>
                      <w:jc w:val="left"/>
                      <w:rPr>
                        <w:rFonts w:ascii="Calibri"/>
                        <w:sz w:val="20"/>
                      </w:rPr>
                    </w:pPr>
                    <w:r>
                      <w:rPr>
                        <w:rFonts w:ascii="Calibri"/>
                        <w:spacing w:val="-1"/>
                        <w:sz w:val="20"/>
                      </w:rPr>
                      <w:t>20</w:t>
                    </w:r>
                  </w:p>
                  <w:p>
                    <w:pPr>
                      <w:spacing w:line="240" w:lineRule="auto" w:before="11"/>
                      <w:rPr>
                        <w:sz w:val="26"/>
                      </w:rPr>
                    </w:pPr>
                  </w:p>
                  <w:p>
                    <w:pPr>
                      <w:spacing w:line="240" w:lineRule="exact" w:before="0"/>
                      <w:ind w:left="0" w:right="-19" w:firstLine="0"/>
                      <w:jc w:val="left"/>
                      <w:rPr>
                        <w:rFonts w:ascii="Calibri"/>
                        <w:sz w:val="20"/>
                      </w:rPr>
                    </w:pPr>
                    <w:r>
                      <w:rPr>
                        <w:rFonts w:ascii="Calibri"/>
                        <w:spacing w:val="-1"/>
                        <w:sz w:val="20"/>
                      </w:rPr>
                      <w:t>15</w:t>
                    </w:r>
                  </w:p>
                </w:txbxContent>
              </v:textbox>
              <w10:wrap type="none"/>
            </v:shape>
            <v:shape style="position:absolute;left:4731;top:3095;width:385;height:444" type="#_x0000_t202" filled="false" stroked="false">
              <v:textbox inset="0,0,0,0">
                <w:txbxContent>
                  <w:p>
                    <w:pPr>
                      <w:spacing w:line="203" w:lineRule="exact" w:before="0"/>
                      <w:ind w:left="16" w:right="-6" w:firstLine="0"/>
                      <w:jc w:val="left"/>
                      <w:rPr>
                        <w:rFonts w:ascii="Calibri"/>
                        <w:sz w:val="20"/>
                      </w:rPr>
                    </w:pPr>
                    <w:r>
                      <w:rPr>
                        <w:rFonts w:ascii="Calibri"/>
                        <w:sz w:val="20"/>
                      </w:rPr>
                      <w:t>17.8</w:t>
                    </w:r>
                  </w:p>
                  <w:p>
                    <w:pPr>
                      <w:spacing w:line="240" w:lineRule="exact" w:before="0"/>
                      <w:ind w:left="0" w:right="-20" w:firstLine="0"/>
                      <w:jc w:val="left"/>
                      <w:rPr>
                        <w:rFonts w:ascii="Calibri" w:hAnsi="Calibri"/>
                        <w:sz w:val="20"/>
                      </w:rPr>
                    </w:pPr>
                    <w:r>
                      <w:rPr>
                        <w:rFonts w:ascii="Calibri" w:hAnsi="Calibri"/>
                        <w:sz w:val="20"/>
                      </w:rPr>
                      <w:t>años</w:t>
                    </w:r>
                  </w:p>
                </w:txbxContent>
              </v:textbox>
              <w10:wrap type="none"/>
            </v:shape>
            <v:shape style="position:absolute;left:7408;top:2911;width:385;height:444" type="#_x0000_t202" filled="false" stroked="false">
              <v:textbox inset="0,0,0,0">
                <w:txbxContent>
                  <w:p>
                    <w:pPr>
                      <w:spacing w:line="203" w:lineRule="exact" w:before="0"/>
                      <w:ind w:left="16" w:right="-6" w:firstLine="0"/>
                      <w:jc w:val="left"/>
                      <w:rPr>
                        <w:rFonts w:ascii="Calibri"/>
                        <w:sz w:val="20"/>
                      </w:rPr>
                    </w:pPr>
                    <w:r>
                      <w:rPr>
                        <w:rFonts w:ascii="Calibri"/>
                        <w:sz w:val="20"/>
                      </w:rPr>
                      <w:t>21.7</w:t>
                    </w:r>
                  </w:p>
                  <w:p>
                    <w:pPr>
                      <w:spacing w:line="240" w:lineRule="exact" w:before="0"/>
                      <w:ind w:left="0" w:right="-20" w:firstLine="0"/>
                      <w:jc w:val="left"/>
                      <w:rPr>
                        <w:rFonts w:ascii="Calibri" w:hAnsi="Calibri"/>
                        <w:sz w:val="20"/>
                      </w:rPr>
                    </w:pPr>
                    <w:r>
                      <w:rPr>
                        <w:rFonts w:ascii="Calibri" w:hAnsi="Calibri"/>
                        <w:sz w:val="20"/>
                      </w:rPr>
                      <w:t>años</w:t>
                    </w:r>
                  </w:p>
                </w:txbxContent>
              </v:textbox>
              <w10:wrap type="none"/>
            </v:shape>
            <v:shape style="position:absolute;left:2922;top:3755;width:203;height:1308" type="#_x0000_t202" filled="false" stroked="false">
              <v:textbox inset="0,0,0,0">
                <w:txbxContent>
                  <w:p>
                    <w:pPr>
                      <w:spacing w:line="203" w:lineRule="exact" w:before="0"/>
                      <w:ind w:left="0" w:right="0" w:firstLine="0"/>
                      <w:jc w:val="center"/>
                      <w:rPr>
                        <w:rFonts w:ascii="Calibri"/>
                        <w:sz w:val="20"/>
                      </w:rPr>
                    </w:pPr>
                    <w:r>
                      <w:rPr>
                        <w:rFonts w:ascii="Calibri"/>
                        <w:sz w:val="20"/>
                      </w:rPr>
                      <w:t>10</w:t>
                    </w:r>
                  </w:p>
                  <w:p>
                    <w:pPr>
                      <w:spacing w:line="240" w:lineRule="auto" w:before="11"/>
                      <w:rPr>
                        <w:sz w:val="26"/>
                      </w:rPr>
                    </w:pPr>
                  </w:p>
                  <w:p>
                    <w:pPr>
                      <w:spacing w:before="0"/>
                      <w:ind w:left="101" w:right="0" w:firstLine="0"/>
                      <w:jc w:val="center"/>
                      <w:rPr>
                        <w:rFonts w:ascii="Calibri"/>
                        <w:sz w:val="20"/>
                      </w:rPr>
                    </w:pPr>
                    <w:r>
                      <w:rPr>
                        <w:rFonts w:ascii="Calibri"/>
                        <w:w w:val="99"/>
                        <w:sz w:val="20"/>
                      </w:rPr>
                      <w:t>5</w:t>
                    </w:r>
                  </w:p>
                  <w:p>
                    <w:pPr>
                      <w:spacing w:line="240" w:lineRule="auto" w:before="10"/>
                      <w:rPr>
                        <w:sz w:val="26"/>
                      </w:rPr>
                    </w:pPr>
                  </w:p>
                  <w:p>
                    <w:pPr>
                      <w:spacing w:line="240" w:lineRule="exact" w:before="1"/>
                      <w:ind w:left="101" w:right="0" w:firstLine="0"/>
                      <w:jc w:val="center"/>
                      <w:rPr>
                        <w:rFonts w:ascii="Calibri"/>
                        <w:sz w:val="20"/>
                      </w:rPr>
                    </w:pPr>
                    <w:r>
                      <w:rPr>
                        <w:rFonts w:ascii="Calibri"/>
                        <w:w w:val="99"/>
                        <w:sz w:val="20"/>
                      </w:rPr>
                      <w:t>0</w:t>
                    </w:r>
                  </w:p>
                </w:txbxContent>
              </v:textbox>
              <w10:wrap type="none"/>
            </v:shape>
            <v:shape style="position:absolute;left:3495;top:5114;width:2307;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Edad de la 1° relación</w:t>
                    </w:r>
                    <w:r>
                      <w:rPr>
                        <w:rFonts w:ascii="Calibri" w:hAnsi="Calibri"/>
                        <w:spacing w:val="-12"/>
                        <w:sz w:val="20"/>
                      </w:rPr>
                      <w:t> </w:t>
                    </w:r>
                    <w:r>
                      <w:rPr>
                        <w:rFonts w:ascii="Calibri" w:hAnsi="Calibri"/>
                        <w:sz w:val="20"/>
                      </w:rPr>
                      <w:t>sexual</w:t>
                    </w:r>
                  </w:p>
                </w:txbxContent>
              </v:textbox>
              <w10:wrap type="none"/>
            </v:shape>
            <v:shape style="position:absolute;left:6359;top:5114;width:1933;height:443" type="#_x0000_t202" filled="false" stroked="false">
              <v:textbox inset="0,0,0,0">
                <w:txbxContent>
                  <w:p>
                    <w:pPr>
                      <w:spacing w:line="203" w:lineRule="exact" w:before="0"/>
                      <w:ind w:left="0" w:right="0" w:firstLine="0"/>
                      <w:jc w:val="center"/>
                      <w:rPr>
                        <w:rFonts w:ascii="Calibri" w:hAnsi="Calibri"/>
                        <w:sz w:val="20"/>
                      </w:rPr>
                    </w:pPr>
                    <w:r>
                      <w:rPr>
                        <w:rFonts w:ascii="Calibri" w:hAnsi="Calibri"/>
                        <w:sz w:val="20"/>
                      </w:rPr>
                      <w:t>Edad en la que uso el</w:t>
                    </w:r>
                    <w:r>
                      <w:rPr>
                        <w:rFonts w:ascii="Calibri" w:hAnsi="Calibri"/>
                        <w:spacing w:val="-8"/>
                        <w:sz w:val="20"/>
                      </w:rPr>
                      <w:t> </w:t>
                    </w:r>
                    <w:r>
                      <w:rPr>
                        <w:rFonts w:ascii="Calibri" w:hAnsi="Calibri"/>
                        <w:sz w:val="20"/>
                      </w:rPr>
                      <w:t>1°</w:t>
                    </w:r>
                  </w:p>
                  <w:p>
                    <w:pPr>
                      <w:spacing w:line="240" w:lineRule="exact" w:before="0"/>
                      <w:ind w:left="1" w:right="0" w:firstLine="0"/>
                      <w:jc w:val="center"/>
                      <w:rPr>
                        <w:rFonts w:ascii="Calibri"/>
                        <w:sz w:val="20"/>
                      </w:rPr>
                    </w:pPr>
                    <w:r>
                      <w:rPr>
                        <w:rFonts w:ascii="Calibri"/>
                        <w:sz w:val="20"/>
                      </w:rPr>
                      <w:t>metodo</w:t>
                    </w:r>
                  </w:p>
                </w:txbxContent>
              </v:textbox>
              <w10:wrap type="none"/>
            </v:shape>
            <w10:wrap type="topAndBottom"/>
          </v:group>
        </w:pict>
      </w:r>
    </w:p>
    <w:p>
      <w:pPr>
        <w:spacing w:before="106"/>
        <w:ind w:left="1135" w:right="0" w:firstLine="0"/>
        <w:jc w:val="left"/>
        <w:rPr>
          <w:sz w:val="16"/>
        </w:rPr>
      </w:pPr>
      <w:r>
        <w:rPr>
          <w:sz w:val="16"/>
        </w:rPr>
        <w:t>Fuente: Elaboración propia en base a datos de la Encuesta Nacional de la Dinámica (ENADID) 2009.</w:t>
      </w:r>
    </w:p>
    <w:p>
      <w:pPr>
        <w:pStyle w:val="BodyText"/>
        <w:rPr>
          <w:sz w:val="16"/>
        </w:rPr>
      </w:pPr>
    </w:p>
    <w:p>
      <w:pPr>
        <w:pStyle w:val="BodyText"/>
        <w:rPr>
          <w:sz w:val="16"/>
        </w:rPr>
      </w:pPr>
    </w:p>
    <w:p>
      <w:pPr>
        <w:pStyle w:val="BodyText"/>
        <w:spacing w:line="360" w:lineRule="auto" w:before="141"/>
        <w:ind w:left="142" w:right="147"/>
        <w:jc w:val="both"/>
      </w:pPr>
      <w:r>
        <w:rPr/>
        <w:t>Por lo que toca al número de madres adolescentes en 2010 y de acuerdo con datos del Censo, el 12.4% de las mujeres dijo tener por lo menos un hijo nacido</w:t>
      </w:r>
    </w:p>
    <w:p>
      <w:pPr>
        <w:spacing w:after="0" w:line="360" w:lineRule="auto"/>
        <w:jc w:val="both"/>
        <w:sectPr>
          <w:footerReference w:type="default" r:id="rId11"/>
          <w:pgSz w:w="12240" w:h="15840"/>
          <w:pgMar w:footer="625" w:header="764" w:top="1960" w:bottom="820" w:left="1560" w:right="1560"/>
          <w:pgNumType w:start="11"/>
        </w:sectPr>
      </w:pPr>
    </w:p>
    <w:p>
      <w:pPr>
        <w:pStyle w:val="BodyText"/>
        <w:rPr>
          <w:sz w:val="20"/>
        </w:rPr>
      </w:pPr>
    </w:p>
    <w:p>
      <w:pPr>
        <w:pStyle w:val="BodyText"/>
        <w:rPr>
          <w:sz w:val="20"/>
        </w:rPr>
      </w:pPr>
    </w:p>
    <w:p>
      <w:pPr>
        <w:pStyle w:val="BodyText"/>
        <w:spacing w:line="360" w:lineRule="auto" w:before="195"/>
        <w:ind w:left="142" w:right="162"/>
        <w:jc w:val="both"/>
      </w:pPr>
      <w:r>
        <w:rPr/>
        <w:t>vivo, de las cuales el 84% afirmó que era su primer hijo y 14% dijeron tener dos o más, el 4% restante no especificó. (CONAPO 2010)</w:t>
      </w:r>
    </w:p>
    <w:p>
      <w:pPr>
        <w:pStyle w:val="BodyText"/>
        <w:rPr>
          <w:sz w:val="20"/>
        </w:rPr>
      </w:pPr>
    </w:p>
    <w:p>
      <w:pPr>
        <w:pStyle w:val="BodyText"/>
        <w:spacing w:before="5"/>
        <w:rPr>
          <w:sz w:val="12"/>
        </w:rPr>
      </w:pPr>
      <w:r>
        <w:rPr/>
        <w:pict>
          <v:group style="position:absolute;margin-left:86.175003pt;margin-top:9.129908pt;width:443.4pt;height:229.8pt;mso-position-horizontal-relative:page;mso-position-vertical-relative:paragraph;z-index:1456;mso-wrap-distance-left:0;mso-wrap-distance-right:0" coordorigin="1724,183" coordsize="8868,4596">
            <v:shape style="position:absolute;left:2407;top:1277;width:5974;height:3029" type="#_x0000_t75" stroked="false">
              <v:imagedata r:id="rId13" o:title=""/>
            </v:shape>
            <v:rect style="position:absolute;left:9159;top:2374;width:110;height:110" filled="true" fillcolor="#c3d59b" stroked="false">
              <v:fill type="solid"/>
            </v:rect>
            <v:rect style="position:absolute;left:9159;top:2735;width:110;height:110" filled="true" fillcolor="#375f92" stroked="false">
              <v:fill type="solid"/>
            </v:rect>
            <v:rect style="position:absolute;left:9159;top:3097;width:110;height:110" filled="true" fillcolor="#9bba58" stroked="false">
              <v:fill type="solid"/>
            </v:rect>
            <v:rect style="position:absolute;left:1731;top:190;width:8853;height:4581" filled="false" stroked="true" strokeweight=".75pt" strokecolor="#858585"/>
            <v:shape style="position:absolute;left:3487;top:436;width:6030;height:360" type="#_x0000_t202" filled="false" stroked="false">
              <v:textbox inset="0,0,0,0">
                <w:txbxContent>
                  <w:p>
                    <w:pPr>
                      <w:spacing w:line="360" w:lineRule="exact" w:before="0"/>
                      <w:ind w:left="0" w:right="-10" w:firstLine="0"/>
                      <w:jc w:val="left"/>
                      <w:rPr>
                        <w:rFonts w:ascii="Calibri" w:hAnsi="Calibri"/>
                        <w:b/>
                        <w:sz w:val="36"/>
                      </w:rPr>
                    </w:pPr>
                    <w:r>
                      <w:rPr>
                        <w:rFonts w:ascii="Calibri" w:hAnsi="Calibri"/>
                        <w:b/>
                        <w:sz w:val="36"/>
                      </w:rPr>
                      <w:t>Madres adolescentes en México =</w:t>
                    </w:r>
                    <w:r>
                      <w:rPr>
                        <w:rFonts w:ascii="Calibri" w:hAnsi="Calibri"/>
                        <w:b/>
                        <w:spacing w:val="-32"/>
                        <w:sz w:val="36"/>
                      </w:rPr>
                      <w:t> </w:t>
                    </w:r>
                    <w:r>
                      <w:rPr>
                        <w:rFonts w:ascii="Calibri" w:hAnsi="Calibri"/>
                        <w:b/>
                        <w:sz w:val="36"/>
                      </w:rPr>
                      <w:t>12.4%</w:t>
                    </w:r>
                  </w:p>
                </w:txbxContent>
              </v:textbox>
              <w10:wrap type="none"/>
            </v:shape>
            <v:shape style="position:absolute;left:4057;top:152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5063;top:137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w:t>
                    </w:r>
                  </w:p>
                </w:txbxContent>
              </v:textbox>
              <w10:wrap type="none"/>
            </v:shape>
            <v:shape style="position:absolute;left:9318;top:2337;width:1059;height:561" type="#_x0000_t202" filled="false" stroked="false">
              <v:textbox inset="0,0,0,0">
                <w:txbxContent>
                  <w:p>
                    <w:pPr>
                      <w:spacing w:line="203" w:lineRule="exact" w:before="0"/>
                      <w:ind w:left="0" w:right="-20" w:firstLine="0"/>
                      <w:jc w:val="left"/>
                      <w:rPr>
                        <w:rFonts w:ascii="Calibri"/>
                        <w:sz w:val="20"/>
                      </w:rPr>
                    </w:pPr>
                    <w:r>
                      <w:rPr>
                        <w:rFonts w:ascii="Calibri"/>
                        <w:sz w:val="20"/>
                      </w:rPr>
                      <w:t>primer hijo</w:t>
                    </w:r>
                  </w:p>
                  <w:p>
                    <w:pPr>
                      <w:spacing w:line="240" w:lineRule="exact" w:before="117"/>
                      <w:ind w:left="0" w:right="-20" w:firstLine="0"/>
                      <w:jc w:val="left"/>
                      <w:rPr>
                        <w:rFonts w:ascii="Calibri" w:hAnsi="Calibri"/>
                        <w:sz w:val="20"/>
                      </w:rPr>
                    </w:pPr>
                    <w:r>
                      <w:rPr>
                        <w:rFonts w:ascii="Calibri" w:hAnsi="Calibri"/>
                        <w:sz w:val="20"/>
                      </w:rPr>
                      <w:t>2 ó más hijos</w:t>
                    </w:r>
                  </w:p>
                </w:txbxContent>
              </v:textbox>
              <w10:wrap type="none"/>
            </v:shape>
            <v:shape style="position:absolute;left:6518;top:318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84%</w:t>
                    </w:r>
                  </w:p>
                </w:txbxContent>
              </v:textbox>
              <w10:wrap type="none"/>
            </v:shape>
            <v:shape style="position:absolute;left:9318;top:3060;width:1065;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z w:val="20"/>
                      </w:rPr>
                      <w:t>no</w:t>
                    </w:r>
                    <w:r>
                      <w:rPr>
                        <w:rFonts w:ascii="Calibri" w:hAnsi="Calibri"/>
                        <w:spacing w:val="-5"/>
                        <w:sz w:val="20"/>
                      </w:rPr>
                      <w:t> </w:t>
                    </w:r>
                    <w:r>
                      <w:rPr>
                        <w:rFonts w:ascii="Calibri" w:hAnsi="Calibri"/>
                        <w:sz w:val="20"/>
                      </w:rPr>
                      <w:t>especificó</w:t>
                    </w:r>
                  </w:p>
                </w:txbxContent>
              </v:textbox>
              <w10:wrap type="none"/>
            </v:shape>
            <w10:wrap type="topAndBottom"/>
          </v:group>
        </w:pict>
      </w:r>
    </w:p>
    <w:p>
      <w:pPr>
        <w:spacing w:before="107"/>
        <w:ind w:left="1560" w:right="0" w:firstLine="0"/>
        <w:jc w:val="left"/>
        <w:rPr>
          <w:sz w:val="16"/>
        </w:rPr>
      </w:pPr>
      <w:r>
        <w:rPr>
          <w:sz w:val="16"/>
        </w:rPr>
        <w:t>Fuente: Elaboración propia en base a datos de INEGI, Censo de Población y Vivienda 2010.</w:t>
      </w:r>
    </w:p>
    <w:p>
      <w:pPr>
        <w:pStyle w:val="BodyText"/>
        <w:rPr>
          <w:sz w:val="16"/>
        </w:rPr>
      </w:pPr>
    </w:p>
    <w:p>
      <w:pPr>
        <w:pStyle w:val="BodyText"/>
        <w:rPr>
          <w:sz w:val="16"/>
        </w:rPr>
      </w:pPr>
    </w:p>
    <w:p>
      <w:pPr>
        <w:pStyle w:val="BodyText"/>
        <w:spacing w:line="360" w:lineRule="auto" w:before="138"/>
        <w:ind w:left="142" w:right="156"/>
        <w:jc w:val="both"/>
      </w:pPr>
      <w:r>
        <w:rPr/>
        <w:t>En las zonas rurales, se observa un 14.9% de madres adolescentes con al menos un hijo nacido vivo, comparado con el 12.3% de las madres adolescentes que habitan en las zonas urbanas.</w:t>
      </w:r>
    </w:p>
    <w:p>
      <w:pPr>
        <w:pStyle w:val="BodyText"/>
      </w:pPr>
    </w:p>
    <w:p>
      <w:pPr>
        <w:pStyle w:val="BodyText"/>
        <w:spacing w:line="360" w:lineRule="auto" w:before="142"/>
        <w:ind w:left="142" w:right="158"/>
        <w:jc w:val="both"/>
      </w:pPr>
      <w:r>
        <w:rPr/>
        <w:t>Los patrones de iniciación sexual temprana y el escaso acceso a recursos para las prácticas de prevención, son factores que contribuyen al riesgo de tener embarazos no deseados así como de contraer infecciones de transmisión sexual, incluido el VIH/SIDA, contribuyendo a generar condiciones de vulnerabilidad, particularmente entre otras mujeres (CONAPO 2010).</w:t>
      </w:r>
    </w:p>
    <w:p>
      <w:pPr>
        <w:spacing w:after="0" w:line="360" w:lineRule="auto"/>
        <w:jc w:val="both"/>
        <w:sectPr>
          <w:pgSz w:w="12240" w:h="15840"/>
          <w:pgMar w:header="764" w:footer="625" w:top="1960" w:bottom="820" w:left="1560" w:right="1540"/>
        </w:sectPr>
      </w:pPr>
    </w:p>
    <w:p>
      <w:pPr>
        <w:pStyle w:val="BodyText"/>
        <w:rPr>
          <w:sz w:val="20"/>
        </w:rPr>
      </w:pPr>
    </w:p>
    <w:p>
      <w:pPr>
        <w:pStyle w:val="BodyText"/>
        <w:rPr>
          <w:sz w:val="20"/>
        </w:rPr>
      </w:pPr>
    </w:p>
    <w:p>
      <w:pPr>
        <w:pStyle w:val="BodyText"/>
        <w:spacing w:line="357" w:lineRule="auto" w:before="195"/>
        <w:ind w:left="142" w:right="139"/>
        <w:jc w:val="both"/>
      </w:pPr>
      <w:r>
        <w:rPr/>
        <w:t>Para el Estado de México, la ENADID 2009 menciona que el 26.4% de la población total oscila entre los 15 y 29 años de edad,</w:t>
      </w:r>
      <w:r>
        <w:rPr>
          <w:position w:val="8"/>
          <w:sz w:val="16"/>
        </w:rPr>
        <w:t>1 </w:t>
      </w:r>
      <w:r>
        <w:rPr/>
        <w:t>en éste mismo rango de edad se tiene al 25.5% de mujeres y al 27.4% de hombres de la</w:t>
      </w:r>
      <w:r>
        <w:rPr>
          <w:spacing w:val="-28"/>
        </w:rPr>
        <w:t> </w:t>
      </w:r>
      <w:r>
        <w:rPr/>
        <w:t>población.</w:t>
      </w:r>
    </w:p>
    <w:p>
      <w:pPr>
        <w:pStyle w:val="BodyText"/>
        <w:rPr>
          <w:sz w:val="20"/>
        </w:rPr>
      </w:pPr>
    </w:p>
    <w:p>
      <w:pPr>
        <w:pStyle w:val="BodyText"/>
        <w:spacing w:before="7"/>
        <w:rPr>
          <w:sz w:val="12"/>
        </w:rPr>
      </w:pPr>
      <w:r>
        <w:rPr/>
        <w:pict>
          <v:group style="position:absolute;margin-left:97.877998pt;margin-top:9.20396pt;width:416.2pt;height:238.2pt;mso-position-horizontal-relative:page;mso-position-vertical-relative:paragraph;z-index:1576;mso-wrap-distance-left:0;mso-wrap-distance-right:0" coordorigin="1958,184" coordsize="8324,4764">
            <v:shape style="position:absolute;left:2647;top:1555;width:6223;height:2842" type="#_x0000_t75" stroked="false">
              <v:imagedata r:id="rId14" o:title=""/>
            </v:shape>
            <v:rect style="position:absolute;left:9172;top:2762;width:110;height:110" filled="true" fillcolor="#30859c" stroked="false">
              <v:fill type="solid"/>
            </v:rect>
            <v:rect style="position:absolute;left:9172;top:3124;width:110;height:110" filled="true" fillcolor="#94b3d6" stroked="false">
              <v:fill type="solid"/>
            </v:rect>
            <v:rect style="position:absolute;left:1965;top:192;width:8309;height:4749" filled="false" stroked="true" strokeweight=".75pt" strokecolor="#858585"/>
            <v:shape style="position:absolute;left:2888;top:398;width:6463;height:624" type="#_x0000_t202" filled="false" stroked="false">
              <v:textbox inset="0,0,0,0">
                <w:txbxContent>
                  <w:p>
                    <w:pPr>
                      <w:spacing w:line="286" w:lineRule="exact" w:before="0"/>
                      <w:ind w:left="0" w:right="0" w:firstLine="0"/>
                      <w:jc w:val="center"/>
                      <w:rPr>
                        <w:rFonts w:ascii="Calibri" w:hAnsi="Calibri"/>
                        <w:b/>
                        <w:sz w:val="28"/>
                      </w:rPr>
                    </w:pPr>
                    <w:r>
                      <w:rPr>
                        <w:rFonts w:ascii="Calibri" w:hAnsi="Calibri"/>
                        <w:b/>
                        <w:sz w:val="28"/>
                      </w:rPr>
                      <w:t>Población jóven (15 a 29 años) en el Estado de México</w:t>
                    </w:r>
                    <w:r>
                      <w:rPr>
                        <w:rFonts w:ascii="Calibri" w:hAnsi="Calibri"/>
                        <w:b/>
                        <w:spacing w:val="-43"/>
                        <w:sz w:val="28"/>
                      </w:rPr>
                      <w:t> </w:t>
                    </w:r>
                    <w:r>
                      <w:rPr>
                        <w:rFonts w:ascii="Calibri" w:hAnsi="Calibri"/>
                        <w:b/>
                        <w:sz w:val="28"/>
                      </w:rPr>
                      <w:t>=</w:t>
                    </w:r>
                  </w:p>
                  <w:p>
                    <w:pPr>
                      <w:spacing w:line="337" w:lineRule="exact" w:before="1"/>
                      <w:ind w:left="2" w:right="0" w:firstLine="0"/>
                      <w:jc w:val="center"/>
                      <w:rPr>
                        <w:rFonts w:ascii="Calibri"/>
                        <w:b/>
                        <w:sz w:val="28"/>
                      </w:rPr>
                    </w:pPr>
                    <w:r>
                      <w:rPr>
                        <w:rFonts w:ascii="Calibri"/>
                        <w:b/>
                        <w:sz w:val="28"/>
                      </w:rPr>
                      <w:t>26.4%</w:t>
                    </w:r>
                  </w:p>
                </w:txbxContent>
              </v:textbox>
              <w10:wrap type="none"/>
            </v:shape>
            <v:shape style="position:absolute;left:6034;top:1763;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27.40%</w:t>
                    </w:r>
                  </w:p>
                </w:txbxContent>
              </v:textbox>
              <w10:wrap type="none"/>
            </v:shape>
            <v:shape style="position:absolute;left:9331;top:2725;width:742;height:562" type="#_x0000_t202" filled="false" stroked="false">
              <v:textbox inset="0,0,0,0">
                <w:txbxContent>
                  <w:p>
                    <w:pPr>
                      <w:spacing w:line="203" w:lineRule="exact" w:before="0"/>
                      <w:ind w:left="0" w:right="0" w:firstLine="0"/>
                      <w:jc w:val="left"/>
                      <w:rPr>
                        <w:rFonts w:ascii="Calibri"/>
                        <w:sz w:val="20"/>
                      </w:rPr>
                    </w:pPr>
                    <w:r>
                      <w:rPr>
                        <w:rFonts w:ascii="Calibri"/>
                        <w:sz w:val="20"/>
                      </w:rPr>
                      <w:t>Mujeres</w:t>
                    </w:r>
                  </w:p>
                  <w:p>
                    <w:pPr>
                      <w:spacing w:line="240" w:lineRule="exact" w:before="118"/>
                      <w:ind w:left="0" w:right="0" w:firstLine="0"/>
                      <w:jc w:val="left"/>
                      <w:rPr>
                        <w:rFonts w:ascii="Calibri"/>
                        <w:sz w:val="20"/>
                      </w:rPr>
                    </w:pPr>
                    <w:r>
                      <w:rPr>
                        <w:rFonts w:ascii="Calibri"/>
                        <w:w w:val="95"/>
                        <w:sz w:val="20"/>
                      </w:rPr>
                      <w:t>Hombres</w:t>
                    </w:r>
                  </w:p>
                </w:txbxContent>
              </v:textbox>
              <w10:wrap type="none"/>
            </v:shape>
            <v:shape style="position:absolute;left:4699;top:3398;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25.50%</w:t>
                    </w:r>
                  </w:p>
                </w:txbxContent>
              </v:textbox>
              <w10:wrap type="none"/>
            </v:shape>
            <w10:wrap type="topAndBottom"/>
          </v:group>
        </w:pict>
      </w:r>
    </w:p>
    <w:p>
      <w:pPr>
        <w:pStyle w:val="BodyText"/>
        <w:spacing w:before="7"/>
        <w:rPr>
          <w:sz w:val="32"/>
        </w:rPr>
      </w:pPr>
    </w:p>
    <w:p>
      <w:pPr>
        <w:spacing w:before="0"/>
        <w:ind w:left="1135" w:right="0" w:firstLine="0"/>
        <w:jc w:val="left"/>
        <w:rPr>
          <w:sz w:val="16"/>
        </w:rPr>
      </w:pPr>
      <w:r>
        <w:rPr>
          <w:sz w:val="16"/>
        </w:rPr>
        <w:t>Fuente: Elaboración propia en base a la Encuesta Nacional de la Dinámica (ENADID) 2009</w:t>
      </w:r>
    </w:p>
    <w:p>
      <w:pPr>
        <w:pStyle w:val="BodyText"/>
        <w:rPr>
          <w:sz w:val="16"/>
        </w:rPr>
      </w:pPr>
    </w:p>
    <w:p>
      <w:pPr>
        <w:pStyle w:val="BodyText"/>
        <w:rPr>
          <w:sz w:val="16"/>
        </w:rPr>
      </w:pPr>
    </w:p>
    <w:p>
      <w:pPr>
        <w:pStyle w:val="BodyText"/>
        <w:spacing w:line="360" w:lineRule="auto" w:before="138"/>
        <w:ind w:left="142" w:right="135"/>
        <w:jc w:val="both"/>
      </w:pPr>
      <w:r>
        <w:rPr/>
        <w:t>En la misma encuesta podemos ver que de acuerdo a la tasa de fecundidad de las mujeres entre 15 y 49 años de edad, en el Estado de México, las adolescentes representan el 15.8%. El 67.2% de las adolescentes dijo haber estado alguna vez embarazada o estarlo en el momento de la encuesta, y el 32.7% menciono nunca haber estado embarazada.</w:t>
      </w:r>
    </w:p>
    <w:p>
      <w:pPr>
        <w:pStyle w:val="BodyText"/>
        <w:rPr>
          <w:sz w:val="20"/>
        </w:rPr>
      </w:pP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1600;mso-wrap-distance-left:0;mso-wrap-distance-right:0" from="85.103996pt,17.366854pt" to="229.123996pt,17.366854pt" stroked="true" strokeweight=".71997pt" strokecolor="#000000">
            <w10:wrap type="topAndBottom"/>
          </v:line>
        </w:pict>
      </w:r>
    </w:p>
    <w:p>
      <w:pPr>
        <w:pStyle w:val="BodyText"/>
        <w:spacing w:line="367" w:lineRule="auto" w:before="69"/>
        <w:ind w:left="142"/>
      </w:pPr>
      <w:r>
        <w:rPr>
          <w:rFonts w:ascii="Calibri" w:hAnsi="Calibri"/>
          <w:position w:val="8"/>
          <w:sz w:val="14"/>
        </w:rPr>
        <w:t>1 </w:t>
      </w:r>
      <w:r>
        <w:rPr/>
        <w:t>La ENADID 2009 contempla conjuntamente población de adolescentes y jóvenes en edades entre 15 y 29 años.</w:t>
      </w:r>
    </w:p>
    <w:p>
      <w:pPr>
        <w:spacing w:after="0" w:line="367" w:lineRule="auto"/>
        <w:sectPr>
          <w:pgSz w:w="12240" w:h="15840"/>
          <w:pgMar w:header="764" w:footer="625" w:top="1960" w:bottom="820" w:left="1560" w:right="1560"/>
        </w:sectPr>
      </w:pPr>
    </w:p>
    <w:p>
      <w:pPr>
        <w:pStyle w:val="BodyText"/>
        <w:rPr>
          <w:sz w:val="20"/>
        </w:rPr>
      </w:pPr>
    </w:p>
    <w:p>
      <w:pPr>
        <w:pStyle w:val="BodyText"/>
        <w:rPr>
          <w:sz w:val="20"/>
        </w:rPr>
      </w:pPr>
    </w:p>
    <w:p>
      <w:pPr>
        <w:pStyle w:val="BodyText"/>
        <w:spacing w:before="5"/>
        <w:rPr>
          <w:sz w:val="16"/>
        </w:rPr>
      </w:pPr>
    </w:p>
    <w:p>
      <w:pPr>
        <w:pStyle w:val="BodyText"/>
        <w:ind w:left="163"/>
        <w:rPr>
          <w:sz w:val="20"/>
        </w:rPr>
      </w:pPr>
      <w:r>
        <w:rPr>
          <w:sz w:val="20"/>
        </w:rPr>
        <w:pict>
          <v:group style="width:420pt;height:194.3pt;mso-position-horizontal-relative:char;mso-position-vertical-relative:line" coordorigin="0,0" coordsize="8400,3886">
            <v:shape style="position:absolute;left:660;top:913;width:5633;height:2534" type="#_x0000_t75" stroked="false">
              <v:imagedata r:id="rId15" o:title=""/>
            </v:shape>
            <v:rect style="position:absolute;left:6999;top:510;width:110;height:110" filled="true" fillcolor="#4571a7" stroked="false">
              <v:fill type="solid"/>
            </v:rect>
            <v:rect style="position:absolute;left:6999;top:1000;width:110;height:110" filled="true" fillcolor="#aa4643" stroked="false">
              <v:fill type="solid"/>
            </v:rect>
            <v:rect style="position:absolute;left:6999;top:1489;width:110;height:110" filled="true" fillcolor="#88a44e" stroked="false">
              <v:fill type="solid"/>
            </v:rect>
            <v:rect style="position:absolute;left:6999;top:1979;width:110;height:110" filled="true" fillcolor="#70578f" stroked="false">
              <v:fill type="solid"/>
            </v:rect>
            <v:rect style="position:absolute;left:6999;top:2468;width:110;height:110" filled="true" fillcolor="#4197ae" stroked="false">
              <v:fill type="solid"/>
            </v:rect>
            <v:rect style="position:absolute;left:6999;top:2958;width:110;height:110" filled="true" fillcolor="#db843c" stroked="false">
              <v:fill type="solid"/>
            </v:rect>
            <v:rect style="position:absolute;left:6999;top:3448;width:110;height:110" filled="true" fillcolor="#ffff00" stroked="false">
              <v:fill opacity="49087f" type="solid"/>
            </v:rect>
            <v:rect style="position:absolute;left:8;top:8;width:8385;height:3871" filled="false" stroked="true" strokeweight=".75pt" strokecolor="#858585"/>
            <v:shape style="position:absolute;left:2076;top:206;width:4244;height:240" type="#_x0000_t202" filled="false" stroked="false">
              <v:textbox inset="0,0,0,0">
                <w:txbxContent>
                  <w:p>
                    <w:pPr>
                      <w:spacing w:line="240" w:lineRule="exact" w:before="0"/>
                      <w:ind w:left="0" w:right="-6" w:firstLine="0"/>
                      <w:jc w:val="left"/>
                      <w:rPr>
                        <w:rFonts w:ascii="Calibri" w:hAnsi="Calibri"/>
                        <w:b/>
                        <w:sz w:val="24"/>
                      </w:rPr>
                    </w:pPr>
                    <w:r>
                      <w:rPr>
                        <w:rFonts w:ascii="Calibri" w:hAnsi="Calibri"/>
                        <w:b/>
                        <w:spacing w:val="-5"/>
                        <w:sz w:val="24"/>
                      </w:rPr>
                      <w:t>Tasa </w:t>
                    </w:r>
                    <w:r>
                      <w:rPr>
                        <w:rFonts w:ascii="Calibri" w:hAnsi="Calibri"/>
                        <w:b/>
                        <w:sz w:val="24"/>
                      </w:rPr>
                      <w:t>de fecundidad en el Estado de</w:t>
                    </w:r>
                    <w:r>
                      <w:rPr>
                        <w:rFonts w:ascii="Calibri" w:hAnsi="Calibri"/>
                        <w:b/>
                        <w:spacing w:val="-26"/>
                        <w:sz w:val="24"/>
                      </w:rPr>
                      <w:t> </w:t>
                    </w:r>
                    <w:r>
                      <w:rPr>
                        <w:rFonts w:ascii="Calibri" w:hAnsi="Calibri"/>
                        <w:b/>
                        <w:sz w:val="24"/>
                      </w:rPr>
                      <w:t>México</w:t>
                    </w:r>
                  </w:p>
                </w:txbxContent>
              </v:textbox>
              <w10:wrap type="none"/>
            </v:shape>
            <v:shape style="position:absolute;left:7158;top:473;width:941;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z w:val="20"/>
                      </w:rPr>
                      <w:t>15 -19</w:t>
                    </w:r>
                    <w:r>
                      <w:rPr>
                        <w:rFonts w:ascii="Calibri" w:hAnsi="Calibri"/>
                        <w:spacing w:val="-5"/>
                        <w:sz w:val="20"/>
                      </w:rPr>
                      <w:t> </w:t>
                    </w:r>
                    <w:r>
                      <w:rPr>
                        <w:rFonts w:ascii="Calibri" w:hAnsi="Calibri"/>
                        <w:sz w:val="20"/>
                      </w:rPr>
                      <w:t>años</w:t>
                    </w:r>
                  </w:p>
                </w:txbxContent>
              </v:textbox>
              <w10:wrap type="none"/>
            </v:shape>
            <v:shape style="position:absolute;left:2395;top:693;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10.40%</w:t>
                    </w:r>
                  </w:p>
                </w:txbxContent>
              </v:textbox>
              <w10:wrap type="none"/>
            </v:shape>
            <v:shape style="position:absolute;left:3821;top:1098;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15.80%</w:t>
                    </w:r>
                  </w:p>
                </w:txbxContent>
              </v:textbox>
              <w10:wrap type="none"/>
            </v:shape>
            <v:shape style="position:absolute;left:7158;top:962;width:941;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z w:val="20"/>
                      </w:rPr>
                      <w:t>20 -24</w:t>
                    </w:r>
                    <w:r>
                      <w:rPr>
                        <w:rFonts w:ascii="Calibri" w:hAnsi="Calibri"/>
                        <w:spacing w:val="-5"/>
                        <w:sz w:val="20"/>
                      </w:rPr>
                      <w:t> </w:t>
                    </w:r>
                    <w:r>
                      <w:rPr>
                        <w:rFonts w:ascii="Calibri" w:hAnsi="Calibri"/>
                        <w:sz w:val="20"/>
                      </w:rPr>
                      <w:t>años</w:t>
                    </w:r>
                  </w:p>
                </w:txbxContent>
              </v:textbox>
              <w10:wrap type="none"/>
            </v:shape>
            <v:shape style="position:absolute;left:1841;top:1353;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12.00%</w:t>
                    </w:r>
                  </w:p>
                </w:txbxContent>
              </v:textbox>
              <w10:wrap type="none"/>
            </v:shape>
            <v:shape style="position:absolute;left:7158;top:1452;width:987;height:200" type="#_x0000_t202" filled="false" stroked="false">
              <v:textbox inset="0,0,0,0">
                <w:txbxContent>
                  <w:p>
                    <w:pPr>
                      <w:spacing w:line="199" w:lineRule="exact" w:before="0"/>
                      <w:ind w:left="0" w:right="-20" w:firstLine="0"/>
                      <w:jc w:val="left"/>
                      <w:rPr>
                        <w:rFonts w:ascii="Calibri" w:hAnsi="Calibri"/>
                        <w:sz w:val="20"/>
                      </w:rPr>
                    </w:pPr>
                    <w:r>
                      <w:rPr>
                        <w:rFonts w:ascii="Calibri" w:hAnsi="Calibri"/>
                        <w:sz w:val="20"/>
                      </w:rPr>
                      <w:t>25 - 29 años</w:t>
                    </w:r>
                  </w:p>
                </w:txbxContent>
              </v:textbox>
              <w10:wrap type="none"/>
            </v:shape>
            <v:shape style="position:absolute;left:4811;top:1624;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15.20%</w:t>
                    </w:r>
                  </w:p>
                </w:txbxContent>
              </v:textbox>
              <w10:wrap type="none"/>
            </v:shape>
            <v:shape style="position:absolute;left:1466;top:1924;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15.10%</w:t>
                    </w:r>
                  </w:p>
                </w:txbxContent>
              </v:textbox>
              <w10:wrap type="none"/>
            </v:shape>
            <v:shape style="position:absolute;left:7158;top:1942;width:987;height:200" type="#_x0000_t202" filled="false" stroked="false">
              <v:textbox inset="0,0,0,0">
                <w:txbxContent>
                  <w:p>
                    <w:pPr>
                      <w:spacing w:line="199" w:lineRule="exact" w:before="0"/>
                      <w:ind w:left="0" w:right="-20" w:firstLine="0"/>
                      <w:jc w:val="left"/>
                      <w:rPr>
                        <w:rFonts w:ascii="Calibri" w:hAnsi="Calibri"/>
                        <w:sz w:val="20"/>
                      </w:rPr>
                    </w:pPr>
                    <w:r>
                      <w:rPr>
                        <w:rFonts w:ascii="Calibri" w:hAnsi="Calibri"/>
                        <w:sz w:val="20"/>
                      </w:rPr>
                      <w:t>30 - 34 años</w:t>
                    </w:r>
                  </w:p>
                </w:txbxContent>
              </v:textbox>
              <w10:wrap type="none"/>
            </v:shape>
            <v:shape style="position:absolute;left:4376;top:2373;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15.90%</w:t>
                    </w:r>
                  </w:p>
                </w:txbxContent>
              </v:textbox>
              <w10:wrap type="none"/>
            </v:shape>
            <v:shape style="position:absolute;left:2620;top:2569;width:59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15.60%</w:t>
                    </w:r>
                  </w:p>
                </w:txbxContent>
              </v:textbox>
              <w10:wrap type="none"/>
            </v:shape>
            <v:shape style="position:absolute;left:7158;top:2431;width:987;height:689" type="#_x0000_t202" filled="false" stroked="false">
              <v:textbox inset="0,0,0,0">
                <w:txbxContent>
                  <w:p>
                    <w:pPr>
                      <w:spacing w:line="203" w:lineRule="exact" w:before="0"/>
                      <w:ind w:left="0" w:right="-20" w:firstLine="0"/>
                      <w:jc w:val="left"/>
                      <w:rPr>
                        <w:rFonts w:ascii="Calibri" w:hAnsi="Calibri"/>
                        <w:sz w:val="20"/>
                      </w:rPr>
                    </w:pPr>
                    <w:r>
                      <w:rPr>
                        <w:rFonts w:ascii="Calibri" w:hAnsi="Calibri"/>
                        <w:sz w:val="20"/>
                      </w:rPr>
                      <w:t>35 - 39 años</w:t>
                    </w:r>
                  </w:p>
                  <w:p>
                    <w:pPr>
                      <w:spacing w:line="240" w:lineRule="auto" w:before="4"/>
                      <w:rPr>
                        <w:sz w:val="21"/>
                      </w:rPr>
                    </w:pPr>
                  </w:p>
                  <w:p>
                    <w:pPr>
                      <w:spacing w:line="240" w:lineRule="exact" w:before="0"/>
                      <w:ind w:left="0" w:right="-20" w:firstLine="0"/>
                      <w:jc w:val="left"/>
                      <w:rPr>
                        <w:rFonts w:ascii="Calibri" w:hAnsi="Calibri"/>
                        <w:sz w:val="20"/>
                      </w:rPr>
                    </w:pPr>
                    <w:r>
                      <w:rPr>
                        <w:rFonts w:ascii="Calibri" w:hAnsi="Calibri"/>
                        <w:sz w:val="20"/>
                      </w:rPr>
                      <w:t>40 - 44 años</w:t>
                    </w:r>
                  </w:p>
                </w:txbxContent>
              </v:textbox>
              <w10:wrap type="none"/>
            </v:shape>
            <v:shape style="position:absolute;left:7158;top:3410;width:987;height:200" type="#_x0000_t202" filled="false" stroked="false">
              <v:textbox inset="0,0,0,0">
                <w:txbxContent>
                  <w:p>
                    <w:pPr>
                      <w:spacing w:line="199" w:lineRule="exact" w:before="0"/>
                      <w:ind w:left="0" w:right="-20" w:firstLine="0"/>
                      <w:jc w:val="left"/>
                      <w:rPr>
                        <w:rFonts w:ascii="Calibri" w:hAnsi="Calibri"/>
                        <w:sz w:val="20"/>
                      </w:rPr>
                    </w:pPr>
                    <w:r>
                      <w:rPr>
                        <w:rFonts w:ascii="Calibri" w:hAnsi="Calibri"/>
                        <w:sz w:val="20"/>
                      </w:rPr>
                      <w:t>45 - 49 años</w:t>
                    </w:r>
                  </w:p>
                </w:txbxContent>
              </v:textbox>
              <w10:wrap type="none"/>
            </v:shape>
          </v:group>
        </w:pict>
      </w:r>
      <w:r>
        <w:rPr>
          <w:sz w:val="20"/>
        </w:rPr>
      </w:r>
    </w:p>
    <w:p>
      <w:pPr>
        <w:spacing w:before="93"/>
        <w:ind w:left="1135" w:right="0" w:firstLine="0"/>
        <w:jc w:val="left"/>
        <w:rPr>
          <w:sz w:val="16"/>
        </w:rPr>
      </w:pPr>
      <w:r>
        <w:rPr>
          <w:sz w:val="16"/>
        </w:rPr>
        <w:t>Fuente: Encuesta Nacional de la Dinámica (ENADID) 2009.</w:t>
      </w:r>
    </w:p>
    <w:p>
      <w:pPr>
        <w:pStyle w:val="BodyText"/>
        <w:rPr>
          <w:sz w:val="16"/>
        </w:rPr>
      </w:pPr>
    </w:p>
    <w:p>
      <w:pPr>
        <w:pStyle w:val="BodyText"/>
        <w:rPr>
          <w:sz w:val="16"/>
        </w:rPr>
      </w:pPr>
    </w:p>
    <w:p>
      <w:pPr>
        <w:pStyle w:val="BodyText"/>
        <w:rPr>
          <w:sz w:val="16"/>
        </w:rPr>
      </w:pPr>
    </w:p>
    <w:p>
      <w:pPr>
        <w:pStyle w:val="BodyText"/>
        <w:spacing w:line="360" w:lineRule="auto" w:before="94"/>
        <w:ind w:left="142" w:right="141"/>
        <w:jc w:val="both"/>
      </w:pPr>
      <w:r>
        <w:rPr/>
        <w:t>Mejía, Alfonso (2005) señala cuatro elementos que determinan la situación de salud reproductiva en la zona metropolitana de Toluca, México que son: el inicio  de la vida sexual, las prácticas de riesgo, los patrones de nupcialidad y por último los embarazos no deseados y la fecundidad. Así mismo señala que las investigaciones al respecto de la salud reproductiva en las zonas metropolitanas no han tenido tanta relevancia y son escasas; señala también que las situaciones de salud reproductiva en el ámbito rural no son las mismas que en lo urbano, es decir que no se consideran homogéneas y </w:t>
      </w:r>
      <w:r>
        <w:rPr>
          <w:spacing w:val="2"/>
        </w:rPr>
        <w:t>por </w:t>
      </w:r>
      <w:r>
        <w:rPr/>
        <w:t>último se señala que aún siguen existiendo grandes diferencias en cuanto al género en la zona metropolitana, donde el género femenino es el más</w:t>
      </w:r>
      <w:r>
        <w:rPr>
          <w:spacing w:val="-16"/>
        </w:rPr>
        <w:t> </w:t>
      </w:r>
      <w:r>
        <w:rPr/>
        <w:t>vulnerable.</w:t>
      </w:r>
    </w:p>
    <w:p>
      <w:pPr>
        <w:pStyle w:val="BodyText"/>
      </w:pPr>
    </w:p>
    <w:p>
      <w:pPr>
        <w:pStyle w:val="BodyText"/>
        <w:spacing w:line="360" w:lineRule="auto" w:before="142"/>
        <w:ind w:left="142" w:right="138"/>
        <w:jc w:val="both"/>
      </w:pPr>
      <w:r>
        <w:rPr/>
        <w:t>Recientemente, durante el Foro: “Los grandes problemas nacionales”, organizado por el Movimiento Regeneración Nacional, señala </w:t>
      </w:r>
      <w:r>
        <w:rPr>
          <w:u w:val="single"/>
        </w:rPr>
        <w:t>El Universal </w:t>
      </w:r>
      <w:r>
        <w:rPr/>
        <w:t>(2012), que la educación sexual integral está basada en información científica y no dogmas religiosos, entre otros temas de la materia, son varios de los pendientes respecto a la sexualidad, de acuerdo con especialistas asistentes.</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BodyText"/>
        <w:spacing w:line="360" w:lineRule="auto" w:before="195"/>
        <w:ind w:left="142" w:right="135"/>
        <w:jc w:val="both"/>
      </w:pPr>
      <w:r>
        <w:rPr/>
        <w:t>Por otra parte, de a cuerdo con la jurisdicción sanitaria del Instituto de Salud del Estado de México (ISEM), encargada de regular lo referente a la zona de San Andrés Cuexcontitlán, los casos de embarazos en adolescentes son debido a dos causas principalmente, a la falta de información al respecto y el no uso de  métodos preventivos, sin dejar a un lado los casos de abuso sexual reportados en la zona. En palabras de la coordinadora municipal Toluca Cuexcontitlán,  la doctora María del Carmen López Ballesteros, otro aspecto a considerar es la temática social del área en cuestión, en la cual se pueden observar embarazos simultáneos de hijas, madres y abuelas para obtener el programa Oportunidades, el cual apoya a las mujeres con becas tanto económicas como de alimentación aunado a la baja escolaridad que hace que los casos de embarazos en adolescentes vayan</w:t>
      </w:r>
      <w:r>
        <w:rPr>
          <w:spacing w:val="-13"/>
        </w:rPr>
        <w:t> </w:t>
      </w:r>
      <w:r>
        <w:rPr/>
        <w:t>aumentando.</w:t>
      </w:r>
    </w:p>
    <w:p>
      <w:pPr>
        <w:pStyle w:val="BodyText"/>
      </w:pPr>
    </w:p>
    <w:p>
      <w:pPr>
        <w:pStyle w:val="BodyText"/>
        <w:spacing w:line="360" w:lineRule="auto" w:before="142"/>
        <w:ind w:left="142" w:right="138"/>
        <w:jc w:val="both"/>
      </w:pPr>
      <w:r>
        <w:rPr/>
        <w:t>Se tienen programas dirigidos a primarias, secundarias y escuelas técnicas con temáticas de métodos de planificación, embarazo no deseado, embarazo en el adolescente, embarazo de riesgo, enfermedades de transmisión sexual y VIH/SIDA, los cuales son impartidos por personal médico y de enfermería, quienes a su vez tienen capacitación constante en salud reproductiva y riesgos en el embarazo principalmente.</w:t>
      </w:r>
    </w:p>
    <w:p>
      <w:pPr>
        <w:pStyle w:val="BodyText"/>
      </w:pPr>
    </w:p>
    <w:p>
      <w:pPr>
        <w:pStyle w:val="BodyText"/>
        <w:spacing w:line="360" w:lineRule="auto" w:before="142"/>
        <w:ind w:left="142" w:right="136"/>
        <w:jc w:val="both"/>
      </w:pPr>
      <w:r>
        <w:rPr/>
        <w:t>En este primer nivel de atención el ISEM está enfocado en el 87% en la prevención informativa, dejando en consideración de los y la adolescentes el llevarlo a la práctica; así miso se tiene pensado implementar otro programa con bebes virtuales, donde las y los adolescentes se hacen cargo de bebés con tres características, un modelo es el bebé violentado donde se observan simulaciones de neuronas y partes del cerebro afectadas, otro modelo es el hijo de padres drogadictos que presenta desnutrición, y un tercer modelo que representa a un bebé normal.       </w:t>
      </w:r>
      <w:r>
        <w:rPr>
          <w:spacing w:val="64"/>
        </w:rPr>
        <w:t> </w:t>
      </w:r>
      <w:r>
        <w:rPr/>
        <w:t>Así mismo se cuenta con un mandil que simula un embarazo, el</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BodyText"/>
        <w:spacing w:line="360" w:lineRule="auto" w:before="195"/>
        <w:ind w:left="142" w:right="147"/>
        <w:jc w:val="both"/>
      </w:pPr>
      <w:r>
        <w:rPr/>
        <w:t>cual pretende dar cuenta a los adolescentes de las dificultades físicas por las que pasan las adolescentes en el momento del embarazo.</w:t>
      </w:r>
    </w:p>
    <w:p>
      <w:pPr>
        <w:pStyle w:val="BodyText"/>
      </w:pPr>
    </w:p>
    <w:p>
      <w:pPr>
        <w:pStyle w:val="BodyText"/>
        <w:spacing w:line="360" w:lineRule="auto" w:before="142"/>
        <w:ind w:left="142" w:right="143"/>
        <w:jc w:val="both"/>
      </w:pPr>
      <w:r>
        <w:rPr/>
        <w:t>De acuerdo con los datos censales recopilados diariamente por el Instituto de Salud la problemática referente a embarazos es adolecentes se observa en toda el área de San Andrés así como en todo el municipio de Toluca.</w:t>
      </w:r>
    </w:p>
    <w:p>
      <w:pPr>
        <w:pStyle w:val="BodyText"/>
      </w:pPr>
    </w:p>
    <w:p>
      <w:pPr>
        <w:pStyle w:val="BodyText"/>
        <w:spacing w:line="360" w:lineRule="auto" w:before="142"/>
        <w:ind w:left="142" w:right="145"/>
        <w:jc w:val="both"/>
      </w:pPr>
      <w:r>
        <w:rPr/>
        <w:t>Se ha observado que el alcance que se ha tenido con la información que se otorga dentro de la población a ayudado a que las mujeres embarazadas acudan a los centros de salud a recibir cuidados prenatales, sin embargo no se observa disminución en los casos de embarazos.</w:t>
      </w:r>
    </w:p>
    <w:p>
      <w:pPr>
        <w:pStyle w:val="BodyText"/>
      </w:pPr>
    </w:p>
    <w:p>
      <w:pPr>
        <w:pStyle w:val="BodyText"/>
        <w:spacing w:line="360" w:lineRule="auto" w:before="142"/>
        <w:ind w:left="142" w:right="141"/>
        <w:jc w:val="both"/>
      </w:pPr>
      <w:r>
        <w:rPr/>
        <w:t>En la zona de San Andrés Cuexcontitlán se cuenta con cuatro centros y dos casas de salud que en su nivel de atención primaria se enfocan mayoritariamente a la prevención, donde se da atención de medicina familiar, salud reproductiva, enfermedades crónicas degenerativas, medicina preventiva e inmunizaciones, prevención de violencia, servicio dental y nutricional; cuando dichos centros no pueden brindar la atención requerida, los y la pacientes son referidas a un segundo y tercer nivel de atención que son las áreas de hospitalización y servicios más</w:t>
      </w:r>
      <w:r>
        <w:rPr>
          <w:spacing w:val="-9"/>
        </w:rPr>
        <w:t> </w:t>
      </w:r>
      <w:r>
        <w:rPr/>
        <w:t>especializados.</w:t>
      </w:r>
    </w:p>
    <w:p>
      <w:pPr>
        <w:pStyle w:val="BodyText"/>
      </w:pPr>
    </w:p>
    <w:p>
      <w:pPr>
        <w:pStyle w:val="BodyText"/>
        <w:spacing w:line="360" w:lineRule="auto" w:before="142"/>
        <w:ind w:left="142" w:right="139"/>
        <w:jc w:val="both"/>
      </w:pPr>
      <w:r>
        <w:rPr/>
        <w:t>En referencia a la temática de salud sexual y reproductiva, en el Colegio de Bachilleres plantel Toluca III, la forma de trabajar estos temas se hacen de acuerdo a las necesidades e inquietudes que manifiestan los alumnos de cuarto quinto y sexto semestre. El área de Orientación es la encargada de  recopilar dichos datos y al mismo tiempo son quienes proporcionan la información que requieren los y las</w:t>
      </w:r>
      <w:r>
        <w:rPr>
          <w:spacing w:val="-6"/>
        </w:rPr>
        <w:t> </w:t>
      </w:r>
      <w:r>
        <w:rPr/>
        <w:t>estudiantes.</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BodyText"/>
        <w:spacing w:line="360" w:lineRule="auto" w:before="195"/>
        <w:ind w:left="142" w:right="136"/>
        <w:jc w:val="both"/>
      </w:pPr>
      <w:r>
        <w:rPr/>
        <w:t>Las temáticas tratadas con más incidencia son las referentes a prevención de drogas, salud sexual y reproductiva, sexualidad y sexo seguro así como métodos anticonceptivos y enfermedades de transmisión sexual, sin embargo las temáticas no son tratadas bajo un esquema de género. En este sentido se tiene el apoyo de instituciones civiles como a Fundación TAMAR, que actualmente otorga a los y las alumnas un taller sabatino sobre sexualidad y activación física; cuando los casos no pueden ser tratados en la escuela son canalizados al Centro de Educación  para la Atención de Jóvenes y Adultos (CEAJA) “Agustín González</w:t>
      </w:r>
      <w:r>
        <w:rPr>
          <w:spacing w:val="-27"/>
        </w:rPr>
        <w:t> </w:t>
      </w:r>
      <w:r>
        <w:rPr/>
        <w:t>Plata”.</w:t>
      </w:r>
    </w:p>
    <w:p>
      <w:pPr>
        <w:pStyle w:val="BodyText"/>
      </w:pPr>
    </w:p>
    <w:p>
      <w:pPr>
        <w:pStyle w:val="BodyText"/>
        <w:spacing w:line="360" w:lineRule="auto" w:before="142"/>
        <w:ind w:left="142" w:right="144"/>
        <w:jc w:val="both"/>
      </w:pPr>
      <w:r>
        <w:rPr/>
        <w:t>Como se puede observar la salud sexual y reproductiva en adolescentes es un tema de importancia para la población y a pesar de que es tratada con importancia, los resultados hasta ahora se tienen son pocos, debido tal vez al enfoque con el cual es abordado, es por esto que se pretende realizar un taller de sensibilización y con perspectiva de</w:t>
      </w:r>
      <w:r>
        <w:rPr>
          <w:spacing w:val="-11"/>
        </w:rPr>
        <w:t> </w:t>
      </w:r>
      <w:r>
        <w:rPr/>
        <w:t>género.</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pStyle w:val="Heading1"/>
        <w:spacing w:before="70"/>
        <w:ind w:left="222"/>
        <w:jc w:val="left"/>
      </w:pPr>
      <w:r>
        <w:rPr/>
        <w:t>Árbol de problemas.</w:t>
      </w:r>
    </w:p>
    <w:p>
      <w:pPr>
        <w:pStyle w:val="BodyText"/>
        <w:spacing w:before="4"/>
        <w:rPr>
          <w:b/>
          <w:sz w:val="2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44"/>
        <w:gridCol w:w="1044"/>
        <w:gridCol w:w="1045"/>
        <w:gridCol w:w="1046"/>
        <w:gridCol w:w="1044"/>
        <w:gridCol w:w="1046"/>
        <w:gridCol w:w="1044"/>
        <w:gridCol w:w="1047"/>
        <w:gridCol w:w="1043"/>
      </w:tblGrid>
      <w:tr>
        <w:trPr>
          <w:trHeight w:val="3217" w:hRule="exact"/>
        </w:trPr>
        <w:tc>
          <w:tcPr>
            <w:tcW w:w="1044" w:type="dxa"/>
            <w:textDirection w:val="btLr"/>
          </w:tcPr>
          <w:p>
            <w:pPr>
              <w:pStyle w:val="TableParagraph"/>
              <w:rPr>
                <w:rFonts w:ascii="Arial"/>
                <w:b/>
                <w:sz w:val="22"/>
              </w:rPr>
            </w:pPr>
          </w:p>
          <w:p>
            <w:pPr>
              <w:pStyle w:val="TableParagraph"/>
              <w:spacing w:before="176"/>
              <w:ind w:left="-1" w:right="527"/>
              <w:rPr>
                <w:sz w:val="22"/>
              </w:rPr>
            </w:pPr>
            <w:r>
              <w:rPr>
                <w:spacing w:val="-1"/>
                <w:w w:val="100"/>
                <w:sz w:val="22"/>
              </w:rPr>
              <w:t>E</w:t>
            </w:r>
            <w:r>
              <w:rPr>
                <w:spacing w:val="1"/>
                <w:w w:val="100"/>
                <w:sz w:val="22"/>
              </w:rPr>
              <w:t>m</w:t>
            </w:r>
            <w:r>
              <w:rPr>
                <w:spacing w:val="-1"/>
                <w:w w:val="100"/>
                <w:sz w:val="22"/>
              </w:rPr>
              <w:t>b</w:t>
            </w:r>
            <w:r>
              <w:rPr>
                <w:w w:val="100"/>
                <w:sz w:val="22"/>
              </w:rPr>
              <w:t>ara</w:t>
            </w:r>
            <w:r>
              <w:rPr>
                <w:spacing w:val="-2"/>
                <w:w w:val="100"/>
                <w:sz w:val="22"/>
              </w:rPr>
              <w:t>zo</w:t>
            </w:r>
            <w:r>
              <w:rPr>
                <w:w w:val="100"/>
                <w:sz w:val="22"/>
              </w:rPr>
              <w:t>s</w:t>
            </w:r>
            <w:r>
              <w:rPr>
                <w:sz w:val="22"/>
              </w:rPr>
              <w:t> </w:t>
            </w:r>
            <w:r>
              <w:rPr>
                <w:spacing w:val="-1"/>
                <w:w w:val="100"/>
                <w:sz w:val="22"/>
              </w:rPr>
              <w:t>n</w:t>
            </w:r>
            <w:r>
              <w:rPr>
                <w:w w:val="100"/>
                <w:sz w:val="22"/>
              </w:rPr>
              <w:t>o</w:t>
            </w:r>
            <w:r>
              <w:rPr>
                <w:spacing w:val="-2"/>
                <w:sz w:val="22"/>
              </w:rPr>
              <w:t> </w:t>
            </w:r>
            <w:r>
              <w:rPr>
                <w:spacing w:val="-1"/>
                <w:w w:val="100"/>
                <w:sz w:val="22"/>
              </w:rPr>
              <w:t>des</w:t>
            </w:r>
            <w:r>
              <w:rPr>
                <w:spacing w:val="-2"/>
                <w:w w:val="100"/>
                <w:sz w:val="22"/>
              </w:rPr>
              <w:t>e</w:t>
            </w:r>
            <w:r>
              <w:rPr>
                <w:w w:val="100"/>
                <w:sz w:val="22"/>
              </w:rPr>
              <w:t>a</w:t>
            </w:r>
            <w:r>
              <w:rPr>
                <w:spacing w:val="-1"/>
                <w:w w:val="100"/>
                <w:sz w:val="22"/>
              </w:rPr>
              <w:t>d</w:t>
            </w:r>
            <w:r>
              <w:rPr>
                <w:spacing w:val="1"/>
                <w:w w:val="100"/>
                <w:sz w:val="22"/>
              </w:rPr>
              <w:t>o</w:t>
            </w:r>
            <w:r>
              <w:rPr>
                <w:w w:val="100"/>
                <w:sz w:val="22"/>
              </w:rPr>
              <w:t>s</w:t>
            </w:r>
          </w:p>
        </w:tc>
        <w:tc>
          <w:tcPr>
            <w:tcW w:w="1044" w:type="dxa"/>
            <w:textDirection w:val="btLr"/>
          </w:tcPr>
          <w:p>
            <w:pPr>
              <w:pStyle w:val="TableParagraph"/>
              <w:spacing w:before="4"/>
              <w:rPr>
                <w:rFonts w:ascii="Arial"/>
                <w:b/>
                <w:sz w:val="25"/>
              </w:rPr>
            </w:pPr>
          </w:p>
          <w:p>
            <w:pPr>
              <w:pStyle w:val="TableParagraph"/>
              <w:spacing w:line="247" w:lineRule="auto"/>
              <w:ind w:left="-1" w:right="527"/>
              <w:rPr>
                <w:sz w:val="22"/>
              </w:rPr>
            </w:pPr>
            <w:r>
              <w:rPr>
                <w:spacing w:val="-1"/>
                <w:w w:val="100"/>
                <w:sz w:val="22"/>
              </w:rPr>
              <w:t>Enfer</w:t>
            </w:r>
            <w:r>
              <w:rPr>
                <w:spacing w:val="-2"/>
                <w:w w:val="100"/>
                <w:sz w:val="22"/>
              </w:rPr>
              <w:t>m</w:t>
            </w:r>
            <w:r>
              <w:rPr>
                <w:w w:val="100"/>
                <w:sz w:val="22"/>
              </w:rPr>
              <w:t>eda</w:t>
            </w:r>
            <w:r>
              <w:rPr>
                <w:spacing w:val="-2"/>
                <w:w w:val="100"/>
                <w:sz w:val="22"/>
              </w:rPr>
              <w:t>d</w:t>
            </w:r>
            <w:r>
              <w:rPr>
                <w:w w:val="100"/>
                <w:sz w:val="22"/>
              </w:rPr>
              <w:t>es</w:t>
            </w:r>
            <w:r>
              <w:rPr>
                <w:sz w:val="22"/>
              </w:rPr>
              <w:t> </w:t>
            </w:r>
            <w:r>
              <w:rPr>
                <w:spacing w:val="-1"/>
                <w:w w:val="100"/>
                <w:sz w:val="22"/>
              </w:rPr>
              <w:t>d</w:t>
            </w:r>
            <w:r>
              <w:rPr>
                <w:w w:val="100"/>
                <w:sz w:val="22"/>
              </w:rPr>
              <w:t>e</w:t>
            </w:r>
            <w:r>
              <w:rPr>
                <w:spacing w:val="-2"/>
                <w:sz w:val="22"/>
              </w:rPr>
              <w:t> </w:t>
            </w:r>
            <w:r>
              <w:rPr>
                <w:w w:val="100"/>
                <w:sz w:val="22"/>
              </w:rPr>
              <w:t>tra</w:t>
            </w:r>
            <w:r>
              <w:rPr>
                <w:spacing w:val="-1"/>
                <w:w w:val="100"/>
                <w:sz w:val="22"/>
              </w:rPr>
              <w:t>n</w:t>
            </w:r>
            <w:r>
              <w:rPr>
                <w:spacing w:val="-3"/>
                <w:w w:val="100"/>
                <w:sz w:val="22"/>
              </w:rPr>
              <w:t>s</w:t>
            </w:r>
            <w:r>
              <w:rPr>
                <w:w w:val="100"/>
                <w:sz w:val="22"/>
              </w:rPr>
              <w:t>mis</w:t>
            </w:r>
            <w:r>
              <w:rPr>
                <w:spacing w:val="-4"/>
                <w:w w:val="100"/>
                <w:sz w:val="22"/>
              </w:rPr>
              <w:t>i</w:t>
            </w:r>
            <w:r>
              <w:rPr>
                <w:spacing w:val="1"/>
                <w:w w:val="100"/>
                <w:sz w:val="22"/>
              </w:rPr>
              <w:t>ó</w:t>
            </w:r>
            <w:r>
              <w:rPr>
                <w:w w:val="100"/>
                <w:sz w:val="22"/>
              </w:rPr>
              <w:t>n </w:t>
            </w:r>
            <w:r>
              <w:rPr>
                <w:spacing w:val="-1"/>
                <w:w w:val="100"/>
                <w:sz w:val="22"/>
              </w:rPr>
              <w:t>se</w:t>
            </w:r>
            <w:r>
              <w:rPr>
                <w:w w:val="100"/>
                <w:sz w:val="22"/>
              </w:rPr>
              <w:t>x</w:t>
            </w:r>
            <w:r>
              <w:rPr>
                <w:spacing w:val="-1"/>
                <w:w w:val="100"/>
                <w:sz w:val="22"/>
              </w:rPr>
              <w:t>u</w:t>
            </w:r>
            <w:r>
              <w:rPr>
                <w:w w:val="100"/>
                <w:sz w:val="22"/>
              </w:rPr>
              <w:t>al</w:t>
            </w:r>
          </w:p>
        </w:tc>
        <w:tc>
          <w:tcPr>
            <w:tcW w:w="1045" w:type="dxa"/>
            <w:textDirection w:val="btLr"/>
          </w:tcPr>
          <w:p>
            <w:pPr>
              <w:pStyle w:val="TableParagraph"/>
              <w:spacing w:before="5"/>
              <w:rPr>
                <w:rFonts w:ascii="Arial"/>
                <w:b/>
                <w:sz w:val="25"/>
              </w:rPr>
            </w:pPr>
          </w:p>
          <w:p>
            <w:pPr>
              <w:pStyle w:val="TableParagraph"/>
              <w:spacing w:line="247" w:lineRule="auto"/>
              <w:ind w:left="-1" w:right="73"/>
              <w:rPr>
                <w:sz w:val="22"/>
              </w:rPr>
            </w:pPr>
            <w:r>
              <w:rPr>
                <w:w w:val="100"/>
                <w:sz w:val="22"/>
              </w:rPr>
              <w:t>U</w:t>
            </w:r>
            <w:r>
              <w:rPr>
                <w:spacing w:val="-1"/>
                <w:w w:val="100"/>
                <w:sz w:val="22"/>
              </w:rPr>
              <w:t>n</w:t>
            </w:r>
            <w:r>
              <w:rPr>
                <w:w w:val="100"/>
                <w:sz w:val="22"/>
              </w:rPr>
              <w:t>io</w:t>
            </w:r>
            <w:r>
              <w:rPr>
                <w:spacing w:val="-1"/>
                <w:w w:val="100"/>
                <w:sz w:val="22"/>
              </w:rPr>
              <w:t>n</w:t>
            </w:r>
            <w:r>
              <w:rPr>
                <w:w w:val="100"/>
                <w:sz w:val="22"/>
              </w:rPr>
              <w:t>es</w:t>
            </w:r>
            <w:r>
              <w:rPr>
                <w:spacing w:val="-2"/>
                <w:sz w:val="22"/>
              </w:rPr>
              <w:t> </w:t>
            </w:r>
            <w:r>
              <w:rPr>
                <w:w w:val="100"/>
                <w:sz w:val="22"/>
              </w:rPr>
              <w:t>y</w:t>
            </w:r>
            <w:r>
              <w:rPr>
                <w:spacing w:val="-2"/>
                <w:w w:val="100"/>
                <w:sz w:val="22"/>
              </w:rPr>
              <w:t>/</w:t>
            </w:r>
            <w:r>
              <w:rPr>
                <w:w w:val="100"/>
                <w:sz w:val="22"/>
              </w:rPr>
              <w:t>o</w:t>
            </w:r>
            <w:r>
              <w:rPr>
                <w:spacing w:val="-1"/>
                <w:sz w:val="22"/>
              </w:rPr>
              <w:t> </w:t>
            </w:r>
            <w:r>
              <w:rPr>
                <w:w w:val="100"/>
                <w:sz w:val="22"/>
              </w:rPr>
              <w:t>matr</w:t>
            </w:r>
            <w:r>
              <w:rPr>
                <w:spacing w:val="-3"/>
                <w:w w:val="100"/>
                <w:sz w:val="22"/>
              </w:rPr>
              <w:t>i</w:t>
            </w:r>
            <w:r>
              <w:rPr>
                <w:spacing w:val="-2"/>
                <w:w w:val="100"/>
                <w:sz w:val="22"/>
              </w:rPr>
              <w:t>m</w:t>
            </w:r>
            <w:r>
              <w:rPr>
                <w:spacing w:val="1"/>
                <w:w w:val="100"/>
                <w:sz w:val="22"/>
              </w:rPr>
              <w:t>o</w:t>
            </w:r>
            <w:r>
              <w:rPr>
                <w:spacing w:val="-1"/>
                <w:w w:val="100"/>
                <w:sz w:val="22"/>
              </w:rPr>
              <w:t>n</w:t>
            </w:r>
            <w:r>
              <w:rPr>
                <w:w w:val="100"/>
                <w:sz w:val="22"/>
              </w:rPr>
              <w:t>ios</w:t>
            </w:r>
            <w:r>
              <w:rPr>
                <w:spacing w:val="-3"/>
                <w:sz w:val="22"/>
              </w:rPr>
              <w:t> </w:t>
            </w:r>
            <w:r>
              <w:rPr>
                <w:w w:val="100"/>
                <w:sz w:val="22"/>
              </w:rPr>
              <w:t>a</w:t>
            </w:r>
            <w:r>
              <w:rPr>
                <w:spacing w:val="-2"/>
                <w:sz w:val="22"/>
              </w:rPr>
              <w:t> </w:t>
            </w:r>
            <w:r>
              <w:rPr>
                <w:w w:val="100"/>
                <w:sz w:val="22"/>
              </w:rPr>
              <w:t>e</w:t>
            </w:r>
            <w:r>
              <w:rPr>
                <w:spacing w:val="-1"/>
                <w:w w:val="100"/>
                <w:sz w:val="22"/>
              </w:rPr>
              <w:t>d</w:t>
            </w:r>
            <w:r>
              <w:rPr>
                <w:w w:val="100"/>
                <w:sz w:val="22"/>
              </w:rPr>
              <w:t>a</w:t>
            </w:r>
            <w:r>
              <w:rPr>
                <w:spacing w:val="-1"/>
                <w:w w:val="100"/>
                <w:sz w:val="22"/>
              </w:rPr>
              <w:t>d</w:t>
            </w:r>
            <w:r>
              <w:rPr>
                <w:w w:val="100"/>
                <w:sz w:val="22"/>
              </w:rPr>
              <w:t>es tem</w:t>
            </w:r>
            <w:r>
              <w:rPr>
                <w:spacing w:val="-1"/>
                <w:w w:val="100"/>
                <w:sz w:val="22"/>
              </w:rPr>
              <w:t>p</w:t>
            </w:r>
            <w:r>
              <w:rPr>
                <w:w w:val="100"/>
                <w:sz w:val="22"/>
              </w:rPr>
              <w:t>ra</w:t>
            </w:r>
            <w:r>
              <w:rPr>
                <w:spacing w:val="-2"/>
                <w:w w:val="100"/>
                <w:sz w:val="22"/>
              </w:rPr>
              <w:t>n</w:t>
            </w:r>
            <w:r>
              <w:rPr>
                <w:w w:val="100"/>
                <w:sz w:val="22"/>
              </w:rPr>
              <w:t>as</w:t>
            </w:r>
          </w:p>
        </w:tc>
        <w:tc>
          <w:tcPr>
            <w:tcW w:w="1046" w:type="dxa"/>
            <w:textDirection w:val="btLr"/>
          </w:tcPr>
          <w:p>
            <w:pPr>
              <w:pStyle w:val="TableParagraph"/>
              <w:rPr>
                <w:rFonts w:ascii="Arial"/>
                <w:b/>
                <w:sz w:val="22"/>
              </w:rPr>
            </w:pPr>
          </w:p>
          <w:p>
            <w:pPr>
              <w:pStyle w:val="TableParagraph"/>
              <w:spacing w:before="178"/>
              <w:ind w:left="-1"/>
              <w:rPr>
                <w:sz w:val="22"/>
              </w:rPr>
            </w:pPr>
            <w:r>
              <w:rPr>
                <w:w w:val="100"/>
                <w:sz w:val="22"/>
              </w:rPr>
              <w:t>Riesgos</w:t>
            </w:r>
            <w:r>
              <w:rPr>
                <w:spacing w:val="-3"/>
                <w:sz w:val="22"/>
              </w:rPr>
              <w:t> </w:t>
            </w:r>
            <w:r>
              <w:rPr>
                <w:w w:val="100"/>
                <w:sz w:val="22"/>
              </w:rPr>
              <w:t>en</w:t>
            </w:r>
            <w:r>
              <w:rPr>
                <w:spacing w:val="-1"/>
                <w:sz w:val="22"/>
              </w:rPr>
              <w:t> </w:t>
            </w:r>
            <w:r>
              <w:rPr>
                <w:w w:val="100"/>
                <w:sz w:val="22"/>
              </w:rPr>
              <w:t>la</w:t>
            </w:r>
            <w:r>
              <w:rPr>
                <w:spacing w:val="-2"/>
                <w:sz w:val="22"/>
              </w:rPr>
              <w:t> </w:t>
            </w:r>
            <w:r>
              <w:rPr>
                <w:spacing w:val="-1"/>
                <w:w w:val="100"/>
                <w:sz w:val="22"/>
              </w:rPr>
              <w:t>sal</w:t>
            </w:r>
            <w:r>
              <w:rPr>
                <w:spacing w:val="-2"/>
                <w:w w:val="100"/>
                <w:sz w:val="22"/>
              </w:rPr>
              <w:t>u</w:t>
            </w:r>
            <w:r>
              <w:rPr>
                <w:w w:val="100"/>
                <w:sz w:val="22"/>
              </w:rPr>
              <w:t>d</w:t>
            </w:r>
            <w:r>
              <w:rPr>
                <w:spacing w:val="-1"/>
                <w:sz w:val="22"/>
              </w:rPr>
              <w:t> </w:t>
            </w:r>
            <w:r>
              <w:rPr>
                <w:spacing w:val="1"/>
                <w:w w:val="100"/>
                <w:sz w:val="22"/>
              </w:rPr>
              <w:t>m</w:t>
            </w:r>
            <w:r>
              <w:rPr>
                <w:spacing w:val="-3"/>
                <w:w w:val="100"/>
                <w:sz w:val="22"/>
              </w:rPr>
              <w:t>a</w:t>
            </w:r>
            <w:r>
              <w:rPr>
                <w:w w:val="100"/>
                <w:sz w:val="22"/>
              </w:rPr>
              <w:t>ter</w:t>
            </w:r>
            <w:r>
              <w:rPr>
                <w:spacing w:val="-4"/>
                <w:w w:val="100"/>
                <w:sz w:val="22"/>
              </w:rPr>
              <w:t>n</w:t>
            </w:r>
            <w:r>
              <w:rPr>
                <w:w w:val="100"/>
                <w:sz w:val="22"/>
              </w:rPr>
              <w:t>o</w:t>
            </w:r>
            <w:r>
              <w:rPr>
                <w:spacing w:val="1"/>
                <w:sz w:val="22"/>
              </w:rPr>
              <w:t> </w:t>
            </w:r>
            <w:r>
              <w:rPr>
                <w:w w:val="100"/>
                <w:sz w:val="22"/>
              </w:rPr>
              <w:t>in</w:t>
            </w:r>
            <w:r>
              <w:rPr>
                <w:spacing w:val="-1"/>
                <w:w w:val="100"/>
                <w:sz w:val="22"/>
              </w:rPr>
              <w:t>f</w:t>
            </w:r>
            <w:r>
              <w:rPr>
                <w:w w:val="100"/>
                <w:sz w:val="22"/>
              </w:rPr>
              <w:t>a</w:t>
            </w:r>
            <w:r>
              <w:rPr>
                <w:spacing w:val="-1"/>
                <w:w w:val="100"/>
                <w:sz w:val="22"/>
              </w:rPr>
              <w:t>n</w:t>
            </w:r>
            <w:r>
              <w:rPr>
                <w:w w:val="100"/>
                <w:sz w:val="22"/>
              </w:rPr>
              <w:t>til</w:t>
            </w:r>
          </w:p>
        </w:tc>
        <w:tc>
          <w:tcPr>
            <w:tcW w:w="1044" w:type="dxa"/>
            <w:textDirection w:val="btLr"/>
          </w:tcPr>
          <w:p>
            <w:pPr>
              <w:pStyle w:val="TableParagraph"/>
              <w:rPr>
                <w:rFonts w:ascii="Arial"/>
                <w:b/>
                <w:sz w:val="22"/>
              </w:rPr>
            </w:pPr>
          </w:p>
          <w:p>
            <w:pPr>
              <w:pStyle w:val="TableParagraph"/>
              <w:spacing w:before="176"/>
              <w:ind w:left="-1" w:right="527"/>
              <w:rPr>
                <w:sz w:val="22"/>
              </w:rPr>
            </w:pPr>
            <w:r>
              <w:rPr>
                <w:w w:val="100"/>
                <w:sz w:val="22"/>
              </w:rPr>
              <w:t>A</w:t>
            </w:r>
            <w:r>
              <w:rPr>
                <w:spacing w:val="-2"/>
                <w:w w:val="100"/>
                <w:sz w:val="22"/>
              </w:rPr>
              <w:t>b</w:t>
            </w:r>
            <w:r>
              <w:rPr>
                <w:spacing w:val="-1"/>
                <w:w w:val="100"/>
                <w:sz w:val="22"/>
              </w:rPr>
              <w:t>us</w:t>
            </w:r>
            <w:r>
              <w:rPr>
                <w:w w:val="100"/>
                <w:sz w:val="22"/>
              </w:rPr>
              <w:t>o</w:t>
            </w:r>
            <w:r>
              <w:rPr>
                <w:spacing w:val="1"/>
                <w:sz w:val="22"/>
              </w:rPr>
              <w:t> </w:t>
            </w:r>
            <w:r>
              <w:rPr>
                <w:spacing w:val="-1"/>
                <w:w w:val="100"/>
                <w:sz w:val="22"/>
              </w:rPr>
              <w:t>s</w:t>
            </w:r>
            <w:r>
              <w:rPr>
                <w:spacing w:val="-2"/>
                <w:w w:val="100"/>
                <w:sz w:val="22"/>
              </w:rPr>
              <w:t>e</w:t>
            </w:r>
            <w:r>
              <w:rPr>
                <w:spacing w:val="-1"/>
                <w:w w:val="100"/>
                <w:sz w:val="22"/>
              </w:rPr>
              <w:t>xual</w:t>
            </w:r>
          </w:p>
        </w:tc>
        <w:tc>
          <w:tcPr>
            <w:tcW w:w="1046" w:type="dxa"/>
            <w:textDirection w:val="btLr"/>
          </w:tcPr>
          <w:p>
            <w:pPr>
              <w:pStyle w:val="TableParagraph"/>
              <w:rPr>
                <w:rFonts w:ascii="Arial"/>
                <w:b/>
                <w:sz w:val="22"/>
              </w:rPr>
            </w:pPr>
          </w:p>
          <w:p>
            <w:pPr>
              <w:pStyle w:val="TableParagraph"/>
              <w:spacing w:before="178"/>
              <w:ind w:left="-1" w:right="527"/>
              <w:rPr>
                <w:sz w:val="22"/>
              </w:rPr>
            </w:pPr>
            <w:r>
              <w:rPr>
                <w:w w:val="100"/>
                <w:sz w:val="22"/>
              </w:rPr>
              <w:t>Mater</w:t>
            </w:r>
            <w:r>
              <w:rPr>
                <w:spacing w:val="-1"/>
                <w:w w:val="100"/>
                <w:sz w:val="22"/>
              </w:rPr>
              <w:t>n</w:t>
            </w:r>
            <w:r>
              <w:rPr>
                <w:w w:val="100"/>
                <w:sz w:val="22"/>
              </w:rPr>
              <w:t>i</w:t>
            </w:r>
            <w:r>
              <w:rPr>
                <w:spacing w:val="-2"/>
                <w:w w:val="100"/>
                <w:sz w:val="22"/>
              </w:rPr>
              <w:t>d</w:t>
            </w:r>
            <w:r>
              <w:rPr>
                <w:w w:val="100"/>
                <w:sz w:val="22"/>
              </w:rPr>
              <w:t>ad</w:t>
            </w:r>
            <w:r>
              <w:rPr>
                <w:spacing w:val="-3"/>
                <w:sz w:val="22"/>
              </w:rPr>
              <w:t> </w:t>
            </w:r>
            <w:r>
              <w:rPr>
                <w:w w:val="100"/>
                <w:sz w:val="22"/>
              </w:rPr>
              <w:t>en</w:t>
            </w:r>
            <w:r>
              <w:rPr>
                <w:sz w:val="22"/>
              </w:rPr>
              <w:t> </w:t>
            </w:r>
            <w:r>
              <w:rPr>
                <w:spacing w:val="-3"/>
                <w:w w:val="100"/>
                <w:sz w:val="22"/>
              </w:rPr>
              <w:t>s</w:t>
            </w:r>
            <w:r>
              <w:rPr>
                <w:spacing w:val="1"/>
                <w:w w:val="100"/>
                <w:sz w:val="22"/>
              </w:rPr>
              <w:t>o</w:t>
            </w:r>
            <w:r>
              <w:rPr>
                <w:w w:val="100"/>
                <w:sz w:val="22"/>
              </w:rPr>
              <w:t>ltería</w:t>
            </w:r>
          </w:p>
        </w:tc>
        <w:tc>
          <w:tcPr>
            <w:tcW w:w="1044" w:type="dxa"/>
            <w:textDirection w:val="btLr"/>
          </w:tcPr>
          <w:p>
            <w:pPr>
              <w:pStyle w:val="TableParagraph"/>
              <w:spacing w:before="4"/>
              <w:rPr>
                <w:rFonts w:ascii="Arial"/>
                <w:b/>
                <w:sz w:val="25"/>
              </w:rPr>
            </w:pPr>
          </w:p>
          <w:p>
            <w:pPr>
              <w:pStyle w:val="TableParagraph"/>
              <w:ind w:left="-1" w:right="527"/>
              <w:rPr>
                <w:sz w:val="22"/>
              </w:rPr>
            </w:pPr>
            <w:r>
              <w:rPr>
                <w:w w:val="100"/>
                <w:sz w:val="22"/>
              </w:rPr>
              <w:t>A</w:t>
            </w:r>
            <w:r>
              <w:rPr>
                <w:spacing w:val="-2"/>
                <w:w w:val="100"/>
                <w:sz w:val="22"/>
              </w:rPr>
              <w:t>b</w:t>
            </w:r>
            <w:r>
              <w:rPr>
                <w:spacing w:val="1"/>
                <w:w w:val="100"/>
                <w:sz w:val="22"/>
              </w:rPr>
              <w:t>o</w:t>
            </w:r>
            <w:r>
              <w:rPr>
                <w:w w:val="100"/>
                <w:sz w:val="22"/>
              </w:rPr>
              <w:t>rt</w:t>
            </w:r>
            <w:r>
              <w:rPr>
                <w:spacing w:val="-2"/>
                <w:w w:val="100"/>
                <w:sz w:val="22"/>
              </w:rPr>
              <w:t>o</w:t>
            </w:r>
            <w:r>
              <w:rPr>
                <w:w w:val="100"/>
                <w:sz w:val="22"/>
              </w:rPr>
              <w:t>s</w:t>
            </w:r>
          </w:p>
        </w:tc>
        <w:tc>
          <w:tcPr>
            <w:tcW w:w="1047" w:type="dxa"/>
            <w:textDirection w:val="btLr"/>
          </w:tcPr>
          <w:p>
            <w:pPr>
              <w:pStyle w:val="TableParagraph"/>
              <w:spacing w:before="5"/>
              <w:rPr>
                <w:rFonts w:ascii="Arial"/>
                <w:b/>
                <w:sz w:val="25"/>
              </w:rPr>
            </w:pPr>
          </w:p>
          <w:p>
            <w:pPr>
              <w:pStyle w:val="TableParagraph"/>
              <w:spacing w:line="247" w:lineRule="auto"/>
              <w:ind w:left="-1" w:right="510"/>
              <w:rPr>
                <w:sz w:val="22"/>
              </w:rPr>
            </w:pPr>
            <w:r>
              <w:rPr>
                <w:spacing w:val="-1"/>
                <w:w w:val="100"/>
                <w:sz w:val="22"/>
              </w:rPr>
              <w:t>C</w:t>
            </w:r>
            <w:r>
              <w:rPr>
                <w:w w:val="100"/>
                <w:sz w:val="22"/>
              </w:rPr>
              <w:t>o</w:t>
            </w:r>
            <w:r>
              <w:rPr>
                <w:spacing w:val="-1"/>
                <w:w w:val="100"/>
                <w:sz w:val="22"/>
              </w:rPr>
              <w:t>nd</w:t>
            </w:r>
            <w:r>
              <w:rPr>
                <w:w w:val="100"/>
                <w:sz w:val="22"/>
              </w:rPr>
              <w:t>icio</w:t>
            </w:r>
            <w:r>
              <w:rPr>
                <w:spacing w:val="-1"/>
                <w:w w:val="100"/>
                <w:sz w:val="22"/>
              </w:rPr>
              <w:t>n</w:t>
            </w:r>
            <w:r>
              <w:rPr>
                <w:spacing w:val="-2"/>
                <w:w w:val="100"/>
                <w:sz w:val="22"/>
              </w:rPr>
              <w:t>e</w:t>
            </w:r>
            <w:r>
              <w:rPr>
                <w:w w:val="100"/>
                <w:sz w:val="22"/>
              </w:rPr>
              <w:t>s</w:t>
            </w:r>
            <w:r>
              <w:rPr>
                <w:sz w:val="22"/>
              </w:rPr>
              <w:t> </w:t>
            </w:r>
            <w:r>
              <w:rPr>
                <w:spacing w:val="-1"/>
                <w:w w:val="100"/>
                <w:sz w:val="22"/>
              </w:rPr>
              <w:t>d</w:t>
            </w:r>
            <w:r>
              <w:rPr>
                <w:w w:val="100"/>
                <w:sz w:val="22"/>
              </w:rPr>
              <w:t>e</w:t>
            </w:r>
            <w:r>
              <w:rPr>
                <w:spacing w:val="-2"/>
                <w:sz w:val="22"/>
              </w:rPr>
              <w:t> </w:t>
            </w:r>
            <w:r>
              <w:rPr>
                <w:w w:val="100"/>
                <w:sz w:val="22"/>
              </w:rPr>
              <w:t>v</w:t>
            </w:r>
            <w:r>
              <w:rPr>
                <w:spacing w:val="-1"/>
                <w:w w:val="100"/>
                <w:sz w:val="22"/>
              </w:rPr>
              <w:t>u</w:t>
            </w:r>
            <w:r>
              <w:rPr>
                <w:w w:val="100"/>
                <w:sz w:val="22"/>
              </w:rPr>
              <w:t>l</w:t>
            </w:r>
            <w:r>
              <w:rPr>
                <w:spacing w:val="-2"/>
                <w:w w:val="100"/>
                <w:sz w:val="22"/>
              </w:rPr>
              <w:t>n</w:t>
            </w:r>
            <w:r>
              <w:rPr>
                <w:w w:val="100"/>
                <w:sz w:val="22"/>
              </w:rPr>
              <w:t>era</w:t>
            </w:r>
            <w:r>
              <w:rPr>
                <w:spacing w:val="-1"/>
                <w:w w:val="100"/>
                <w:sz w:val="22"/>
              </w:rPr>
              <w:t>b</w:t>
            </w:r>
            <w:r>
              <w:rPr>
                <w:w w:val="100"/>
                <w:sz w:val="22"/>
              </w:rPr>
              <w:t>i</w:t>
            </w:r>
            <w:r>
              <w:rPr>
                <w:spacing w:val="-1"/>
                <w:w w:val="100"/>
                <w:sz w:val="22"/>
              </w:rPr>
              <w:t>l</w:t>
            </w:r>
            <w:r>
              <w:rPr>
                <w:spacing w:val="-3"/>
                <w:w w:val="100"/>
                <w:sz w:val="22"/>
              </w:rPr>
              <w:t>i</w:t>
            </w:r>
            <w:r>
              <w:rPr>
                <w:spacing w:val="-1"/>
                <w:w w:val="100"/>
                <w:sz w:val="22"/>
              </w:rPr>
              <w:t>d</w:t>
            </w:r>
            <w:r>
              <w:rPr>
                <w:w w:val="100"/>
                <w:sz w:val="22"/>
              </w:rPr>
              <w:t>ad </w:t>
            </w:r>
            <w:r>
              <w:rPr>
                <w:spacing w:val="-1"/>
                <w:w w:val="100"/>
                <w:sz w:val="22"/>
              </w:rPr>
              <w:t>p</w:t>
            </w:r>
            <w:r>
              <w:rPr>
                <w:w w:val="100"/>
                <w:sz w:val="22"/>
              </w:rPr>
              <w:t>ri</w:t>
            </w:r>
            <w:r>
              <w:rPr>
                <w:spacing w:val="-2"/>
                <w:w w:val="100"/>
                <w:sz w:val="22"/>
              </w:rPr>
              <w:t>n</w:t>
            </w:r>
            <w:r>
              <w:rPr>
                <w:w w:val="100"/>
                <w:sz w:val="22"/>
              </w:rPr>
              <w:t>ci</w:t>
            </w:r>
            <w:r>
              <w:rPr>
                <w:spacing w:val="-1"/>
                <w:w w:val="100"/>
                <w:sz w:val="22"/>
              </w:rPr>
              <w:t>p</w:t>
            </w:r>
            <w:r>
              <w:rPr>
                <w:w w:val="100"/>
                <w:sz w:val="22"/>
              </w:rPr>
              <w:t>alm</w:t>
            </w:r>
            <w:r>
              <w:rPr>
                <w:spacing w:val="1"/>
                <w:w w:val="100"/>
                <w:sz w:val="22"/>
              </w:rPr>
              <w:t>e</w:t>
            </w:r>
            <w:r>
              <w:rPr>
                <w:spacing w:val="-1"/>
                <w:w w:val="100"/>
                <w:sz w:val="22"/>
              </w:rPr>
              <w:t>n</w:t>
            </w:r>
            <w:r>
              <w:rPr>
                <w:w w:val="100"/>
                <w:sz w:val="22"/>
              </w:rPr>
              <w:t>te</w:t>
            </w:r>
            <w:r>
              <w:rPr>
                <w:spacing w:val="-2"/>
                <w:sz w:val="22"/>
              </w:rPr>
              <w:t> </w:t>
            </w:r>
            <w:r>
              <w:rPr>
                <w:w w:val="100"/>
                <w:sz w:val="22"/>
              </w:rPr>
              <w:t>en</w:t>
            </w:r>
            <w:r>
              <w:rPr>
                <w:spacing w:val="-3"/>
                <w:sz w:val="22"/>
              </w:rPr>
              <w:t> </w:t>
            </w:r>
            <w:r>
              <w:rPr>
                <w:w w:val="100"/>
                <w:sz w:val="22"/>
              </w:rPr>
              <w:t>m</w:t>
            </w:r>
            <w:r>
              <w:rPr>
                <w:spacing w:val="-1"/>
                <w:w w:val="100"/>
                <w:sz w:val="22"/>
              </w:rPr>
              <w:t>uje</w:t>
            </w:r>
            <w:r>
              <w:rPr>
                <w:spacing w:val="-2"/>
                <w:w w:val="100"/>
                <w:sz w:val="22"/>
              </w:rPr>
              <w:t>r</w:t>
            </w:r>
            <w:r>
              <w:rPr>
                <w:w w:val="100"/>
                <w:sz w:val="22"/>
              </w:rPr>
              <w:t>es</w:t>
            </w:r>
          </w:p>
        </w:tc>
        <w:tc>
          <w:tcPr>
            <w:tcW w:w="1043" w:type="dxa"/>
            <w:tcBorders>
              <w:right w:val="single" w:sz="5" w:space="0" w:color="000000"/>
            </w:tcBorders>
            <w:textDirection w:val="btLr"/>
          </w:tcPr>
          <w:p>
            <w:pPr>
              <w:pStyle w:val="TableParagraph"/>
              <w:rPr>
                <w:rFonts w:ascii="Arial"/>
                <w:b/>
                <w:sz w:val="22"/>
              </w:rPr>
            </w:pPr>
          </w:p>
          <w:p>
            <w:pPr>
              <w:pStyle w:val="TableParagraph"/>
              <w:spacing w:before="176"/>
              <w:ind w:left="-1" w:right="527"/>
              <w:rPr>
                <w:sz w:val="22"/>
              </w:rPr>
            </w:pPr>
            <w:r>
              <w:rPr>
                <w:w w:val="100"/>
                <w:sz w:val="22"/>
              </w:rPr>
              <w:t>De</w:t>
            </w:r>
            <w:r>
              <w:rPr>
                <w:spacing w:val="-2"/>
                <w:w w:val="100"/>
                <w:sz w:val="22"/>
              </w:rPr>
              <w:t>s</w:t>
            </w:r>
            <w:r>
              <w:rPr>
                <w:w w:val="100"/>
                <w:sz w:val="22"/>
              </w:rPr>
              <w:t>erción</w:t>
            </w:r>
            <w:r>
              <w:rPr>
                <w:spacing w:val="-3"/>
                <w:sz w:val="22"/>
              </w:rPr>
              <w:t> </w:t>
            </w:r>
            <w:r>
              <w:rPr>
                <w:w w:val="100"/>
                <w:sz w:val="22"/>
              </w:rPr>
              <w:t>e</w:t>
            </w:r>
            <w:r>
              <w:rPr>
                <w:spacing w:val="-1"/>
                <w:w w:val="100"/>
                <w:sz w:val="22"/>
              </w:rPr>
              <w:t>s</w:t>
            </w:r>
            <w:r>
              <w:rPr>
                <w:spacing w:val="-3"/>
                <w:w w:val="100"/>
                <w:sz w:val="22"/>
              </w:rPr>
              <w:t>c</w:t>
            </w:r>
            <w:r>
              <w:rPr>
                <w:spacing w:val="1"/>
                <w:w w:val="100"/>
                <w:sz w:val="22"/>
              </w:rPr>
              <w:t>o</w:t>
            </w:r>
            <w:r>
              <w:rPr>
                <w:w w:val="100"/>
                <w:sz w:val="22"/>
              </w:rPr>
              <w:t>lar</w:t>
            </w:r>
          </w:p>
        </w:tc>
      </w:tr>
      <w:tr>
        <w:trPr>
          <w:trHeight w:val="1416" w:hRule="exact"/>
        </w:trPr>
        <w:tc>
          <w:tcPr>
            <w:tcW w:w="9404" w:type="dxa"/>
            <w:gridSpan w:val="9"/>
          </w:tcPr>
          <w:p>
            <w:pPr>
              <w:pStyle w:val="TableParagraph"/>
              <w:spacing w:before="7"/>
              <w:rPr>
                <w:rFonts w:ascii="Arial"/>
                <w:b/>
                <w:sz w:val="35"/>
              </w:rPr>
            </w:pPr>
          </w:p>
          <w:p>
            <w:pPr>
              <w:pStyle w:val="TableParagraph"/>
              <w:ind w:left="914" w:right="181" w:hanging="732"/>
              <w:rPr>
                <w:sz w:val="24"/>
              </w:rPr>
            </w:pPr>
            <w:r>
              <w:rPr>
                <w:sz w:val="24"/>
              </w:rPr>
              <w:t>Falta de sensibilización por parte de las y los adolescentes, así poca concientización respecto a los riesgos de ejercer la sexualidad con poca o nula información al respecto.</w:t>
            </w:r>
          </w:p>
        </w:tc>
      </w:tr>
      <w:tr>
        <w:trPr>
          <w:trHeight w:val="2895" w:hRule="exact"/>
        </w:trPr>
        <w:tc>
          <w:tcPr>
            <w:tcW w:w="1044" w:type="dxa"/>
            <w:textDirection w:val="btLr"/>
          </w:tcPr>
          <w:p>
            <w:pPr>
              <w:pStyle w:val="TableParagraph"/>
              <w:spacing w:line="244" w:lineRule="auto" w:before="155"/>
              <w:ind w:right="83"/>
              <w:rPr>
                <w:sz w:val="22"/>
              </w:rPr>
            </w:pPr>
            <w:r>
              <w:rPr>
                <w:spacing w:val="-1"/>
                <w:w w:val="100"/>
                <w:sz w:val="22"/>
              </w:rPr>
              <w:t>N</w:t>
            </w:r>
            <w:r>
              <w:rPr>
                <w:w w:val="100"/>
                <w:sz w:val="22"/>
              </w:rPr>
              <w:t>o</w:t>
            </w:r>
            <w:r>
              <w:rPr>
                <w:spacing w:val="1"/>
                <w:sz w:val="22"/>
              </w:rPr>
              <w:t> </w:t>
            </w:r>
            <w:r>
              <w:rPr>
                <w:spacing w:val="-1"/>
                <w:w w:val="100"/>
                <w:sz w:val="22"/>
              </w:rPr>
              <w:t>usa</w:t>
            </w:r>
            <w:r>
              <w:rPr>
                <w:w w:val="100"/>
                <w:sz w:val="22"/>
              </w:rPr>
              <w:t>r</w:t>
            </w:r>
            <w:r>
              <w:rPr>
                <w:sz w:val="22"/>
              </w:rPr>
              <w:t> </w:t>
            </w:r>
            <w:r>
              <w:rPr>
                <w:w w:val="100"/>
                <w:sz w:val="22"/>
              </w:rPr>
              <w:t>,</w:t>
            </w:r>
            <w:r>
              <w:rPr>
                <w:spacing w:val="-3"/>
                <w:sz w:val="22"/>
              </w:rPr>
              <w:t> </w:t>
            </w:r>
            <w:r>
              <w:rPr>
                <w:w w:val="100"/>
                <w:sz w:val="22"/>
              </w:rPr>
              <w:t>o</w:t>
            </w:r>
            <w:r>
              <w:rPr>
                <w:spacing w:val="1"/>
                <w:sz w:val="22"/>
              </w:rPr>
              <w:t> </w:t>
            </w:r>
            <w:r>
              <w:rPr>
                <w:spacing w:val="-1"/>
                <w:w w:val="100"/>
                <w:sz w:val="22"/>
              </w:rPr>
              <w:t>u</w:t>
            </w:r>
            <w:r>
              <w:rPr>
                <w:spacing w:val="-3"/>
                <w:w w:val="100"/>
                <w:sz w:val="22"/>
              </w:rPr>
              <w:t>s</w:t>
            </w:r>
            <w:r>
              <w:rPr>
                <w:w w:val="100"/>
                <w:sz w:val="22"/>
              </w:rPr>
              <w:t>o</w:t>
            </w:r>
            <w:r>
              <w:rPr>
                <w:spacing w:val="1"/>
                <w:sz w:val="22"/>
              </w:rPr>
              <w:t> </w:t>
            </w:r>
            <w:r>
              <w:rPr>
                <w:w w:val="100"/>
                <w:sz w:val="22"/>
              </w:rPr>
              <w:t>in</w:t>
            </w:r>
            <w:r>
              <w:rPr>
                <w:spacing w:val="-4"/>
                <w:w w:val="100"/>
                <w:sz w:val="22"/>
              </w:rPr>
              <w:t>c</w:t>
            </w:r>
            <w:r>
              <w:rPr>
                <w:spacing w:val="1"/>
                <w:w w:val="100"/>
                <w:sz w:val="22"/>
              </w:rPr>
              <w:t>o</w:t>
            </w:r>
            <w:r>
              <w:rPr>
                <w:w w:val="100"/>
                <w:sz w:val="22"/>
              </w:rPr>
              <w:t>r</w:t>
            </w:r>
            <w:r>
              <w:rPr>
                <w:spacing w:val="-3"/>
                <w:w w:val="100"/>
                <w:sz w:val="22"/>
              </w:rPr>
              <w:t>r</w:t>
            </w:r>
            <w:r>
              <w:rPr>
                <w:w w:val="100"/>
                <w:sz w:val="22"/>
              </w:rPr>
              <w:t>ec</w:t>
            </w:r>
            <w:r>
              <w:rPr>
                <w:spacing w:val="-2"/>
                <w:w w:val="100"/>
                <w:sz w:val="22"/>
              </w:rPr>
              <w:t>t</w:t>
            </w:r>
            <w:r>
              <w:rPr>
                <w:w w:val="100"/>
                <w:sz w:val="22"/>
              </w:rPr>
              <w:t>o</w:t>
            </w:r>
            <w:r>
              <w:rPr>
                <w:spacing w:val="-1"/>
                <w:sz w:val="22"/>
              </w:rPr>
              <w:t> </w:t>
            </w:r>
            <w:r>
              <w:rPr>
                <w:spacing w:val="-1"/>
                <w:w w:val="100"/>
                <w:sz w:val="22"/>
              </w:rPr>
              <w:t>d</w:t>
            </w:r>
            <w:r>
              <w:rPr>
                <w:w w:val="100"/>
                <w:sz w:val="22"/>
              </w:rPr>
              <w:t>e mé</w:t>
            </w:r>
            <w:r>
              <w:rPr>
                <w:spacing w:val="-2"/>
                <w:w w:val="100"/>
                <w:sz w:val="22"/>
              </w:rPr>
              <w:t>t</w:t>
            </w:r>
            <w:r>
              <w:rPr>
                <w:spacing w:val="1"/>
                <w:w w:val="100"/>
                <w:sz w:val="22"/>
              </w:rPr>
              <w:t>o</w:t>
            </w:r>
            <w:r>
              <w:rPr>
                <w:spacing w:val="-4"/>
                <w:w w:val="100"/>
                <w:sz w:val="22"/>
              </w:rPr>
              <w:t>d</w:t>
            </w:r>
            <w:r>
              <w:rPr>
                <w:spacing w:val="1"/>
                <w:w w:val="100"/>
                <w:sz w:val="22"/>
              </w:rPr>
              <w:t>o</w:t>
            </w:r>
            <w:r>
              <w:rPr>
                <w:w w:val="100"/>
                <w:sz w:val="22"/>
              </w:rPr>
              <w:t>s</w:t>
            </w:r>
            <w:r>
              <w:rPr>
                <w:sz w:val="22"/>
              </w:rPr>
              <w:t> </w:t>
            </w:r>
            <w:r>
              <w:rPr>
                <w:w w:val="100"/>
                <w:sz w:val="22"/>
              </w:rPr>
              <w:t>anti</w:t>
            </w:r>
            <w:r>
              <w:rPr>
                <w:spacing w:val="-3"/>
                <w:w w:val="100"/>
                <w:sz w:val="22"/>
              </w:rPr>
              <w:t>c</w:t>
            </w:r>
            <w:r>
              <w:rPr>
                <w:spacing w:val="1"/>
                <w:w w:val="100"/>
                <w:sz w:val="22"/>
              </w:rPr>
              <w:t>o</w:t>
            </w:r>
            <w:r>
              <w:rPr>
                <w:spacing w:val="-1"/>
                <w:w w:val="100"/>
                <w:sz w:val="22"/>
              </w:rPr>
              <w:t>n</w:t>
            </w:r>
            <w:r>
              <w:rPr>
                <w:spacing w:val="-3"/>
                <w:w w:val="100"/>
                <w:sz w:val="22"/>
              </w:rPr>
              <w:t>c</w:t>
            </w:r>
            <w:r>
              <w:rPr>
                <w:w w:val="100"/>
                <w:sz w:val="22"/>
              </w:rPr>
              <w:t>epti</w:t>
            </w:r>
            <w:r>
              <w:rPr>
                <w:spacing w:val="-2"/>
                <w:w w:val="100"/>
                <w:sz w:val="22"/>
              </w:rPr>
              <w:t>v</w:t>
            </w:r>
            <w:r>
              <w:rPr>
                <w:spacing w:val="1"/>
                <w:w w:val="100"/>
                <w:sz w:val="22"/>
              </w:rPr>
              <w:t>o</w:t>
            </w:r>
            <w:r>
              <w:rPr>
                <w:w w:val="100"/>
                <w:sz w:val="22"/>
              </w:rPr>
              <w:t>s</w:t>
            </w:r>
            <w:r>
              <w:rPr>
                <w:spacing w:val="-2"/>
                <w:sz w:val="22"/>
              </w:rPr>
              <w:t> </w:t>
            </w:r>
            <w:r>
              <w:rPr>
                <w:w w:val="100"/>
                <w:sz w:val="22"/>
              </w:rPr>
              <w:t>o</w:t>
            </w:r>
            <w:r>
              <w:rPr>
                <w:spacing w:val="-1"/>
                <w:sz w:val="22"/>
              </w:rPr>
              <w:t> </w:t>
            </w:r>
            <w:r>
              <w:rPr>
                <w:spacing w:val="-1"/>
                <w:w w:val="100"/>
                <w:sz w:val="22"/>
              </w:rPr>
              <w:t>uso d</w:t>
            </w:r>
            <w:r>
              <w:rPr>
                <w:w w:val="100"/>
                <w:sz w:val="22"/>
              </w:rPr>
              <w:t>e</w:t>
            </w:r>
            <w:r>
              <w:rPr>
                <w:sz w:val="22"/>
              </w:rPr>
              <w:t> </w:t>
            </w:r>
            <w:r>
              <w:rPr>
                <w:spacing w:val="-2"/>
                <w:w w:val="100"/>
                <w:sz w:val="22"/>
              </w:rPr>
              <w:t>m</w:t>
            </w:r>
            <w:r>
              <w:rPr>
                <w:w w:val="100"/>
                <w:sz w:val="22"/>
              </w:rPr>
              <w:t>é</w:t>
            </w:r>
            <w:r>
              <w:rPr>
                <w:spacing w:val="-2"/>
                <w:w w:val="100"/>
                <w:sz w:val="22"/>
              </w:rPr>
              <w:t>t</w:t>
            </w:r>
            <w:r>
              <w:rPr>
                <w:spacing w:val="1"/>
                <w:w w:val="100"/>
                <w:sz w:val="22"/>
              </w:rPr>
              <w:t>o</w:t>
            </w:r>
            <w:r>
              <w:rPr>
                <w:spacing w:val="-1"/>
                <w:w w:val="100"/>
                <w:sz w:val="22"/>
              </w:rPr>
              <w:t>d</w:t>
            </w:r>
            <w:r>
              <w:rPr>
                <w:spacing w:val="1"/>
                <w:w w:val="100"/>
                <w:sz w:val="22"/>
              </w:rPr>
              <w:t>o</w:t>
            </w:r>
            <w:r>
              <w:rPr>
                <w:w w:val="100"/>
                <w:sz w:val="22"/>
              </w:rPr>
              <w:t>s</w:t>
            </w:r>
            <w:r>
              <w:rPr>
                <w:spacing w:val="-3"/>
                <w:sz w:val="22"/>
              </w:rPr>
              <w:t> </w:t>
            </w:r>
            <w:r>
              <w:rPr>
                <w:spacing w:val="-1"/>
                <w:w w:val="100"/>
                <w:sz w:val="22"/>
              </w:rPr>
              <w:t>p</w:t>
            </w:r>
            <w:r>
              <w:rPr>
                <w:w w:val="100"/>
                <w:sz w:val="22"/>
              </w:rPr>
              <w:t>o</w:t>
            </w:r>
            <w:r>
              <w:rPr>
                <w:spacing w:val="-3"/>
                <w:w w:val="100"/>
                <w:sz w:val="22"/>
              </w:rPr>
              <w:t>c</w:t>
            </w:r>
            <w:r>
              <w:rPr>
                <w:w w:val="100"/>
                <w:sz w:val="22"/>
              </w:rPr>
              <w:t>o</w:t>
            </w:r>
            <w:r>
              <w:rPr>
                <w:spacing w:val="-1"/>
                <w:sz w:val="22"/>
              </w:rPr>
              <w:t> </w:t>
            </w:r>
            <w:r>
              <w:rPr>
                <w:w w:val="100"/>
                <w:sz w:val="22"/>
              </w:rPr>
              <w:t>efect</w:t>
            </w:r>
            <w:r>
              <w:rPr>
                <w:spacing w:val="-3"/>
                <w:w w:val="100"/>
                <w:sz w:val="22"/>
              </w:rPr>
              <w:t>i</w:t>
            </w:r>
            <w:r>
              <w:rPr>
                <w:spacing w:val="-2"/>
                <w:w w:val="100"/>
                <w:sz w:val="22"/>
              </w:rPr>
              <w:t>v</w:t>
            </w:r>
            <w:r>
              <w:rPr>
                <w:spacing w:val="1"/>
                <w:w w:val="100"/>
                <w:sz w:val="22"/>
              </w:rPr>
              <w:t>o</w:t>
            </w:r>
            <w:r>
              <w:rPr>
                <w:w w:val="100"/>
                <w:sz w:val="22"/>
              </w:rPr>
              <w:t>s</w:t>
            </w:r>
          </w:p>
        </w:tc>
        <w:tc>
          <w:tcPr>
            <w:tcW w:w="1044" w:type="dxa"/>
            <w:textDirection w:val="btLr"/>
          </w:tcPr>
          <w:p>
            <w:pPr>
              <w:pStyle w:val="TableParagraph"/>
              <w:spacing w:line="244" w:lineRule="auto" w:before="155"/>
              <w:ind w:right="33"/>
              <w:rPr>
                <w:sz w:val="22"/>
              </w:rPr>
            </w:pPr>
            <w:r>
              <w:rPr>
                <w:w w:val="100"/>
                <w:sz w:val="22"/>
              </w:rPr>
              <w:t>I</w:t>
            </w:r>
            <w:r>
              <w:rPr>
                <w:spacing w:val="-2"/>
                <w:w w:val="100"/>
                <w:sz w:val="22"/>
              </w:rPr>
              <w:t>n</w:t>
            </w:r>
            <w:r>
              <w:rPr>
                <w:w w:val="100"/>
                <w:sz w:val="22"/>
              </w:rPr>
              <w:t>icio</w:t>
            </w:r>
            <w:r>
              <w:rPr>
                <w:sz w:val="22"/>
              </w:rPr>
              <w:t> </w:t>
            </w:r>
            <w:r>
              <w:rPr>
                <w:spacing w:val="-1"/>
                <w:w w:val="100"/>
                <w:sz w:val="22"/>
              </w:rPr>
              <w:t>d</w:t>
            </w:r>
            <w:r>
              <w:rPr>
                <w:w w:val="100"/>
                <w:sz w:val="22"/>
              </w:rPr>
              <w:t>e</w:t>
            </w:r>
            <w:r>
              <w:rPr>
                <w:sz w:val="22"/>
              </w:rPr>
              <w:t> </w:t>
            </w:r>
            <w:r>
              <w:rPr>
                <w:w w:val="100"/>
                <w:sz w:val="22"/>
              </w:rPr>
              <w:t>la</w:t>
            </w:r>
            <w:r>
              <w:rPr>
                <w:spacing w:val="-3"/>
                <w:sz w:val="22"/>
              </w:rPr>
              <w:t> </w:t>
            </w:r>
            <w:r>
              <w:rPr>
                <w:spacing w:val="1"/>
                <w:w w:val="100"/>
                <w:sz w:val="22"/>
              </w:rPr>
              <w:t>v</w:t>
            </w:r>
            <w:r>
              <w:rPr>
                <w:w w:val="100"/>
                <w:sz w:val="22"/>
              </w:rPr>
              <w:t>i</w:t>
            </w:r>
            <w:r>
              <w:rPr>
                <w:spacing w:val="-2"/>
                <w:w w:val="100"/>
                <w:sz w:val="22"/>
              </w:rPr>
              <w:t>d</w:t>
            </w:r>
            <w:r>
              <w:rPr>
                <w:w w:val="100"/>
                <w:sz w:val="22"/>
              </w:rPr>
              <w:t>a</w:t>
            </w:r>
            <w:r>
              <w:rPr>
                <w:spacing w:val="-2"/>
                <w:sz w:val="22"/>
              </w:rPr>
              <w:t> </w:t>
            </w:r>
            <w:r>
              <w:rPr>
                <w:spacing w:val="-1"/>
                <w:w w:val="100"/>
                <w:sz w:val="22"/>
              </w:rPr>
              <w:t>se</w:t>
            </w:r>
            <w:r>
              <w:rPr>
                <w:w w:val="100"/>
                <w:sz w:val="22"/>
              </w:rPr>
              <w:t>x</w:t>
            </w:r>
            <w:r>
              <w:rPr>
                <w:spacing w:val="-1"/>
                <w:w w:val="100"/>
                <w:sz w:val="22"/>
              </w:rPr>
              <w:t>u</w:t>
            </w:r>
            <w:r>
              <w:rPr>
                <w:w w:val="100"/>
                <w:sz w:val="22"/>
              </w:rPr>
              <w:t>al</w:t>
            </w:r>
            <w:r>
              <w:rPr>
                <w:sz w:val="22"/>
              </w:rPr>
              <w:t> </w:t>
            </w:r>
            <w:r>
              <w:rPr>
                <w:w w:val="100"/>
                <w:sz w:val="22"/>
              </w:rPr>
              <w:t>a</w:t>
            </w:r>
            <w:r>
              <w:rPr>
                <w:spacing w:val="-2"/>
                <w:sz w:val="22"/>
              </w:rPr>
              <w:t> </w:t>
            </w:r>
            <w:r>
              <w:rPr>
                <w:w w:val="100"/>
                <w:sz w:val="22"/>
              </w:rPr>
              <w:t>e</w:t>
            </w:r>
            <w:r>
              <w:rPr>
                <w:spacing w:val="-3"/>
                <w:w w:val="100"/>
                <w:sz w:val="22"/>
              </w:rPr>
              <w:t>d</w:t>
            </w:r>
            <w:r>
              <w:rPr>
                <w:w w:val="100"/>
                <w:sz w:val="22"/>
              </w:rPr>
              <w:t>a</w:t>
            </w:r>
            <w:r>
              <w:rPr>
                <w:spacing w:val="-1"/>
                <w:w w:val="100"/>
                <w:sz w:val="22"/>
              </w:rPr>
              <w:t>d</w:t>
            </w:r>
            <w:r>
              <w:rPr>
                <w:w w:val="100"/>
                <w:sz w:val="22"/>
              </w:rPr>
              <w:t>es tem</w:t>
            </w:r>
            <w:r>
              <w:rPr>
                <w:spacing w:val="-1"/>
                <w:w w:val="100"/>
                <w:sz w:val="22"/>
              </w:rPr>
              <w:t>p</w:t>
            </w:r>
            <w:r>
              <w:rPr>
                <w:w w:val="100"/>
                <w:sz w:val="22"/>
              </w:rPr>
              <w:t>ra</w:t>
            </w:r>
            <w:r>
              <w:rPr>
                <w:spacing w:val="-2"/>
                <w:w w:val="100"/>
                <w:sz w:val="22"/>
              </w:rPr>
              <w:t>n</w:t>
            </w:r>
            <w:r>
              <w:rPr>
                <w:w w:val="100"/>
                <w:sz w:val="22"/>
              </w:rPr>
              <w:t>as</w:t>
            </w:r>
            <w:r>
              <w:rPr>
                <w:spacing w:val="-3"/>
                <w:sz w:val="22"/>
              </w:rPr>
              <w:t> </w:t>
            </w:r>
            <w:r>
              <w:rPr>
                <w:spacing w:val="-2"/>
                <w:w w:val="100"/>
                <w:sz w:val="22"/>
              </w:rPr>
              <w:t>c</w:t>
            </w:r>
            <w:r>
              <w:rPr>
                <w:spacing w:val="1"/>
                <w:w w:val="100"/>
                <w:sz w:val="22"/>
              </w:rPr>
              <w:t>o</w:t>
            </w:r>
            <w:r>
              <w:rPr>
                <w:w w:val="100"/>
                <w:sz w:val="22"/>
              </w:rPr>
              <w:t>n</w:t>
            </w:r>
            <w:r>
              <w:rPr>
                <w:spacing w:val="-1"/>
                <w:sz w:val="22"/>
              </w:rPr>
              <w:t> </w:t>
            </w:r>
            <w:r>
              <w:rPr>
                <w:spacing w:val="-1"/>
                <w:w w:val="100"/>
                <w:sz w:val="22"/>
              </w:rPr>
              <w:t>prácti</w:t>
            </w:r>
            <w:r>
              <w:rPr>
                <w:spacing w:val="-2"/>
                <w:w w:val="100"/>
                <w:sz w:val="22"/>
              </w:rPr>
              <w:t>c</w:t>
            </w:r>
            <w:r>
              <w:rPr>
                <w:w w:val="100"/>
                <w:sz w:val="22"/>
              </w:rPr>
              <w:t>as</w:t>
            </w:r>
            <w:r>
              <w:rPr>
                <w:sz w:val="22"/>
              </w:rPr>
              <w:t> </w:t>
            </w:r>
            <w:r>
              <w:rPr>
                <w:spacing w:val="-3"/>
                <w:w w:val="100"/>
                <w:sz w:val="22"/>
              </w:rPr>
              <w:t>d</w:t>
            </w:r>
            <w:r>
              <w:rPr>
                <w:w w:val="100"/>
                <w:sz w:val="22"/>
              </w:rPr>
              <w:t>e ries</w:t>
            </w:r>
            <w:r>
              <w:rPr>
                <w:spacing w:val="-1"/>
                <w:w w:val="100"/>
                <w:sz w:val="22"/>
              </w:rPr>
              <w:t>g</w:t>
            </w:r>
            <w:r>
              <w:rPr>
                <w:w w:val="100"/>
                <w:sz w:val="22"/>
              </w:rPr>
              <w:t>o</w:t>
            </w:r>
          </w:p>
        </w:tc>
        <w:tc>
          <w:tcPr>
            <w:tcW w:w="1045" w:type="dxa"/>
            <w:textDirection w:val="btLr"/>
          </w:tcPr>
          <w:p>
            <w:pPr>
              <w:pStyle w:val="TableParagraph"/>
              <w:spacing w:before="5"/>
              <w:rPr>
                <w:rFonts w:ascii="Arial"/>
                <w:b/>
                <w:sz w:val="25"/>
              </w:rPr>
            </w:pPr>
          </w:p>
          <w:p>
            <w:pPr>
              <w:pStyle w:val="TableParagraph"/>
              <w:spacing w:line="247" w:lineRule="auto"/>
              <w:ind w:right="207"/>
              <w:rPr>
                <w:sz w:val="22"/>
              </w:rPr>
            </w:pPr>
            <w:r>
              <w:rPr>
                <w:spacing w:val="-1"/>
                <w:w w:val="100"/>
                <w:sz w:val="22"/>
              </w:rPr>
              <w:t>N</w:t>
            </w:r>
            <w:r>
              <w:rPr>
                <w:spacing w:val="1"/>
                <w:w w:val="100"/>
                <w:sz w:val="22"/>
              </w:rPr>
              <w:t>o</w:t>
            </w:r>
            <w:r>
              <w:rPr>
                <w:w w:val="100"/>
                <w:sz w:val="22"/>
              </w:rPr>
              <w:t>rm</w:t>
            </w:r>
            <w:r>
              <w:rPr>
                <w:spacing w:val="-3"/>
                <w:w w:val="100"/>
                <w:sz w:val="22"/>
              </w:rPr>
              <w:t>a</w:t>
            </w:r>
            <w:r>
              <w:rPr>
                <w:w w:val="100"/>
                <w:sz w:val="22"/>
              </w:rPr>
              <w:t>s</w:t>
            </w:r>
            <w:r>
              <w:rPr>
                <w:sz w:val="22"/>
              </w:rPr>
              <w:t> </w:t>
            </w:r>
            <w:r>
              <w:rPr>
                <w:spacing w:val="-2"/>
                <w:sz w:val="22"/>
              </w:rPr>
              <w:t> </w:t>
            </w:r>
            <w:r>
              <w:rPr>
                <w:w w:val="100"/>
                <w:sz w:val="22"/>
              </w:rPr>
              <w:t>y</w:t>
            </w:r>
            <w:r>
              <w:rPr>
                <w:spacing w:val="-2"/>
                <w:w w:val="100"/>
                <w:sz w:val="22"/>
              </w:rPr>
              <w:t>/</w:t>
            </w:r>
            <w:r>
              <w:rPr>
                <w:w w:val="100"/>
                <w:sz w:val="22"/>
              </w:rPr>
              <w:t>o</w:t>
            </w:r>
            <w:r>
              <w:rPr>
                <w:spacing w:val="1"/>
                <w:sz w:val="22"/>
              </w:rPr>
              <w:t> </w:t>
            </w:r>
            <w:r>
              <w:rPr>
                <w:w w:val="100"/>
                <w:sz w:val="22"/>
              </w:rPr>
              <w:t>c</w:t>
            </w:r>
            <w:r>
              <w:rPr>
                <w:spacing w:val="-4"/>
                <w:w w:val="100"/>
                <w:sz w:val="22"/>
              </w:rPr>
              <w:t>u</w:t>
            </w:r>
            <w:r>
              <w:rPr>
                <w:w w:val="100"/>
                <w:sz w:val="22"/>
              </w:rPr>
              <w:t>m</w:t>
            </w:r>
            <w:r>
              <w:rPr>
                <w:spacing w:val="-1"/>
                <w:w w:val="100"/>
                <w:sz w:val="22"/>
              </w:rPr>
              <w:t>p</w:t>
            </w:r>
            <w:r>
              <w:rPr>
                <w:w w:val="100"/>
                <w:sz w:val="22"/>
              </w:rPr>
              <w:t>l</w:t>
            </w:r>
            <w:r>
              <w:rPr>
                <w:spacing w:val="-1"/>
                <w:w w:val="100"/>
                <w:sz w:val="22"/>
              </w:rPr>
              <w:t>i</w:t>
            </w:r>
            <w:r>
              <w:rPr>
                <w:w w:val="100"/>
                <w:sz w:val="22"/>
              </w:rPr>
              <w:t>m</w:t>
            </w:r>
            <w:r>
              <w:rPr>
                <w:spacing w:val="-3"/>
                <w:w w:val="100"/>
                <w:sz w:val="22"/>
              </w:rPr>
              <w:t>i</w:t>
            </w:r>
            <w:r>
              <w:rPr>
                <w:w w:val="100"/>
                <w:sz w:val="22"/>
              </w:rPr>
              <w:t>en</w:t>
            </w:r>
            <w:r>
              <w:rPr>
                <w:spacing w:val="-3"/>
                <w:w w:val="100"/>
                <w:sz w:val="22"/>
              </w:rPr>
              <w:t>t</w:t>
            </w:r>
            <w:r>
              <w:rPr>
                <w:w w:val="100"/>
                <w:sz w:val="22"/>
              </w:rPr>
              <w:t>o</w:t>
            </w:r>
            <w:r>
              <w:rPr>
                <w:spacing w:val="-1"/>
                <w:sz w:val="22"/>
              </w:rPr>
              <w:t> </w:t>
            </w:r>
            <w:r>
              <w:rPr>
                <w:spacing w:val="-1"/>
                <w:w w:val="100"/>
                <w:sz w:val="22"/>
              </w:rPr>
              <w:t>d</w:t>
            </w:r>
            <w:r>
              <w:rPr>
                <w:w w:val="100"/>
                <w:sz w:val="22"/>
              </w:rPr>
              <w:t>e roles</w:t>
            </w:r>
            <w:r>
              <w:rPr>
                <w:spacing w:val="-2"/>
                <w:sz w:val="22"/>
              </w:rPr>
              <w:t> </w:t>
            </w:r>
            <w:r>
              <w:rPr>
                <w:w w:val="100"/>
                <w:sz w:val="22"/>
              </w:rPr>
              <w:t>y</w:t>
            </w:r>
            <w:r>
              <w:rPr>
                <w:spacing w:val="-2"/>
                <w:sz w:val="22"/>
              </w:rPr>
              <w:t> </w:t>
            </w:r>
            <w:r>
              <w:rPr>
                <w:w w:val="100"/>
                <w:sz w:val="22"/>
              </w:rPr>
              <w:t>este</w:t>
            </w:r>
            <w:r>
              <w:rPr>
                <w:spacing w:val="-3"/>
                <w:w w:val="100"/>
                <w:sz w:val="22"/>
              </w:rPr>
              <w:t>r</w:t>
            </w:r>
            <w:r>
              <w:rPr>
                <w:spacing w:val="-2"/>
                <w:w w:val="100"/>
                <w:sz w:val="22"/>
              </w:rPr>
              <w:t>e</w:t>
            </w:r>
            <w:r>
              <w:rPr>
                <w:spacing w:val="1"/>
                <w:w w:val="100"/>
                <w:sz w:val="22"/>
              </w:rPr>
              <w:t>o</w:t>
            </w:r>
            <w:r>
              <w:rPr>
                <w:w w:val="100"/>
                <w:sz w:val="22"/>
              </w:rPr>
              <w:t>ti</w:t>
            </w:r>
            <w:r>
              <w:rPr>
                <w:spacing w:val="-1"/>
                <w:w w:val="100"/>
                <w:sz w:val="22"/>
              </w:rPr>
              <w:t>p</w:t>
            </w:r>
            <w:r>
              <w:rPr>
                <w:spacing w:val="1"/>
                <w:w w:val="100"/>
                <w:sz w:val="22"/>
              </w:rPr>
              <w:t>o</w:t>
            </w:r>
            <w:r>
              <w:rPr>
                <w:w w:val="100"/>
                <w:sz w:val="22"/>
              </w:rPr>
              <w:t>s</w:t>
            </w:r>
            <w:r>
              <w:rPr>
                <w:spacing w:val="-3"/>
                <w:sz w:val="22"/>
              </w:rPr>
              <w:t> </w:t>
            </w:r>
            <w:r>
              <w:rPr>
                <w:spacing w:val="-2"/>
                <w:w w:val="100"/>
                <w:sz w:val="22"/>
              </w:rPr>
              <w:t>s</w:t>
            </w:r>
            <w:r>
              <w:rPr>
                <w:spacing w:val="1"/>
                <w:w w:val="100"/>
                <w:sz w:val="22"/>
              </w:rPr>
              <w:t>o</w:t>
            </w:r>
            <w:r>
              <w:rPr>
                <w:w w:val="100"/>
                <w:sz w:val="22"/>
              </w:rPr>
              <w:t>cia</w:t>
            </w:r>
            <w:r>
              <w:rPr>
                <w:spacing w:val="-1"/>
                <w:w w:val="100"/>
                <w:sz w:val="22"/>
              </w:rPr>
              <w:t>l</w:t>
            </w:r>
            <w:r>
              <w:rPr>
                <w:spacing w:val="-2"/>
                <w:w w:val="100"/>
                <w:sz w:val="22"/>
              </w:rPr>
              <w:t>e</w:t>
            </w:r>
            <w:r>
              <w:rPr>
                <w:spacing w:val="-1"/>
                <w:w w:val="100"/>
                <w:sz w:val="22"/>
              </w:rPr>
              <w:t>s.</w:t>
            </w:r>
          </w:p>
        </w:tc>
        <w:tc>
          <w:tcPr>
            <w:tcW w:w="1046" w:type="dxa"/>
            <w:textDirection w:val="btLr"/>
          </w:tcPr>
          <w:p>
            <w:pPr>
              <w:pStyle w:val="TableParagraph"/>
              <w:spacing w:line="247" w:lineRule="auto" w:before="155"/>
              <w:ind w:right="185"/>
              <w:rPr>
                <w:sz w:val="22"/>
              </w:rPr>
            </w:pPr>
            <w:r>
              <w:rPr>
                <w:spacing w:val="-1"/>
                <w:w w:val="100"/>
                <w:sz w:val="22"/>
              </w:rPr>
              <w:t>Fa</w:t>
            </w:r>
            <w:r>
              <w:rPr>
                <w:w w:val="100"/>
                <w:sz w:val="22"/>
              </w:rPr>
              <w:t>lta</w:t>
            </w:r>
            <w:r>
              <w:rPr>
                <w:spacing w:val="-1"/>
                <w:sz w:val="22"/>
              </w:rPr>
              <w:t> </w:t>
            </w:r>
            <w:r>
              <w:rPr>
                <w:spacing w:val="-1"/>
                <w:w w:val="100"/>
                <w:sz w:val="22"/>
              </w:rPr>
              <w:t>d</w:t>
            </w:r>
            <w:r>
              <w:rPr>
                <w:w w:val="100"/>
                <w:sz w:val="22"/>
              </w:rPr>
              <w:t>e</w:t>
            </w:r>
            <w:r>
              <w:rPr>
                <w:sz w:val="22"/>
              </w:rPr>
              <w:t> </w:t>
            </w:r>
            <w:r>
              <w:rPr>
                <w:w w:val="100"/>
                <w:sz w:val="22"/>
              </w:rPr>
              <w:t>in</w:t>
            </w:r>
            <w:r>
              <w:rPr>
                <w:spacing w:val="-4"/>
                <w:w w:val="100"/>
                <w:sz w:val="22"/>
              </w:rPr>
              <w:t>f</w:t>
            </w:r>
            <w:r>
              <w:rPr>
                <w:spacing w:val="1"/>
                <w:w w:val="100"/>
                <w:sz w:val="22"/>
              </w:rPr>
              <w:t>o</w:t>
            </w:r>
            <w:r>
              <w:rPr>
                <w:w w:val="100"/>
                <w:sz w:val="22"/>
              </w:rPr>
              <w:t>rm</w:t>
            </w:r>
            <w:r>
              <w:rPr>
                <w:spacing w:val="-3"/>
                <w:w w:val="100"/>
                <w:sz w:val="22"/>
              </w:rPr>
              <w:t>a</w:t>
            </w:r>
            <w:r>
              <w:rPr>
                <w:w w:val="100"/>
                <w:sz w:val="22"/>
              </w:rPr>
              <w:t>ción</w:t>
            </w:r>
            <w:r>
              <w:rPr>
                <w:sz w:val="22"/>
              </w:rPr>
              <w:t> </w:t>
            </w:r>
            <w:r>
              <w:rPr>
                <w:spacing w:val="-3"/>
                <w:sz w:val="22"/>
              </w:rPr>
              <w:t> </w:t>
            </w:r>
            <w:r>
              <w:rPr>
                <w:w w:val="100"/>
                <w:sz w:val="22"/>
              </w:rPr>
              <w:t>y</w:t>
            </w:r>
            <w:r>
              <w:rPr>
                <w:spacing w:val="1"/>
                <w:sz w:val="22"/>
              </w:rPr>
              <w:t> </w:t>
            </w:r>
            <w:r>
              <w:rPr>
                <w:spacing w:val="-3"/>
                <w:w w:val="100"/>
                <w:sz w:val="22"/>
              </w:rPr>
              <w:t>p</w:t>
            </w:r>
            <w:r>
              <w:rPr>
                <w:spacing w:val="1"/>
                <w:w w:val="100"/>
                <w:sz w:val="22"/>
              </w:rPr>
              <w:t>o</w:t>
            </w:r>
            <w:r>
              <w:rPr>
                <w:spacing w:val="-3"/>
                <w:w w:val="100"/>
                <w:sz w:val="22"/>
              </w:rPr>
              <w:t>c</w:t>
            </w:r>
            <w:r>
              <w:rPr>
                <w:w w:val="100"/>
                <w:sz w:val="22"/>
              </w:rPr>
              <w:t>a acce</w:t>
            </w:r>
            <w:r>
              <w:rPr>
                <w:spacing w:val="-1"/>
                <w:w w:val="100"/>
                <w:sz w:val="22"/>
              </w:rPr>
              <w:t>si</w:t>
            </w:r>
            <w:r>
              <w:rPr>
                <w:spacing w:val="-2"/>
                <w:w w:val="100"/>
                <w:sz w:val="22"/>
              </w:rPr>
              <w:t>b</w:t>
            </w:r>
            <w:r>
              <w:rPr>
                <w:w w:val="100"/>
                <w:sz w:val="22"/>
              </w:rPr>
              <w:t>i</w:t>
            </w:r>
            <w:r>
              <w:rPr>
                <w:spacing w:val="-1"/>
                <w:w w:val="100"/>
                <w:sz w:val="22"/>
              </w:rPr>
              <w:t>l</w:t>
            </w:r>
            <w:r>
              <w:rPr>
                <w:w w:val="100"/>
                <w:sz w:val="22"/>
              </w:rPr>
              <w:t>i</w:t>
            </w:r>
            <w:r>
              <w:rPr>
                <w:spacing w:val="-2"/>
                <w:w w:val="100"/>
                <w:sz w:val="22"/>
              </w:rPr>
              <w:t>d</w:t>
            </w:r>
            <w:r>
              <w:rPr>
                <w:w w:val="100"/>
                <w:sz w:val="22"/>
              </w:rPr>
              <w:t>ad</w:t>
            </w:r>
            <w:r>
              <w:rPr>
                <w:spacing w:val="-1"/>
                <w:sz w:val="22"/>
              </w:rPr>
              <w:t> </w:t>
            </w:r>
            <w:r>
              <w:rPr>
                <w:w w:val="100"/>
                <w:sz w:val="22"/>
              </w:rPr>
              <w:t>a</w:t>
            </w:r>
            <w:r>
              <w:rPr>
                <w:sz w:val="22"/>
              </w:rPr>
              <w:t> </w:t>
            </w:r>
            <w:r>
              <w:rPr>
                <w:spacing w:val="-3"/>
                <w:w w:val="100"/>
                <w:sz w:val="22"/>
              </w:rPr>
              <w:t>l</w:t>
            </w:r>
            <w:r>
              <w:rPr>
                <w:spacing w:val="1"/>
                <w:w w:val="100"/>
                <w:sz w:val="22"/>
              </w:rPr>
              <w:t>o</w:t>
            </w:r>
            <w:r>
              <w:rPr>
                <w:w w:val="100"/>
                <w:sz w:val="22"/>
              </w:rPr>
              <w:t>s</w:t>
            </w:r>
            <w:r>
              <w:rPr>
                <w:sz w:val="22"/>
              </w:rPr>
              <w:t> </w:t>
            </w:r>
            <w:r>
              <w:rPr>
                <w:spacing w:val="-2"/>
                <w:w w:val="100"/>
                <w:sz w:val="22"/>
              </w:rPr>
              <w:t>s</w:t>
            </w:r>
            <w:r>
              <w:rPr>
                <w:w w:val="100"/>
                <w:sz w:val="22"/>
              </w:rPr>
              <w:t>erv</w:t>
            </w:r>
            <w:r>
              <w:rPr>
                <w:spacing w:val="-3"/>
                <w:w w:val="100"/>
                <w:sz w:val="22"/>
              </w:rPr>
              <w:t>i</w:t>
            </w:r>
            <w:r>
              <w:rPr>
                <w:w w:val="100"/>
                <w:sz w:val="22"/>
              </w:rPr>
              <w:t>cios</w:t>
            </w:r>
            <w:r>
              <w:rPr>
                <w:spacing w:val="-3"/>
                <w:sz w:val="22"/>
              </w:rPr>
              <w:t> </w:t>
            </w:r>
            <w:r>
              <w:rPr>
                <w:spacing w:val="-1"/>
                <w:w w:val="100"/>
                <w:sz w:val="22"/>
              </w:rPr>
              <w:t>de sal</w:t>
            </w:r>
            <w:r>
              <w:rPr>
                <w:spacing w:val="-2"/>
                <w:w w:val="100"/>
                <w:sz w:val="22"/>
              </w:rPr>
              <w:t>u</w:t>
            </w:r>
            <w:r>
              <w:rPr>
                <w:spacing w:val="-1"/>
                <w:w w:val="100"/>
                <w:sz w:val="22"/>
              </w:rPr>
              <w:t>d</w:t>
            </w:r>
            <w:r>
              <w:rPr>
                <w:w w:val="100"/>
                <w:sz w:val="22"/>
              </w:rPr>
              <w:t>.</w:t>
            </w:r>
          </w:p>
        </w:tc>
        <w:tc>
          <w:tcPr>
            <w:tcW w:w="1044" w:type="dxa"/>
            <w:textDirection w:val="btLr"/>
          </w:tcPr>
          <w:p>
            <w:pPr>
              <w:pStyle w:val="TableParagraph"/>
              <w:spacing w:before="4"/>
              <w:rPr>
                <w:rFonts w:ascii="Arial"/>
                <w:b/>
                <w:sz w:val="25"/>
              </w:rPr>
            </w:pPr>
          </w:p>
          <w:p>
            <w:pPr>
              <w:pStyle w:val="TableParagraph"/>
              <w:spacing w:line="247" w:lineRule="auto"/>
              <w:ind w:right="565"/>
              <w:rPr>
                <w:sz w:val="22"/>
              </w:rPr>
            </w:pPr>
            <w:r>
              <w:rPr>
                <w:spacing w:val="-1"/>
                <w:w w:val="100"/>
                <w:sz w:val="22"/>
              </w:rPr>
              <w:t>H</w:t>
            </w:r>
            <w:r>
              <w:rPr>
                <w:w w:val="100"/>
                <w:sz w:val="22"/>
              </w:rPr>
              <w:t>aci</w:t>
            </w:r>
            <w:r>
              <w:rPr>
                <w:spacing w:val="-2"/>
                <w:w w:val="100"/>
                <w:sz w:val="22"/>
              </w:rPr>
              <w:t>n</w:t>
            </w:r>
            <w:r>
              <w:rPr>
                <w:w w:val="100"/>
                <w:sz w:val="22"/>
              </w:rPr>
              <w:t>amie</w:t>
            </w:r>
            <w:r>
              <w:rPr>
                <w:spacing w:val="-1"/>
                <w:w w:val="100"/>
                <w:sz w:val="22"/>
              </w:rPr>
              <w:t>n</w:t>
            </w:r>
            <w:r>
              <w:rPr>
                <w:spacing w:val="-2"/>
                <w:w w:val="100"/>
                <w:sz w:val="22"/>
              </w:rPr>
              <w:t>t</w:t>
            </w:r>
            <w:r>
              <w:rPr>
                <w:spacing w:val="1"/>
                <w:w w:val="100"/>
                <w:sz w:val="22"/>
              </w:rPr>
              <w:t>o</w:t>
            </w:r>
            <w:r>
              <w:rPr>
                <w:w w:val="100"/>
                <w:sz w:val="22"/>
              </w:rPr>
              <w:t>.</w:t>
            </w:r>
            <w:r>
              <w:rPr>
                <w:sz w:val="22"/>
              </w:rPr>
              <w:t> </w:t>
            </w:r>
            <w:r>
              <w:rPr>
                <w:w w:val="100"/>
                <w:sz w:val="22"/>
              </w:rPr>
              <w:t>Y</w:t>
            </w:r>
            <w:r>
              <w:rPr>
                <w:spacing w:val="-2"/>
                <w:sz w:val="22"/>
              </w:rPr>
              <w:t> </w:t>
            </w:r>
            <w:r>
              <w:rPr>
                <w:spacing w:val="1"/>
                <w:w w:val="100"/>
                <w:sz w:val="22"/>
              </w:rPr>
              <w:t>v</w:t>
            </w:r>
            <w:r>
              <w:rPr>
                <w:spacing w:val="-3"/>
                <w:w w:val="100"/>
                <w:sz w:val="22"/>
              </w:rPr>
              <w:t>i</w:t>
            </w:r>
            <w:r>
              <w:rPr>
                <w:spacing w:val="1"/>
                <w:w w:val="100"/>
                <w:sz w:val="22"/>
              </w:rPr>
              <w:t>o</w:t>
            </w:r>
            <w:r>
              <w:rPr>
                <w:w w:val="100"/>
                <w:sz w:val="22"/>
              </w:rPr>
              <w:t>le</w:t>
            </w:r>
            <w:r>
              <w:rPr>
                <w:spacing w:val="-1"/>
                <w:w w:val="100"/>
                <w:sz w:val="22"/>
              </w:rPr>
              <w:t>n</w:t>
            </w:r>
            <w:r>
              <w:rPr>
                <w:w w:val="100"/>
                <w:sz w:val="22"/>
              </w:rPr>
              <w:t>cia i</w:t>
            </w:r>
            <w:r>
              <w:rPr>
                <w:spacing w:val="-2"/>
                <w:w w:val="100"/>
                <w:sz w:val="22"/>
              </w:rPr>
              <w:t>n</w:t>
            </w:r>
            <w:r>
              <w:rPr>
                <w:w w:val="100"/>
                <w:sz w:val="22"/>
              </w:rPr>
              <w:t>trafami</w:t>
            </w:r>
            <w:r>
              <w:rPr>
                <w:spacing w:val="-1"/>
                <w:w w:val="100"/>
                <w:sz w:val="22"/>
              </w:rPr>
              <w:t>l</w:t>
            </w:r>
            <w:r>
              <w:rPr>
                <w:w w:val="100"/>
                <w:sz w:val="22"/>
              </w:rPr>
              <w:t>ia</w:t>
            </w:r>
            <w:r>
              <w:rPr>
                <w:spacing w:val="-1"/>
                <w:w w:val="100"/>
                <w:sz w:val="22"/>
              </w:rPr>
              <w:t>r</w:t>
            </w:r>
            <w:r>
              <w:rPr>
                <w:w w:val="100"/>
                <w:sz w:val="22"/>
              </w:rPr>
              <w:t>.</w:t>
            </w:r>
          </w:p>
        </w:tc>
        <w:tc>
          <w:tcPr>
            <w:tcW w:w="1046" w:type="dxa"/>
            <w:textDirection w:val="btLr"/>
          </w:tcPr>
          <w:p>
            <w:pPr>
              <w:pStyle w:val="TableParagraph"/>
              <w:spacing w:line="244" w:lineRule="auto" w:before="18"/>
              <w:ind w:right="33"/>
              <w:rPr>
                <w:sz w:val="22"/>
              </w:rPr>
            </w:pPr>
            <w:r>
              <w:rPr>
                <w:spacing w:val="-1"/>
                <w:w w:val="100"/>
                <w:sz w:val="22"/>
              </w:rPr>
              <w:t>C</w:t>
            </w:r>
            <w:r>
              <w:rPr>
                <w:w w:val="100"/>
                <w:sz w:val="22"/>
              </w:rPr>
              <w:t>o</w:t>
            </w:r>
            <w:r>
              <w:rPr>
                <w:spacing w:val="-1"/>
                <w:w w:val="100"/>
                <w:sz w:val="22"/>
              </w:rPr>
              <w:t>n</w:t>
            </w:r>
            <w:r>
              <w:rPr>
                <w:w w:val="100"/>
                <w:sz w:val="22"/>
              </w:rPr>
              <w:t>cepc</w:t>
            </w:r>
            <w:r>
              <w:rPr>
                <w:spacing w:val="-3"/>
                <w:w w:val="100"/>
                <w:sz w:val="22"/>
              </w:rPr>
              <w:t>i</w:t>
            </w:r>
            <w:r>
              <w:rPr>
                <w:spacing w:val="1"/>
                <w:w w:val="100"/>
                <w:sz w:val="22"/>
              </w:rPr>
              <w:t>ó</w:t>
            </w:r>
            <w:r>
              <w:rPr>
                <w:w w:val="100"/>
                <w:sz w:val="22"/>
              </w:rPr>
              <w:t>n</w:t>
            </w:r>
            <w:r>
              <w:rPr>
                <w:spacing w:val="-1"/>
                <w:sz w:val="22"/>
              </w:rPr>
              <w:t> </w:t>
            </w:r>
            <w:r>
              <w:rPr>
                <w:spacing w:val="-1"/>
                <w:w w:val="100"/>
                <w:sz w:val="22"/>
              </w:rPr>
              <w:t>d</w:t>
            </w:r>
            <w:r>
              <w:rPr>
                <w:w w:val="100"/>
                <w:sz w:val="22"/>
              </w:rPr>
              <w:t>e</w:t>
            </w:r>
            <w:r>
              <w:rPr>
                <w:spacing w:val="-2"/>
                <w:sz w:val="22"/>
              </w:rPr>
              <w:t> </w:t>
            </w:r>
            <w:r>
              <w:rPr>
                <w:spacing w:val="-1"/>
                <w:w w:val="100"/>
                <w:sz w:val="22"/>
              </w:rPr>
              <w:t>qu</w:t>
            </w:r>
            <w:r>
              <w:rPr>
                <w:w w:val="100"/>
                <w:sz w:val="22"/>
              </w:rPr>
              <w:t>e</w:t>
            </w:r>
            <w:r>
              <w:rPr>
                <w:sz w:val="22"/>
              </w:rPr>
              <w:t> </w:t>
            </w:r>
            <w:r>
              <w:rPr>
                <w:w w:val="100"/>
                <w:sz w:val="22"/>
              </w:rPr>
              <w:t>la ma</w:t>
            </w:r>
            <w:r>
              <w:rPr>
                <w:spacing w:val="-3"/>
                <w:w w:val="100"/>
                <w:sz w:val="22"/>
              </w:rPr>
              <w:t>t</w:t>
            </w:r>
            <w:r>
              <w:rPr>
                <w:w w:val="100"/>
                <w:sz w:val="22"/>
              </w:rPr>
              <w:t>ern</w:t>
            </w:r>
            <w:r>
              <w:rPr>
                <w:spacing w:val="-1"/>
                <w:w w:val="100"/>
                <w:sz w:val="22"/>
              </w:rPr>
              <w:t>id</w:t>
            </w:r>
            <w:r>
              <w:rPr>
                <w:w w:val="100"/>
                <w:sz w:val="22"/>
              </w:rPr>
              <w:t>ad</w:t>
            </w:r>
            <w:r>
              <w:rPr>
                <w:sz w:val="22"/>
              </w:rPr>
              <w:t>  </w:t>
            </w:r>
            <w:r>
              <w:rPr>
                <w:w w:val="100"/>
                <w:sz w:val="22"/>
              </w:rPr>
              <w:t>y</w:t>
            </w:r>
            <w:r>
              <w:rPr>
                <w:spacing w:val="-2"/>
                <w:sz w:val="22"/>
              </w:rPr>
              <w:t> </w:t>
            </w:r>
            <w:r>
              <w:rPr>
                <w:w w:val="100"/>
                <w:sz w:val="22"/>
              </w:rPr>
              <w:t>el</w:t>
            </w:r>
            <w:r>
              <w:rPr>
                <w:sz w:val="22"/>
              </w:rPr>
              <w:t> </w:t>
            </w:r>
            <w:r>
              <w:rPr>
                <w:w w:val="100"/>
                <w:sz w:val="22"/>
              </w:rPr>
              <w:t>c</w:t>
            </w:r>
            <w:r>
              <w:rPr>
                <w:spacing w:val="-1"/>
                <w:w w:val="100"/>
                <w:sz w:val="22"/>
              </w:rPr>
              <w:t>u</w:t>
            </w:r>
            <w:r>
              <w:rPr>
                <w:w w:val="100"/>
                <w:sz w:val="22"/>
              </w:rPr>
              <w:t>i</w:t>
            </w:r>
            <w:r>
              <w:rPr>
                <w:spacing w:val="-2"/>
                <w:w w:val="100"/>
                <w:sz w:val="22"/>
              </w:rPr>
              <w:t>d</w:t>
            </w:r>
            <w:r>
              <w:rPr>
                <w:w w:val="100"/>
                <w:sz w:val="22"/>
              </w:rPr>
              <w:t>a</w:t>
            </w:r>
            <w:r>
              <w:rPr>
                <w:spacing w:val="-4"/>
                <w:w w:val="100"/>
                <w:sz w:val="22"/>
              </w:rPr>
              <w:t>d</w:t>
            </w:r>
            <w:r>
              <w:rPr>
                <w:w w:val="100"/>
                <w:sz w:val="22"/>
              </w:rPr>
              <w:t>o</w:t>
            </w:r>
            <w:r>
              <w:rPr>
                <w:spacing w:val="2"/>
                <w:sz w:val="22"/>
              </w:rPr>
              <w:t> </w:t>
            </w:r>
            <w:r>
              <w:rPr>
                <w:spacing w:val="-4"/>
                <w:w w:val="100"/>
                <w:sz w:val="22"/>
              </w:rPr>
              <w:t>d</w:t>
            </w:r>
            <w:r>
              <w:rPr>
                <w:w w:val="100"/>
                <w:sz w:val="22"/>
              </w:rPr>
              <w:t>e</w:t>
            </w:r>
            <w:r>
              <w:rPr>
                <w:sz w:val="22"/>
              </w:rPr>
              <w:t> </w:t>
            </w:r>
            <w:r>
              <w:rPr>
                <w:w w:val="100"/>
                <w:sz w:val="22"/>
              </w:rPr>
              <w:t>los </w:t>
            </w:r>
            <w:r>
              <w:rPr>
                <w:spacing w:val="-1"/>
                <w:w w:val="100"/>
                <w:sz w:val="22"/>
              </w:rPr>
              <w:t>h</w:t>
            </w:r>
            <w:r>
              <w:rPr>
                <w:w w:val="100"/>
                <w:sz w:val="22"/>
              </w:rPr>
              <w:t>ijos</w:t>
            </w:r>
            <w:r>
              <w:rPr>
                <w:sz w:val="22"/>
              </w:rPr>
              <w:t> </w:t>
            </w:r>
            <w:r>
              <w:rPr>
                <w:spacing w:val="-2"/>
                <w:w w:val="100"/>
                <w:sz w:val="22"/>
              </w:rPr>
              <w:t>s</w:t>
            </w:r>
            <w:r>
              <w:rPr>
                <w:spacing w:val="1"/>
                <w:w w:val="100"/>
                <w:sz w:val="22"/>
              </w:rPr>
              <w:t>ó</w:t>
            </w:r>
            <w:r>
              <w:rPr>
                <w:w w:val="100"/>
                <w:sz w:val="22"/>
              </w:rPr>
              <w:t>lo</w:t>
            </w:r>
            <w:r>
              <w:rPr>
                <w:sz w:val="22"/>
              </w:rPr>
              <w:t> </w:t>
            </w:r>
            <w:r>
              <w:rPr>
                <w:spacing w:val="-1"/>
                <w:sz w:val="22"/>
              </w:rPr>
              <w:t> </w:t>
            </w:r>
            <w:r>
              <w:rPr>
                <w:spacing w:val="-3"/>
                <w:w w:val="100"/>
                <w:sz w:val="22"/>
              </w:rPr>
              <w:t>c</w:t>
            </w:r>
            <w:r>
              <w:rPr>
                <w:spacing w:val="1"/>
                <w:w w:val="100"/>
                <w:sz w:val="22"/>
              </w:rPr>
              <w:t>o</w:t>
            </w:r>
            <w:r>
              <w:rPr>
                <w:w w:val="100"/>
                <w:sz w:val="22"/>
              </w:rPr>
              <w:t>rres</w:t>
            </w:r>
            <w:r>
              <w:rPr>
                <w:spacing w:val="-4"/>
                <w:w w:val="100"/>
                <w:sz w:val="22"/>
              </w:rPr>
              <w:t>p</w:t>
            </w:r>
            <w:r>
              <w:rPr>
                <w:spacing w:val="1"/>
                <w:w w:val="100"/>
                <w:sz w:val="22"/>
              </w:rPr>
              <w:t>o</w:t>
            </w:r>
            <w:r>
              <w:rPr>
                <w:spacing w:val="-1"/>
                <w:w w:val="100"/>
                <w:sz w:val="22"/>
              </w:rPr>
              <w:t>nd</w:t>
            </w:r>
            <w:r>
              <w:rPr>
                <w:w w:val="100"/>
                <w:sz w:val="22"/>
              </w:rPr>
              <w:t>en</w:t>
            </w:r>
            <w:r>
              <w:rPr>
                <w:sz w:val="22"/>
              </w:rPr>
              <w:t> </w:t>
            </w:r>
            <w:r>
              <w:rPr>
                <w:w w:val="100"/>
                <w:sz w:val="22"/>
              </w:rPr>
              <w:t>a</w:t>
            </w:r>
            <w:r>
              <w:rPr>
                <w:sz w:val="22"/>
              </w:rPr>
              <w:t> </w:t>
            </w:r>
            <w:r>
              <w:rPr>
                <w:spacing w:val="-3"/>
                <w:w w:val="100"/>
                <w:sz w:val="22"/>
              </w:rPr>
              <w:t>l</w:t>
            </w:r>
            <w:r>
              <w:rPr>
                <w:w w:val="100"/>
                <w:sz w:val="22"/>
              </w:rPr>
              <w:t>as</w:t>
            </w:r>
          </w:p>
          <w:p>
            <w:pPr>
              <w:pStyle w:val="TableParagraph"/>
              <w:spacing w:line="233" w:lineRule="exact" w:before="2"/>
              <w:ind w:right="-8"/>
              <w:rPr>
                <w:sz w:val="22"/>
              </w:rPr>
            </w:pPr>
            <w:r>
              <w:rPr>
                <w:w w:val="100"/>
                <w:sz w:val="22"/>
              </w:rPr>
              <w:t>m</w:t>
            </w:r>
            <w:r>
              <w:rPr>
                <w:spacing w:val="-1"/>
                <w:w w:val="100"/>
                <w:sz w:val="22"/>
              </w:rPr>
              <w:t>ujer</w:t>
            </w:r>
            <w:r>
              <w:rPr>
                <w:spacing w:val="-2"/>
                <w:w w:val="100"/>
                <w:sz w:val="22"/>
              </w:rPr>
              <w:t>e</w:t>
            </w:r>
            <w:r>
              <w:rPr>
                <w:spacing w:val="-1"/>
                <w:w w:val="100"/>
                <w:sz w:val="22"/>
              </w:rPr>
              <w:t>s</w:t>
            </w:r>
            <w:r>
              <w:rPr>
                <w:w w:val="100"/>
                <w:sz w:val="22"/>
              </w:rPr>
              <w:t>.</w:t>
            </w:r>
            <w:r>
              <w:rPr>
                <w:sz w:val="22"/>
              </w:rPr>
              <w:t>  </w:t>
            </w:r>
            <w:r>
              <w:rPr>
                <w:w w:val="100"/>
                <w:sz w:val="22"/>
              </w:rPr>
              <w:t>aba</w:t>
            </w:r>
            <w:r>
              <w:rPr>
                <w:spacing w:val="-2"/>
                <w:w w:val="100"/>
                <w:sz w:val="22"/>
              </w:rPr>
              <w:t>n</w:t>
            </w:r>
            <w:r>
              <w:rPr>
                <w:spacing w:val="-1"/>
                <w:w w:val="100"/>
                <w:sz w:val="22"/>
              </w:rPr>
              <w:t>d</w:t>
            </w:r>
            <w:r>
              <w:rPr>
                <w:spacing w:val="1"/>
                <w:w w:val="100"/>
                <w:sz w:val="22"/>
              </w:rPr>
              <w:t>o</w:t>
            </w:r>
            <w:r>
              <w:rPr>
                <w:spacing w:val="-4"/>
                <w:w w:val="100"/>
                <w:sz w:val="22"/>
              </w:rPr>
              <w:t>n</w:t>
            </w:r>
            <w:r>
              <w:rPr>
                <w:w w:val="100"/>
                <w:sz w:val="22"/>
              </w:rPr>
              <w:t>o</w:t>
            </w:r>
            <w:r>
              <w:rPr>
                <w:spacing w:val="1"/>
                <w:sz w:val="22"/>
              </w:rPr>
              <w:t> </w:t>
            </w:r>
            <w:r>
              <w:rPr>
                <w:spacing w:val="-1"/>
                <w:w w:val="100"/>
                <w:sz w:val="22"/>
              </w:rPr>
              <w:t>d</w:t>
            </w:r>
            <w:r>
              <w:rPr>
                <w:w w:val="100"/>
                <w:sz w:val="22"/>
              </w:rPr>
              <w:t>e</w:t>
            </w:r>
            <w:r>
              <w:rPr>
                <w:spacing w:val="-2"/>
                <w:sz w:val="22"/>
              </w:rPr>
              <w:t> </w:t>
            </w:r>
            <w:r>
              <w:rPr>
                <w:w w:val="100"/>
                <w:sz w:val="22"/>
              </w:rPr>
              <w:t>la</w:t>
            </w:r>
            <w:r>
              <w:rPr>
                <w:sz w:val="22"/>
              </w:rPr>
              <w:t> </w:t>
            </w:r>
            <w:r>
              <w:rPr>
                <w:spacing w:val="-3"/>
                <w:w w:val="100"/>
                <w:sz w:val="22"/>
              </w:rPr>
              <w:t>p</w:t>
            </w:r>
            <w:r>
              <w:rPr>
                <w:w w:val="100"/>
                <w:sz w:val="22"/>
              </w:rPr>
              <w:t>areja</w:t>
            </w:r>
          </w:p>
        </w:tc>
        <w:tc>
          <w:tcPr>
            <w:tcW w:w="1044" w:type="dxa"/>
            <w:textDirection w:val="btLr"/>
          </w:tcPr>
          <w:p>
            <w:pPr>
              <w:pStyle w:val="TableParagraph"/>
              <w:spacing w:before="4"/>
              <w:rPr>
                <w:rFonts w:ascii="Arial"/>
                <w:b/>
                <w:sz w:val="25"/>
              </w:rPr>
            </w:pPr>
          </w:p>
          <w:p>
            <w:pPr>
              <w:pStyle w:val="TableParagraph"/>
              <w:spacing w:line="247" w:lineRule="auto"/>
              <w:ind w:right="63"/>
              <w:rPr>
                <w:sz w:val="22"/>
              </w:rPr>
            </w:pPr>
            <w:r>
              <w:rPr>
                <w:spacing w:val="-1"/>
                <w:w w:val="100"/>
                <w:sz w:val="22"/>
              </w:rPr>
              <w:t>E</w:t>
            </w:r>
            <w:r>
              <w:rPr>
                <w:spacing w:val="1"/>
                <w:w w:val="100"/>
                <w:sz w:val="22"/>
              </w:rPr>
              <w:t>m</w:t>
            </w:r>
            <w:r>
              <w:rPr>
                <w:spacing w:val="-1"/>
                <w:w w:val="100"/>
                <w:sz w:val="22"/>
              </w:rPr>
              <w:t>b</w:t>
            </w:r>
            <w:r>
              <w:rPr>
                <w:w w:val="100"/>
                <w:sz w:val="22"/>
              </w:rPr>
              <w:t>ara</w:t>
            </w:r>
            <w:r>
              <w:rPr>
                <w:spacing w:val="-2"/>
                <w:w w:val="100"/>
                <w:sz w:val="22"/>
              </w:rPr>
              <w:t>zo</w:t>
            </w:r>
            <w:r>
              <w:rPr>
                <w:w w:val="100"/>
                <w:sz w:val="22"/>
              </w:rPr>
              <w:t>s</w:t>
            </w:r>
            <w:r>
              <w:rPr>
                <w:sz w:val="22"/>
              </w:rPr>
              <w:t> </w:t>
            </w:r>
            <w:r>
              <w:rPr>
                <w:spacing w:val="-1"/>
                <w:w w:val="100"/>
                <w:sz w:val="22"/>
              </w:rPr>
              <w:t>n</w:t>
            </w:r>
            <w:r>
              <w:rPr>
                <w:w w:val="100"/>
                <w:sz w:val="22"/>
              </w:rPr>
              <w:t>o</w:t>
            </w:r>
            <w:r>
              <w:rPr>
                <w:spacing w:val="-2"/>
                <w:sz w:val="22"/>
              </w:rPr>
              <w:t> </w:t>
            </w:r>
            <w:r>
              <w:rPr>
                <w:spacing w:val="-1"/>
                <w:w w:val="100"/>
                <w:sz w:val="22"/>
              </w:rPr>
              <w:t>plan</w:t>
            </w:r>
            <w:r>
              <w:rPr>
                <w:w w:val="100"/>
                <w:sz w:val="22"/>
              </w:rPr>
              <w:t>ead</w:t>
            </w:r>
            <w:r>
              <w:rPr>
                <w:spacing w:val="-2"/>
                <w:w w:val="100"/>
                <w:sz w:val="22"/>
              </w:rPr>
              <w:t>o</w:t>
            </w:r>
            <w:r>
              <w:rPr>
                <w:w w:val="100"/>
                <w:sz w:val="22"/>
              </w:rPr>
              <w:t>s</w:t>
            </w:r>
            <w:r>
              <w:rPr>
                <w:sz w:val="22"/>
              </w:rPr>
              <w:t> </w:t>
            </w:r>
            <w:r>
              <w:rPr>
                <w:w w:val="100"/>
                <w:sz w:val="22"/>
              </w:rPr>
              <w:t>/</w:t>
            </w:r>
            <w:r>
              <w:rPr>
                <w:spacing w:val="-3"/>
                <w:sz w:val="22"/>
              </w:rPr>
              <w:t> </w:t>
            </w:r>
            <w:r>
              <w:rPr>
                <w:spacing w:val="-1"/>
                <w:w w:val="100"/>
                <w:sz w:val="22"/>
              </w:rPr>
              <w:t>fal</w:t>
            </w:r>
            <w:r>
              <w:rPr>
                <w:w w:val="100"/>
                <w:sz w:val="22"/>
              </w:rPr>
              <w:t>ta </w:t>
            </w:r>
            <w:r>
              <w:rPr>
                <w:spacing w:val="-1"/>
                <w:w w:val="100"/>
                <w:sz w:val="22"/>
              </w:rPr>
              <w:t>d</w:t>
            </w:r>
            <w:r>
              <w:rPr>
                <w:w w:val="100"/>
                <w:sz w:val="22"/>
              </w:rPr>
              <w:t>e</w:t>
            </w:r>
            <w:r>
              <w:rPr>
                <w:sz w:val="22"/>
              </w:rPr>
              <w:t> </w:t>
            </w:r>
            <w:r>
              <w:rPr>
                <w:w w:val="100"/>
                <w:sz w:val="22"/>
              </w:rPr>
              <w:t>cu</w:t>
            </w:r>
            <w:r>
              <w:rPr>
                <w:spacing w:val="-1"/>
                <w:w w:val="100"/>
                <w:sz w:val="22"/>
              </w:rPr>
              <w:t>id</w:t>
            </w:r>
            <w:r>
              <w:rPr>
                <w:w w:val="100"/>
                <w:sz w:val="22"/>
              </w:rPr>
              <w:t>a</w:t>
            </w:r>
            <w:r>
              <w:rPr>
                <w:spacing w:val="-1"/>
                <w:w w:val="100"/>
                <w:sz w:val="22"/>
              </w:rPr>
              <w:t>d</w:t>
            </w:r>
            <w:r>
              <w:rPr>
                <w:spacing w:val="1"/>
                <w:w w:val="100"/>
                <w:sz w:val="22"/>
              </w:rPr>
              <w:t>o</w:t>
            </w:r>
            <w:r>
              <w:rPr>
                <w:w w:val="100"/>
                <w:sz w:val="22"/>
              </w:rPr>
              <w:t>s</w:t>
            </w:r>
            <w:r>
              <w:rPr>
                <w:sz w:val="22"/>
              </w:rPr>
              <w:t> </w:t>
            </w:r>
            <w:r>
              <w:rPr>
                <w:spacing w:val="-1"/>
                <w:w w:val="100"/>
                <w:sz w:val="22"/>
              </w:rPr>
              <w:t>p</w:t>
            </w:r>
            <w:r>
              <w:rPr>
                <w:spacing w:val="-3"/>
                <w:w w:val="100"/>
                <w:sz w:val="22"/>
              </w:rPr>
              <w:t>r</w:t>
            </w:r>
            <w:r>
              <w:rPr>
                <w:w w:val="100"/>
                <w:sz w:val="22"/>
              </w:rPr>
              <w:t>enatales.</w:t>
            </w:r>
          </w:p>
        </w:tc>
        <w:tc>
          <w:tcPr>
            <w:tcW w:w="1047" w:type="dxa"/>
            <w:textDirection w:val="btLr"/>
          </w:tcPr>
          <w:p>
            <w:pPr>
              <w:pStyle w:val="TableParagraph"/>
              <w:spacing w:line="244" w:lineRule="auto" w:before="156"/>
              <w:ind w:right="203"/>
              <w:rPr>
                <w:sz w:val="22"/>
              </w:rPr>
            </w:pPr>
            <w:r>
              <w:rPr>
                <w:w w:val="100"/>
                <w:sz w:val="22"/>
              </w:rPr>
              <w:t>i</w:t>
            </w:r>
            <w:r>
              <w:rPr>
                <w:spacing w:val="-2"/>
                <w:w w:val="100"/>
                <w:sz w:val="22"/>
              </w:rPr>
              <w:t>n</w:t>
            </w:r>
            <w:r>
              <w:rPr>
                <w:w w:val="100"/>
                <w:sz w:val="22"/>
              </w:rPr>
              <w:t>ici</w:t>
            </w:r>
            <w:r>
              <w:rPr>
                <w:spacing w:val="-1"/>
                <w:w w:val="100"/>
                <w:sz w:val="22"/>
              </w:rPr>
              <w:t>a</w:t>
            </w:r>
            <w:r>
              <w:rPr>
                <w:w w:val="100"/>
                <w:sz w:val="22"/>
              </w:rPr>
              <w:t>ción</w:t>
            </w:r>
            <w:r>
              <w:rPr>
                <w:spacing w:val="-1"/>
                <w:sz w:val="22"/>
              </w:rPr>
              <w:t> </w:t>
            </w:r>
            <w:r>
              <w:rPr>
                <w:spacing w:val="-2"/>
                <w:w w:val="100"/>
                <w:sz w:val="22"/>
              </w:rPr>
              <w:t>s</w:t>
            </w:r>
            <w:r>
              <w:rPr>
                <w:w w:val="100"/>
                <w:sz w:val="22"/>
              </w:rPr>
              <w:t>ex</w:t>
            </w:r>
            <w:r>
              <w:rPr>
                <w:spacing w:val="-1"/>
                <w:w w:val="100"/>
                <w:sz w:val="22"/>
              </w:rPr>
              <w:t>u</w:t>
            </w:r>
            <w:r>
              <w:rPr>
                <w:w w:val="100"/>
                <w:sz w:val="22"/>
              </w:rPr>
              <w:t>al</w:t>
            </w:r>
            <w:r>
              <w:rPr>
                <w:sz w:val="22"/>
              </w:rPr>
              <w:t> </w:t>
            </w:r>
            <w:r>
              <w:rPr>
                <w:spacing w:val="-2"/>
                <w:w w:val="100"/>
                <w:sz w:val="22"/>
              </w:rPr>
              <w:t>t</w:t>
            </w:r>
            <w:r>
              <w:rPr>
                <w:w w:val="100"/>
                <w:sz w:val="22"/>
              </w:rPr>
              <w:t>e</w:t>
            </w:r>
            <w:r>
              <w:rPr>
                <w:spacing w:val="1"/>
                <w:w w:val="100"/>
                <w:sz w:val="22"/>
              </w:rPr>
              <w:t>m</w:t>
            </w:r>
            <w:r>
              <w:rPr>
                <w:spacing w:val="-1"/>
                <w:w w:val="100"/>
                <w:sz w:val="22"/>
              </w:rPr>
              <w:t>p</w:t>
            </w:r>
            <w:r>
              <w:rPr>
                <w:w w:val="100"/>
                <w:sz w:val="22"/>
              </w:rPr>
              <w:t>ra</w:t>
            </w:r>
            <w:r>
              <w:rPr>
                <w:spacing w:val="-2"/>
                <w:w w:val="100"/>
                <w:sz w:val="22"/>
              </w:rPr>
              <w:t>n</w:t>
            </w:r>
            <w:r>
              <w:rPr>
                <w:w w:val="100"/>
                <w:sz w:val="22"/>
              </w:rPr>
              <w:t>a</w:t>
            </w:r>
            <w:r>
              <w:rPr>
                <w:spacing w:val="-5"/>
                <w:sz w:val="22"/>
              </w:rPr>
              <w:t> </w:t>
            </w:r>
            <w:r>
              <w:rPr>
                <w:w w:val="100"/>
                <w:sz w:val="22"/>
              </w:rPr>
              <w:t>y esca</w:t>
            </w:r>
            <w:r>
              <w:rPr>
                <w:spacing w:val="-3"/>
                <w:w w:val="100"/>
                <w:sz w:val="22"/>
              </w:rPr>
              <w:t>s</w:t>
            </w:r>
            <w:r>
              <w:rPr>
                <w:w w:val="100"/>
                <w:sz w:val="22"/>
              </w:rPr>
              <w:t>o</w:t>
            </w:r>
            <w:r>
              <w:rPr>
                <w:spacing w:val="1"/>
                <w:sz w:val="22"/>
              </w:rPr>
              <w:t> </w:t>
            </w:r>
            <w:r>
              <w:rPr>
                <w:w w:val="100"/>
                <w:sz w:val="22"/>
              </w:rPr>
              <w:t>ac</w:t>
            </w:r>
            <w:r>
              <w:rPr>
                <w:spacing w:val="-2"/>
                <w:w w:val="100"/>
                <w:sz w:val="22"/>
              </w:rPr>
              <w:t>c</w:t>
            </w:r>
            <w:r>
              <w:rPr>
                <w:w w:val="100"/>
                <w:sz w:val="22"/>
              </w:rPr>
              <w:t>e</w:t>
            </w:r>
            <w:r>
              <w:rPr>
                <w:spacing w:val="-2"/>
                <w:w w:val="100"/>
                <w:sz w:val="22"/>
              </w:rPr>
              <w:t>s</w:t>
            </w:r>
            <w:r>
              <w:rPr>
                <w:w w:val="100"/>
                <w:sz w:val="22"/>
              </w:rPr>
              <w:t>o</w:t>
            </w:r>
            <w:r>
              <w:rPr>
                <w:spacing w:val="1"/>
                <w:sz w:val="22"/>
              </w:rPr>
              <w:t> </w:t>
            </w:r>
            <w:r>
              <w:rPr>
                <w:w w:val="100"/>
                <w:sz w:val="22"/>
              </w:rPr>
              <w:t>a</w:t>
            </w:r>
            <w:r>
              <w:rPr>
                <w:sz w:val="22"/>
              </w:rPr>
              <w:t> </w:t>
            </w:r>
            <w:r>
              <w:rPr>
                <w:spacing w:val="-3"/>
                <w:w w:val="100"/>
                <w:sz w:val="22"/>
              </w:rPr>
              <w:t>r</w:t>
            </w:r>
            <w:r>
              <w:rPr>
                <w:w w:val="100"/>
                <w:sz w:val="22"/>
              </w:rPr>
              <w:t>ecur</w:t>
            </w:r>
            <w:r>
              <w:rPr>
                <w:spacing w:val="-3"/>
                <w:w w:val="100"/>
                <w:sz w:val="22"/>
              </w:rPr>
              <w:t>s</w:t>
            </w:r>
            <w:r>
              <w:rPr>
                <w:spacing w:val="1"/>
                <w:w w:val="100"/>
                <w:sz w:val="22"/>
              </w:rPr>
              <w:t>o</w:t>
            </w:r>
            <w:r>
              <w:rPr>
                <w:w w:val="100"/>
                <w:sz w:val="22"/>
              </w:rPr>
              <w:t>s</w:t>
            </w:r>
            <w:r>
              <w:rPr>
                <w:sz w:val="22"/>
              </w:rPr>
              <w:t> </w:t>
            </w:r>
            <w:r>
              <w:rPr>
                <w:spacing w:val="-3"/>
                <w:w w:val="100"/>
                <w:sz w:val="22"/>
              </w:rPr>
              <w:t>p</w:t>
            </w:r>
            <w:r>
              <w:rPr>
                <w:w w:val="100"/>
                <w:sz w:val="22"/>
              </w:rPr>
              <w:t>ara las</w:t>
            </w:r>
            <w:r>
              <w:rPr>
                <w:spacing w:val="-1"/>
                <w:sz w:val="22"/>
              </w:rPr>
              <w:t> </w:t>
            </w:r>
            <w:r>
              <w:rPr>
                <w:spacing w:val="-1"/>
                <w:w w:val="100"/>
                <w:sz w:val="22"/>
              </w:rPr>
              <w:t>p</w:t>
            </w:r>
            <w:r>
              <w:rPr>
                <w:w w:val="100"/>
                <w:sz w:val="22"/>
              </w:rPr>
              <w:t>rácticas</w:t>
            </w:r>
            <w:r>
              <w:rPr>
                <w:spacing w:val="-3"/>
                <w:sz w:val="22"/>
              </w:rPr>
              <w:t> </w:t>
            </w:r>
            <w:r>
              <w:rPr>
                <w:spacing w:val="-1"/>
                <w:w w:val="100"/>
                <w:sz w:val="22"/>
              </w:rPr>
              <w:t>d</w:t>
            </w:r>
            <w:r>
              <w:rPr>
                <w:w w:val="100"/>
                <w:sz w:val="22"/>
              </w:rPr>
              <w:t>e</w:t>
            </w:r>
            <w:r>
              <w:rPr>
                <w:sz w:val="22"/>
              </w:rPr>
              <w:t> </w:t>
            </w:r>
            <w:r>
              <w:rPr>
                <w:spacing w:val="-1"/>
                <w:w w:val="100"/>
                <w:sz w:val="22"/>
              </w:rPr>
              <w:t>p</w:t>
            </w:r>
            <w:r>
              <w:rPr>
                <w:w w:val="100"/>
                <w:sz w:val="22"/>
              </w:rPr>
              <w:t>r</w:t>
            </w:r>
            <w:r>
              <w:rPr>
                <w:spacing w:val="-3"/>
                <w:w w:val="100"/>
                <w:sz w:val="22"/>
              </w:rPr>
              <w:t>e</w:t>
            </w:r>
            <w:r>
              <w:rPr>
                <w:w w:val="100"/>
                <w:sz w:val="22"/>
              </w:rPr>
              <w:t>venc</w:t>
            </w:r>
            <w:r>
              <w:rPr>
                <w:spacing w:val="-3"/>
                <w:w w:val="100"/>
                <w:sz w:val="22"/>
              </w:rPr>
              <w:t>i</w:t>
            </w:r>
            <w:r>
              <w:rPr>
                <w:spacing w:val="1"/>
                <w:w w:val="100"/>
                <w:sz w:val="22"/>
              </w:rPr>
              <w:t>ó</w:t>
            </w:r>
            <w:r>
              <w:rPr>
                <w:w w:val="100"/>
                <w:sz w:val="22"/>
              </w:rPr>
              <w:t>n</w:t>
            </w:r>
          </w:p>
        </w:tc>
        <w:tc>
          <w:tcPr>
            <w:tcW w:w="1043" w:type="dxa"/>
            <w:tcBorders>
              <w:right w:val="single" w:sz="5" w:space="0" w:color="000000"/>
            </w:tcBorders>
            <w:textDirection w:val="btLr"/>
          </w:tcPr>
          <w:p>
            <w:pPr>
              <w:pStyle w:val="TableParagraph"/>
              <w:rPr>
                <w:rFonts w:ascii="Arial"/>
                <w:b/>
                <w:sz w:val="22"/>
              </w:rPr>
            </w:pPr>
          </w:p>
          <w:p>
            <w:pPr>
              <w:pStyle w:val="TableParagraph"/>
              <w:spacing w:before="176"/>
              <w:ind w:right="-8"/>
              <w:rPr>
                <w:sz w:val="22"/>
              </w:rPr>
            </w:pPr>
            <w:r>
              <w:rPr>
                <w:spacing w:val="-1"/>
                <w:w w:val="100"/>
                <w:sz w:val="22"/>
              </w:rPr>
              <w:t>N</w:t>
            </w:r>
            <w:r>
              <w:rPr>
                <w:spacing w:val="1"/>
                <w:w w:val="100"/>
                <w:sz w:val="22"/>
              </w:rPr>
              <w:t>o</w:t>
            </w:r>
            <w:r>
              <w:rPr>
                <w:w w:val="100"/>
                <w:sz w:val="22"/>
              </w:rPr>
              <w:t>rm</w:t>
            </w:r>
            <w:r>
              <w:rPr>
                <w:spacing w:val="-3"/>
                <w:w w:val="100"/>
                <w:sz w:val="22"/>
              </w:rPr>
              <w:t>a</w:t>
            </w:r>
            <w:r>
              <w:rPr>
                <w:w w:val="100"/>
                <w:sz w:val="22"/>
              </w:rPr>
              <w:t>s</w:t>
            </w:r>
            <w:r>
              <w:rPr>
                <w:sz w:val="22"/>
              </w:rPr>
              <w:t> </w:t>
            </w:r>
            <w:r>
              <w:rPr>
                <w:w w:val="100"/>
                <w:sz w:val="22"/>
              </w:rPr>
              <w:t>y</w:t>
            </w:r>
            <w:r>
              <w:rPr>
                <w:spacing w:val="-1"/>
                <w:sz w:val="22"/>
              </w:rPr>
              <w:t> </w:t>
            </w:r>
            <w:r>
              <w:rPr>
                <w:w w:val="100"/>
                <w:sz w:val="22"/>
              </w:rPr>
              <w:t>tra</w:t>
            </w:r>
            <w:r>
              <w:rPr>
                <w:spacing w:val="-2"/>
                <w:w w:val="100"/>
                <w:sz w:val="22"/>
              </w:rPr>
              <w:t>d</w:t>
            </w:r>
            <w:r>
              <w:rPr>
                <w:w w:val="100"/>
                <w:sz w:val="22"/>
              </w:rPr>
              <w:t>ic</w:t>
            </w:r>
            <w:r>
              <w:rPr>
                <w:spacing w:val="-3"/>
                <w:w w:val="100"/>
                <w:sz w:val="22"/>
              </w:rPr>
              <w:t>i</w:t>
            </w:r>
            <w:r>
              <w:rPr>
                <w:spacing w:val="1"/>
                <w:w w:val="100"/>
                <w:sz w:val="22"/>
              </w:rPr>
              <w:t>o</w:t>
            </w:r>
            <w:r>
              <w:rPr>
                <w:spacing w:val="-1"/>
                <w:w w:val="100"/>
                <w:sz w:val="22"/>
              </w:rPr>
              <w:t>n</w:t>
            </w:r>
            <w:r>
              <w:rPr>
                <w:w w:val="100"/>
                <w:sz w:val="22"/>
              </w:rPr>
              <w:t>es</w:t>
            </w:r>
            <w:r>
              <w:rPr>
                <w:spacing w:val="-2"/>
                <w:sz w:val="22"/>
              </w:rPr>
              <w:t> </w:t>
            </w:r>
            <w:r>
              <w:rPr>
                <w:w w:val="100"/>
                <w:sz w:val="22"/>
              </w:rPr>
              <w:t>cu</w:t>
            </w:r>
            <w:r>
              <w:rPr>
                <w:spacing w:val="-1"/>
                <w:w w:val="100"/>
                <w:sz w:val="22"/>
              </w:rPr>
              <w:t>l</w:t>
            </w:r>
            <w:r>
              <w:rPr>
                <w:w w:val="100"/>
                <w:sz w:val="22"/>
              </w:rPr>
              <w:t>tur</w:t>
            </w:r>
            <w:r>
              <w:rPr>
                <w:spacing w:val="-1"/>
                <w:w w:val="100"/>
                <w:sz w:val="22"/>
              </w:rPr>
              <w:t>a</w:t>
            </w:r>
            <w:r>
              <w:rPr>
                <w:w w:val="100"/>
                <w:sz w:val="22"/>
              </w:rPr>
              <w:t>les</w:t>
            </w:r>
          </w:p>
        </w:tc>
      </w:tr>
    </w:tbl>
    <w:p>
      <w:pPr>
        <w:spacing w:after="0"/>
        <w:rPr>
          <w:sz w:val="22"/>
        </w:rPr>
        <w:sectPr>
          <w:pgSz w:w="12240" w:h="15840"/>
          <w:pgMar w:header="764" w:footer="625" w:top="1960" w:bottom="820" w:left="1480" w:right="1120"/>
        </w:sectPr>
      </w:pPr>
    </w:p>
    <w:p>
      <w:pPr>
        <w:pStyle w:val="BodyText"/>
        <w:rPr>
          <w:b/>
          <w:sz w:val="20"/>
        </w:rPr>
      </w:pPr>
    </w:p>
    <w:p>
      <w:pPr>
        <w:pStyle w:val="BodyText"/>
        <w:rPr>
          <w:b/>
          <w:sz w:val="20"/>
        </w:rPr>
      </w:pPr>
    </w:p>
    <w:p>
      <w:pPr>
        <w:spacing w:before="195"/>
        <w:ind w:left="276" w:right="0" w:firstLine="0"/>
        <w:jc w:val="left"/>
        <w:rPr>
          <w:b/>
          <w:sz w:val="24"/>
        </w:rPr>
      </w:pPr>
      <w:r>
        <w:rPr>
          <w:b/>
          <w:sz w:val="24"/>
        </w:rPr>
        <w:t>Propuesta.</w:t>
      </w:r>
    </w:p>
    <w:p>
      <w:pPr>
        <w:pStyle w:val="BodyText"/>
        <w:spacing w:before="4"/>
        <w:rPr>
          <w:b/>
          <w:sz w:val="29"/>
        </w:rPr>
      </w:pPr>
    </w:p>
    <w:p>
      <w:pPr>
        <w:pStyle w:val="BodyText"/>
        <w:spacing w:line="360" w:lineRule="auto" w:before="1"/>
        <w:ind w:left="142" w:right="141"/>
        <w:jc w:val="both"/>
      </w:pPr>
      <w:r>
        <w:rPr/>
        <w:t>La realización de un taller con perspectiva de género para adolescentes que pertenecen a una zona periurbana, está enfocado a responder dudas de este sector de la población en cuanto al tema de salud sexual y reproductiva.</w:t>
      </w:r>
    </w:p>
    <w:p>
      <w:pPr>
        <w:pStyle w:val="BodyText"/>
        <w:spacing w:line="360" w:lineRule="auto" w:before="202"/>
        <w:ind w:left="142" w:right="140"/>
        <w:jc w:val="both"/>
      </w:pPr>
      <w:r>
        <w:rPr/>
        <w:t>Lo que se pretende hacer con el taller es el sensibilizar a las y los adolescentes y al mismo tiempo concientizarles respecto a su toma de decisiones en el inicio de su vida sexual, ya que este proceso es un parte aguas dentro de la etapa del desarrollo en el que se encuentran, forma parte de una decisión primordial que marca a muchas y a muchos como inicio de la etapa adulta y de todo lo que conlleva el ser</w:t>
      </w:r>
      <w:r>
        <w:rPr>
          <w:spacing w:val="-9"/>
        </w:rPr>
        <w:t> </w:t>
      </w:r>
      <w:r>
        <w:rPr/>
        <w:t>mayor.</w:t>
      </w:r>
    </w:p>
    <w:p>
      <w:pPr>
        <w:pStyle w:val="BodyText"/>
        <w:spacing w:line="360" w:lineRule="auto" w:before="204"/>
        <w:ind w:left="142" w:right="139"/>
        <w:jc w:val="both"/>
      </w:pPr>
      <w:r>
        <w:rPr/>
        <w:t>Como ya se ha mencionado, en la construcción de una identidad sexual interfieren muchos factores, siendo el aspecto social la parte con mayor peso y la más significativa para las y los adolescentes; es en busca de una identidad y una aceptación por parte del círculo de iguales, y muchas veces se accede a ciertos ritos, en este caso en el ámbito de la sexualidad, sin la plena conciencia de los riesgos, consecuencias o beneficios, tanto a largo como a corto plazo, dicho de otra forma, en cuestión de salud sexual y reproductiva y a pesar de contar con cierto tipo de información, no se consideran los factores positivos o negativos que se encuentran alrededor de dichas prácticas.</w:t>
      </w:r>
    </w:p>
    <w:p>
      <w:pPr>
        <w:pStyle w:val="BodyText"/>
        <w:spacing w:line="360" w:lineRule="auto" w:before="202"/>
        <w:ind w:left="142" w:right="136"/>
        <w:jc w:val="both"/>
      </w:pPr>
      <w:r>
        <w:rPr/>
        <w:t>El hecho de realzar el taller dentro del medio periurbano responde entre otras cuestiones a la disposición presentada tanto por el grupo de adolescentes como  de las autoridades correspondientes dentro de la institución para la cual está dirigido el</w:t>
      </w:r>
      <w:r>
        <w:rPr>
          <w:spacing w:val="-3"/>
        </w:rPr>
        <w:t> </w:t>
      </w:r>
      <w:r>
        <w:rPr/>
        <w:t>taller.</w:t>
      </w:r>
    </w:p>
    <w:p>
      <w:pPr>
        <w:pStyle w:val="BodyText"/>
        <w:spacing w:line="360" w:lineRule="auto" w:before="204"/>
        <w:ind w:left="142" w:right="142"/>
        <w:jc w:val="both"/>
      </w:pPr>
      <w:r>
        <w:rPr/>
        <w:t>Cabe mencionar que en un ejercicio de indagación y sondeo con un grupo de adolescentes pertenecientes a un medio completamente urbano y con una  posición económica mayor se encontró una respuesta menos positiva al  </w:t>
      </w:r>
      <w:r>
        <w:rPr>
          <w:spacing w:val="15"/>
        </w:rPr>
        <w:t> </w:t>
      </w:r>
      <w:r>
        <w:rPr/>
        <w:t>respecto</w:t>
      </w:r>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BodyText"/>
        <w:spacing w:line="360" w:lineRule="auto" w:before="195"/>
        <w:ind w:left="142" w:right="134"/>
        <w:jc w:val="both"/>
      </w:pPr>
      <w:r>
        <w:rPr/>
        <w:t>de participar en un taller con dichas características. El tipo de respuesta pudiera estar enfocada en el entendido de que este grupo de adolescentes en particular cuentan con una mayor posibilidad de encontrar información al respecto y el abordaje de la temática es constante y con el mismo enfoque informativo de los programas académicos sin considerar la parte afectiva, subjetiva y con el enfoque de sensibilización, por lo cual la predisposición y actitud apática se presenta en la mayor parte de esta población.</w:t>
      </w:r>
    </w:p>
    <w:p>
      <w:pPr>
        <w:pStyle w:val="BodyText"/>
        <w:spacing w:line="360" w:lineRule="auto" w:before="204"/>
        <w:ind w:left="142" w:right="146"/>
        <w:jc w:val="both"/>
      </w:pPr>
      <w:r>
        <w:rPr/>
        <w:t>En éste sentido se pretende enfocar la temática del taller en no sólo informar, sino en tratar de comprender las causas que conllevan las y a los adolescentes en el desarrollo de su salud sexual y reproductiva.</w:t>
      </w:r>
    </w:p>
    <w:p>
      <w:pPr>
        <w:spacing w:after="0" w:line="360" w:lineRule="auto"/>
        <w:jc w:val="both"/>
        <w:sectPr>
          <w:footerReference w:type="default" r:id="rId16"/>
          <w:pgSz w:w="12240" w:h="15840"/>
          <w:pgMar w:footer="625" w:header="764" w:top="1960" w:bottom="820" w:left="1560" w:right="1560"/>
        </w:sectPr>
      </w:pPr>
    </w:p>
    <w:p>
      <w:pPr>
        <w:pStyle w:val="BodyText"/>
        <w:rPr>
          <w:sz w:val="20"/>
        </w:rPr>
      </w:pPr>
    </w:p>
    <w:p>
      <w:pPr>
        <w:pStyle w:val="BodyText"/>
        <w:rPr>
          <w:sz w:val="20"/>
        </w:rPr>
      </w:pPr>
    </w:p>
    <w:p>
      <w:pPr>
        <w:pStyle w:val="Heading1"/>
      </w:pPr>
      <w:r>
        <w:rPr/>
        <w:t>CONCLUSIONES</w:t>
      </w:r>
    </w:p>
    <w:p>
      <w:pPr>
        <w:pStyle w:val="BodyText"/>
        <w:spacing w:before="4"/>
        <w:rPr>
          <w:b/>
          <w:sz w:val="29"/>
        </w:rPr>
      </w:pPr>
    </w:p>
    <w:p>
      <w:pPr>
        <w:pStyle w:val="BodyText"/>
        <w:spacing w:line="360" w:lineRule="auto" w:before="1"/>
        <w:ind w:left="142" w:right="138"/>
        <w:jc w:val="both"/>
      </w:pPr>
      <w:r>
        <w:rPr/>
        <w:t>A través de todo lo revisado, se puede deducir que uno de los principales problemas que se tienen y no ayudan a disminuir la incidencia de embarazos en adolescentes así como la desinformación de este sector de la población, se debe  a la falta de información y las malas técnicas de</w:t>
      </w:r>
      <w:r>
        <w:rPr>
          <w:spacing w:val="-22"/>
        </w:rPr>
        <w:t> </w:t>
      </w:r>
      <w:r>
        <w:rPr/>
        <w:t>comunicación.</w:t>
      </w:r>
    </w:p>
    <w:p>
      <w:pPr>
        <w:pStyle w:val="BodyText"/>
      </w:pPr>
    </w:p>
    <w:p>
      <w:pPr>
        <w:pStyle w:val="BodyText"/>
        <w:spacing w:line="360" w:lineRule="auto" w:before="142"/>
        <w:ind w:left="142" w:right="143"/>
        <w:jc w:val="both"/>
      </w:pPr>
      <w:r>
        <w:rPr/>
        <w:t>Docentes y padres no comunican a sus hijos de una manera eficiente temas relacionados con su salud sexual, por lo tanto, el riesgo de que se presenten embarazos, enfermedades y malas experiencias sexuales se debe a este problema.</w:t>
      </w:r>
    </w:p>
    <w:p>
      <w:pPr>
        <w:pStyle w:val="BodyText"/>
      </w:pPr>
    </w:p>
    <w:p>
      <w:pPr>
        <w:pStyle w:val="BodyText"/>
        <w:spacing w:line="360" w:lineRule="auto" w:before="139"/>
        <w:ind w:left="142" w:right="141"/>
        <w:jc w:val="both"/>
      </w:pPr>
      <w:r>
        <w:rPr/>
        <w:t>Siendo el sector adolescente un foco rojo debido al aumento de embarazos y enfermedades de transmisión sexual como el virus del papiloma humano que ha incrementado en los últimos años, es necesario tomar medidas correctivas en las formas en cómo se ha tratado de abordar este problema.</w:t>
      </w:r>
    </w:p>
    <w:p>
      <w:pPr>
        <w:pStyle w:val="BodyText"/>
      </w:pPr>
    </w:p>
    <w:p>
      <w:pPr>
        <w:pStyle w:val="BodyText"/>
        <w:spacing w:line="360" w:lineRule="auto" w:before="142"/>
        <w:ind w:left="142" w:right="144"/>
        <w:jc w:val="both"/>
      </w:pPr>
      <w:r>
        <w:rPr/>
        <w:t>La implementación de talleres de sensibilización con una información y comunicación asertiva libre de dogmas y falsas creencias es necesario en gran manera, sobre todo en zonas periurbanas y rurales donde el problema se observa en mayor grado.</w:t>
      </w:r>
    </w:p>
    <w:p>
      <w:pPr>
        <w:spacing w:after="0" w:line="360" w:lineRule="auto"/>
        <w:jc w:val="both"/>
        <w:sectPr>
          <w:footerReference w:type="default" r:id="rId17"/>
          <w:pgSz w:w="12240" w:h="15840"/>
          <w:pgMar w:footer="625" w:header="764" w:top="1960" w:bottom="820" w:left="1560" w:right="1560"/>
          <w:pgNumType w:start="21"/>
        </w:sectPr>
      </w:pPr>
    </w:p>
    <w:p>
      <w:pPr>
        <w:pStyle w:val="BodyText"/>
        <w:rPr>
          <w:sz w:val="20"/>
        </w:rPr>
      </w:pPr>
    </w:p>
    <w:p>
      <w:pPr>
        <w:pStyle w:val="BodyText"/>
        <w:rPr>
          <w:sz w:val="20"/>
        </w:rPr>
      </w:pPr>
    </w:p>
    <w:p>
      <w:pPr>
        <w:pStyle w:val="Heading1"/>
      </w:pPr>
      <w:r>
        <w:rPr/>
        <w:t>Bibliografía.</w:t>
      </w:r>
    </w:p>
    <w:p>
      <w:pPr>
        <w:pStyle w:val="BodyText"/>
        <w:rPr>
          <w:b/>
        </w:rPr>
      </w:pPr>
    </w:p>
    <w:p>
      <w:pPr>
        <w:pStyle w:val="BodyText"/>
        <w:rPr>
          <w:b/>
        </w:rPr>
      </w:pPr>
    </w:p>
    <w:p>
      <w:pPr>
        <w:pStyle w:val="BodyText"/>
        <w:spacing w:line="360" w:lineRule="auto"/>
        <w:ind w:left="142" w:right="145"/>
        <w:jc w:val="both"/>
      </w:pPr>
      <w:r>
        <w:rPr/>
        <w:t>CONAPO-INEGI (2010), Encuesta Nacional de la Dinámica Demográfica 2009, Panorama sociodemográfico de México, Principales resultados, México: CONAPO-INEGI.</w:t>
      </w:r>
    </w:p>
    <w:p>
      <w:pPr>
        <w:pStyle w:val="BodyText"/>
      </w:pPr>
    </w:p>
    <w:p>
      <w:pPr>
        <w:pStyle w:val="BodyText"/>
        <w:spacing w:before="140"/>
        <w:ind w:left="142" w:right="606"/>
      </w:pPr>
      <w:r>
        <w:rPr/>
        <w:t>Díaz, Ariane (2012), Necesario, crear programa nacional de educación sexual, señalan expertas, </w:t>
      </w:r>
      <w:r>
        <w:rPr>
          <w:u w:val="single"/>
        </w:rPr>
        <w:t>El Universal</w:t>
      </w:r>
      <w:r>
        <w:rPr/>
        <w:t>, miércoles 30 de mayo, pág. 4</w:t>
      </w:r>
    </w:p>
    <w:p>
      <w:pPr>
        <w:pStyle w:val="BodyText"/>
        <w:spacing w:before="10"/>
        <w:rPr>
          <w:sz w:val="29"/>
        </w:rPr>
      </w:pPr>
    </w:p>
    <w:p>
      <w:pPr>
        <w:spacing w:line="360" w:lineRule="auto" w:before="69"/>
        <w:ind w:left="142" w:right="136" w:firstLine="0"/>
        <w:jc w:val="both"/>
        <w:rPr>
          <w:sz w:val="24"/>
        </w:rPr>
      </w:pPr>
      <w:r>
        <w:rPr>
          <w:sz w:val="24"/>
        </w:rPr>
        <w:t>González, Alicia y Beatriz Castellanos (1996), </w:t>
      </w:r>
      <w:r>
        <w:rPr>
          <w:i/>
          <w:sz w:val="24"/>
        </w:rPr>
        <w:t>Sexualidad y Géneros una </w:t>
      </w:r>
      <w:r>
        <w:rPr>
          <w:i/>
          <w:sz w:val="24"/>
        </w:rPr>
        <w:t>reconceptualización educativa en los umbrales del tercer milenio</w:t>
      </w:r>
      <w:r>
        <w:rPr>
          <w:sz w:val="24"/>
        </w:rPr>
        <w:t>, Colombia, Magisterio, pp. 89 – 101</w:t>
      </w:r>
    </w:p>
    <w:p>
      <w:pPr>
        <w:pStyle w:val="BodyText"/>
      </w:pPr>
    </w:p>
    <w:p>
      <w:pPr>
        <w:pStyle w:val="BodyText"/>
        <w:spacing w:line="360" w:lineRule="auto" w:before="142"/>
        <w:ind w:left="142" w:right="140"/>
        <w:jc w:val="both"/>
      </w:pPr>
      <w:r>
        <w:rPr/>
        <w:t>Juárez, Fátima y Cecilia Gayet (2005), Salud sexual y reproductiva de los adolescentes en México: un nuevo marco de análisis para la evaluación y diseño de políticas” en </w:t>
      </w:r>
      <w:r>
        <w:rPr>
          <w:i/>
        </w:rPr>
        <w:t>Papeles de Población</w:t>
      </w:r>
      <w:r>
        <w:rPr/>
        <w:t>, julio – septiembre, No. 45, Toluca México, pp. 177 – 219.</w:t>
      </w:r>
    </w:p>
    <w:p>
      <w:pPr>
        <w:pStyle w:val="BodyText"/>
      </w:pPr>
    </w:p>
    <w:p>
      <w:pPr>
        <w:pStyle w:val="BodyText"/>
        <w:spacing w:line="360" w:lineRule="auto" w:before="142"/>
        <w:ind w:left="142" w:right="137"/>
        <w:jc w:val="both"/>
      </w:pPr>
      <w:r>
        <w:rPr/>
        <w:t>Mejía Modesto, Alfonso (2005), “Determinantes de la salud reproductiva en la  Zona Metropolitana de Toluca” en </w:t>
      </w:r>
      <w:r>
        <w:rPr>
          <w:i/>
        </w:rPr>
        <w:t>Papeles de Población</w:t>
      </w:r>
      <w:r>
        <w:rPr/>
        <w:t>, octubre - diciembre, No. 46,</w:t>
      </w:r>
      <w:r>
        <w:rPr>
          <w:spacing w:val="-5"/>
        </w:rPr>
        <w:t> </w:t>
      </w:r>
      <w:r>
        <w:rPr/>
        <w:t>Toluca.</w:t>
      </w:r>
    </w:p>
    <w:p>
      <w:pPr>
        <w:pStyle w:val="BodyText"/>
      </w:pPr>
    </w:p>
    <w:p>
      <w:pPr>
        <w:spacing w:line="360" w:lineRule="auto" w:before="139"/>
        <w:ind w:left="142" w:right="135" w:firstLine="0"/>
        <w:jc w:val="both"/>
        <w:rPr>
          <w:sz w:val="24"/>
        </w:rPr>
      </w:pPr>
      <w:r>
        <w:rPr>
          <w:sz w:val="24"/>
        </w:rPr>
        <w:t>Monroy de V., Anameli (1990), </w:t>
      </w:r>
      <w:r>
        <w:rPr>
          <w:i/>
          <w:sz w:val="24"/>
        </w:rPr>
        <w:t>Salud, sexualidad y adolescencia, guía práctica </w:t>
      </w:r>
      <w:r>
        <w:rPr>
          <w:i/>
          <w:sz w:val="24"/>
        </w:rPr>
        <w:t>para integrar la orientación sexual en la atención de salud de los adolescentes</w:t>
      </w:r>
      <w:r>
        <w:rPr>
          <w:sz w:val="24"/>
        </w:rPr>
        <w:t>, México: CORA.</w:t>
      </w:r>
    </w:p>
    <w:p>
      <w:pPr>
        <w:pStyle w:val="BodyText"/>
      </w:pPr>
    </w:p>
    <w:p>
      <w:pPr>
        <w:pStyle w:val="BodyText"/>
        <w:spacing w:line="360" w:lineRule="auto" w:before="142"/>
        <w:ind w:left="142" w:right="138"/>
        <w:jc w:val="both"/>
      </w:pPr>
      <w:r>
        <w:rPr/>
        <w:t>Montaño, Ma. Teresa (2010), Promoverán educación sexual, </w:t>
      </w:r>
      <w:r>
        <w:rPr>
          <w:u w:val="single"/>
        </w:rPr>
        <w:t>El Universal</w:t>
      </w:r>
      <w:r>
        <w:rPr/>
        <w:t>, miércoles 22 de diciembre, en </w:t>
      </w:r>
      <w:hyperlink r:id="rId18">
        <w:r>
          <w:rPr/>
          <w:t>http://www.eluniversal.com.mx/edomex/4203.html</w:t>
        </w:r>
      </w:hyperlink>
    </w:p>
    <w:p>
      <w:pPr>
        <w:spacing w:after="0" w:line="360" w:lineRule="auto"/>
        <w:jc w:val="both"/>
        <w:sectPr>
          <w:pgSz w:w="12240" w:h="15840"/>
          <w:pgMar w:header="764" w:footer="625" w:top="1960" w:bottom="820" w:left="1560" w:right="1560"/>
        </w:sectPr>
      </w:pPr>
    </w:p>
    <w:p>
      <w:pPr>
        <w:pStyle w:val="BodyText"/>
        <w:rPr>
          <w:sz w:val="20"/>
        </w:rPr>
      </w:pPr>
    </w:p>
    <w:p>
      <w:pPr>
        <w:pStyle w:val="BodyText"/>
        <w:rPr>
          <w:sz w:val="20"/>
        </w:rPr>
      </w:pPr>
    </w:p>
    <w:p>
      <w:pPr>
        <w:pStyle w:val="BodyText"/>
        <w:spacing w:line="360" w:lineRule="auto" w:before="193"/>
        <w:ind w:left="142" w:right="136"/>
        <w:jc w:val="both"/>
      </w:pPr>
      <w:r>
        <w:rPr/>
        <w:t>Pick de Weiss, Susan y Elvira Vargas-Trujillo (1999), </w:t>
      </w:r>
      <w:r>
        <w:rPr>
          <w:i/>
        </w:rPr>
        <w:t>Yo, adolescente</w:t>
      </w:r>
      <w:r>
        <w:rPr/>
        <w:t>, México, Ariel Escolar.</w:t>
      </w:r>
    </w:p>
    <w:p>
      <w:pPr>
        <w:pStyle w:val="BodyText"/>
      </w:pPr>
    </w:p>
    <w:p>
      <w:pPr>
        <w:pStyle w:val="BodyText"/>
        <w:spacing w:line="360" w:lineRule="auto" w:before="142"/>
        <w:ind w:left="142" w:right="132"/>
        <w:jc w:val="both"/>
      </w:pPr>
      <w:r>
        <w:rPr/>
        <w:t>Sandoval Arriaga, Alfonso (2002), “Población y Salud Reproductiva algunas reflexiones sobre los cambios en el discurso y en los modelos de acción institucionales durante los años noventa” en García Guzmán, Brígida (Coord.) </w:t>
      </w:r>
      <w:r>
        <w:rPr>
          <w:i/>
        </w:rPr>
        <w:t>Población y sociedad al inicio del siglo XXI</w:t>
      </w:r>
      <w:r>
        <w:rPr/>
        <w:t>, México, el Colegio de México, pp. 181- 196.</w:t>
      </w:r>
    </w:p>
    <w:p>
      <w:pPr>
        <w:pStyle w:val="BodyText"/>
      </w:pPr>
    </w:p>
    <w:p>
      <w:pPr>
        <w:pStyle w:val="BodyText"/>
        <w:spacing w:line="360" w:lineRule="auto" w:before="142"/>
        <w:ind w:left="142" w:right="137"/>
        <w:jc w:val="both"/>
      </w:pPr>
      <w:r>
        <w:rPr/>
        <w:t>Szasz, Ivonne, y Susana Lerner (2002), “El Enfoque de Salud Reproductiva en el marco del debate sobre población y desarrollo. Aportes de la investigación sociodemográfica” en García Guzmán, Brígida (Comp.) </w:t>
      </w:r>
      <w:r>
        <w:rPr>
          <w:i/>
        </w:rPr>
        <w:t>Población y sociedad al </w:t>
      </w:r>
      <w:r>
        <w:rPr>
          <w:i/>
        </w:rPr>
        <w:t>inicio del siglo XXI</w:t>
      </w:r>
      <w:r>
        <w:rPr/>
        <w:t>, México, el Colegio de México, pp. 157-173.</w:t>
      </w:r>
    </w:p>
    <w:p>
      <w:pPr>
        <w:pStyle w:val="BodyText"/>
      </w:pPr>
    </w:p>
    <w:p>
      <w:pPr>
        <w:spacing w:line="357" w:lineRule="auto" w:before="144"/>
        <w:ind w:left="142" w:right="143" w:firstLine="0"/>
        <w:jc w:val="both"/>
        <w:rPr>
          <w:sz w:val="24"/>
        </w:rPr>
      </w:pPr>
      <w:r>
        <w:rPr>
          <w:sz w:val="24"/>
        </w:rPr>
        <w:t>West, Candace y Don H. Zimmerman (1990) “Haciendo Género” en Constantino, Julia y Laura Aponte (Trad.), </w:t>
      </w:r>
      <w:r>
        <w:rPr>
          <w:i/>
          <w:sz w:val="24"/>
        </w:rPr>
        <w:t>Sexualidad, Género y Roles Sexuales</w:t>
      </w:r>
      <w:r>
        <w:rPr>
          <w:sz w:val="24"/>
        </w:rPr>
        <w:t>, pp.109</w:t>
      </w:r>
    </w:p>
    <w:sectPr>
      <w:pgSz w:w="12240" w:h="15840"/>
      <w:pgMar w:header="764" w:footer="625" w:top="1960" w:bottom="820" w:left="1560" w:right="1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25pt;margin-top:747.775024pt;width:435.5pt;height:21.05pt;mso-position-horizontal-relative:page;mso-position-vertical-relative:page;z-index:-17392" coordorigin="1765,14956" coordsize="8710,421">
          <v:line style="position:absolute" from="1775,15131" to="10465,15131" stroked="true" strokeweight="1pt" strokecolor="#000000"/>
          <v:shape style="position:absolute;left:5736;top:14978;width:817;height:376" coordorigin="5736,14978" coordsize="817,376" path="m6490,14978l5799,14978,5774,14983,5754,14996,5741,15016,5736,15041,5736,15291,5741,15316,5754,15336,5774,15349,5799,15354,6490,15354,6515,15349,6535,15336,6548,15316,6553,15291,6553,15041,6548,15016,6535,14996,6515,14983,6490,14978xe" filled="true" fillcolor="#ffffff" stroked="false">
            <v:path arrowok="t"/>
            <v:fill type="solid"/>
          </v:shape>
          <v:shape style="position:absolute;left:5714;top:14956;width:108;height:421" type="#_x0000_t75" stroked="false">
            <v:imagedata r:id="rId1" o:title=""/>
          </v:shape>
          <v:shape style="position:absolute;left:6468;top:14956;width:108;height:421" type="#_x0000_t75" stroked="false">
            <v:imagedata r:id="rId2" o:title=""/>
          </v:shape>
          <w10:wrap type="none"/>
        </v:group>
      </w:pict>
    </w:r>
    <w:r>
      <w:rPr/>
      <w:pict>
        <v:shape style="position:absolute;margin-left:302.489990pt;margin-top:752.096008pt;width:9.6pt;height:13.05pt;mso-position-horizontal-relative:page;mso-position-vertical-relative:page;z-index:-17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25pt;margin-top:747.775024pt;width:435.5pt;height:21.05pt;mso-position-horizontal-relative:page;mso-position-vertical-relative:page;z-index:-17344" coordorigin="1765,14956" coordsize="8710,421">
          <v:line style="position:absolute" from="1775,15131" to="10465,15131" stroked="true" strokeweight="1pt" strokecolor="#000000"/>
          <v:shape style="position:absolute;left:5736;top:14978;width:817;height:376" coordorigin="5736,14978" coordsize="817,376" path="m6490,14978l5799,14978,5774,14983,5754,14996,5741,15016,5736,15041,5736,15291,5741,15316,5754,15336,5774,15349,5799,15354,6490,15354,6515,15349,6535,15336,6548,15316,6553,15291,6553,15041,6548,15016,6535,14996,6515,14983,6490,14978xe" filled="true" fillcolor="#ffffff" stroked="false">
            <v:path arrowok="t"/>
            <v:fill type="solid"/>
          </v:shape>
          <v:shape style="position:absolute;left:5714;top:14956;width:108;height:421" type="#_x0000_t75" stroked="false">
            <v:imagedata r:id="rId1" o:title=""/>
          </v:shape>
          <v:shape style="position:absolute;left:6468;top:14956;width:108;height:421" type="#_x0000_t75" stroked="false">
            <v:imagedata r:id="rId2" o:title=""/>
          </v:shape>
          <w10:wrap type="none"/>
        </v:group>
      </w:pict>
    </w:r>
    <w:r>
      <w:rPr/>
      <w:pict>
        <v:shape style="position:absolute;margin-left:300.609985pt;margin-top:752.096008pt;width:13.3pt;height:13.05pt;mso-position-horizontal-relative:page;mso-position-vertical-relative:page;z-index:-1732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25pt;margin-top:747.775024pt;width:435.5pt;height:21.05pt;mso-position-horizontal-relative:page;mso-position-vertical-relative:page;z-index:-17296" coordorigin="1765,14956" coordsize="8710,421">
          <v:line style="position:absolute" from="1775,15131" to="10465,15131" stroked="true" strokeweight="1pt" strokecolor="#000000"/>
          <v:shape style="position:absolute;left:5736;top:14978;width:817;height:376" coordorigin="5736,14978" coordsize="817,376" path="m6490,14978l5799,14978,5774,14983,5754,14996,5741,15016,5736,15041,5736,15291,5741,15316,5754,15336,5774,15349,5799,15354,6490,15354,6515,15349,6535,15336,6548,15316,6553,15291,6553,15041,6548,15016,6535,14996,6515,14983,6490,14978xe" filled="true" fillcolor="#ffffff" stroked="false">
            <v:path arrowok="t"/>
            <v:fill type="solid"/>
          </v:shape>
          <v:shape style="position:absolute;left:5714;top:14956;width:108;height:421" type="#_x0000_t75" stroked="false">
            <v:imagedata r:id="rId1" o:title=""/>
          </v:shape>
          <v:shape style="position:absolute;left:6468;top:14956;width:108;height:421" type="#_x0000_t75" stroked="false">
            <v:imagedata r:id="rId2" o:title=""/>
          </v:shape>
          <w10:wrap type="none"/>
        </v:group>
      </w:pict>
    </w:r>
    <w:r>
      <w:rPr/>
      <w:pict>
        <v:shape style="position:absolute;margin-left:299.609985pt;margin-top:752.096008pt;width:15.3pt;height:13.05pt;mso-position-horizontal-relative:page;mso-position-vertical-relative:page;z-index:-172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25pt;margin-top:747.775024pt;width:435.5pt;height:21.05pt;mso-position-horizontal-relative:page;mso-position-vertical-relative:page;z-index:-17248" coordorigin="1765,14956" coordsize="8710,421">
          <v:line style="position:absolute" from="1775,15131" to="10465,15131" stroked="true" strokeweight="1pt" strokecolor="#000000"/>
          <v:shape style="position:absolute;left:5736;top:14978;width:817;height:376" coordorigin="5736,14978" coordsize="817,376" path="m6490,14978l5799,14978,5774,14983,5754,14996,5741,15016,5736,15041,5736,15291,5741,15316,5754,15336,5774,15349,5799,15354,6490,15354,6515,15349,6535,15336,6548,15316,6553,15291,6553,15041,6548,15016,6535,14996,6515,14983,6490,14978xe" filled="true" fillcolor="#ffffff" stroked="false">
            <v:path arrowok="t"/>
            <v:fill type="solid"/>
          </v:shape>
          <v:shape style="position:absolute;left:5714;top:14956;width:108;height:421" type="#_x0000_t75" stroked="false">
            <v:imagedata r:id="rId1" o:title=""/>
          </v:shape>
          <v:shape style="position:absolute;left:6468;top:14956;width:108;height:421" type="#_x0000_t75" stroked="false">
            <v:imagedata r:id="rId2" o:title=""/>
          </v:shape>
          <w10:wrap type="none"/>
        </v:group>
      </w:pict>
    </w:r>
    <w:r>
      <w:rPr/>
      <w:pict>
        <v:shape style="position:absolute;margin-left:300.609985pt;margin-top:752.096008pt;width:13.3pt;height:13.05pt;mso-position-horizontal-relative:page;mso-position-vertical-relative:page;z-index:-1722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8.25pt;margin-top:747.775024pt;width:435.5pt;height:21.05pt;mso-position-horizontal-relative:page;mso-position-vertical-relative:page;z-index:-17200" coordorigin="1765,14956" coordsize="8710,421">
          <v:line style="position:absolute" from="1775,15131" to="10465,15131" stroked="true" strokeweight="1pt" strokecolor="#000000"/>
          <v:shape style="position:absolute;left:5736;top:14978;width:817;height:376" coordorigin="5736,14978" coordsize="817,376" path="m6490,14978l5799,14978,5774,14983,5754,14996,5741,15016,5736,15041,5736,15291,5741,15316,5754,15336,5774,15349,5799,15354,6490,15354,6515,15349,6535,15336,6548,15316,6553,15291,6553,15041,6548,15016,6535,14996,6515,14983,6490,14978xe" filled="true" fillcolor="#ffffff" stroked="false">
            <v:path arrowok="t"/>
            <v:fill type="solid"/>
          </v:shape>
          <v:shape style="position:absolute;left:5714;top:14956;width:108;height:421" type="#_x0000_t75" stroked="false">
            <v:imagedata r:id="rId1" o:title=""/>
          </v:shape>
          <v:shape style="position:absolute;left:6468;top:14956;width:108;height:421" type="#_x0000_t75" stroked="false">
            <v:imagedata r:id="rId2" o:title=""/>
          </v:shape>
          <w10:wrap type="none"/>
        </v:group>
      </w:pict>
    </w:r>
    <w:r>
      <w:rPr/>
      <w:pict>
        <v:shape style="position:absolute;margin-left:299.609985pt;margin-top:752.096008pt;width:15.3pt;height:13.05pt;mso-position-horizontal-relative:page;mso-position-vertical-relative:page;z-index:-17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440" from="83.664001pt,98.18pt" to="528.454001pt,98.18pt" stroked="true" strokeweight=".48pt" strokecolor="#a4a4a4">
          <w10:wrap type="none"/>
        </v:line>
      </w:pict>
    </w:r>
    <w:r>
      <w:rPr/>
      <w:pict>
        <v:shapetype id="_x0000_t202" o:spt="202" coordsize="21600,21600" path="m,l,21600r21600,l21600,xe">
          <v:stroke joinstyle="miter"/>
          <v:path gradientshapeok="t" o:connecttype="rect"/>
        </v:shapetype>
        <v:shape style="position:absolute;margin-left:126.220001pt;margin-top:37.189999pt;width:401.85pt;height:52.5pt;mso-position-horizontal-relative:page;mso-position-vertical-relative:page;z-index:-17416" type="#_x0000_t202" filled="false" stroked="false">
          <v:textbox inset="0,0,0,0">
            <w:txbxContent>
              <w:p>
                <w:pPr>
                  <w:spacing w:line="306" w:lineRule="exact" w:before="0"/>
                  <w:ind w:left="860" w:right="0" w:firstLine="0"/>
                  <w:jc w:val="left"/>
                  <w:rPr>
                    <w:rFonts w:ascii="Calibri" w:hAnsi="Calibri"/>
                    <w:b/>
                    <w:sz w:val="28"/>
                  </w:rPr>
                </w:pPr>
                <w:r>
                  <w:rPr>
                    <w:rFonts w:ascii="Calibri" w:hAnsi="Calibri"/>
                    <w:b/>
                    <w:sz w:val="28"/>
                  </w:rPr>
                  <w:t>ESPECIALIDAD EN GÉNERO, VIOLENCIA Y POLÍTICAS PÚBLICAS</w:t>
                </w:r>
              </w:p>
              <w:p>
                <w:pPr>
                  <w:spacing w:before="118"/>
                  <w:ind w:left="20" w:right="0" w:firstLine="0"/>
                  <w:jc w:val="left"/>
                  <w:rPr>
                    <w:rFonts w:ascii="Calibri" w:hAnsi="Calibri"/>
                    <w:sz w:val="18"/>
                  </w:rPr>
                </w:pPr>
                <w:r>
                  <w:rPr>
                    <w:rFonts w:ascii="Calibri" w:hAnsi="Calibri"/>
                    <w:sz w:val="18"/>
                  </w:rPr>
                  <w:t>Taller sobre salud sexual y reproductiva con perspectiva de género para adolescentes en el medio periurbano</w:t>
                </w:r>
              </w:p>
              <w:p>
                <w:pPr>
                  <w:spacing w:before="121"/>
                  <w:ind w:left="5240" w:right="0" w:firstLine="0"/>
                  <w:jc w:val="left"/>
                  <w:rPr>
                    <w:rFonts w:ascii="Calibri" w:hAnsi="Calibri"/>
                    <w:sz w:val="22"/>
                  </w:rPr>
                </w:pPr>
                <w:r>
                  <w:rPr>
                    <w:rFonts w:ascii="Calibri" w:hAnsi="Calibri"/>
                    <w:sz w:val="22"/>
                  </w:rPr>
                  <w:t>Fany Guadalupe Enríquez Cano</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95"/>
      <w:ind w:left="142"/>
      <w:jc w:val="both"/>
      <w:outlineLvl w:val="1"/>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footer" Target="footer3.xml"/><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footer" Target="footer4.xml"/><Relationship Id="rId17" Type="http://schemas.openxmlformats.org/officeDocument/2006/relationships/footer" Target="footer5.xml"/><Relationship Id="rId18" Type="http://schemas.openxmlformats.org/officeDocument/2006/relationships/hyperlink" Target="http://www.eluniversal.com.mx/edomex/4203.htm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Monchis</dc:creator>
  <dcterms:created xsi:type="dcterms:W3CDTF">2017-05-23T01:16:27Z</dcterms:created>
  <dcterms:modified xsi:type="dcterms:W3CDTF">2017-05-23T01:16:27Z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2016-11-29T00:00:00Z</vt:filetime>
  </property>
  <property fmtid="{D5CDD505-2E9C-101B-9397-08002B2CF9AE}" pid="3" name="Creator">
    <vt:lpwstr>Microsoft® Word 2013</vt:lpwstr>
  </property>
  <property fmtid="{D5CDD505-2E9C-101B-9397-08002B2CF9AE}" pid="4" name="LastSaved">
    <vt:filetime>2017-05-22T00:00:00Z</vt:filetime>
  </property>
</Properties>
</file>