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Default Extension="png" ContentType="image/png"/>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75"/>
        <w:ind w:left="1417" w:right="258" w:firstLine="0"/>
        <w:jc w:val="center"/>
        <w:rPr>
          <w:b/>
          <w:sz w:val="28"/>
        </w:rPr>
      </w:pPr>
      <w:r>
        <w:rPr/>
        <w:drawing>
          <wp:anchor distT="0" distB="0" distL="0" distR="0" allowOverlap="1" layoutInCell="1" locked="0" behindDoc="0" simplePos="0" relativeHeight="1096">
            <wp:simplePos x="0" y="0"/>
            <wp:positionH relativeFrom="page">
              <wp:posOffset>361950</wp:posOffset>
            </wp:positionH>
            <wp:positionV relativeFrom="paragraph">
              <wp:posOffset>6119</wp:posOffset>
            </wp:positionV>
            <wp:extent cx="1143000" cy="114300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43000" cy="1143000"/>
                    </a:xfrm>
                    <a:prstGeom prst="rect">
                      <a:avLst/>
                    </a:prstGeom>
                  </pic:spPr>
                </pic:pic>
              </a:graphicData>
            </a:graphic>
          </wp:anchor>
        </w:drawing>
      </w:r>
      <w:r>
        <w:rPr>
          <w:b/>
          <w:sz w:val="28"/>
        </w:rPr>
        <w:t>UNIVERSIDAD AUTÓNOMA DEL ESTADO DE MÉXICO</w:t>
      </w:r>
    </w:p>
    <w:p>
      <w:pPr>
        <w:pStyle w:val="BodyText"/>
        <w:rPr>
          <w:b/>
          <w:sz w:val="20"/>
        </w:rPr>
      </w:pPr>
    </w:p>
    <w:p>
      <w:pPr>
        <w:pStyle w:val="BodyText"/>
        <w:spacing w:before="8"/>
        <w:rPr>
          <w:b/>
          <w:sz w:val="14"/>
        </w:rPr>
      </w:pPr>
      <w:r>
        <w:rPr/>
        <w:pict>
          <v:line style="position:absolute;mso-position-horizontal-relative:page;mso-position-vertical-relative:paragraph;z-index:0;mso-wrap-distance-left:0;mso-wrap-distance-right:0" from="159.25pt,11.184155pt" to="489.8pt,11.184155pt" stroked="true" strokeweight="1.5pt" strokecolor="#000000">
            <w10:wrap type="topAndBottom"/>
          </v:line>
        </w:pict>
      </w:r>
      <w:r>
        <w:rPr/>
        <w:pict>
          <v:line style="position:absolute;mso-position-horizontal-relative:page;mso-position-vertical-relative:paragraph;z-index:1048;mso-wrap-distance-left:0;mso-wrap-distance-right:0" from="132pt,22.134155pt" to="523.65pt,22.184155pt" stroked="true" strokeweight="3pt" strokecolor="#000000">
            <w10:wrap type="topAndBottom"/>
          </v:line>
        </w:pict>
      </w:r>
      <w:r>
        <w:rPr/>
        <w:pict>
          <v:group style="position:absolute;margin-left:131.25pt;margin-top:34.934155pt;width:393.15pt;height:1.55pt;mso-position-horizontal-relative:page;mso-position-vertical-relative:paragraph;z-index:1072;mso-wrap-distance-left:0;mso-wrap-distance-right:0" coordorigin="2625,699" coordsize="7863,31">
            <v:line style="position:absolute" from="2640,714" to="10473,715" stroked="true" strokeweight="1.5pt" strokecolor="#000000"/>
            <v:line style="position:absolute" from="3459,714" to="10070,714" stroked="true" strokeweight="1.5pt" strokecolor="#000000"/>
            <w10:wrap type="topAndBottom"/>
          </v:group>
        </w:pict>
      </w:r>
    </w:p>
    <w:p>
      <w:pPr>
        <w:pStyle w:val="BodyText"/>
        <w:spacing w:before="2"/>
        <w:rPr>
          <w:b/>
          <w:sz w:val="9"/>
        </w:rPr>
      </w:pPr>
    </w:p>
    <w:p>
      <w:pPr>
        <w:pStyle w:val="BodyText"/>
        <w:spacing w:before="7"/>
        <w:rPr>
          <w:b/>
          <w:sz w:val="13"/>
        </w:rPr>
      </w:pPr>
    </w:p>
    <w:p>
      <w:pPr>
        <w:pStyle w:val="BodyText"/>
        <w:rPr>
          <w:b/>
          <w:sz w:val="26"/>
        </w:rPr>
      </w:pPr>
    </w:p>
    <w:p>
      <w:pPr>
        <w:spacing w:before="0"/>
        <w:ind w:left="1983" w:right="822" w:hanging="5"/>
        <w:jc w:val="center"/>
        <w:rPr>
          <w:b/>
          <w:sz w:val="28"/>
        </w:rPr>
      </w:pPr>
      <w:r>
        <w:rPr/>
        <w:pict>
          <v:shape style="position:absolute;margin-left:69.350006pt;margin-top:64.261826pt;width:3pt;height:401.45pt;mso-position-horizontal-relative:page;mso-position-vertical-relative:paragraph;z-index:1144" coordorigin="1387,1285" coordsize="60,8029" path="m1447,1285l1432,1285,1402,1285,1387,1285,1387,9314,1402,9314,1432,9314,1447,9314,1447,1285e" filled="true" fillcolor="#000000" stroked="false">
            <v:path arrowok="t"/>
            <v:fill type="solid"/>
            <w10:wrap type="none"/>
          </v:shape>
        </w:pict>
      </w:r>
      <w:r>
        <w:rPr>
          <w:b/>
          <w:sz w:val="28"/>
        </w:rPr>
        <w:t>FACULTAD DE CIENCIAS POLÍTICAS Y SOCIALES ESPECIALIDAD EN GÉNERO, VIOLENCIA Y</w:t>
      </w:r>
      <w:r>
        <w:rPr>
          <w:b/>
          <w:spacing w:val="-23"/>
          <w:sz w:val="28"/>
        </w:rPr>
        <w:t> </w:t>
      </w:r>
      <w:r>
        <w:rPr>
          <w:b/>
          <w:sz w:val="28"/>
        </w:rPr>
        <w:t>POLÍTICAS PÚBLICAS</w:t>
      </w:r>
    </w:p>
    <w:p>
      <w:pPr>
        <w:pStyle w:val="BodyText"/>
        <w:rPr>
          <w:b/>
          <w:sz w:val="28"/>
        </w:rPr>
      </w:pPr>
    </w:p>
    <w:p>
      <w:pPr>
        <w:pStyle w:val="BodyText"/>
        <w:rPr>
          <w:b/>
          <w:sz w:val="28"/>
        </w:rPr>
      </w:pPr>
    </w:p>
    <w:p>
      <w:pPr>
        <w:pStyle w:val="BodyText"/>
        <w:spacing w:before="1"/>
        <w:rPr>
          <w:b/>
          <w:sz w:val="28"/>
        </w:rPr>
      </w:pPr>
    </w:p>
    <w:p>
      <w:pPr>
        <w:spacing w:before="0"/>
        <w:ind w:left="1417" w:right="258" w:firstLine="0"/>
        <w:jc w:val="center"/>
        <w:rPr>
          <w:b/>
          <w:sz w:val="28"/>
        </w:rPr>
      </w:pPr>
      <w:r>
        <w:rPr/>
        <w:pict>
          <v:line style="position:absolute;mso-position-horizontal-relative:page;mso-position-vertical-relative:paragraph;z-index:1168" from="55.5pt,1.681848pt" to="55.5pt,332.231848pt" stroked="true" strokeweight="1.5pt" strokecolor="#000000">
            <w10:wrap type="none"/>
          </v:line>
        </w:pict>
      </w:r>
      <w:r>
        <w:rPr/>
        <w:pict>
          <v:line style="position:absolute;mso-position-horizontal-relative:page;mso-position-vertical-relative:paragraph;z-index:1192" from="82.300003pt,1.681848pt" to="82.300003pt,332.231848pt" stroked="true" strokeweight="1.5pt" strokecolor="#000000">
            <w10:wrap type="none"/>
          </v:line>
        </w:pict>
      </w:r>
      <w:r>
        <w:rPr>
          <w:b/>
          <w:sz w:val="28"/>
        </w:rPr>
        <w:t>TÍTULO DE PROYECTO TERMINAL</w:t>
      </w:r>
    </w:p>
    <w:p>
      <w:pPr>
        <w:pStyle w:val="BodyText"/>
        <w:spacing w:before="3"/>
        <w:rPr>
          <w:b/>
          <w:sz w:val="22"/>
        </w:rPr>
      </w:pPr>
    </w:p>
    <w:p>
      <w:pPr>
        <w:spacing w:before="65"/>
        <w:ind w:left="1417" w:right="259" w:firstLine="0"/>
        <w:jc w:val="center"/>
        <w:rPr>
          <w:sz w:val="28"/>
        </w:rPr>
      </w:pPr>
      <w:r>
        <w:rPr>
          <w:sz w:val="28"/>
        </w:rPr>
        <w:t>“Campaña propagandística de fomento de la Perspectiva de Género en el estudiantado de la licenciatura en comunicación del Campus Universitario Siglo XXI”.</w:t>
      </w:r>
    </w:p>
    <w:p>
      <w:pPr>
        <w:pStyle w:val="BodyText"/>
        <w:rPr>
          <w:sz w:val="28"/>
        </w:rPr>
      </w:pPr>
    </w:p>
    <w:p>
      <w:pPr>
        <w:pStyle w:val="BodyText"/>
        <w:spacing w:before="1"/>
        <w:rPr>
          <w:sz w:val="28"/>
        </w:rPr>
      </w:pPr>
    </w:p>
    <w:p>
      <w:pPr>
        <w:spacing w:line="322" w:lineRule="exact" w:before="0"/>
        <w:ind w:left="1417" w:right="257" w:firstLine="0"/>
        <w:jc w:val="center"/>
        <w:rPr>
          <w:sz w:val="28"/>
        </w:rPr>
      </w:pPr>
      <w:r>
        <w:rPr>
          <w:sz w:val="28"/>
        </w:rPr>
        <w:t>QUE PARA OBTENER EL DIPLOMA DE ESPECIALISTA EN</w:t>
      </w:r>
    </w:p>
    <w:p>
      <w:pPr>
        <w:spacing w:before="0"/>
        <w:ind w:left="1414" w:right="259" w:firstLine="0"/>
        <w:jc w:val="center"/>
        <w:rPr>
          <w:b/>
          <w:sz w:val="28"/>
        </w:rPr>
      </w:pPr>
      <w:r>
        <w:rPr>
          <w:b/>
          <w:sz w:val="28"/>
        </w:rPr>
        <w:t>GÉNERO, VIOLENCIA Y POLÍTICAS PÚBLICAS</w:t>
      </w:r>
    </w:p>
    <w:p>
      <w:pPr>
        <w:pStyle w:val="BodyText"/>
        <w:rPr>
          <w:b/>
          <w:sz w:val="28"/>
        </w:rPr>
      </w:pPr>
    </w:p>
    <w:p>
      <w:pPr>
        <w:pStyle w:val="BodyText"/>
        <w:rPr>
          <w:b/>
          <w:sz w:val="28"/>
        </w:rPr>
      </w:pPr>
    </w:p>
    <w:p>
      <w:pPr>
        <w:pStyle w:val="BodyText"/>
        <w:spacing w:before="10"/>
        <w:rPr>
          <w:b/>
          <w:sz w:val="27"/>
        </w:rPr>
      </w:pPr>
    </w:p>
    <w:p>
      <w:pPr>
        <w:spacing w:before="0"/>
        <w:ind w:left="1417" w:right="255" w:firstLine="0"/>
        <w:jc w:val="center"/>
        <w:rPr>
          <w:b/>
          <w:sz w:val="28"/>
        </w:rPr>
      </w:pPr>
      <w:r>
        <w:rPr>
          <w:b/>
          <w:sz w:val="28"/>
        </w:rPr>
        <w:t>PRESENTA</w:t>
      </w:r>
    </w:p>
    <w:p>
      <w:pPr>
        <w:spacing w:before="2"/>
        <w:ind w:left="1417" w:right="255" w:firstLine="0"/>
        <w:jc w:val="center"/>
        <w:rPr>
          <w:sz w:val="28"/>
        </w:rPr>
      </w:pPr>
      <w:r>
        <w:rPr>
          <w:sz w:val="28"/>
        </w:rPr>
        <w:t>Jazmín Anahí Miranda Macedo.</w:t>
      </w:r>
    </w:p>
    <w:p>
      <w:pPr>
        <w:pStyle w:val="BodyText"/>
        <w:rPr>
          <w:sz w:val="28"/>
        </w:rPr>
      </w:pPr>
    </w:p>
    <w:p>
      <w:pPr>
        <w:pStyle w:val="BodyText"/>
        <w:rPr>
          <w:sz w:val="28"/>
        </w:rPr>
      </w:pPr>
    </w:p>
    <w:p>
      <w:pPr>
        <w:pStyle w:val="BodyText"/>
        <w:spacing w:before="10"/>
        <w:rPr>
          <w:sz w:val="27"/>
        </w:rPr>
      </w:pPr>
    </w:p>
    <w:p>
      <w:pPr>
        <w:spacing w:line="322" w:lineRule="exact" w:before="0"/>
        <w:ind w:left="1417" w:right="250" w:firstLine="0"/>
        <w:jc w:val="center"/>
        <w:rPr>
          <w:b/>
          <w:sz w:val="28"/>
        </w:rPr>
      </w:pPr>
      <w:r>
        <w:rPr>
          <w:b/>
          <w:sz w:val="28"/>
        </w:rPr>
        <w:t>TUTORA ACADÉMICA</w:t>
      </w:r>
    </w:p>
    <w:p>
      <w:pPr>
        <w:spacing w:before="0"/>
        <w:ind w:left="1417" w:right="257" w:firstLine="0"/>
        <w:jc w:val="center"/>
        <w:rPr>
          <w:sz w:val="28"/>
        </w:rPr>
      </w:pPr>
      <w:r>
        <w:rPr>
          <w:sz w:val="28"/>
        </w:rPr>
        <w:t>Dra. Norma Baca Tavira.</w:t>
      </w:r>
    </w:p>
    <w:p>
      <w:pPr>
        <w:pStyle w:val="BodyText"/>
        <w:rPr>
          <w:sz w:val="28"/>
        </w:rPr>
      </w:pPr>
    </w:p>
    <w:p>
      <w:pPr>
        <w:pStyle w:val="BodyText"/>
        <w:rPr>
          <w:sz w:val="28"/>
        </w:rPr>
      </w:pPr>
    </w:p>
    <w:p>
      <w:pPr>
        <w:pStyle w:val="BodyText"/>
        <w:spacing w:before="1"/>
        <w:rPr>
          <w:sz w:val="28"/>
        </w:rPr>
      </w:pPr>
    </w:p>
    <w:p>
      <w:pPr>
        <w:spacing w:line="322" w:lineRule="exact" w:before="0"/>
        <w:ind w:left="1417" w:right="252" w:firstLine="0"/>
        <w:jc w:val="center"/>
        <w:rPr>
          <w:b/>
          <w:sz w:val="28"/>
        </w:rPr>
      </w:pPr>
      <w:r>
        <w:rPr>
          <w:b/>
          <w:sz w:val="28"/>
        </w:rPr>
        <w:t>REVISORA</w:t>
      </w:r>
    </w:p>
    <w:p>
      <w:pPr>
        <w:spacing w:before="0"/>
        <w:ind w:left="1417" w:right="256" w:firstLine="0"/>
        <w:jc w:val="center"/>
        <w:rPr>
          <w:sz w:val="28"/>
        </w:rPr>
      </w:pPr>
      <w:r>
        <w:rPr>
          <w:sz w:val="28"/>
        </w:rPr>
        <w:t>Mtra. Jannet Valero Vilchis.</w:t>
      </w:r>
    </w:p>
    <w:p>
      <w:pPr>
        <w:pStyle w:val="BodyText"/>
        <w:rPr>
          <w:sz w:val="28"/>
        </w:rPr>
      </w:pPr>
    </w:p>
    <w:p>
      <w:pPr>
        <w:pStyle w:val="BodyText"/>
        <w:rPr>
          <w:sz w:val="28"/>
        </w:rPr>
      </w:pPr>
    </w:p>
    <w:p>
      <w:pPr>
        <w:pStyle w:val="BodyText"/>
        <w:spacing w:before="9"/>
        <w:rPr>
          <w:sz w:val="23"/>
        </w:rPr>
      </w:pPr>
    </w:p>
    <w:p>
      <w:pPr>
        <w:spacing w:before="0"/>
        <w:ind w:left="3075" w:right="0" w:firstLine="0"/>
        <w:jc w:val="left"/>
        <w:rPr>
          <w:sz w:val="22"/>
        </w:rPr>
      </w:pPr>
      <w:r>
        <w:rPr/>
        <w:drawing>
          <wp:anchor distT="0" distB="0" distL="0" distR="0" allowOverlap="1" layoutInCell="1" locked="0" behindDoc="0" simplePos="0" relativeHeight="1120">
            <wp:simplePos x="0" y="0"/>
            <wp:positionH relativeFrom="page">
              <wp:posOffset>590550</wp:posOffset>
            </wp:positionH>
            <wp:positionV relativeFrom="paragraph">
              <wp:posOffset>-113692</wp:posOffset>
            </wp:positionV>
            <wp:extent cx="1028700" cy="102870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028700" cy="1028700"/>
                    </a:xfrm>
                    <a:prstGeom prst="rect">
                      <a:avLst/>
                    </a:prstGeom>
                  </pic:spPr>
                </pic:pic>
              </a:graphicData>
            </a:graphic>
          </wp:anchor>
        </w:drawing>
      </w:r>
      <w:r>
        <w:rPr>
          <w:sz w:val="22"/>
        </w:rPr>
        <w:t>TOLUCA, ESTADO DE MÉXICO, ENERO</w:t>
      </w:r>
      <w:r>
        <w:rPr>
          <w:spacing w:val="55"/>
          <w:sz w:val="22"/>
        </w:rPr>
        <w:t> </w:t>
      </w:r>
      <w:r>
        <w:rPr>
          <w:sz w:val="22"/>
        </w:rPr>
        <w:t>2015.</w:t>
      </w:r>
    </w:p>
    <w:p>
      <w:pPr>
        <w:spacing w:after="0"/>
        <w:jc w:val="left"/>
        <w:rPr>
          <w:sz w:val="22"/>
        </w:rPr>
        <w:sectPr>
          <w:type w:val="continuous"/>
          <w:pgSz w:w="12240" w:h="15840"/>
          <w:pgMar w:top="1340" w:bottom="280" w:left="460" w:right="1620"/>
        </w:sectPr>
      </w:pPr>
    </w:p>
    <w:p>
      <w:pPr>
        <w:pStyle w:val="Heading1"/>
        <w:spacing w:before="54"/>
        <w:ind w:left="4093" w:right="4093"/>
        <w:jc w:val="center"/>
      </w:pPr>
      <w:r>
        <w:rPr>
          <w:u w:val="thick"/>
        </w:rPr>
        <w:t>ÍNDICE</w:t>
      </w:r>
    </w:p>
    <w:p>
      <w:pPr>
        <w:pStyle w:val="BodyText"/>
        <w:rPr>
          <w:b/>
          <w:sz w:val="20"/>
        </w:rPr>
      </w:pPr>
    </w:p>
    <w:p>
      <w:pPr>
        <w:pStyle w:val="BodyText"/>
        <w:rPr>
          <w:b/>
          <w:sz w:val="20"/>
        </w:rPr>
      </w:pPr>
    </w:p>
    <w:p>
      <w:pPr>
        <w:pStyle w:val="BodyText"/>
        <w:spacing w:before="11"/>
        <w:rPr>
          <w:b/>
          <w:sz w:val="25"/>
        </w:rPr>
      </w:pPr>
    </w:p>
    <w:sdt>
      <w:sdtPr>
        <w:docPartObj>
          <w:docPartGallery w:val="Table of Contents"/>
          <w:docPartUnique/>
        </w:docPartObj>
      </w:sdtPr>
      <w:sdtEndPr/>
      <w:sdtContent>
        <w:p>
          <w:pPr>
            <w:pStyle w:val="TOC1"/>
            <w:tabs>
              <w:tab w:pos="8652" w:val="left" w:leader="dot"/>
            </w:tabs>
            <w:spacing w:before="69"/>
          </w:pPr>
          <w:hyperlink w:history="true" w:anchor="_TOC_250007">
            <w:r>
              <w:rPr/>
              <w:t>Introducción</w:t>
              <w:tab/>
              <w:t>1</w:t>
            </w:r>
          </w:hyperlink>
        </w:p>
        <w:p>
          <w:pPr>
            <w:pStyle w:val="TOC1"/>
            <w:tabs>
              <w:tab w:pos="8759" w:val="left" w:leader="dot"/>
            </w:tabs>
          </w:pPr>
          <w:hyperlink w:history="true" w:anchor="_TOC_250006">
            <w:r>
              <w:rPr/>
              <w:t>Marco</w:t>
            </w:r>
            <w:r>
              <w:rPr>
                <w:spacing w:val="-2"/>
              </w:rPr>
              <w:t> </w:t>
            </w:r>
            <w:r>
              <w:rPr/>
              <w:t>Conceptual</w:t>
            </w:r>
            <w:r>
              <w:rPr>
                <w:rFonts w:ascii="Times New Roman"/>
              </w:rPr>
              <w:tab/>
            </w:r>
            <w:r>
              <w:rPr/>
              <w:t>4</w:t>
            </w:r>
          </w:hyperlink>
        </w:p>
        <w:p>
          <w:pPr>
            <w:pStyle w:val="TOC3"/>
            <w:numPr>
              <w:ilvl w:val="0"/>
              <w:numId w:val="1"/>
            </w:numPr>
            <w:tabs>
              <w:tab w:pos="821" w:val="left" w:leader="none"/>
              <w:tab w:pos="822" w:val="left" w:leader="none"/>
            </w:tabs>
            <w:spacing w:line="240" w:lineRule="auto" w:before="0" w:after="0"/>
            <w:ind w:left="822" w:right="0" w:hanging="360"/>
            <w:jc w:val="left"/>
          </w:pPr>
          <w:r>
            <w:rPr/>
            <w:t>El Género como la distinción</w:t>
          </w:r>
          <w:r>
            <w:rPr>
              <w:spacing w:val="-14"/>
            </w:rPr>
            <w:t> </w:t>
          </w:r>
          <w:r>
            <w:rPr/>
            <w:t>inequitativa</w:t>
          </w:r>
        </w:p>
        <w:p>
          <w:pPr>
            <w:pStyle w:val="TOC2"/>
            <w:tabs>
              <w:tab w:pos="8748" w:val="left" w:leader="dot"/>
            </w:tabs>
          </w:pPr>
          <w:r>
            <w:rPr/>
            <w:t>entre hombres</w:t>
          </w:r>
          <w:r>
            <w:rPr>
              <w:spacing w:val="-6"/>
            </w:rPr>
            <w:t> </w:t>
          </w:r>
          <w:r>
            <w:rPr/>
            <w:t>y</w:t>
          </w:r>
          <w:r>
            <w:rPr>
              <w:spacing w:val="-3"/>
            </w:rPr>
            <w:t> </w:t>
          </w:r>
          <w:r>
            <w:rPr/>
            <w:t>mujeres</w:t>
            <w:tab/>
            <w:t>4</w:t>
          </w:r>
        </w:p>
        <w:p>
          <w:pPr>
            <w:pStyle w:val="TOC3"/>
            <w:numPr>
              <w:ilvl w:val="0"/>
              <w:numId w:val="1"/>
            </w:numPr>
            <w:tabs>
              <w:tab w:pos="821" w:val="left" w:leader="none"/>
              <w:tab w:pos="822" w:val="left" w:leader="none"/>
            </w:tabs>
            <w:spacing w:line="240" w:lineRule="auto" w:before="276" w:after="0"/>
            <w:ind w:left="822" w:right="0" w:hanging="360"/>
            <w:jc w:val="left"/>
          </w:pPr>
          <w:r>
            <w:rPr/>
            <w:t>Los medios de comunicación masiva</w:t>
          </w:r>
          <w:r>
            <w:rPr>
              <w:spacing w:val="-12"/>
            </w:rPr>
            <w:t> </w:t>
          </w:r>
          <w:r>
            <w:rPr/>
            <w:t>como</w:t>
          </w:r>
        </w:p>
        <w:p>
          <w:pPr>
            <w:pStyle w:val="TOC1"/>
            <w:tabs>
              <w:tab w:pos="8613" w:val="left" w:leader="dot"/>
            </w:tabs>
            <w:spacing w:before="0"/>
          </w:pPr>
          <w:r>
            <w:rPr/>
            <w:t>reforzadores del</w:t>
          </w:r>
          <w:r>
            <w:rPr>
              <w:spacing w:val="-3"/>
            </w:rPr>
            <w:t> </w:t>
          </w:r>
          <w:r>
            <w:rPr/>
            <w:t>sistema</w:t>
          </w:r>
          <w:r>
            <w:rPr>
              <w:spacing w:val="-4"/>
            </w:rPr>
            <w:t> </w:t>
          </w:r>
          <w:r>
            <w:rPr/>
            <w:t>patriarcal</w:t>
            <w:tab/>
            <w:t>10</w:t>
          </w:r>
        </w:p>
        <w:p>
          <w:pPr>
            <w:pStyle w:val="TOC3"/>
            <w:numPr>
              <w:ilvl w:val="0"/>
              <w:numId w:val="1"/>
            </w:numPr>
            <w:tabs>
              <w:tab w:pos="821" w:val="left" w:leader="none"/>
              <w:tab w:pos="822" w:val="left" w:leader="none"/>
              <w:tab w:pos="8613" w:val="left" w:leader="dot"/>
            </w:tabs>
            <w:spacing w:line="240" w:lineRule="auto" w:before="276" w:after="0"/>
            <w:ind w:left="822" w:right="0" w:hanging="360"/>
            <w:jc w:val="left"/>
          </w:pPr>
          <w:r>
            <w:rPr/>
            <w:t>Diseño</w:t>
          </w:r>
          <w:r>
            <w:rPr>
              <w:spacing w:val="-2"/>
            </w:rPr>
            <w:t> </w:t>
          </w:r>
          <w:r>
            <w:rPr/>
            <w:t>Metodológico</w:t>
            <w:tab/>
            <w:t>19</w:t>
          </w:r>
        </w:p>
        <w:p>
          <w:pPr>
            <w:pStyle w:val="TOC1"/>
            <w:tabs>
              <w:tab w:pos="8666" w:val="left" w:leader="dot"/>
            </w:tabs>
          </w:pPr>
          <w:hyperlink w:history="true" w:anchor="_TOC_250005">
            <w:r>
              <w:rPr/>
              <w:t>Justificación</w:t>
            </w:r>
            <w:r>
              <w:rPr>
                <w:rFonts w:ascii="Times New Roman" w:hAnsi="Times New Roman"/>
              </w:rPr>
              <w:tab/>
            </w:r>
            <w:r>
              <w:rPr/>
              <w:t>22</w:t>
            </w:r>
          </w:hyperlink>
        </w:p>
        <w:p>
          <w:pPr>
            <w:pStyle w:val="TOC1"/>
            <w:spacing w:before="276"/>
          </w:pPr>
          <w:r>
            <w:rPr/>
            <w:t>- Esquema de Marco Lógico:</w:t>
          </w:r>
        </w:p>
        <w:p>
          <w:pPr>
            <w:pStyle w:val="TOC1"/>
            <w:tabs>
              <w:tab w:pos="8636" w:val="left" w:leader="dot"/>
            </w:tabs>
            <w:spacing w:before="0"/>
          </w:pPr>
          <w:r>
            <w:rPr/>
            <w:t>Árbol</w:t>
          </w:r>
          <w:r>
            <w:rPr>
              <w:spacing w:val="-2"/>
            </w:rPr>
            <w:t> </w:t>
          </w:r>
          <w:r>
            <w:rPr/>
            <w:t>de</w:t>
          </w:r>
          <w:r>
            <w:rPr>
              <w:spacing w:val="-2"/>
            </w:rPr>
            <w:t> </w:t>
          </w:r>
          <w:r>
            <w:rPr/>
            <w:t>Problemas</w:t>
          </w:r>
          <w:r>
            <w:rPr>
              <w:rFonts w:ascii="Times New Roman" w:hAnsi="Times New Roman"/>
            </w:rPr>
            <w:tab/>
          </w:r>
          <w:r>
            <w:rPr/>
            <w:t>23</w:t>
          </w:r>
        </w:p>
        <w:p>
          <w:pPr>
            <w:pStyle w:val="TOC1"/>
            <w:tabs>
              <w:tab w:pos="8651" w:val="left" w:leader="dot"/>
            </w:tabs>
          </w:pPr>
          <w:hyperlink w:history="true" w:anchor="_TOC_250004">
            <w:r>
              <w:rPr/>
              <w:t>Diagnóstico</w:t>
            </w:r>
            <w:r>
              <w:rPr>
                <w:rFonts w:ascii="Times New Roman" w:hAnsi="Times New Roman"/>
              </w:rPr>
              <w:tab/>
            </w:r>
            <w:r>
              <w:rPr/>
              <w:t>24</w:t>
            </w:r>
          </w:hyperlink>
        </w:p>
        <w:p>
          <w:pPr>
            <w:pStyle w:val="TOC1"/>
            <w:tabs>
              <w:tab w:pos="8636" w:val="left" w:leader="dot"/>
            </w:tabs>
          </w:pPr>
          <w:hyperlink w:history="true" w:anchor="_TOC_250003">
            <w:r>
              <w:rPr/>
              <w:t>Propuesta de</w:t>
            </w:r>
            <w:r>
              <w:rPr>
                <w:spacing w:val="-5"/>
              </w:rPr>
              <w:t> </w:t>
            </w:r>
            <w:r>
              <w:rPr/>
              <w:t>Proyecto</w:t>
            </w:r>
            <w:r>
              <w:rPr>
                <w:spacing w:val="-3"/>
              </w:rPr>
              <w:t> </w:t>
            </w:r>
            <w:r>
              <w:rPr/>
              <w:t>Aplicativo</w:t>
            </w:r>
            <w:r>
              <w:rPr>
                <w:rFonts w:ascii="Times New Roman"/>
              </w:rPr>
              <w:tab/>
            </w:r>
            <w:r>
              <w:rPr/>
              <w:t>51</w:t>
            </w:r>
          </w:hyperlink>
        </w:p>
        <w:p>
          <w:pPr>
            <w:pStyle w:val="TOC1"/>
            <w:tabs>
              <w:tab w:pos="8625" w:val="left" w:leader="dot"/>
            </w:tabs>
          </w:pPr>
          <w:hyperlink w:history="true" w:anchor="_TOC_250002">
            <w:r>
              <w:rPr/>
              <w:t>Conclusión</w:t>
              <w:tab/>
              <w:t>69</w:t>
            </w:r>
          </w:hyperlink>
        </w:p>
        <w:p>
          <w:pPr>
            <w:pStyle w:val="TOC1"/>
            <w:tabs>
              <w:tab w:pos="8637" w:val="left" w:leader="dot"/>
            </w:tabs>
          </w:pPr>
          <w:hyperlink w:history="true" w:anchor="_TOC_250001">
            <w:r>
              <w:rPr/>
              <w:t>Bibliografía</w:t>
              <w:tab/>
              <w:t>72</w:t>
            </w:r>
          </w:hyperlink>
        </w:p>
        <w:p>
          <w:pPr>
            <w:pStyle w:val="TOC1"/>
            <w:tabs>
              <w:tab w:pos="8583" w:val="left" w:leader="dot"/>
            </w:tabs>
            <w:spacing w:before="477"/>
          </w:pPr>
          <w:hyperlink w:history="true" w:anchor="_TOC_250000">
            <w:r>
              <w:rPr/>
              <w:t>Anexo</w:t>
            </w:r>
            <w:r>
              <w:rPr>
                <w:spacing w:val="-3"/>
              </w:rPr>
              <w:t> </w:t>
            </w:r>
            <w:r>
              <w:rPr/>
              <w:t>1</w:t>
            </w:r>
            <w:r>
              <w:rPr>
                <w:spacing w:val="-2"/>
              </w:rPr>
              <w:t> </w:t>
            </w:r>
            <w:r>
              <w:rPr/>
              <w:t>(Cuestionario)</w:t>
            </w:r>
            <w:r>
              <w:rPr>
                <w:rFonts w:ascii="Times New Roman"/>
              </w:rPr>
              <w:tab/>
            </w:r>
            <w:r>
              <w:rPr/>
              <w:t>75</w:t>
            </w:r>
          </w:hyperlink>
        </w:p>
      </w:sdtContent>
    </w:sdt>
    <w:p>
      <w:pPr>
        <w:spacing w:after="0"/>
        <w:sectPr>
          <w:pgSz w:w="12240" w:h="15840"/>
          <w:pgMar w:top="1360" w:bottom="280" w:left="1600" w:right="1600"/>
        </w:sectPr>
      </w:pPr>
    </w:p>
    <w:p>
      <w:pPr>
        <w:pStyle w:val="Heading1"/>
        <w:spacing w:before="57"/>
        <w:ind w:left="136" w:right="154"/>
        <w:jc w:val="center"/>
      </w:pPr>
      <w:bookmarkStart w:name="_TOC_250007" w:id="1"/>
      <w:bookmarkEnd w:id="1"/>
      <w:r>
        <w:rPr>
          <w:u w:val="thick"/>
        </w:rPr>
        <w:t>INTRODUCCIÓN</w:t>
      </w:r>
    </w:p>
    <w:p>
      <w:pPr>
        <w:pStyle w:val="BodyText"/>
        <w:spacing w:before="1"/>
        <w:rPr>
          <w:b/>
          <w:sz w:val="31"/>
        </w:rPr>
      </w:pPr>
    </w:p>
    <w:p>
      <w:pPr>
        <w:pStyle w:val="BodyText"/>
        <w:spacing w:line="360" w:lineRule="auto"/>
        <w:ind w:left="102" w:right="116" w:firstLine="707"/>
        <w:jc w:val="both"/>
      </w:pPr>
      <w:r>
        <w:rPr/>
        <w:t>La mujer de nuestros días, se enfrenta a una vulnerabilidad constante que atenta contra su integridad física, moral, intelectual y psicológica, pues la estructura social patriarcal trabaja cada día para mantener su invisibilización y su escasa o nula participación en el ámbito</w:t>
      </w:r>
      <w:r>
        <w:rPr>
          <w:spacing w:val="-16"/>
        </w:rPr>
        <w:t> </w:t>
      </w:r>
      <w:r>
        <w:rPr/>
        <w:t>público.</w:t>
      </w:r>
    </w:p>
    <w:p>
      <w:pPr>
        <w:pStyle w:val="BodyText"/>
        <w:spacing w:line="360" w:lineRule="auto" w:before="204"/>
        <w:ind w:left="102" w:right="117"/>
        <w:jc w:val="both"/>
      </w:pPr>
      <w:r>
        <w:rPr/>
        <w:t>Así pues, es de fundamental importancia reconocer la participación de los medios de comunicación masiva en el uso y reforzamiento de los patrones de violencia en razón de género y de la inequidad que le supone, pues el diseño y la aplicación de la gran mayoría de las campañas publicitarias (mediante la violencia simbólica), optan por emplear personajes representativos del estereotipo de género que ponen de manifiesto el común acuerdo entre la sociedad patriarcal y el orden capitalista que pugna por la estandarización de las conductas normativas que colocan a las mujeres en una condición por demás,</w:t>
      </w:r>
      <w:r>
        <w:rPr>
          <w:spacing w:val="-24"/>
        </w:rPr>
        <w:t> </w:t>
      </w:r>
      <w:r>
        <w:rPr/>
        <w:t>desventajosa.</w:t>
      </w:r>
    </w:p>
    <w:p>
      <w:pPr>
        <w:pStyle w:val="BodyText"/>
        <w:spacing w:line="360" w:lineRule="auto" w:before="204"/>
        <w:ind w:left="102" w:right="115"/>
        <w:jc w:val="both"/>
      </w:pPr>
      <w:r>
        <w:rPr/>
        <w:t>Es a razón de lo anterior, que se observa un problema sociocultural y mediático de suma relevancia que clama por ser atendido mediante la ejecución definitiva de una cultura de equidad e igualdad de género (según sea el caso), considerando estas como únicas alternativas existentes para erradicar las desventajas que sufren las mujeres de nuestra sociedad a causa de las relaciones de poder en las que ellas resultan las principales oprimidas.</w:t>
      </w:r>
    </w:p>
    <w:p>
      <w:pPr>
        <w:pStyle w:val="BodyText"/>
        <w:spacing w:line="360" w:lineRule="auto" w:before="204"/>
        <w:ind w:left="102" w:right="115"/>
        <w:jc w:val="both"/>
      </w:pPr>
      <w:r>
        <w:rPr/>
        <w:t>Es en este concepto y por interés particular del presente proyecto de desarrollo social, que éste se halla dirigido a jóvenes universitarios que actualmente se encuentran cursando la licenciatura en comunicación en el Campus Universitario Silgo XXI (CUSXXI), ello con el fin de fomentar el estudiantado un reconocimiento de las múltiples formas en que se manifiesta la violencia de género contra las mujeres, al tiempo de incentivar en ellos un desempeño (formativo y profesional) con perspectiva de género en los medios de comunicación.</w:t>
      </w:r>
    </w:p>
    <w:p>
      <w:pPr>
        <w:pStyle w:val="BodyText"/>
        <w:spacing w:line="360" w:lineRule="auto" w:before="204"/>
        <w:ind w:left="102" w:right="116"/>
        <w:jc w:val="both"/>
      </w:pPr>
      <w:r>
        <w:rPr/>
        <w:t>Es menester ahora, revisar los registros institucionales que aluden a la matrícula del semestre 2014 A del Campus Universitario Siglo XXI.</w:t>
      </w:r>
    </w:p>
    <w:p>
      <w:pPr>
        <w:spacing w:after="0" w:line="360" w:lineRule="auto"/>
        <w:jc w:val="both"/>
        <w:sectPr>
          <w:footerReference w:type="default" r:id="rId7"/>
          <w:pgSz w:w="12240" w:h="15840"/>
          <w:pgMar w:footer="1032" w:header="0" w:top="1360" w:bottom="1220" w:left="1600" w:right="1580"/>
          <w:pgNumType w:start="1"/>
        </w:sectPr>
      </w:pPr>
    </w:p>
    <w:p>
      <w:pPr>
        <w:pStyle w:val="BodyText"/>
        <w:spacing w:line="360" w:lineRule="auto" w:before="57"/>
        <w:ind w:left="222" w:right="242"/>
        <w:jc w:val="both"/>
      </w:pPr>
      <w:r>
        <w:rPr/>
        <w:t>Se tiene que el total de estudiantes es de 1156, de los cuales, el 61.5% son mujeres y el 38.5% son hombres, lo que apunta a que existe un 23% más de participación femenina en las aulas que la que se manifiesta por parte de los varones.</w:t>
      </w:r>
    </w:p>
    <w:p>
      <w:pPr>
        <w:pStyle w:val="BodyText"/>
        <w:spacing w:line="360" w:lineRule="auto" w:before="204"/>
        <w:ind w:left="222" w:right="239"/>
        <w:jc w:val="both"/>
      </w:pPr>
      <w:r>
        <w:rPr>
          <w:u w:val="single"/>
        </w:rPr>
        <w:t>Tabla No. 1 (registros institucionales)</w:t>
      </w:r>
      <w:r>
        <w:rPr/>
        <w:t>. Porcentajes de estudiantes clasificados por licenciatura y sexo.</w:t>
      </w:r>
    </w:p>
    <w:p>
      <w:pPr>
        <w:pStyle w:val="BodyText"/>
        <w:spacing w:before="8"/>
        <w:rPr>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21"/>
        <w:gridCol w:w="2304"/>
        <w:gridCol w:w="2208"/>
        <w:gridCol w:w="2223"/>
      </w:tblGrid>
      <w:tr>
        <w:trPr>
          <w:trHeight w:val="516" w:hRule="exact"/>
        </w:trPr>
        <w:tc>
          <w:tcPr>
            <w:tcW w:w="2321" w:type="dxa"/>
          </w:tcPr>
          <w:p>
            <w:pPr>
              <w:pStyle w:val="TableParagraph"/>
              <w:spacing w:line="251" w:lineRule="exact"/>
              <w:ind w:left="310" w:right="310"/>
              <w:jc w:val="center"/>
              <w:rPr>
                <w:b/>
                <w:sz w:val="22"/>
              </w:rPr>
            </w:pPr>
            <w:r>
              <w:rPr>
                <w:b/>
                <w:sz w:val="22"/>
              </w:rPr>
              <w:t>LICENCIATURA</w:t>
            </w:r>
          </w:p>
        </w:tc>
        <w:tc>
          <w:tcPr>
            <w:tcW w:w="2304" w:type="dxa"/>
          </w:tcPr>
          <w:p>
            <w:pPr>
              <w:pStyle w:val="TableParagraph"/>
              <w:spacing w:line="252" w:lineRule="exact" w:before="2"/>
              <w:ind w:left="369" w:right="353" w:firstLine="228"/>
              <w:rPr>
                <w:b/>
                <w:sz w:val="22"/>
              </w:rPr>
            </w:pPr>
            <w:r>
              <w:rPr>
                <w:b/>
                <w:sz w:val="22"/>
              </w:rPr>
              <w:t>TOTAL DE ESTUDIANTES</w:t>
            </w:r>
          </w:p>
        </w:tc>
        <w:tc>
          <w:tcPr>
            <w:tcW w:w="2208" w:type="dxa"/>
          </w:tcPr>
          <w:p>
            <w:pPr>
              <w:pStyle w:val="TableParagraph"/>
              <w:spacing w:line="250" w:lineRule="exact"/>
              <w:ind w:left="545" w:right="549"/>
              <w:jc w:val="center"/>
              <w:rPr>
                <w:b/>
                <w:sz w:val="22"/>
              </w:rPr>
            </w:pPr>
            <w:r>
              <w:rPr>
                <w:b/>
                <w:sz w:val="22"/>
              </w:rPr>
              <w:t>MUJERES</w:t>
            </w:r>
          </w:p>
          <w:p>
            <w:pPr>
              <w:pStyle w:val="TableParagraph"/>
              <w:spacing w:line="252" w:lineRule="exact"/>
              <w:ind w:right="2"/>
              <w:jc w:val="center"/>
              <w:rPr>
                <w:b/>
                <w:sz w:val="22"/>
              </w:rPr>
            </w:pPr>
            <w:r>
              <w:rPr>
                <w:b/>
                <w:w w:val="100"/>
                <w:sz w:val="22"/>
              </w:rPr>
              <w:t>%</w:t>
            </w:r>
          </w:p>
        </w:tc>
        <w:tc>
          <w:tcPr>
            <w:tcW w:w="2223" w:type="dxa"/>
          </w:tcPr>
          <w:p>
            <w:pPr>
              <w:pStyle w:val="TableParagraph"/>
              <w:spacing w:line="250" w:lineRule="exact"/>
              <w:ind w:left="524" w:right="524"/>
              <w:jc w:val="center"/>
              <w:rPr>
                <w:b/>
                <w:sz w:val="22"/>
              </w:rPr>
            </w:pPr>
            <w:r>
              <w:rPr>
                <w:b/>
                <w:sz w:val="22"/>
              </w:rPr>
              <w:t>HOMBRES</w:t>
            </w:r>
          </w:p>
          <w:p>
            <w:pPr>
              <w:pStyle w:val="TableParagraph"/>
              <w:spacing w:line="252" w:lineRule="exact"/>
              <w:ind w:right="2"/>
              <w:jc w:val="center"/>
              <w:rPr>
                <w:b/>
                <w:sz w:val="22"/>
              </w:rPr>
            </w:pPr>
            <w:r>
              <w:rPr>
                <w:b/>
                <w:w w:val="100"/>
                <w:sz w:val="22"/>
              </w:rPr>
              <w:t>%</w:t>
            </w:r>
          </w:p>
        </w:tc>
      </w:tr>
      <w:tr>
        <w:trPr>
          <w:trHeight w:val="425" w:hRule="exact"/>
        </w:trPr>
        <w:tc>
          <w:tcPr>
            <w:tcW w:w="2321" w:type="dxa"/>
          </w:tcPr>
          <w:p>
            <w:pPr>
              <w:pStyle w:val="TableParagraph"/>
              <w:spacing w:before="1"/>
              <w:ind w:left="310" w:right="310"/>
              <w:jc w:val="center"/>
              <w:rPr>
                <w:sz w:val="24"/>
              </w:rPr>
            </w:pPr>
            <w:r>
              <w:rPr>
                <w:sz w:val="24"/>
              </w:rPr>
              <w:t>Administración</w:t>
            </w:r>
          </w:p>
        </w:tc>
        <w:tc>
          <w:tcPr>
            <w:tcW w:w="2304" w:type="dxa"/>
          </w:tcPr>
          <w:p>
            <w:pPr>
              <w:pStyle w:val="TableParagraph"/>
              <w:spacing w:line="275" w:lineRule="exact"/>
              <w:ind w:right="1010"/>
              <w:jc w:val="right"/>
              <w:rPr>
                <w:sz w:val="24"/>
              </w:rPr>
            </w:pPr>
            <w:r>
              <w:rPr>
                <w:sz w:val="24"/>
              </w:rPr>
              <w:t>86</w:t>
            </w:r>
          </w:p>
        </w:tc>
        <w:tc>
          <w:tcPr>
            <w:tcW w:w="2208" w:type="dxa"/>
          </w:tcPr>
          <w:p>
            <w:pPr>
              <w:pStyle w:val="TableParagraph"/>
              <w:spacing w:before="1"/>
              <w:ind w:left="545" w:right="546"/>
              <w:jc w:val="center"/>
              <w:rPr>
                <w:sz w:val="24"/>
              </w:rPr>
            </w:pPr>
            <w:r>
              <w:rPr>
                <w:sz w:val="24"/>
              </w:rPr>
              <w:t>43.02</w:t>
            </w:r>
          </w:p>
        </w:tc>
        <w:tc>
          <w:tcPr>
            <w:tcW w:w="2223" w:type="dxa"/>
          </w:tcPr>
          <w:p>
            <w:pPr>
              <w:pStyle w:val="TableParagraph"/>
              <w:spacing w:before="1"/>
              <w:ind w:left="523" w:right="524"/>
              <w:jc w:val="center"/>
              <w:rPr>
                <w:sz w:val="24"/>
              </w:rPr>
            </w:pPr>
            <w:r>
              <w:rPr>
                <w:sz w:val="24"/>
              </w:rPr>
              <w:t>54.6</w:t>
            </w:r>
          </w:p>
        </w:tc>
      </w:tr>
      <w:tr>
        <w:trPr>
          <w:trHeight w:val="425" w:hRule="exact"/>
        </w:trPr>
        <w:tc>
          <w:tcPr>
            <w:tcW w:w="2321" w:type="dxa"/>
          </w:tcPr>
          <w:p>
            <w:pPr>
              <w:pStyle w:val="TableParagraph"/>
              <w:spacing w:line="274" w:lineRule="exact"/>
              <w:ind w:left="310" w:right="310"/>
              <w:jc w:val="center"/>
              <w:rPr>
                <w:sz w:val="24"/>
              </w:rPr>
            </w:pPr>
            <w:r>
              <w:rPr>
                <w:sz w:val="24"/>
              </w:rPr>
              <w:t>Comunicación</w:t>
            </w:r>
          </w:p>
        </w:tc>
        <w:tc>
          <w:tcPr>
            <w:tcW w:w="2304" w:type="dxa"/>
          </w:tcPr>
          <w:p>
            <w:pPr>
              <w:pStyle w:val="TableParagraph"/>
              <w:spacing w:line="272" w:lineRule="exact"/>
              <w:ind w:right="943"/>
              <w:jc w:val="right"/>
              <w:rPr>
                <w:sz w:val="24"/>
              </w:rPr>
            </w:pPr>
            <w:r>
              <w:rPr>
                <w:w w:val="95"/>
                <w:sz w:val="24"/>
              </w:rPr>
              <w:t>118</w:t>
            </w:r>
          </w:p>
        </w:tc>
        <w:tc>
          <w:tcPr>
            <w:tcW w:w="2208" w:type="dxa"/>
          </w:tcPr>
          <w:p>
            <w:pPr>
              <w:pStyle w:val="TableParagraph"/>
              <w:spacing w:line="274" w:lineRule="exact"/>
              <w:ind w:left="545" w:right="549"/>
              <w:jc w:val="center"/>
              <w:rPr>
                <w:sz w:val="24"/>
              </w:rPr>
            </w:pPr>
            <w:r>
              <w:rPr>
                <w:sz w:val="24"/>
              </w:rPr>
              <w:t>65.2</w:t>
            </w:r>
          </w:p>
        </w:tc>
        <w:tc>
          <w:tcPr>
            <w:tcW w:w="2223" w:type="dxa"/>
          </w:tcPr>
          <w:p>
            <w:pPr>
              <w:pStyle w:val="TableParagraph"/>
              <w:spacing w:line="274" w:lineRule="exact"/>
              <w:ind w:left="523" w:right="524"/>
              <w:jc w:val="center"/>
              <w:rPr>
                <w:sz w:val="24"/>
              </w:rPr>
            </w:pPr>
            <w:r>
              <w:rPr>
                <w:sz w:val="24"/>
              </w:rPr>
              <w:t>34.7</w:t>
            </w:r>
          </w:p>
        </w:tc>
      </w:tr>
      <w:tr>
        <w:trPr>
          <w:trHeight w:val="422" w:hRule="exact"/>
        </w:trPr>
        <w:tc>
          <w:tcPr>
            <w:tcW w:w="2321" w:type="dxa"/>
          </w:tcPr>
          <w:p>
            <w:pPr>
              <w:pStyle w:val="TableParagraph"/>
              <w:spacing w:line="274" w:lineRule="exact"/>
              <w:ind w:left="310" w:right="310"/>
              <w:jc w:val="center"/>
              <w:rPr>
                <w:sz w:val="24"/>
              </w:rPr>
            </w:pPr>
            <w:r>
              <w:rPr>
                <w:sz w:val="24"/>
              </w:rPr>
              <w:t>Contaduría</w:t>
            </w:r>
          </w:p>
        </w:tc>
        <w:tc>
          <w:tcPr>
            <w:tcW w:w="2304" w:type="dxa"/>
          </w:tcPr>
          <w:p>
            <w:pPr>
              <w:pStyle w:val="TableParagraph"/>
              <w:spacing w:line="272" w:lineRule="exact"/>
              <w:ind w:right="1010"/>
              <w:jc w:val="right"/>
              <w:rPr>
                <w:sz w:val="24"/>
              </w:rPr>
            </w:pPr>
            <w:r>
              <w:rPr>
                <w:sz w:val="24"/>
              </w:rPr>
              <w:t>43</w:t>
            </w:r>
          </w:p>
        </w:tc>
        <w:tc>
          <w:tcPr>
            <w:tcW w:w="2208" w:type="dxa"/>
          </w:tcPr>
          <w:p>
            <w:pPr>
              <w:pStyle w:val="TableParagraph"/>
              <w:spacing w:line="274" w:lineRule="exact"/>
              <w:ind w:left="545" w:right="549"/>
              <w:jc w:val="center"/>
              <w:rPr>
                <w:sz w:val="24"/>
              </w:rPr>
            </w:pPr>
            <w:r>
              <w:rPr>
                <w:sz w:val="24"/>
              </w:rPr>
              <w:t>37.2</w:t>
            </w:r>
          </w:p>
        </w:tc>
        <w:tc>
          <w:tcPr>
            <w:tcW w:w="2223" w:type="dxa"/>
          </w:tcPr>
          <w:p>
            <w:pPr>
              <w:pStyle w:val="TableParagraph"/>
              <w:spacing w:line="274" w:lineRule="exact"/>
              <w:ind w:left="523" w:right="524"/>
              <w:jc w:val="center"/>
              <w:rPr>
                <w:sz w:val="24"/>
              </w:rPr>
            </w:pPr>
            <w:r>
              <w:rPr>
                <w:sz w:val="24"/>
              </w:rPr>
              <w:t>62.7</w:t>
            </w:r>
          </w:p>
        </w:tc>
      </w:tr>
      <w:tr>
        <w:trPr>
          <w:trHeight w:val="425" w:hRule="exact"/>
        </w:trPr>
        <w:tc>
          <w:tcPr>
            <w:tcW w:w="2321" w:type="dxa"/>
          </w:tcPr>
          <w:p>
            <w:pPr>
              <w:pStyle w:val="TableParagraph"/>
              <w:ind w:left="310" w:right="310"/>
              <w:jc w:val="center"/>
              <w:rPr>
                <w:sz w:val="24"/>
              </w:rPr>
            </w:pPr>
            <w:r>
              <w:rPr>
                <w:sz w:val="24"/>
              </w:rPr>
              <w:t>Derecho</w:t>
            </w:r>
          </w:p>
        </w:tc>
        <w:tc>
          <w:tcPr>
            <w:tcW w:w="2304" w:type="dxa"/>
          </w:tcPr>
          <w:p>
            <w:pPr>
              <w:pStyle w:val="TableParagraph"/>
              <w:spacing w:line="274" w:lineRule="exact"/>
              <w:ind w:right="944"/>
              <w:jc w:val="right"/>
              <w:rPr>
                <w:sz w:val="24"/>
              </w:rPr>
            </w:pPr>
            <w:r>
              <w:rPr>
                <w:w w:val="95"/>
                <w:sz w:val="24"/>
              </w:rPr>
              <w:t>203</w:t>
            </w:r>
          </w:p>
        </w:tc>
        <w:tc>
          <w:tcPr>
            <w:tcW w:w="2208" w:type="dxa"/>
          </w:tcPr>
          <w:p>
            <w:pPr>
              <w:pStyle w:val="TableParagraph"/>
              <w:ind w:left="545" w:right="549"/>
              <w:jc w:val="center"/>
              <w:rPr>
                <w:sz w:val="24"/>
              </w:rPr>
            </w:pPr>
            <w:r>
              <w:rPr>
                <w:sz w:val="24"/>
              </w:rPr>
              <w:t>48.2</w:t>
            </w:r>
          </w:p>
        </w:tc>
        <w:tc>
          <w:tcPr>
            <w:tcW w:w="2223" w:type="dxa"/>
          </w:tcPr>
          <w:p>
            <w:pPr>
              <w:pStyle w:val="TableParagraph"/>
              <w:ind w:left="523" w:right="524"/>
              <w:jc w:val="center"/>
              <w:rPr>
                <w:sz w:val="24"/>
              </w:rPr>
            </w:pPr>
            <w:r>
              <w:rPr>
                <w:sz w:val="24"/>
              </w:rPr>
              <w:t>51.7</w:t>
            </w:r>
          </w:p>
        </w:tc>
      </w:tr>
      <w:tr>
        <w:trPr>
          <w:trHeight w:val="425" w:hRule="exact"/>
        </w:trPr>
        <w:tc>
          <w:tcPr>
            <w:tcW w:w="2321" w:type="dxa"/>
          </w:tcPr>
          <w:p>
            <w:pPr>
              <w:pStyle w:val="TableParagraph"/>
              <w:spacing w:line="274" w:lineRule="exact"/>
              <w:ind w:left="310" w:right="310"/>
              <w:jc w:val="center"/>
              <w:rPr>
                <w:sz w:val="24"/>
              </w:rPr>
            </w:pPr>
            <w:r>
              <w:rPr>
                <w:sz w:val="24"/>
              </w:rPr>
              <w:t>Economía</w:t>
            </w:r>
          </w:p>
        </w:tc>
        <w:tc>
          <w:tcPr>
            <w:tcW w:w="2304" w:type="dxa"/>
          </w:tcPr>
          <w:p>
            <w:pPr>
              <w:pStyle w:val="TableParagraph"/>
              <w:spacing w:line="272" w:lineRule="exact"/>
              <w:ind w:right="1010"/>
              <w:jc w:val="right"/>
              <w:rPr>
                <w:sz w:val="24"/>
              </w:rPr>
            </w:pPr>
            <w:r>
              <w:rPr>
                <w:sz w:val="24"/>
              </w:rPr>
              <w:t>25</w:t>
            </w:r>
          </w:p>
        </w:tc>
        <w:tc>
          <w:tcPr>
            <w:tcW w:w="2208" w:type="dxa"/>
          </w:tcPr>
          <w:p>
            <w:pPr>
              <w:pStyle w:val="TableParagraph"/>
              <w:spacing w:line="274" w:lineRule="exact"/>
              <w:ind w:left="545" w:right="547"/>
              <w:jc w:val="center"/>
              <w:rPr>
                <w:sz w:val="24"/>
              </w:rPr>
            </w:pPr>
            <w:r>
              <w:rPr>
                <w:sz w:val="24"/>
              </w:rPr>
              <w:t>40</w:t>
            </w:r>
          </w:p>
        </w:tc>
        <w:tc>
          <w:tcPr>
            <w:tcW w:w="2223" w:type="dxa"/>
          </w:tcPr>
          <w:p>
            <w:pPr>
              <w:pStyle w:val="TableParagraph"/>
              <w:spacing w:line="274" w:lineRule="exact"/>
              <w:ind w:left="524" w:right="524"/>
              <w:jc w:val="center"/>
              <w:rPr>
                <w:sz w:val="24"/>
              </w:rPr>
            </w:pPr>
            <w:r>
              <w:rPr>
                <w:sz w:val="24"/>
              </w:rPr>
              <w:t>60</w:t>
            </w:r>
          </w:p>
        </w:tc>
      </w:tr>
      <w:tr>
        <w:trPr>
          <w:trHeight w:val="422" w:hRule="exact"/>
        </w:trPr>
        <w:tc>
          <w:tcPr>
            <w:tcW w:w="2321" w:type="dxa"/>
          </w:tcPr>
          <w:p>
            <w:pPr>
              <w:pStyle w:val="TableParagraph"/>
              <w:spacing w:line="274" w:lineRule="exact"/>
              <w:ind w:left="310" w:right="310"/>
              <w:jc w:val="center"/>
              <w:rPr>
                <w:sz w:val="24"/>
              </w:rPr>
            </w:pPr>
            <w:r>
              <w:rPr>
                <w:sz w:val="24"/>
              </w:rPr>
              <w:t>Gastronomía</w:t>
            </w:r>
          </w:p>
        </w:tc>
        <w:tc>
          <w:tcPr>
            <w:tcW w:w="2304" w:type="dxa"/>
          </w:tcPr>
          <w:p>
            <w:pPr>
              <w:pStyle w:val="TableParagraph"/>
              <w:spacing w:line="272" w:lineRule="exact"/>
              <w:ind w:right="943"/>
              <w:jc w:val="right"/>
              <w:rPr>
                <w:sz w:val="24"/>
              </w:rPr>
            </w:pPr>
            <w:r>
              <w:rPr>
                <w:w w:val="95"/>
                <w:sz w:val="24"/>
              </w:rPr>
              <w:t>142</w:t>
            </w:r>
          </w:p>
        </w:tc>
        <w:tc>
          <w:tcPr>
            <w:tcW w:w="2208" w:type="dxa"/>
          </w:tcPr>
          <w:p>
            <w:pPr>
              <w:pStyle w:val="TableParagraph"/>
              <w:spacing w:line="274" w:lineRule="exact"/>
              <w:ind w:left="545" w:right="549"/>
              <w:jc w:val="center"/>
              <w:rPr>
                <w:sz w:val="24"/>
              </w:rPr>
            </w:pPr>
            <w:r>
              <w:rPr>
                <w:sz w:val="24"/>
              </w:rPr>
              <w:t>45.0</w:t>
            </w:r>
          </w:p>
        </w:tc>
        <w:tc>
          <w:tcPr>
            <w:tcW w:w="2223" w:type="dxa"/>
          </w:tcPr>
          <w:p>
            <w:pPr>
              <w:pStyle w:val="TableParagraph"/>
              <w:spacing w:line="274" w:lineRule="exact"/>
              <w:ind w:left="523" w:right="524"/>
              <w:jc w:val="center"/>
              <w:rPr>
                <w:sz w:val="24"/>
              </w:rPr>
            </w:pPr>
            <w:r>
              <w:rPr>
                <w:sz w:val="24"/>
              </w:rPr>
              <w:t>54.9</w:t>
            </w:r>
          </w:p>
        </w:tc>
      </w:tr>
      <w:tr>
        <w:trPr>
          <w:trHeight w:val="598" w:hRule="exact"/>
        </w:trPr>
        <w:tc>
          <w:tcPr>
            <w:tcW w:w="2321" w:type="dxa"/>
          </w:tcPr>
          <w:p>
            <w:pPr>
              <w:pStyle w:val="TableParagraph"/>
              <w:ind w:left="400" w:right="384" w:firstLine="160"/>
              <w:rPr>
                <w:sz w:val="24"/>
              </w:rPr>
            </w:pPr>
            <w:r>
              <w:rPr>
                <w:sz w:val="24"/>
              </w:rPr>
              <w:t>Informática Administrativa</w:t>
            </w:r>
          </w:p>
        </w:tc>
        <w:tc>
          <w:tcPr>
            <w:tcW w:w="2304" w:type="dxa"/>
          </w:tcPr>
          <w:p>
            <w:pPr>
              <w:pStyle w:val="TableParagraph"/>
              <w:spacing w:line="272" w:lineRule="exact"/>
              <w:ind w:right="1010"/>
              <w:jc w:val="right"/>
              <w:rPr>
                <w:sz w:val="24"/>
              </w:rPr>
            </w:pPr>
            <w:r>
              <w:rPr>
                <w:sz w:val="24"/>
              </w:rPr>
              <w:t>17</w:t>
            </w:r>
          </w:p>
        </w:tc>
        <w:tc>
          <w:tcPr>
            <w:tcW w:w="2208" w:type="dxa"/>
          </w:tcPr>
          <w:p>
            <w:pPr>
              <w:pStyle w:val="TableParagraph"/>
              <w:spacing w:line="274" w:lineRule="exact"/>
              <w:ind w:left="545" w:right="549"/>
              <w:jc w:val="center"/>
              <w:rPr>
                <w:sz w:val="24"/>
              </w:rPr>
            </w:pPr>
            <w:r>
              <w:rPr>
                <w:sz w:val="24"/>
              </w:rPr>
              <w:t>17.6</w:t>
            </w:r>
          </w:p>
        </w:tc>
        <w:tc>
          <w:tcPr>
            <w:tcW w:w="2223" w:type="dxa"/>
          </w:tcPr>
          <w:p>
            <w:pPr>
              <w:pStyle w:val="TableParagraph"/>
              <w:spacing w:line="274" w:lineRule="exact"/>
              <w:ind w:left="523" w:right="524"/>
              <w:jc w:val="center"/>
              <w:rPr>
                <w:sz w:val="24"/>
              </w:rPr>
            </w:pPr>
            <w:r>
              <w:rPr>
                <w:sz w:val="24"/>
              </w:rPr>
              <w:t>82.3</w:t>
            </w:r>
          </w:p>
        </w:tc>
      </w:tr>
      <w:tr>
        <w:trPr>
          <w:trHeight w:val="425" w:hRule="exact"/>
        </w:trPr>
        <w:tc>
          <w:tcPr>
            <w:tcW w:w="2321" w:type="dxa"/>
          </w:tcPr>
          <w:p>
            <w:pPr>
              <w:pStyle w:val="TableParagraph"/>
              <w:ind w:left="310" w:right="310"/>
              <w:jc w:val="center"/>
              <w:rPr>
                <w:sz w:val="24"/>
              </w:rPr>
            </w:pPr>
            <w:r>
              <w:rPr>
                <w:sz w:val="24"/>
              </w:rPr>
              <w:t>Nutrición</w:t>
            </w:r>
          </w:p>
        </w:tc>
        <w:tc>
          <w:tcPr>
            <w:tcW w:w="2304" w:type="dxa"/>
          </w:tcPr>
          <w:p>
            <w:pPr>
              <w:pStyle w:val="TableParagraph"/>
              <w:spacing w:line="274" w:lineRule="exact"/>
              <w:ind w:right="943"/>
              <w:jc w:val="right"/>
              <w:rPr>
                <w:sz w:val="24"/>
              </w:rPr>
            </w:pPr>
            <w:r>
              <w:rPr>
                <w:w w:val="95"/>
                <w:sz w:val="24"/>
              </w:rPr>
              <w:t>256</w:t>
            </w:r>
          </w:p>
        </w:tc>
        <w:tc>
          <w:tcPr>
            <w:tcW w:w="2208" w:type="dxa"/>
          </w:tcPr>
          <w:p>
            <w:pPr>
              <w:pStyle w:val="TableParagraph"/>
              <w:ind w:left="545" w:right="549"/>
              <w:jc w:val="center"/>
              <w:rPr>
                <w:sz w:val="24"/>
              </w:rPr>
            </w:pPr>
            <w:r>
              <w:rPr>
                <w:sz w:val="24"/>
              </w:rPr>
              <w:t>80.8</w:t>
            </w:r>
          </w:p>
        </w:tc>
        <w:tc>
          <w:tcPr>
            <w:tcW w:w="2223" w:type="dxa"/>
          </w:tcPr>
          <w:p>
            <w:pPr>
              <w:pStyle w:val="TableParagraph"/>
              <w:ind w:left="523" w:right="524"/>
              <w:jc w:val="center"/>
              <w:rPr>
                <w:sz w:val="24"/>
              </w:rPr>
            </w:pPr>
            <w:r>
              <w:rPr>
                <w:sz w:val="24"/>
              </w:rPr>
              <w:t>19.1</w:t>
            </w:r>
          </w:p>
        </w:tc>
      </w:tr>
      <w:tr>
        <w:trPr>
          <w:trHeight w:val="425" w:hRule="exact"/>
        </w:trPr>
        <w:tc>
          <w:tcPr>
            <w:tcW w:w="2321" w:type="dxa"/>
          </w:tcPr>
          <w:p>
            <w:pPr>
              <w:pStyle w:val="TableParagraph"/>
              <w:spacing w:line="274" w:lineRule="exact"/>
              <w:ind w:left="310" w:right="310"/>
              <w:jc w:val="center"/>
              <w:rPr>
                <w:sz w:val="24"/>
              </w:rPr>
            </w:pPr>
            <w:r>
              <w:rPr>
                <w:sz w:val="24"/>
              </w:rPr>
              <w:t>Psicología</w:t>
            </w:r>
          </w:p>
        </w:tc>
        <w:tc>
          <w:tcPr>
            <w:tcW w:w="2304" w:type="dxa"/>
          </w:tcPr>
          <w:p>
            <w:pPr>
              <w:pStyle w:val="TableParagraph"/>
              <w:spacing w:line="272" w:lineRule="exact"/>
              <w:ind w:right="943"/>
              <w:jc w:val="right"/>
              <w:rPr>
                <w:sz w:val="24"/>
              </w:rPr>
            </w:pPr>
            <w:r>
              <w:rPr>
                <w:w w:val="95"/>
                <w:sz w:val="24"/>
              </w:rPr>
              <w:t>161</w:t>
            </w:r>
          </w:p>
        </w:tc>
        <w:tc>
          <w:tcPr>
            <w:tcW w:w="2208" w:type="dxa"/>
          </w:tcPr>
          <w:p>
            <w:pPr>
              <w:pStyle w:val="TableParagraph"/>
              <w:spacing w:line="274" w:lineRule="exact"/>
              <w:ind w:left="545" w:right="549"/>
              <w:jc w:val="center"/>
              <w:rPr>
                <w:sz w:val="24"/>
              </w:rPr>
            </w:pPr>
            <w:r>
              <w:rPr>
                <w:sz w:val="24"/>
              </w:rPr>
              <w:t>86.3</w:t>
            </w:r>
          </w:p>
        </w:tc>
        <w:tc>
          <w:tcPr>
            <w:tcW w:w="2223" w:type="dxa"/>
          </w:tcPr>
          <w:p>
            <w:pPr>
              <w:pStyle w:val="TableParagraph"/>
              <w:spacing w:line="274" w:lineRule="exact"/>
              <w:ind w:left="523" w:right="524"/>
              <w:jc w:val="center"/>
              <w:rPr>
                <w:sz w:val="24"/>
              </w:rPr>
            </w:pPr>
            <w:r>
              <w:rPr>
                <w:sz w:val="24"/>
              </w:rPr>
              <w:t>13.6</w:t>
            </w:r>
          </w:p>
        </w:tc>
      </w:tr>
      <w:tr>
        <w:trPr>
          <w:trHeight w:val="922" w:hRule="exact"/>
        </w:trPr>
        <w:tc>
          <w:tcPr>
            <w:tcW w:w="2321" w:type="dxa"/>
          </w:tcPr>
          <w:p>
            <w:pPr>
              <w:pStyle w:val="TableParagraph"/>
              <w:ind w:left="340" w:right="340" w:hanging="2"/>
              <w:jc w:val="center"/>
              <w:rPr>
                <w:sz w:val="24"/>
              </w:rPr>
            </w:pPr>
            <w:r>
              <w:rPr>
                <w:sz w:val="24"/>
              </w:rPr>
              <w:t>Relaciones Económicas </w:t>
            </w:r>
            <w:r>
              <w:rPr>
                <w:w w:val="95"/>
                <w:sz w:val="24"/>
              </w:rPr>
              <w:t>Internacionales</w:t>
            </w:r>
          </w:p>
        </w:tc>
        <w:tc>
          <w:tcPr>
            <w:tcW w:w="2304" w:type="dxa"/>
          </w:tcPr>
          <w:p>
            <w:pPr>
              <w:pStyle w:val="TableParagraph"/>
              <w:spacing w:before="7"/>
              <w:rPr>
                <w:sz w:val="23"/>
              </w:rPr>
            </w:pPr>
          </w:p>
          <w:p>
            <w:pPr>
              <w:pStyle w:val="TableParagraph"/>
              <w:ind w:right="943"/>
              <w:jc w:val="right"/>
              <w:rPr>
                <w:sz w:val="24"/>
              </w:rPr>
            </w:pPr>
            <w:r>
              <w:rPr>
                <w:w w:val="95"/>
                <w:sz w:val="24"/>
              </w:rPr>
              <w:t>105</w:t>
            </w:r>
          </w:p>
        </w:tc>
        <w:tc>
          <w:tcPr>
            <w:tcW w:w="2208" w:type="dxa"/>
          </w:tcPr>
          <w:p>
            <w:pPr>
              <w:pStyle w:val="TableParagraph"/>
              <w:spacing w:before="7"/>
              <w:rPr>
                <w:sz w:val="23"/>
              </w:rPr>
            </w:pPr>
          </w:p>
          <w:p>
            <w:pPr>
              <w:pStyle w:val="TableParagraph"/>
              <w:ind w:left="545" w:right="549"/>
              <w:jc w:val="center"/>
              <w:rPr>
                <w:sz w:val="24"/>
              </w:rPr>
            </w:pPr>
            <w:r>
              <w:rPr>
                <w:sz w:val="24"/>
              </w:rPr>
              <w:t>55.2</w:t>
            </w:r>
          </w:p>
        </w:tc>
        <w:tc>
          <w:tcPr>
            <w:tcW w:w="2223" w:type="dxa"/>
          </w:tcPr>
          <w:p>
            <w:pPr>
              <w:pStyle w:val="TableParagraph"/>
              <w:spacing w:before="7"/>
              <w:rPr>
                <w:sz w:val="23"/>
              </w:rPr>
            </w:pPr>
          </w:p>
          <w:p>
            <w:pPr>
              <w:pStyle w:val="TableParagraph"/>
              <w:ind w:left="523" w:right="524"/>
              <w:jc w:val="center"/>
              <w:rPr>
                <w:sz w:val="24"/>
              </w:rPr>
            </w:pPr>
            <w:r>
              <w:rPr>
                <w:sz w:val="24"/>
              </w:rPr>
              <w:t>44.7</w:t>
            </w:r>
          </w:p>
        </w:tc>
      </w:tr>
    </w:tbl>
    <w:p>
      <w:pPr>
        <w:pStyle w:val="BodyText"/>
        <w:spacing w:before="4"/>
        <w:rPr>
          <w:sz w:val="13"/>
        </w:rPr>
      </w:pPr>
    </w:p>
    <w:p>
      <w:pPr>
        <w:spacing w:before="74"/>
        <w:ind w:left="932" w:right="0" w:firstLine="0"/>
        <w:jc w:val="left"/>
        <w:rPr>
          <w:sz w:val="20"/>
        </w:rPr>
      </w:pPr>
      <w:r>
        <w:rPr>
          <w:sz w:val="20"/>
        </w:rPr>
        <w:t>(Miranda, 2014 con base en datos oficiales otorgados por la dirección del CUSXXI).</w:t>
      </w:r>
    </w:p>
    <w:p>
      <w:pPr>
        <w:pStyle w:val="BodyText"/>
        <w:spacing w:before="1"/>
      </w:pPr>
    </w:p>
    <w:p>
      <w:pPr>
        <w:pStyle w:val="BodyText"/>
        <w:spacing w:line="360" w:lineRule="auto"/>
        <w:ind w:left="222" w:right="242"/>
        <w:jc w:val="both"/>
      </w:pPr>
      <w:r>
        <w:rPr/>
        <w:t>Dadas las estadísticas anteriores, es posible observar una mayor participación de mujeres en licenciaturas como comunicación, nutrición y psicología a diferencia de la que se muestra en áreas como administración, contaduría, economía y, sobre todo informática administrativa, siendo éstas mayormente cursadas por hombres.</w:t>
      </w:r>
    </w:p>
    <w:p>
      <w:pPr>
        <w:pStyle w:val="BodyText"/>
        <w:spacing w:line="360" w:lineRule="auto" w:before="204"/>
        <w:ind w:left="222" w:right="241"/>
        <w:jc w:val="both"/>
      </w:pPr>
      <w:r>
        <w:rPr/>
        <w:t>Fuera de ello, el resto de las áreas (derecho, gastronomía y relaciones  económicas internacionales) no muestran significativa diferencia entre la participación de hombres y la de mujeres, es decir, se manifiesta una mayor equidad de los intereses y oportunidades de los estudiantes hacia éstas</w:t>
      </w:r>
      <w:r>
        <w:rPr>
          <w:spacing w:val="-25"/>
        </w:rPr>
        <w:t> </w:t>
      </w:r>
      <w:r>
        <w:rPr/>
        <w:t>carreras.</w:t>
      </w:r>
    </w:p>
    <w:p>
      <w:pPr>
        <w:spacing w:after="0" w:line="360" w:lineRule="auto"/>
        <w:jc w:val="both"/>
        <w:sectPr>
          <w:pgSz w:w="12240" w:h="15840"/>
          <w:pgMar w:header="0" w:footer="1032" w:top="1360" w:bottom="1220" w:left="1480" w:right="1460"/>
        </w:sectPr>
      </w:pPr>
    </w:p>
    <w:p>
      <w:pPr>
        <w:pStyle w:val="BodyText"/>
        <w:spacing w:line="360" w:lineRule="auto" w:before="57"/>
        <w:ind w:left="102" w:right="119"/>
        <w:jc w:val="both"/>
      </w:pPr>
      <w:r>
        <w:rPr/>
        <w:t>En otro orden de ideas, se muestra la manera como se encuentra diseñado este trabajo terminal.</w:t>
      </w:r>
    </w:p>
    <w:p>
      <w:pPr>
        <w:pStyle w:val="BodyText"/>
        <w:spacing w:line="360" w:lineRule="auto" w:before="204"/>
        <w:ind w:left="102" w:right="117"/>
        <w:jc w:val="both"/>
      </w:pPr>
      <w:r>
        <w:rPr/>
        <w:t>En primer lugar, se presentan algunas consideraciones teóricas de sustento de la problemática y su contexto así como del diseño metodológico a emplear mediante el diagnóstico. Seguido de la justificación que explica el motivo por el cual se trabaja el presente tema y se considera la población antes mencionada. En tercer lugar se expone el trabajo de campo que respalda el diagnóstico del problema aplicado en el estudiantado. Continúa con la propuesta de proyecto a aplicar para subsanar los conflictos previamente detectados. En cuarto lugar, aparecen las conclusiones a las cuales fue posible llegar. Y finalmente, las fuentes bibliográficas consultadas seguido del anexo número 1 (cuestionario utilizado en el diagnóstico).</w:t>
      </w:r>
    </w:p>
    <w:p>
      <w:pPr>
        <w:spacing w:after="0" w:line="360" w:lineRule="auto"/>
        <w:jc w:val="both"/>
        <w:sectPr>
          <w:pgSz w:w="12240" w:h="15840"/>
          <w:pgMar w:header="0" w:footer="1032" w:top="1360" w:bottom="1220" w:left="1600" w:right="1580"/>
        </w:sectPr>
      </w:pPr>
    </w:p>
    <w:p>
      <w:pPr>
        <w:pStyle w:val="Heading1"/>
        <w:spacing w:before="57"/>
        <w:ind w:left="133" w:right="154"/>
        <w:jc w:val="center"/>
      </w:pPr>
      <w:bookmarkStart w:name="_TOC_250006" w:id="2"/>
      <w:bookmarkEnd w:id="2"/>
      <w:r>
        <w:rPr>
          <w:u w:val="thick"/>
        </w:rPr>
        <w:t>MARCO CONCEPTUAL</w:t>
      </w:r>
    </w:p>
    <w:p>
      <w:pPr>
        <w:pStyle w:val="BodyText"/>
        <w:spacing w:before="9"/>
        <w:rPr>
          <w:b/>
          <w:sz w:val="14"/>
        </w:rPr>
      </w:pPr>
    </w:p>
    <w:p>
      <w:pPr>
        <w:spacing w:before="70"/>
        <w:ind w:left="670" w:right="0" w:firstLine="0"/>
        <w:jc w:val="both"/>
        <w:rPr>
          <w:b/>
          <w:sz w:val="24"/>
        </w:rPr>
      </w:pPr>
      <w:r>
        <w:rPr>
          <w:b/>
          <w:sz w:val="24"/>
        </w:rPr>
        <w:t>El Género como la distinción inequitativa entre hombres y mujeres.</w:t>
      </w:r>
    </w:p>
    <w:p>
      <w:pPr>
        <w:pStyle w:val="BodyText"/>
        <w:spacing w:before="4"/>
        <w:rPr>
          <w:b/>
          <w:sz w:val="29"/>
        </w:rPr>
      </w:pPr>
    </w:p>
    <w:p>
      <w:pPr>
        <w:pStyle w:val="BodyText"/>
        <w:spacing w:line="360" w:lineRule="auto" w:before="1"/>
        <w:ind w:left="102" w:right="115" w:firstLine="707"/>
        <w:jc w:val="both"/>
      </w:pPr>
      <w:r>
        <w:rPr/>
        <w:t>México es, como la gran mayoría de las naciones, un estado netamente patriarcal, cuyo uso teórico y práctico del sistema de género, mantiene a las mujeres en profunda desventaja y marginación en todos los campos sociales, mismos en los cuales, los varones se desarrollan libremente gozando de los beneficios que dicho sistema les otorga.</w:t>
      </w:r>
    </w:p>
    <w:p>
      <w:pPr>
        <w:pStyle w:val="BodyText"/>
        <w:spacing w:line="360" w:lineRule="auto" w:before="205"/>
        <w:ind w:left="102" w:right="115"/>
        <w:jc w:val="both"/>
      </w:pPr>
      <w:r>
        <w:rPr/>
        <w:t>Es usual observar cómo hoy día las mujeres mexicanas continúan siendo por atribución y autoatribución, las principales responsables del trabajo doméstico, es decir, de las actividades relativas al cuidado del hogar y de la familia, y los hombres desenvolviéndose en el ámbito público, cuya principal característica, es no sólo su constante interacción con otros individuos, sino también la remuneración por su trabajo. Dicha situación de inequidad persiste dentro y fuera de los hogares mexicanos, pese a ciertas reformas político-sociales que, paulatinamente se han ido asentando (aunque sin demasiados resultados visibles) dentro del sistema socio- político</w:t>
      </w:r>
      <w:r>
        <w:rPr>
          <w:spacing w:val="-11"/>
        </w:rPr>
        <w:t> </w:t>
      </w:r>
      <w:r>
        <w:rPr/>
        <w:t>mexicano.</w:t>
      </w:r>
    </w:p>
    <w:p>
      <w:pPr>
        <w:spacing w:before="202"/>
        <w:ind w:left="102" w:right="0" w:firstLine="0"/>
        <w:jc w:val="both"/>
        <w:rPr>
          <w:sz w:val="24"/>
        </w:rPr>
      </w:pPr>
      <w:r>
        <w:rPr>
          <w:sz w:val="24"/>
        </w:rPr>
        <w:t>De acuerdo con Salvatore Cucchiari, el </w:t>
      </w:r>
      <w:r>
        <w:rPr>
          <w:i/>
          <w:sz w:val="24"/>
        </w:rPr>
        <w:t>sistema de género </w:t>
      </w:r>
      <w:r>
        <w:rPr>
          <w:sz w:val="24"/>
        </w:rPr>
        <w:t>es:</w:t>
      </w:r>
    </w:p>
    <w:p>
      <w:pPr>
        <w:pStyle w:val="BodyText"/>
        <w:spacing w:before="6"/>
        <w:rPr>
          <w:sz w:val="29"/>
        </w:rPr>
      </w:pPr>
    </w:p>
    <w:p>
      <w:pPr>
        <w:spacing w:before="1"/>
        <w:ind w:left="668" w:right="682" w:firstLine="0"/>
        <w:jc w:val="both"/>
        <w:rPr>
          <w:sz w:val="22"/>
        </w:rPr>
      </w:pPr>
      <w:r>
        <w:rPr>
          <w:sz w:val="22"/>
        </w:rPr>
        <w:t>[…] un sistema simbólico o de significado que consta de dos categorías complementarias, aunque mutuamente excluyentes, y dentro de ella se ubica  a todos los seres humanos. Dentro de las características que distinguen el sistema de género de otros sistemas categoriales, se encuentra el hecho de que los genitales son el único criterio para asignar a los individuos una categoría en el momento de nacer (1996:</w:t>
      </w:r>
      <w:r>
        <w:rPr>
          <w:spacing w:val="-11"/>
          <w:sz w:val="22"/>
        </w:rPr>
        <w:t> </w:t>
      </w:r>
      <w:r>
        <w:rPr>
          <w:sz w:val="22"/>
        </w:rPr>
        <w:t>184).</w:t>
      </w:r>
    </w:p>
    <w:p>
      <w:pPr>
        <w:pStyle w:val="BodyText"/>
        <w:spacing w:line="362" w:lineRule="auto" w:before="196"/>
        <w:ind w:left="102" w:right="115"/>
        <w:jc w:val="both"/>
      </w:pPr>
      <w:r>
        <w:rPr/>
        <w:t>En este respecto, cabe preguntarse ahora por el significado de </w:t>
      </w:r>
      <w:r>
        <w:rPr>
          <w:i/>
        </w:rPr>
        <w:t>“género”, </w:t>
      </w:r>
      <w:r>
        <w:rPr/>
        <w:t>el cual, Joan Scott define como “un elemento constitutivo de las relaciones sociales basadas en las diferencias que distinguen los sexos; y el género es una forma primaria de relaciones significantes de poder” (Scott, 1999: 61).</w:t>
      </w:r>
    </w:p>
    <w:p>
      <w:pPr>
        <w:pStyle w:val="BodyText"/>
        <w:spacing w:line="360" w:lineRule="auto" w:before="201"/>
        <w:ind w:left="102" w:right="116"/>
        <w:jc w:val="both"/>
      </w:pPr>
      <w:r>
        <w:rPr/>
        <w:t>La misma autora señala que “el género es el conjunto de ideas sobre la diferencia sexual que atribuye características “femeninas” y “masculinas” a cada sexo, a sus actividades y conductas, y a las esferas de la vida” (Lamas, 2002: 57).</w:t>
      </w:r>
    </w:p>
    <w:p>
      <w:pPr>
        <w:spacing w:after="0" w:line="360" w:lineRule="auto"/>
        <w:jc w:val="both"/>
        <w:sectPr>
          <w:pgSz w:w="12240" w:h="15840"/>
          <w:pgMar w:header="0" w:footer="1032" w:top="1360" w:bottom="1220" w:left="1600" w:right="1580"/>
        </w:sectPr>
      </w:pPr>
    </w:p>
    <w:p>
      <w:pPr>
        <w:pStyle w:val="BodyText"/>
        <w:spacing w:line="360" w:lineRule="auto" w:before="57"/>
        <w:ind w:left="102" w:right="123"/>
        <w:jc w:val="both"/>
      </w:pPr>
      <w:r>
        <w:rPr/>
        <w:t>En otras palabras, el género es el conjunto de normas, valores, actitudes, y comportamientos que se esperan de un varón o de una mujer, según sea el caso, y que se ve influido por las relaciones de poder que posicionan a él como dominante y a ella como</w:t>
      </w:r>
      <w:r>
        <w:rPr>
          <w:spacing w:val="-11"/>
        </w:rPr>
        <w:t> </w:t>
      </w:r>
      <w:r>
        <w:rPr/>
        <w:t>dominada.</w:t>
      </w:r>
    </w:p>
    <w:p>
      <w:pPr>
        <w:pStyle w:val="BodyText"/>
        <w:spacing w:line="360" w:lineRule="auto" w:before="204"/>
        <w:ind w:left="102" w:right="124"/>
        <w:jc w:val="both"/>
      </w:pPr>
      <w:r>
        <w:rPr/>
        <w:t>Con lo anterior, y considerando que dicho poder sugiere el uso de la violencia ejecutada por unos sobre otras dentro de las relaciones de género, se tiene que ésta, en sus múltiples formas y dimensiones, resulta una herramienta factible y constante dentro del sistema patriarcal en el que la totalidad de las mujeres mexicanas se encuentran en condición desventajosa.</w:t>
      </w:r>
    </w:p>
    <w:p>
      <w:pPr>
        <w:pStyle w:val="BodyText"/>
        <w:spacing w:before="204"/>
        <w:ind w:left="102"/>
        <w:jc w:val="both"/>
      </w:pPr>
      <w:r>
        <w:rPr/>
        <w:t>De  acuerdo  con  la  Organización  Mundial de  la  Salud  (OMS),  se entiende</w:t>
      </w:r>
      <w:r>
        <w:rPr>
          <w:spacing w:val="52"/>
        </w:rPr>
        <w:t> </w:t>
      </w:r>
      <w:r>
        <w:rPr/>
        <w:t>por</w:t>
      </w:r>
    </w:p>
    <w:p>
      <w:pPr>
        <w:spacing w:before="134"/>
        <w:ind w:left="102" w:right="0" w:firstLine="0"/>
        <w:jc w:val="both"/>
        <w:rPr>
          <w:sz w:val="24"/>
        </w:rPr>
      </w:pPr>
      <w:r>
        <w:rPr>
          <w:i/>
          <w:sz w:val="24"/>
        </w:rPr>
        <w:t>violencia</w:t>
      </w:r>
      <w:r>
        <w:rPr>
          <w:sz w:val="24"/>
        </w:rPr>
        <w:t>, lo siguiente:</w:t>
      </w:r>
    </w:p>
    <w:p>
      <w:pPr>
        <w:pStyle w:val="BodyText"/>
        <w:spacing w:before="6"/>
        <w:rPr>
          <w:sz w:val="29"/>
        </w:rPr>
      </w:pPr>
    </w:p>
    <w:p>
      <w:pPr>
        <w:spacing w:before="1"/>
        <w:ind w:left="668" w:right="681" w:firstLine="0"/>
        <w:jc w:val="both"/>
        <w:rPr>
          <w:sz w:val="22"/>
        </w:rPr>
      </w:pPr>
      <w:r>
        <w:rPr>
          <w:sz w:val="22"/>
        </w:rPr>
        <w:t>El uso deliberado de la fuerza física o el poder, ya sea en grado de amenaza o efectivo, contra uno mismo, otra persona o un grupo o comunidad, que cause  o tenga muchas probabilidades de causar lesiones, muerte daños psicológicos, trastornos del desarrollo o privaciones (Baca y Vélez, 2012:</w:t>
      </w:r>
      <w:r>
        <w:rPr>
          <w:spacing w:val="-16"/>
          <w:sz w:val="22"/>
        </w:rPr>
        <w:t> </w:t>
      </w:r>
      <w:r>
        <w:rPr>
          <w:sz w:val="22"/>
        </w:rPr>
        <w:t>22).</w:t>
      </w:r>
    </w:p>
    <w:p>
      <w:pPr>
        <w:pStyle w:val="BodyText"/>
        <w:spacing w:before="5"/>
        <w:rPr>
          <w:sz w:val="17"/>
        </w:rPr>
      </w:pPr>
    </w:p>
    <w:p>
      <w:pPr>
        <w:pStyle w:val="BodyText"/>
        <w:spacing w:line="360" w:lineRule="auto"/>
        <w:ind w:left="102" w:right="125"/>
        <w:jc w:val="both"/>
      </w:pPr>
      <w:r>
        <w:rPr/>
        <w:t>Ahora bien, tanto la violencia que se ejerce dentro de las relaciones de género, como el género mismo, responden a un sistema integral que abarca todos los campos sociales que producen y reproducen conductas represoras de hombres hacia mujeres y de éstas hacia sí mismas dentro y fuera de, y mediadas por instituciones sociales y estatales, es decir, desde el interior de una estructura social.</w:t>
      </w:r>
    </w:p>
    <w:p>
      <w:pPr>
        <w:pStyle w:val="BodyText"/>
        <w:spacing w:before="202"/>
        <w:ind w:left="102"/>
        <w:jc w:val="both"/>
      </w:pPr>
      <w:r>
        <w:rPr/>
        <w:t>Baca y Vélez mencionan:</w:t>
      </w:r>
    </w:p>
    <w:p>
      <w:pPr>
        <w:pStyle w:val="BodyText"/>
        <w:spacing w:before="4"/>
        <w:rPr>
          <w:sz w:val="29"/>
        </w:rPr>
      </w:pPr>
    </w:p>
    <w:p>
      <w:pPr>
        <w:spacing w:line="240" w:lineRule="auto" w:before="0"/>
        <w:ind w:left="668" w:right="683" w:firstLine="0"/>
        <w:jc w:val="both"/>
        <w:rPr>
          <w:sz w:val="24"/>
        </w:rPr>
      </w:pPr>
      <w:r>
        <w:rPr>
          <w:sz w:val="22"/>
        </w:rPr>
        <w:t>Hablamos de violencia estructural, hacia las mujeres justamente porque todo el orden social está orientado para operar oprimiendo a las mujeres y reproduciendo regularmente esta opresión. El carácter estructural de esta violencia se asocia estrechamente a su carácter sistémico: no sólo las condiciones materiales de vida resultan desventajosas para las mujeres. Lo son también la ideología, las normas, las tradiciones, el lenguaje, la religión, la ciencia, la filosofía, el sentido común, el sentido del humor, el erotismo y todas las formas de pensamiento, conocimiento y expresión que privan en una sociedad así. Hablamos entonces de violencia estructural hacia las mujeres porque en todos y cada uno de los ámbitos de la sociedad se ejerce y se reproduce la dominación sobre ellas […] (</w:t>
      </w:r>
      <w:r>
        <w:rPr>
          <w:sz w:val="24"/>
        </w:rPr>
        <w:t>2012:</w:t>
      </w:r>
      <w:r>
        <w:rPr>
          <w:spacing w:val="-16"/>
          <w:sz w:val="24"/>
        </w:rPr>
        <w:t> </w:t>
      </w:r>
      <w:r>
        <w:rPr>
          <w:sz w:val="24"/>
        </w:rPr>
        <w:t>19).</w:t>
      </w:r>
    </w:p>
    <w:p>
      <w:pPr>
        <w:spacing w:after="0" w:line="240" w:lineRule="auto"/>
        <w:jc w:val="both"/>
        <w:rPr>
          <w:sz w:val="24"/>
        </w:rPr>
        <w:sectPr>
          <w:pgSz w:w="12240" w:h="15840"/>
          <w:pgMar w:header="0" w:footer="1032" w:top="1360" w:bottom="1220" w:left="1600" w:right="1580"/>
        </w:sectPr>
      </w:pPr>
    </w:p>
    <w:p>
      <w:pPr>
        <w:pStyle w:val="BodyText"/>
        <w:spacing w:line="360" w:lineRule="auto" w:before="57"/>
        <w:ind w:left="102" w:right="116"/>
        <w:jc w:val="both"/>
      </w:pPr>
      <w:r>
        <w:rPr/>
        <w:t>Así pues, cabe observar las diferentes formas en que se pone de manifiesto la discriminación que supone la </w:t>
      </w:r>
      <w:r>
        <w:rPr>
          <w:i/>
        </w:rPr>
        <w:t>violencia estructural </w:t>
      </w:r>
      <w:r>
        <w:rPr/>
        <w:t>contra la mujer, pues su rechazo y/o escasa inclusión dentro en la esfera pública de la sociedad, sugiere desventajas desde el momento de intentar independizarse económica, moral, política y hasta corporalmente del varón mediante el empoderamiento y la  inserción escolar y laboral que éste</w:t>
      </w:r>
      <w:r>
        <w:rPr>
          <w:spacing w:val="-15"/>
        </w:rPr>
        <w:t> </w:t>
      </w:r>
      <w:r>
        <w:rPr/>
        <w:t>supone.</w:t>
      </w:r>
    </w:p>
    <w:p>
      <w:pPr>
        <w:pStyle w:val="BodyText"/>
        <w:spacing w:line="362" w:lineRule="auto" w:before="202"/>
        <w:ind w:left="102" w:right="116"/>
        <w:jc w:val="both"/>
      </w:pPr>
      <w:r>
        <w:rPr/>
        <w:t>Al respecto, debe recordarse la definición de </w:t>
      </w:r>
      <w:r>
        <w:rPr>
          <w:i/>
        </w:rPr>
        <w:t>discriminación</w:t>
      </w:r>
      <w:r>
        <w:rPr/>
        <w:t>, misma que la Ley Federal para Prevenir y Eliminar la Discriminación (LFPED) explica como:</w:t>
      </w:r>
    </w:p>
    <w:p>
      <w:pPr>
        <w:spacing w:before="199"/>
        <w:ind w:left="668" w:right="681" w:firstLine="0"/>
        <w:jc w:val="both"/>
        <w:rPr>
          <w:sz w:val="22"/>
        </w:rPr>
      </w:pPr>
      <w:r>
        <w:rPr>
          <w:sz w:val="22"/>
        </w:rPr>
        <w:t>[…] toda distinción, exclusión o restricción que, basada en el origen étnico o nacional, sexo, edad, discapacidad, condición social o económica, condiciones de salud, embarazo, lengua, religión, opiniones, preferencias sexuales, estado civil o cualquier otra, tenga por efecto impedir o anular el reconocimiento o el ejercicio de los derechos y la igualdad real de oportunidades de las personas (CONAPRED, 2009: 5)</w:t>
      </w:r>
    </w:p>
    <w:p>
      <w:pPr>
        <w:pStyle w:val="BodyText"/>
        <w:spacing w:before="5"/>
        <w:rPr>
          <w:sz w:val="17"/>
        </w:rPr>
      </w:pPr>
    </w:p>
    <w:p>
      <w:pPr>
        <w:pStyle w:val="BodyText"/>
        <w:spacing w:line="360" w:lineRule="auto"/>
        <w:ind w:left="102" w:right="124"/>
        <w:jc w:val="both"/>
      </w:pPr>
      <w:r>
        <w:rPr/>
        <w:t>Como se señala en la cita anterior, la discriminación que sufren las mujeres como “grupo vulnerable” (distinción hecha por el Consejo Nacional para Prevenir la Discriminación) a razón única y exclusivamente de su condición genérica, la coloca en un sitio normalmente (y no naturalmente) violentado desde todos los ángulos socioculturales</w:t>
      </w:r>
      <w:r>
        <w:rPr>
          <w:spacing w:val="-9"/>
        </w:rPr>
        <w:t> </w:t>
      </w:r>
      <w:r>
        <w:rPr/>
        <w:t>posibles.</w:t>
      </w:r>
    </w:p>
    <w:p>
      <w:pPr>
        <w:pStyle w:val="BodyText"/>
        <w:spacing w:before="204"/>
        <w:ind w:left="102"/>
        <w:jc w:val="both"/>
      </w:pPr>
      <w:r>
        <w:rPr/>
        <w:t>De  esta  manera,  Ma.  De  Lourdes  González  y  Enrique  Uribe  definen     como</w:t>
      </w:r>
    </w:p>
    <w:p>
      <w:pPr>
        <w:spacing w:before="134"/>
        <w:ind w:left="102" w:right="0" w:firstLine="0"/>
        <w:jc w:val="both"/>
        <w:rPr>
          <w:i/>
          <w:sz w:val="24"/>
        </w:rPr>
      </w:pPr>
      <w:r>
        <w:rPr>
          <w:i/>
          <w:sz w:val="24"/>
        </w:rPr>
        <w:t>vulnerable</w:t>
      </w:r>
    </w:p>
    <w:p>
      <w:pPr>
        <w:pStyle w:val="BodyText"/>
        <w:spacing w:before="6"/>
        <w:rPr>
          <w:i/>
          <w:sz w:val="29"/>
        </w:rPr>
      </w:pPr>
    </w:p>
    <w:p>
      <w:pPr>
        <w:spacing w:before="1"/>
        <w:ind w:left="668" w:right="683" w:firstLine="0"/>
        <w:jc w:val="both"/>
        <w:rPr>
          <w:sz w:val="22"/>
        </w:rPr>
      </w:pPr>
      <w:r>
        <w:rPr>
          <w:sz w:val="22"/>
        </w:rPr>
        <w:t>[…] a la persona que es susceptible de ser violentada en su integridad física, moral, intelectual y económica, por mencionar algunos factores de riesgo, de ahí que podamos concluir que toda persona es potencialmente vulnerable; sin embargo, no lo es totalmente sino hasta el momento en que es violentada en su integridad como ser humano (2008: 36).</w:t>
      </w:r>
    </w:p>
    <w:p>
      <w:pPr>
        <w:pStyle w:val="BodyText"/>
        <w:spacing w:before="6"/>
        <w:rPr>
          <w:sz w:val="17"/>
        </w:rPr>
      </w:pPr>
    </w:p>
    <w:p>
      <w:pPr>
        <w:pStyle w:val="BodyText"/>
        <w:spacing w:line="360" w:lineRule="auto"/>
        <w:ind w:left="102" w:right="125"/>
        <w:jc w:val="both"/>
      </w:pPr>
      <w:r>
        <w:rPr/>
        <w:t>Es justamente este carácter estructural de la violencia, el que pone de manifiesto todas y cada una de las irregularidades del acotamiento del principio de equidad de género que teóricamente lucha por la erradicación de la discriminación, el maltrato y la falta de oportunidades de desarrollo intelectual y de empoderamiento de las mujeres en nuestro</w:t>
      </w:r>
      <w:r>
        <w:rPr>
          <w:spacing w:val="-11"/>
        </w:rPr>
        <w:t> </w:t>
      </w:r>
      <w:r>
        <w:rPr/>
        <w:t>país.</w:t>
      </w:r>
    </w:p>
    <w:p>
      <w:pPr>
        <w:spacing w:after="0" w:line="360" w:lineRule="auto"/>
        <w:jc w:val="both"/>
        <w:sectPr>
          <w:pgSz w:w="12240" w:h="15840"/>
          <w:pgMar w:header="0" w:footer="1032" w:top="1360" w:bottom="1220" w:left="1600" w:right="1580"/>
        </w:sectPr>
      </w:pPr>
    </w:p>
    <w:p>
      <w:pPr>
        <w:pStyle w:val="BodyText"/>
        <w:spacing w:line="360" w:lineRule="auto" w:before="57"/>
        <w:ind w:left="102" w:right="116"/>
        <w:jc w:val="both"/>
      </w:pPr>
      <w:r>
        <w:rPr/>
        <w:t>En este orden de ideas, y en un sentido mucho más específico de los daños sufridos por las mujeres como grupo socialmente vulnerable, cabe distinguirse la definición del término </w:t>
      </w:r>
      <w:r>
        <w:rPr>
          <w:i/>
        </w:rPr>
        <w:t>violencia de género </w:t>
      </w:r>
      <w:r>
        <w:rPr/>
        <w:t>que ofrece Mirta Ward:</w:t>
      </w:r>
    </w:p>
    <w:p>
      <w:pPr>
        <w:spacing w:line="240" w:lineRule="auto" w:before="206"/>
        <w:ind w:left="668" w:right="683" w:firstLine="0"/>
        <w:jc w:val="both"/>
        <w:rPr>
          <w:sz w:val="22"/>
        </w:rPr>
      </w:pPr>
      <w:r>
        <w:rPr>
          <w:sz w:val="22"/>
        </w:rPr>
        <w:t>Cualquier daño a otra persona perpetrado contra su voluntad, que tiene un impacto negativo sobre su salud física o psicológica, sobre su desarrollo y sobre su identidad, y que es el resultado de las desigualdades genéricas de poder que explotan la distinción entre hombres y mujeres […] Aunque no se dirige exclusivamente a las mujeres y las niñas, la violencia de género las afecta principalmente a ellas en todas las culturas. La violencia puede ser física, sexual, económica o sociocultural. Los perpetradores pueden ser miembros de la familia, miembros de la comunidad, y aquellos que actúan en nombre de instituciones culturales, religiosas, o de estado (en Baca et al., 2012: 27).</w:t>
      </w:r>
    </w:p>
    <w:p>
      <w:pPr>
        <w:pStyle w:val="BodyText"/>
        <w:spacing w:before="5"/>
        <w:rPr>
          <w:sz w:val="17"/>
        </w:rPr>
      </w:pPr>
    </w:p>
    <w:p>
      <w:pPr>
        <w:pStyle w:val="BodyText"/>
        <w:spacing w:line="360" w:lineRule="auto"/>
        <w:ind w:left="102" w:right="125"/>
        <w:jc w:val="both"/>
      </w:pPr>
      <w:r>
        <w:rPr/>
        <w:t>Al respecto, Ma. Jesús Izquierdo, sugiere que “se trata de violencia que se dirige sobre las mujeres por el hecho mismo de serlo, por ser consideradas por sus agresores carentes de los derechos mínimos de libertad, respecto y capacidad de decisión” (2011: 37).</w:t>
      </w:r>
    </w:p>
    <w:p>
      <w:pPr>
        <w:pStyle w:val="BodyText"/>
        <w:spacing w:line="360" w:lineRule="auto" w:before="204"/>
        <w:ind w:left="102" w:right="127"/>
        <w:jc w:val="both"/>
      </w:pPr>
      <w:r>
        <w:rPr/>
        <w:t>Marcela Lagarde y de los Ríos añade que la violencia de género que se suscita contra las mujeres, responde a toda una estructura social. En sus palabras:</w:t>
      </w:r>
    </w:p>
    <w:p>
      <w:pPr>
        <w:spacing w:before="204"/>
        <w:ind w:left="668" w:right="681" w:firstLine="0"/>
        <w:jc w:val="both"/>
        <w:rPr>
          <w:sz w:val="22"/>
        </w:rPr>
      </w:pPr>
      <w:r>
        <w:rPr>
          <w:sz w:val="22"/>
        </w:rPr>
        <w:t>[…] la violencia de género contra las mujeres es estructural porque el orden social, es decir, la organización de la vida social es patriarcal. Se trata de una sólida construcción de relaciones, prácticas e instituciones sociales (incluso  del Estado) que generan preservan y reproducen poderes (acceso, privilegios, jerarquías, monopolios, control) de los hombres sobre las mujeres y, al mismo tiempo, conculcan poderes sociales –sexuales, económicos, políticos, jurídicos y culturales- a las mujeres (2007:</w:t>
      </w:r>
      <w:r>
        <w:rPr>
          <w:spacing w:val="-8"/>
          <w:sz w:val="22"/>
        </w:rPr>
        <w:t> </w:t>
      </w:r>
      <w:r>
        <w:rPr>
          <w:sz w:val="22"/>
        </w:rPr>
        <w:t>33).</w:t>
      </w:r>
    </w:p>
    <w:p>
      <w:pPr>
        <w:pStyle w:val="BodyText"/>
        <w:spacing w:before="5"/>
        <w:rPr>
          <w:sz w:val="17"/>
        </w:rPr>
      </w:pPr>
    </w:p>
    <w:p>
      <w:pPr>
        <w:pStyle w:val="BodyText"/>
        <w:spacing w:line="360" w:lineRule="auto"/>
        <w:ind w:left="102" w:right="123"/>
        <w:jc w:val="both"/>
      </w:pPr>
      <w:r>
        <w:rPr/>
        <w:t>La violencia de género cobra una dimensión mayor cuando se cae en cuenta que la mayor parte del tiempo las mujeres desconocen sus propios derechos, esto, gracias al poco acceso a la información que a ello respecta, así como al mediocre soporte legal y a la falta de acotamiento de leyes que prohíben y sancionan conductas que juegan en contra de su integridad (Vélez, 2014).</w:t>
      </w:r>
    </w:p>
    <w:p>
      <w:pPr>
        <w:pStyle w:val="BodyText"/>
        <w:spacing w:line="360" w:lineRule="auto" w:before="204"/>
        <w:ind w:left="102" w:right="118"/>
        <w:jc w:val="both"/>
      </w:pPr>
      <w:r>
        <w:rPr/>
        <w:t>Una prueba sencilla pero evidente de la discriminación y la violencia hacia las mujeres, es su anulación al interior de lenguaje, en la escritura y pronunciación de las palabras que pareciera, aluden única y exclusivamente a los varones, es decir, el uso del </w:t>
      </w:r>
      <w:r>
        <w:rPr>
          <w:i/>
        </w:rPr>
        <w:t>androcentrismo </w:t>
      </w:r>
      <w:r>
        <w:rPr/>
        <w:t>que, según Estela Serret, se utilizan para:</w:t>
      </w:r>
    </w:p>
    <w:p>
      <w:pPr>
        <w:spacing w:after="0" w:line="360" w:lineRule="auto"/>
        <w:jc w:val="both"/>
        <w:sectPr>
          <w:pgSz w:w="12240" w:h="15840"/>
          <w:pgMar w:header="0" w:footer="1032" w:top="1360" w:bottom="1220" w:left="1600" w:right="1580"/>
        </w:sectPr>
      </w:pPr>
    </w:p>
    <w:p>
      <w:pPr>
        <w:spacing w:before="56"/>
        <w:ind w:left="668" w:right="685" w:firstLine="0"/>
        <w:jc w:val="both"/>
        <w:rPr>
          <w:sz w:val="22"/>
        </w:rPr>
      </w:pPr>
      <w:r>
        <w:rPr>
          <w:sz w:val="22"/>
        </w:rPr>
        <w:t>[…] describir un pensamiento, una mirada, un sesgo o un prejuicio, centrado en los varones: en sus cuerpos, sus prácticas, sus intereses y sus espacios, que opera tal cual si las mujeres no existieran o no fueran relevantes. Estas perspectivas brindan una visión errónea y parcial de la realidad, procediendo como si todo el quehacer humano (con excepción de la gestación, el parto y la crianza de la descendencia) fuese realizado en exclusiva por hombres (2008: 66).</w:t>
      </w:r>
    </w:p>
    <w:p>
      <w:pPr>
        <w:pStyle w:val="BodyText"/>
        <w:spacing w:before="5"/>
        <w:rPr>
          <w:sz w:val="17"/>
        </w:rPr>
      </w:pPr>
    </w:p>
    <w:p>
      <w:pPr>
        <w:pStyle w:val="BodyText"/>
        <w:spacing w:line="360" w:lineRule="auto"/>
        <w:ind w:left="102" w:right="116"/>
        <w:jc w:val="both"/>
      </w:pPr>
      <w:r>
        <w:rPr/>
        <w:t>Así pues, es de considerar la relevancia que cobra propugnar por un sistema de justicia social que ejecute leyes y normas de sanción y prohibición de la violencia en contra de las mujeres, pero particularmente y más importante aún, que la prevengan e impulsen su conocimiento con el fin de erradicar todo indicio  de acción que trasgreda los límites del bienestar de las mujeres como seres  humanos.</w:t>
      </w:r>
    </w:p>
    <w:p>
      <w:pPr>
        <w:pStyle w:val="BodyText"/>
        <w:spacing w:line="360" w:lineRule="auto" w:before="204"/>
        <w:ind w:left="102" w:right="116"/>
        <w:jc w:val="both"/>
      </w:pPr>
      <w:r>
        <w:rPr/>
        <w:t>A razón de lo anterior, es que resulta completamente indispensable el diseño de  un modelo de equidad de género que garantice en un cien por ciento la estabilidad integral de las mujeres, su participación e inclusión en todos los ámbitos sociales y el respecto a sus garantías como individuos, al tiempo de suprimir todas las  formas de discriminación basadas en las diferencias</w:t>
      </w:r>
      <w:r>
        <w:rPr>
          <w:spacing w:val="-20"/>
        </w:rPr>
        <w:t> </w:t>
      </w:r>
      <w:r>
        <w:rPr/>
        <w:t>sexuales.</w:t>
      </w:r>
    </w:p>
    <w:p>
      <w:pPr>
        <w:pStyle w:val="BodyText"/>
        <w:spacing w:before="204"/>
        <w:ind w:left="102"/>
        <w:jc w:val="both"/>
      </w:pPr>
      <w:r>
        <w:rPr/>
        <w:t>Pero, ¿qué es la equidad de género?</w:t>
      </w:r>
    </w:p>
    <w:p>
      <w:pPr>
        <w:pStyle w:val="BodyText"/>
        <w:spacing w:before="4"/>
        <w:rPr>
          <w:sz w:val="29"/>
        </w:rPr>
      </w:pPr>
    </w:p>
    <w:p>
      <w:pPr>
        <w:pStyle w:val="BodyText"/>
        <w:spacing w:line="357" w:lineRule="auto" w:before="1"/>
        <w:ind w:left="102" w:right="117"/>
        <w:jc w:val="both"/>
      </w:pPr>
      <w:r>
        <w:rPr/>
        <w:t>De acuerdo con lo estipulado por la Secretaría de Desarrollo Rural y Equidad para las Comunidades (SEDEREC), </w:t>
      </w:r>
      <w:r>
        <w:rPr>
          <w:i/>
        </w:rPr>
        <w:t>la equidad de género </w:t>
      </w:r>
      <w:r>
        <w:rPr/>
        <w:t>es:</w:t>
      </w:r>
    </w:p>
    <w:p>
      <w:pPr>
        <w:spacing w:before="209"/>
        <w:ind w:left="668" w:right="684" w:firstLine="0"/>
        <w:jc w:val="both"/>
        <w:rPr>
          <w:sz w:val="22"/>
        </w:rPr>
      </w:pPr>
      <w:r>
        <w:rPr>
          <w:sz w:val="22"/>
        </w:rPr>
        <w:t>[…] un principio de justicia conforme al cual mujeres y hombres acceden al uso, control y beneficios de los bienes y servicios de la sociedad en igualdad de condiciones. Tiene como propósito último contribuir a lograr la igualdad, por encima de las diferencias y el trato diferenciado (2012: 13).</w:t>
      </w:r>
    </w:p>
    <w:p>
      <w:pPr>
        <w:pStyle w:val="BodyText"/>
        <w:spacing w:before="5"/>
        <w:rPr>
          <w:sz w:val="17"/>
        </w:rPr>
      </w:pPr>
    </w:p>
    <w:p>
      <w:pPr>
        <w:pStyle w:val="BodyText"/>
        <w:spacing w:line="360" w:lineRule="auto"/>
        <w:ind w:left="102" w:right="116"/>
        <w:jc w:val="both"/>
      </w:pPr>
      <w:r>
        <w:rPr/>
        <w:t>Por otro lado, es posible considerar el hecho de que para el desarrollo de una equidad de género realmente productiva, es necesario otorgar a todos y cada uno de los temas, rubros, niveles, áreas y dimensiones sociales, un criterio que proponga y ejecute de manera efectiva el principio de justicia y bienestar para hombres y mujeres sin distinción de sexo, es decir, la aplicación de la denominada </w:t>
      </w:r>
      <w:r>
        <w:rPr>
          <w:i/>
        </w:rPr>
        <w:t>“Perspectiva de Género”, </w:t>
      </w:r>
      <w:r>
        <w:rPr/>
        <w:t>misma que Serret define como sigue:</w:t>
      </w:r>
    </w:p>
    <w:p>
      <w:pPr>
        <w:spacing w:before="204"/>
        <w:ind w:left="668" w:right="686" w:firstLine="0"/>
        <w:jc w:val="both"/>
        <w:rPr>
          <w:sz w:val="22"/>
        </w:rPr>
      </w:pPr>
      <w:r>
        <w:rPr>
          <w:sz w:val="22"/>
        </w:rPr>
        <w:t>[…] un punto de vista, a partir del cual se visualizan los distintos fenómenos de la realidad (científica, académica, social o política), que tiene en cuenta las</w:t>
      </w:r>
    </w:p>
    <w:p>
      <w:pPr>
        <w:spacing w:after="0"/>
        <w:jc w:val="both"/>
        <w:rPr>
          <w:sz w:val="22"/>
        </w:rPr>
        <w:sectPr>
          <w:pgSz w:w="12240" w:h="15840"/>
          <w:pgMar w:header="0" w:footer="1032" w:top="1360" w:bottom="1220" w:left="1600" w:right="1580"/>
        </w:sectPr>
      </w:pPr>
    </w:p>
    <w:p>
      <w:pPr>
        <w:spacing w:before="56"/>
        <w:ind w:left="668" w:right="685" w:firstLine="0"/>
        <w:jc w:val="both"/>
        <w:rPr>
          <w:sz w:val="22"/>
        </w:rPr>
      </w:pPr>
      <w:r>
        <w:rPr>
          <w:sz w:val="22"/>
        </w:rPr>
        <w:t>implicaciones y efectos de las relaciones sociales de poder entre los géneros (masculino y femenino, en un nivel, y hombres y mujeres en otro) (2008: 15).</w:t>
      </w:r>
    </w:p>
    <w:p>
      <w:pPr>
        <w:pStyle w:val="BodyText"/>
        <w:spacing w:before="5"/>
        <w:rPr>
          <w:sz w:val="17"/>
        </w:rPr>
      </w:pPr>
    </w:p>
    <w:p>
      <w:pPr>
        <w:pStyle w:val="BodyText"/>
        <w:ind w:left="102"/>
        <w:jc w:val="both"/>
      </w:pPr>
      <w:r>
        <w:rPr/>
        <w:t>Por su parte, el Instituto Nacional de las Mujeres (INMUJERES) señala que:</w:t>
      </w:r>
    </w:p>
    <w:p>
      <w:pPr>
        <w:pStyle w:val="BodyText"/>
        <w:spacing w:before="4"/>
        <w:rPr>
          <w:sz w:val="29"/>
        </w:rPr>
      </w:pPr>
    </w:p>
    <w:p>
      <w:pPr>
        <w:spacing w:before="0"/>
        <w:ind w:left="668" w:right="683" w:firstLine="0"/>
        <w:jc w:val="both"/>
        <w:rPr>
          <w:sz w:val="22"/>
        </w:rPr>
      </w:pPr>
      <w:r>
        <w:rPr>
          <w:sz w:val="22"/>
        </w:rPr>
        <w:t>La perspectiva de género es una mirada analítica que indaga y explica cómo las sociedades construyen sus reglas, valores, prácticas, procesos y subjetividad, dándole un nuevo sentido a lo que son las mujeres y los  hombres, y a las relaciones que se producen entre ambos. Dado este sentido relacional, la perspectiva de género no alude exclusivamente a “asuntos de mujeres”, sino a los procesos sociales y culturales que convierten la diferencia sexual en la base de la desigualdad de género (2008:</w:t>
      </w:r>
      <w:r>
        <w:rPr>
          <w:spacing w:val="-14"/>
          <w:sz w:val="22"/>
        </w:rPr>
        <w:t> </w:t>
      </w:r>
      <w:r>
        <w:rPr>
          <w:sz w:val="22"/>
        </w:rPr>
        <w:t>15).</w:t>
      </w:r>
    </w:p>
    <w:p>
      <w:pPr>
        <w:pStyle w:val="BodyText"/>
        <w:spacing w:before="6"/>
        <w:rPr>
          <w:sz w:val="17"/>
        </w:rPr>
      </w:pPr>
    </w:p>
    <w:p>
      <w:pPr>
        <w:pStyle w:val="BodyText"/>
        <w:spacing w:line="360" w:lineRule="auto"/>
        <w:ind w:left="102" w:right="116"/>
        <w:jc w:val="both"/>
      </w:pPr>
      <w:r>
        <w:rPr/>
        <w:t>En otras palabras, la Perspectiva de Género funciona como un mecanismo crítico que observa y analiza las múltiples problemáticas y fenómenos al interior de la sociedad a partir de las relaciones suscitadas entre hombres y mujeres.</w:t>
      </w:r>
    </w:p>
    <w:p>
      <w:pPr>
        <w:pStyle w:val="BodyText"/>
        <w:spacing w:line="360" w:lineRule="auto" w:before="204"/>
        <w:ind w:left="102" w:right="114"/>
        <w:jc w:val="both"/>
      </w:pPr>
      <w:r>
        <w:rPr/>
        <w:t>Celia Amorós (2001) indica que el esencialismo que atañe tanto al varón como a la mujer dentro del sistema de género, debe criticarse y refutarse pero no dejar de lado las diferencias sexuales en su aspecto más biológico, pues únicamente de esta manera la sociedad actual podrá deconstruir la cultura de género y generar, de esta manera, un nuevo modelo de ciudadanía. Es decir, la diferenciación físico- biológica de los sexos resulta fundamental únicamente como sistematización categórica y de asignación de las funciones ontológicamente naturales de cada  ser humano (sin ser estas obligatorias), pero no para su función dentro del sistema social y todos los campos que en él se conjugan, ya que éste sí puede ser construido y deconstruido según convenga a los intereses particulares de cada sociedad.</w:t>
      </w:r>
    </w:p>
    <w:p>
      <w:pPr>
        <w:pStyle w:val="BodyText"/>
        <w:spacing w:line="360" w:lineRule="auto" w:before="202"/>
        <w:ind w:left="102" w:right="117"/>
        <w:jc w:val="both"/>
      </w:pPr>
      <w:r>
        <w:rPr/>
        <w:t>El hacer uso de la Perspectiva de Género fomenta el fortalecimiento de la visibilización de las mujeres, su vida, sus aportaciones y su participación en el entorno social, asimismo pone de manifiesto la forma en que cada fenómeno  social se ve afectado por las relaciones de poder y de desigualdad entre los géneros, característica propia del patriarcado (Serret,</w:t>
      </w:r>
      <w:r>
        <w:rPr>
          <w:spacing w:val="-19"/>
        </w:rPr>
        <w:t> </w:t>
      </w:r>
      <w:r>
        <w:rPr/>
        <w:t>2008).</w:t>
      </w:r>
    </w:p>
    <w:p>
      <w:pPr>
        <w:pStyle w:val="BodyText"/>
        <w:spacing w:line="360" w:lineRule="auto" w:before="204"/>
        <w:ind w:left="102" w:right="124"/>
        <w:jc w:val="both"/>
      </w:pPr>
      <w:r>
        <w:rPr/>
        <w:t>En este sentido y, de acuerdo con el tema central del presente proyecto, la mayor parte del tiempo, las diversas formas de violencia estructural y simbólica no son concebidas</w:t>
      </w:r>
      <w:r>
        <w:rPr>
          <w:spacing w:val="57"/>
        </w:rPr>
        <w:t> </w:t>
      </w:r>
      <w:r>
        <w:rPr/>
        <w:t>como</w:t>
      </w:r>
      <w:r>
        <w:rPr>
          <w:spacing w:val="58"/>
        </w:rPr>
        <w:t> </w:t>
      </w:r>
      <w:r>
        <w:rPr/>
        <w:t>tales</w:t>
      </w:r>
      <w:r>
        <w:rPr>
          <w:spacing w:val="57"/>
        </w:rPr>
        <w:t> </w:t>
      </w:r>
      <w:r>
        <w:rPr/>
        <w:t>por</w:t>
      </w:r>
      <w:r>
        <w:rPr>
          <w:spacing w:val="56"/>
        </w:rPr>
        <w:t> </w:t>
      </w:r>
      <w:r>
        <w:rPr/>
        <w:t>la</w:t>
      </w:r>
      <w:r>
        <w:rPr>
          <w:spacing w:val="58"/>
        </w:rPr>
        <w:t> </w:t>
      </w:r>
      <w:r>
        <w:rPr/>
        <w:t>gran</w:t>
      </w:r>
      <w:r>
        <w:rPr>
          <w:spacing w:val="56"/>
        </w:rPr>
        <w:t> </w:t>
      </w:r>
      <w:r>
        <w:rPr/>
        <w:t>mayoría</w:t>
      </w:r>
      <w:r>
        <w:rPr>
          <w:spacing w:val="58"/>
        </w:rPr>
        <w:t> </w:t>
      </w:r>
      <w:r>
        <w:rPr/>
        <w:t>de</w:t>
      </w:r>
      <w:r>
        <w:rPr>
          <w:spacing w:val="56"/>
        </w:rPr>
        <w:t> </w:t>
      </w:r>
      <w:r>
        <w:rPr/>
        <w:t>los</w:t>
      </w:r>
      <w:r>
        <w:rPr>
          <w:spacing w:val="58"/>
        </w:rPr>
        <w:t> </w:t>
      </w:r>
      <w:r>
        <w:rPr/>
        <w:t>jóvenes</w:t>
      </w:r>
      <w:r>
        <w:rPr>
          <w:spacing w:val="55"/>
        </w:rPr>
        <w:t> </w:t>
      </w:r>
      <w:r>
        <w:rPr/>
        <w:t>universitarios,</w:t>
      </w:r>
      <w:r>
        <w:rPr>
          <w:spacing w:val="58"/>
        </w:rPr>
        <w:t> </w:t>
      </w:r>
      <w:r>
        <w:rPr/>
        <w:t>ello</w:t>
      </w:r>
    </w:p>
    <w:p>
      <w:pPr>
        <w:spacing w:after="0" w:line="360" w:lineRule="auto"/>
        <w:jc w:val="both"/>
        <w:sectPr>
          <w:pgSz w:w="12240" w:h="15840"/>
          <w:pgMar w:header="0" w:footer="1032" w:top="1360" w:bottom="1220" w:left="1600" w:right="1580"/>
        </w:sectPr>
      </w:pPr>
    </w:p>
    <w:p>
      <w:pPr>
        <w:pStyle w:val="BodyText"/>
        <w:spacing w:line="360" w:lineRule="auto" w:before="57"/>
        <w:ind w:left="102" w:right="117"/>
        <w:jc w:val="both"/>
      </w:pPr>
      <w:r>
        <w:rPr/>
        <w:t>gracias a la normalización de los distintos estándares conductuales  que determinan las actitudes aceptables y las rechazadas por quienes las ejecutan o en quienes recaen sus efectos, es por eso, que cada actividad, estrategia, norma, etc. debe diseñarse con un enfoque de género que garantice una aplicación justa  y de fomento a la equidad y/o igualdad (según sea el caso) entre hombres y mujeres.</w:t>
      </w:r>
    </w:p>
    <w:p>
      <w:pPr>
        <w:pStyle w:val="Heading1"/>
        <w:spacing w:line="360" w:lineRule="auto" w:before="204"/>
        <w:ind w:left="3947" w:right="601" w:hanging="3351"/>
      </w:pPr>
      <w:r>
        <w:rPr/>
        <w:t>Los medios de comunicación masiva como reforzadores del sistema patriarcal.</w:t>
      </w:r>
    </w:p>
    <w:p>
      <w:pPr>
        <w:pStyle w:val="BodyText"/>
        <w:spacing w:line="360" w:lineRule="auto" w:before="202"/>
        <w:ind w:left="102" w:right="116" w:firstLine="707"/>
        <w:jc w:val="both"/>
      </w:pPr>
      <w:r>
        <w:rPr/>
        <w:t>Como se ha mencionado con anterioridad, la violencia y la inequidad de género, son dos conflictos socioculturales que atentan contra el pleno desenvolvimiento moral, físico, psicológico e intelectual de las mujeres de nuestro país (y del mundo), pero dichas problemáticas no funcionarían de una manera tan efectiva sin el empleo de un mecanismo más que sirviera de apoyo en el fortalecimiento y reproducción de todos aquellos patrones de patriarcado y machismo, esto es, mediante la participación de los medios de comunicación masiva, que a través del uso de instrumentos verbales, gráficos y sonoros en sus contenidos publicitarios y de entretenimiento, han logrado posicionar y mantener la imagen frágil e inútil de las mujeres en un nivel muy por debajo del que tienen los hombres dentro del sistema jerárquico sexual.</w:t>
      </w:r>
    </w:p>
    <w:p>
      <w:pPr>
        <w:spacing w:before="204"/>
        <w:ind w:left="668" w:right="685" w:firstLine="0"/>
        <w:jc w:val="both"/>
        <w:rPr>
          <w:sz w:val="22"/>
        </w:rPr>
      </w:pPr>
      <w:r>
        <w:rPr>
          <w:sz w:val="22"/>
        </w:rPr>
        <w:t>El papel de los medios de comunicación es crucial en la violencia de género contra las mujeres. Tanto en la visibilización, denuncia, investigación e información sobre la violencia, como en la desinformación, la creación de prejuicios, el fomento de valores, juicios e interpretaciones machistas y misóginas. […] educan en la aceptación de la violencia de género contra las mujeres e incluso en las formas de realizarla, al difundir de manera creciente actos de todos los tipos y modalidades de violencia incluyendo violencia feminicida, con una mirada complaciente y normalizadora y al tratar de manera amarillista los atentados contra a las mujeres (Lagarde, 2007: 57-58).</w:t>
      </w:r>
    </w:p>
    <w:p>
      <w:pPr>
        <w:pStyle w:val="BodyText"/>
        <w:spacing w:before="5"/>
        <w:rPr>
          <w:sz w:val="17"/>
        </w:rPr>
      </w:pPr>
    </w:p>
    <w:p>
      <w:pPr>
        <w:pStyle w:val="BodyText"/>
        <w:spacing w:line="360" w:lineRule="auto"/>
        <w:ind w:left="102" w:right="117"/>
        <w:jc w:val="both"/>
      </w:pPr>
      <w:r>
        <w:rPr/>
        <w:t>Los contenidos publicitarios ponen en evidencia una violencia simbólica </w:t>
      </w:r>
      <w:r>
        <w:rPr>
          <w:spacing w:val="-2"/>
        </w:rPr>
        <w:t>que </w:t>
      </w:r>
      <w:r>
        <w:rPr/>
        <w:t>sojuzga profundamente a las mujeres mediante una serie de incontables atribuciones referentes a características esencialmente “femeninas” tales como la belleza, la maternidad “inherente”, el trabajo doméstico, el forzado erotismo de </w:t>
      </w:r>
      <w:r>
        <w:rPr>
          <w:spacing w:val="57"/>
        </w:rPr>
        <w:t> </w:t>
      </w:r>
      <w:r>
        <w:rPr/>
        <w:t>su</w:t>
      </w:r>
    </w:p>
    <w:p>
      <w:pPr>
        <w:spacing w:after="0" w:line="360" w:lineRule="auto"/>
        <w:jc w:val="both"/>
        <w:sectPr>
          <w:footerReference w:type="default" r:id="rId8"/>
          <w:pgSz w:w="12240" w:h="15840"/>
          <w:pgMar w:footer="1032" w:header="0" w:top="1360" w:bottom="1220" w:left="1600" w:right="1580"/>
        </w:sectPr>
      </w:pPr>
    </w:p>
    <w:p>
      <w:pPr>
        <w:pStyle w:val="BodyText"/>
        <w:spacing w:line="360" w:lineRule="auto" w:before="57"/>
        <w:ind w:left="102" w:right="123"/>
        <w:jc w:val="both"/>
      </w:pPr>
      <w:r>
        <w:rPr/>
        <w:t>cuerpo, etc., rechazando rotundamente toda alusión a un desarrollo laboral, éxito y empoderamiento de éstas.</w:t>
      </w:r>
    </w:p>
    <w:p>
      <w:pPr>
        <w:spacing w:before="202"/>
        <w:ind w:left="102" w:right="0" w:firstLine="0"/>
        <w:jc w:val="both"/>
        <w:rPr>
          <w:sz w:val="24"/>
        </w:rPr>
      </w:pPr>
      <w:r>
        <w:rPr>
          <w:sz w:val="24"/>
        </w:rPr>
        <w:t>En lo referente a la </w:t>
      </w:r>
      <w:r>
        <w:rPr>
          <w:i/>
          <w:sz w:val="24"/>
        </w:rPr>
        <w:t>violencia simbólica</w:t>
      </w:r>
      <w:r>
        <w:rPr>
          <w:sz w:val="24"/>
        </w:rPr>
        <w:t>, Pierre Bourdieu explica lo siguiente:</w:t>
      </w:r>
    </w:p>
    <w:p>
      <w:pPr>
        <w:pStyle w:val="BodyText"/>
        <w:spacing w:before="6"/>
        <w:rPr>
          <w:sz w:val="29"/>
        </w:rPr>
      </w:pPr>
    </w:p>
    <w:p>
      <w:pPr>
        <w:spacing w:before="1"/>
        <w:ind w:left="668" w:right="687" w:firstLine="0"/>
        <w:jc w:val="both"/>
        <w:rPr>
          <w:sz w:val="22"/>
        </w:rPr>
      </w:pPr>
      <w:r>
        <w:rPr>
          <w:sz w:val="22"/>
        </w:rPr>
        <w:t>[…] la representación androcéntrica de la reproducción biológica y de la reproducción social se ve investida por la objetividad de un sentido común, entendido como consenso práctico y dóxico, sobre el sentimiento de las prácticas. Y las mismas mujeres aplican a cualquier realidad y, en especial, a las relaciones de poder en las que están atrapadas, unos esquemas mentales que son el producto de la asimilación de estas relaciones de poder y que se explican en las oposiciones fundadoras del orden simbólico. (2000: 49)</w:t>
      </w:r>
    </w:p>
    <w:p>
      <w:pPr>
        <w:pStyle w:val="BodyText"/>
        <w:spacing w:before="6"/>
        <w:rPr>
          <w:sz w:val="17"/>
        </w:rPr>
      </w:pPr>
    </w:p>
    <w:p>
      <w:pPr>
        <w:pStyle w:val="BodyText"/>
        <w:spacing w:line="360" w:lineRule="auto"/>
        <w:ind w:left="102" w:right="116"/>
        <w:jc w:val="both"/>
      </w:pPr>
      <w:r>
        <w:rPr/>
        <w:t>Es decir, en lo que respecta al género como sistema de dominación de los hombres sobre las mujeres, la violencia simbólica actúa como un esquema teórico-práctico de producción y reproducción de valores, normas y actitudes que ambos sexos ejecutan con plena conciencia y reconocimiento bajo un discurso cultural que determina el orden jerárquico que establece consensualmente la existencia de unos como dominantes y otras como dominadas.</w:t>
      </w:r>
    </w:p>
    <w:p>
      <w:pPr>
        <w:pStyle w:val="BodyText"/>
        <w:spacing w:line="360" w:lineRule="auto" w:before="202"/>
        <w:ind w:left="102" w:right="121"/>
        <w:jc w:val="both"/>
      </w:pPr>
      <w:r>
        <w:rPr/>
        <w:t>Si de algo se vale la violencia simbólica de la que hacen uso los medios de comunicación masiva, es del estereotipo de género, que impone estándares conductuales respectivos de cada individuo dependiendo de sus características sexuales.</w:t>
      </w:r>
    </w:p>
    <w:p>
      <w:pPr>
        <w:pStyle w:val="BodyText"/>
        <w:spacing w:line="360" w:lineRule="auto" w:before="202"/>
        <w:ind w:left="102" w:right="115"/>
        <w:jc w:val="both"/>
      </w:pPr>
      <w:r>
        <w:rPr>
          <w:color w:val="1D1B11"/>
        </w:rPr>
        <w:t>Juan Manuel Piña (2007) señala que el </w:t>
      </w:r>
      <w:r>
        <w:rPr>
          <w:i/>
          <w:color w:val="1D1B11"/>
        </w:rPr>
        <w:t>estereotipo de género </w:t>
      </w:r>
      <w:r>
        <w:rPr>
          <w:color w:val="1D1B11"/>
        </w:rPr>
        <w:t>es un acuerdo socialmente concretado que atañe a todas aquellas actividades y roles diferencialmente asignados a mujeres y a hombres.</w:t>
      </w:r>
    </w:p>
    <w:p>
      <w:pPr>
        <w:pStyle w:val="BodyText"/>
        <w:spacing w:before="202"/>
        <w:ind w:left="102"/>
        <w:jc w:val="both"/>
      </w:pPr>
      <w:r>
        <w:rPr>
          <w:color w:val="1D1B11"/>
        </w:rPr>
        <w:t>Por su parte, el INMUJERES establece que</w:t>
      </w:r>
    </w:p>
    <w:p>
      <w:pPr>
        <w:spacing w:before="139"/>
        <w:ind w:left="668" w:right="685" w:firstLine="0"/>
        <w:jc w:val="both"/>
        <w:rPr>
          <w:sz w:val="24"/>
        </w:rPr>
      </w:pPr>
      <w:r>
        <w:rPr>
          <w:sz w:val="22"/>
        </w:rPr>
        <w:t>Los estereotipos de género predominantes establecen que las mujeres deben ser dulces, calladas, ordenadas y maternales, y los hombres, atrevidos, desordenados, fuertes y toscos, entre otras cualidades que se alinean según  la división de la esfera pública y privada </w:t>
      </w:r>
      <w:r>
        <w:rPr>
          <w:color w:val="1D1B11"/>
          <w:sz w:val="24"/>
        </w:rPr>
        <w:t>[…] (2008:</w:t>
      </w:r>
      <w:r>
        <w:rPr>
          <w:color w:val="1D1B11"/>
          <w:spacing w:val="-9"/>
          <w:sz w:val="24"/>
        </w:rPr>
        <w:t> </w:t>
      </w:r>
      <w:r>
        <w:rPr>
          <w:color w:val="1D1B11"/>
          <w:sz w:val="24"/>
        </w:rPr>
        <w:t>22).</w:t>
      </w:r>
    </w:p>
    <w:p>
      <w:pPr>
        <w:pStyle w:val="BodyText"/>
      </w:pPr>
    </w:p>
    <w:p>
      <w:pPr>
        <w:pStyle w:val="BodyText"/>
        <w:spacing w:before="4"/>
        <w:rPr>
          <w:sz w:val="29"/>
        </w:rPr>
      </w:pPr>
    </w:p>
    <w:p>
      <w:pPr>
        <w:pStyle w:val="BodyText"/>
        <w:spacing w:line="360" w:lineRule="auto" w:before="1"/>
        <w:ind w:left="102" w:right="125"/>
        <w:jc w:val="both"/>
      </w:pPr>
      <w:r>
        <w:rPr>
          <w:color w:val="1D1B11"/>
        </w:rPr>
        <w:t>En este sentido, cabe destacar el uso desmedido que se hace del estereotipo de género en función de la publicidad, pues al tener como único objetivo la retribución y el posicionamiento en el mercado, dejan de lado las repercusiones que ponen en</w:t>
      </w:r>
    </w:p>
    <w:p>
      <w:pPr>
        <w:spacing w:after="0" w:line="360" w:lineRule="auto"/>
        <w:jc w:val="both"/>
        <w:sectPr>
          <w:footerReference w:type="default" r:id="rId9"/>
          <w:pgSz w:w="12240" w:h="15840"/>
          <w:pgMar w:footer="1032" w:header="0" w:top="1360" w:bottom="1220" w:left="1600" w:right="1580"/>
          <w:pgNumType w:start="11"/>
        </w:sectPr>
      </w:pPr>
    </w:p>
    <w:p>
      <w:pPr>
        <w:pStyle w:val="BodyText"/>
        <w:spacing w:line="360" w:lineRule="auto" w:before="57"/>
        <w:ind w:left="102" w:right="125"/>
        <w:jc w:val="both"/>
      </w:pPr>
      <w:r>
        <w:rPr>
          <w:color w:val="1D1B11"/>
        </w:rPr>
        <w:t>peligro la imagen de las mujeres como seres humanos, manteniéndolas en una posición de subordinación y con la responsabilidad de materializarse en los otros.</w:t>
      </w:r>
    </w:p>
    <w:p>
      <w:pPr>
        <w:pStyle w:val="BodyText"/>
      </w:pPr>
    </w:p>
    <w:p>
      <w:pPr>
        <w:pStyle w:val="BodyText"/>
        <w:spacing w:line="360" w:lineRule="auto" w:before="142"/>
        <w:ind w:left="102" w:right="116"/>
        <w:jc w:val="both"/>
      </w:pPr>
      <w:r>
        <w:rPr>
          <w:color w:val="1D1B11"/>
        </w:rPr>
        <w:t>Ahora bien, considerando que el cuerpo femenino es una de las herramientas más utilizadas por las campañas publicitarias (en sus formatos audiovisual o impreso) transmitidas por los diferentes medios de comunicación masiva, es menester observar la definición de Barthes al respecto del significado del cuerpo: “el cuerpo humano no es un objeto eterno, sino un cuerpo que ha sido verdaderamente sujetado y moldeado por la historia, las sociedades, los regímenes, las ideologías” (en Szasz y Lerner, 1998: 43). Por su parte, Berthelot, menciona que el cuerpo es “el lugar privilegiado de una vinculación no solamente entre lo biológico y lo social, sino también entre lo colectivo y lo individual, entre un guión estructural y la actuación personal” (en Szasz y Lerner, 1998: 42).</w:t>
      </w:r>
    </w:p>
    <w:p>
      <w:pPr>
        <w:pStyle w:val="BodyText"/>
      </w:pPr>
    </w:p>
    <w:p>
      <w:pPr>
        <w:pStyle w:val="BodyText"/>
        <w:spacing w:line="360" w:lineRule="auto" w:before="142"/>
        <w:ind w:left="102" w:right="122"/>
        <w:jc w:val="both"/>
      </w:pPr>
      <w:r>
        <w:rPr>
          <w:color w:val="1D1B11"/>
        </w:rPr>
        <w:t>Así pues, el cuerpo de la mujer se ha visto notablemente objetualizado, utilizado, adorado y desechado en función de los intereses de un sistema que no sólo es de patriarcado, sino también, de un capitalismo que poco interés pone en las repercusiones que el uso de herramientas como el estereotipo de género y el cuerpo femenino, pudiesen ocasionar en el imaginario social en contra de las mujeres.</w:t>
      </w:r>
    </w:p>
    <w:p>
      <w:pPr>
        <w:pStyle w:val="BodyText"/>
      </w:pPr>
    </w:p>
    <w:p>
      <w:pPr>
        <w:pStyle w:val="BodyText"/>
        <w:spacing w:line="360" w:lineRule="auto" w:before="142"/>
        <w:ind w:left="102" w:right="122"/>
        <w:jc w:val="both"/>
      </w:pPr>
      <w:r>
        <w:rPr>
          <w:color w:val="1D1B11"/>
        </w:rPr>
        <w:t>Carola García Calderón afirma que la publicidad de los medios de comunicación masiva juegan un papel fundamental en el proceso de generar cánones relativos  al cuerpo de la mujer, así como en su cosificación y</w:t>
      </w:r>
      <w:r>
        <w:rPr>
          <w:color w:val="1D1B11"/>
          <w:spacing w:val="-21"/>
        </w:rPr>
        <w:t> </w:t>
      </w:r>
      <w:r>
        <w:rPr>
          <w:color w:val="1D1B11"/>
        </w:rPr>
        <w:t>uniformidad,</w:t>
      </w:r>
    </w:p>
    <w:p>
      <w:pPr>
        <w:spacing w:before="204"/>
        <w:ind w:left="668" w:right="682" w:firstLine="0"/>
        <w:jc w:val="both"/>
        <w:rPr>
          <w:sz w:val="22"/>
        </w:rPr>
      </w:pPr>
      <w:r>
        <w:rPr>
          <w:color w:val="1D1B11"/>
          <w:sz w:val="22"/>
        </w:rPr>
        <w:t>Gran parte de los parámetros del cuerpo femenino han sido construidos y ampliamente difundidos desde los medios de comunicación. Desde el mundo del espectáculo –a través de sus modelos, de sus concursos de belleza y de sus artistas- se van fijando las pautas ideales del cuerpo femenino: el peso, la altura, el tamaño y proporción de cada una de sus partes, así como los rasgos ideales de la cara y del pelo. […] Se busca la uniformidad social de los cuerpos, de los accesorios que los cubren o que los descubren, así como de las diversas formas de vida que contienen (1998: 369).</w:t>
      </w:r>
    </w:p>
    <w:p>
      <w:pPr>
        <w:spacing w:after="0"/>
        <w:jc w:val="both"/>
        <w:rPr>
          <w:sz w:val="22"/>
        </w:rPr>
        <w:sectPr>
          <w:pgSz w:w="12240" w:h="15840"/>
          <w:pgMar w:header="0" w:footer="1032" w:top="1360" w:bottom="1220" w:left="1600" w:right="1580"/>
        </w:sectPr>
      </w:pPr>
    </w:p>
    <w:p>
      <w:pPr>
        <w:pStyle w:val="BodyText"/>
        <w:spacing w:line="360" w:lineRule="auto" w:before="57"/>
        <w:ind w:left="102" w:right="118"/>
        <w:jc w:val="both"/>
      </w:pPr>
      <w:r>
        <w:rPr>
          <w:color w:val="1D1B11"/>
        </w:rPr>
        <w:t>La belleza, el cuerpo, la desnudez, y sobre todo la despersonalización de la mujer, son sólo algunas de las imágenes más utilizadas por la publicidad para atraer al público masculino al consumo de todo tipo de artículos y servicios (Sandra Emma Carmona Valdés, 2012), hecho que pone de manifiesto dos aspectos importantes de la discriminación que sufren las mujeres dentro de los contenidos publicitarios. El primero es la cosificación de la mujer como objeto erótico-sexual sin identidad propia, esperando ser reconocida por el otro (el hombre). El segundo, la escasa o nula consideración de sus capacidades intelectuales, lo que la colocan en una posición de segundo término, de complemento, de ornamento.</w:t>
      </w:r>
    </w:p>
    <w:p>
      <w:pPr>
        <w:pStyle w:val="BodyText"/>
        <w:spacing w:line="360" w:lineRule="auto" w:before="204"/>
        <w:ind w:left="102" w:right="116"/>
        <w:jc w:val="both"/>
      </w:pPr>
      <w:r>
        <w:rPr>
          <w:color w:val="1D1B11"/>
        </w:rPr>
        <w:t>Cabe observar una forma más en la cual el papel de las mujeres se ve, en gran medida, disminuido en comparación con el que juega el hombre en los distintos ámbitos sociales dentro de los contenidos publicitarios que emiten los medios de comunicación, éste es, el que la mujer desarrolla en la esfera privada, en el hogar, en lo doméstico.</w:t>
      </w:r>
    </w:p>
    <w:p>
      <w:pPr>
        <w:pStyle w:val="BodyText"/>
        <w:spacing w:line="360" w:lineRule="auto" w:before="204"/>
        <w:ind w:left="102" w:right="123"/>
        <w:jc w:val="both"/>
      </w:pPr>
      <w:r>
        <w:rPr>
          <w:color w:val="1D1B11"/>
        </w:rPr>
        <w:t>García alude sobre cierto tipo de anuncios publicitarios que colocan siempre a la mujer en una posición de dominio, de carente de vida, pero, sobre todo  de servicio, servicio a los otros, es decir, su materialización en beneficio de terceros.</w:t>
      </w:r>
    </w:p>
    <w:p>
      <w:pPr>
        <w:spacing w:before="204"/>
        <w:ind w:left="668" w:right="681" w:firstLine="0"/>
        <w:jc w:val="both"/>
        <w:rPr>
          <w:sz w:val="22"/>
        </w:rPr>
      </w:pPr>
      <w:r>
        <w:rPr>
          <w:sz w:val="22"/>
        </w:rPr>
        <w:t>Son muchas las mujeres que no llevan una vida propia; mujeres que por diversas razones dejan de ser lo que son y lo que quieren ser, que tienen que enterrar sus potencialidades para vivir en función de otro. De ese otro que puede llamarse madre, hijos y/o marido. […] Por lo general, las mujeres entretejen la recepción de mensajes con sus obligaciones  cotidianas: escuchan la radio mientras lavan, cocinan y trapean, leen novelas de amor en el camión o en la sala de espera, y las telenovelas llenan tardes enteras de sus</w:t>
      </w:r>
      <w:r>
        <w:rPr>
          <w:spacing w:val="28"/>
          <w:sz w:val="22"/>
        </w:rPr>
        <w:t> </w:t>
      </w:r>
      <w:r>
        <w:rPr>
          <w:sz w:val="22"/>
        </w:rPr>
        <w:t>vidas,</w:t>
      </w:r>
      <w:r>
        <w:rPr>
          <w:spacing w:val="29"/>
          <w:sz w:val="22"/>
        </w:rPr>
        <w:t> </w:t>
      </w:r>
      <w:r>
        <w:rPr>
          <w:sz w:val="22"/>
        </w:rPr>
        <w:t>mientras</w:t>
      </w:r>
      <w:r>
        <w:rPr>
          <w:spacing w:val="28"/>
          <w:sz w:val="22"/>
        </w:rPr>
        <w:t> </w:t>
      </w:r>
      <w:r>
        <w:rPr>
          <w:sz w:val="22"/>
        </w:rPr>
        <w:t>planchan</w:t>
      </w:r>
      <w:r>
        <w:rPr>
          <w:spacing w:val="28"/>
          <w:sz w:val="22"/>
        </w:rPr>
        <w:t> </w:t>
      </w:r>
      <w:r>
        <w:rPr>
          <w:sz w:val="22"/>
        </w:rPr>
        <w:t>o</w:t>
      </w:r>
      <w:r>
        <w:rPr>
          <w:spacing w:val="28"/>
          <w:sz w:val="22"/>
        </w:rPr>
        <w:t> </w:t>
      </w:r>
      <w:r>
        <w:rPr>
          <w:sz w:val="22"/>
        </w:rPr>
        <w:t>amamantan</w:t>
      </w:r>
      <w:r>
        <w:rPr>
          <w:spacing w:val="28"/>
          <w:sz w:val="22"/>
        </w:rPr>
        <w:t> </w:t>
      </w:r>
      <w:r>
        <w:rPr>
          <w:sz w:val="22"/>
        </w:rPr>
        <w:t>al</w:t>
      </w:r>
      <w:r>
        <w:rPr>
          <w:spacing w:val="27"/>
          <w:sz w:val="22"/>
        </w:rPr>
        <w:t> </w:t>
      </w:r>
      <w:r>
        <w:rPr>
          <w:sz w:val="22"/>
        </w:rPr>
        <w:t>niño.</w:t>
      </w:r>
      <w:r>
        <w:rPr>
          <w:spacing w:val="29"/>
          <w:sz w:val="22"/>
        </w:rPr>
        <w:t> </w:t>
      </w:r>
      <w:r>
        <w:rPr>
          <w:sz w:val="22"/>
        </w:rPr>
        <w:t>Habría</w:t>
      </w:r>
      <w:r>
        <w:rPr>
          <w:spacing w:val="28"/>
          <w:sz w:val="22"/>
        </w:rPr>
        <w:t> </w:t>
      </w:r>
      <w:r>
        <w:rPr>
          <w:sz w:val="22"/>
        </w:rPr>
        <w:t>que</w:t>
      </w:r>
      <w:r>
        <w:rPr>
          <w:spacing w:val="28"/>
          <w:sz w:val="22"/>
        </w:rPr>
        <w:t> </w:t>
      </w:r>
      <w:r>
        <w:rPr>
          <w:sz w:val="22"/>
        </w:rPr>
        <w:t>preguntarse</w:t>
      </w:r>
    </w:p>
    <w:p>
      <w:pPr>
        <w:spacing w:before="0"/>
        <w:ind w:left="668" w:right="682" w:firstLine="0"/>
        <w:jc w:val="both"/>
        <w:rPr>
          <w:sz w:val="22"/>
        </w:rPr>
      </w:pPr>
      <w:r>
        <w:rPr>
          <w:sz w:val="22"/>
        </w:rPr>
        <w:t>¿qué tanto esos productos comunicativos están llenando un gran vacío que existe en la vida de las mujeres?, fruto de la insatisfacción con su vida, y, por lo tanto, se transforman en receptoras de medios con una intencionalidad que rebasa los contenidos mismos del mensaje (1998:</w:t>
      </w:r>
      <w:r>
        <w:rPr>
          <w:spacing w:val="-15"/>
          <w:sz w:val="22"/>
        </w:rPr>
        <w:t> </w:t>
      </w:r>
      <w:r>
        <w:rPr>
          <w:sz w:val="22"/>
        </w:rPr>
        <w:t>372-375).</w:t>
      </w:r>
    </w:p>
    <w:p>
      <w:pPr>
        <w:pStyle w:val="BodyText"/>
        <w:spacing w:before="10"/>
        <w:rPr>
          <w:sz w:val="32"/>
        </w:rPr>
      </w:pPr>
    </w:p>
    <w:p>
      <w:pPr>
        <w:pStyle w:val="BodyText"/>
        <w:spacing w:line="360" w:lineRule="auto"/>
        <w:ind w:left="102" w:right="124"/>
        <w:jc w:val="both"/>
      </w:pPr>
      <w:r>
        <w:rPr/>
        <w:t>Los mensajes publicitarios de nuestros días expresan un profundo rechazo al uso de nuevas formas de mostrar a las mujeres y a los hombres; continúan utilizando estrategias que “van a lo seguro” presentando constantemente a ellas como dominadas y a ellos como dominantes (a ellas como objeto; a ellos como sujeto, a ellas</w:t>
      </w:r>
      <w:r>
        <w:rPr>
          <w:spacing w:val="51"/>
        </w:rPr>
        <w:t> </w:t>
      </w:r>
      <w:r>
        <w:rPr/>
        <w:t>como</w:t>
      </w:r>
      <w:r>
        <w:rPr>
          <w:spacing w:val="52"/>
        </w:rPr>
        <w:t> </w:t>
      </w:r>
      <w:r>
        <w:rPr/>
        <w:t>cuidadoras;</w:t>
      </w:r>
      <w:r>
        <w:rPr>
          <w:spacing w:val="51"/>
        </w:rPr>
        <w:t> </w:t>
      </w:r>
      <w:r>
        <w:rPr/>
        <w:t>a</w:t>
      </w:r>
      <w:r>
        <w:rPr>
          <w:spacing w:val="52"/>
        </w:rPr>
        <w:t> </w:t>
      </w:r>
      <w:r>
        <w:rPr/>
        <w:t>ellos</w:t>
      </w:r>
      <w:r>
        <w:rPr>
          <w:spacing w:val="51"/>
        </w:rPr>
        <w:t> </w:t>
      </w:r>
      <w:r>
        <w:rPr/>
        <w:t>como</w:t>
      </w:r>
      <w:r>
        <w:rPr>
          <w:spacing w:val="52"/>
        </w:rPr>
        <w:t> </w:t>
      </w:r>
      <w:r>
        <w:rPr/>
        <w:t>cuidados),</w:t>
      </w:r>
      <w:r>
        <w:rPr>
          <w:spacing w:val="51"/>
        </w:rPr>
        <w:t> </w:t>
      </w:r>
      <w:r>
        <w:rPr/>
        <w:t>pues,</w:t>
      </w:r>
      <w:r>
        <w:rPr>
          <w:spacing w:val="51"/>
        </w:rPr>
        <w:t> </w:t>
      </w:r>
      <w:r>
        <w:rPr/>
        <w:t>al</w:t>
      </w:r>
      <w:r>
        <w:rPr>
          <w:spacing w:val="50"/>
        </w:rPr>
        <w:t> </w:t>
      </w:r>
      <w:r>
        <w:rPr/>
        <w:t>ser</w:t>
      </w:r>
      <w:r>
        <w:rPr>
          <w:spacing w:val="50"/>
        </w:rPr>
        <w:t> </w:t>
      </w:r>
      <w:r>
        <w:rPr/>
        <w:t>el estereotipo</w:t>
      </w:r>
      <w:r>
        <w:rPr>
          <w:spacing w:val="52"/>
        </w:rPr>
        <w:t> </w:t>
      </w:r>
      <w:r>
        <w:rPr/>
        <w:t>de</w:t>
      </w:r>
    </w:p>
    <w:p>
      <w:pPr>
        <w:spacing w:after="0" w:line="360" w:lineRule="auto"/>
        <w:jc w:val="both"/>
        <w:sectPr>
          <w:pgSz w:w="12240" w:h="15840"/>
          <w:pgMar w:header="0" w:footer="1032" w:top="1360" w:bottom="1220" w:left="1600" w:right="1580"/>
        </w:sectPr>
      </w:pPr>
    </w:p>
    <w:p>
      <w:pPr>
        <w:pStyle w:val="BodyText"/>
        <w:spacing w:line="360" w:lineRule="auto" w:before="57"/>
        <w:ind w:left="102" w:right="117"/>
        <w:jc w:val="both"/>
      </w:pPr>
      <w:r>
        <w:rPr/>
        <w:t>género, un elemento por demás, indispensable y redituable para las empresas publicitarias y mercadológicas, éstas se resisten a emplear otro tipo de imágenes, imágenes que no generen repercusiones sociales y que pongan en peligro la integridad y el pleno desarrollo de las mujeres y los hombres del mundo, pues, por el contrario, reproducen y además refuerzan dicho estereotipo aventajando a la masculinidad dominante.</w:t>
      </w:r>
    </w:p>
    <w:p>
      <w:pPr>
        <w:pStyle w:val="BodyText"/>
        <w:spacing w:before="204"/>
        <w:ind w:left="102"/>
        <w:jc w:val="both"/>
      </w:pPr>
      <w:r>
        <w:rPr/>
        <w:t>García sugiere:</w:t>
      </w:r>
    </w:p>
    <w:p>
      <w:pPr>
        <w:pStyle w:val="BodyText"/>
        <w:spacing w:before="5"/>
        <w:rPr>
          <w:sz w:val="29"/>
        </w:rPr>
      </w:pPr>
    </w:p>
    <w:p>
      <w:pPr>
        <w:spacing w:before="0"/>
        <w:ind w:left="668" w:right="685" w:firstLine="0"/>
        <w:jc w:val="both"/>
        <w:rPr>
          <w:sz w:val="22"/>
        </w:rPr>
      </w:pPr>
      <w:r>
        <w:rPr>
          <w:sz w:val="22"/>
        </w:rPr>
        <w:t>Un buen número de papeles se ofrece como identificación a las mujeres, giran en torno al reforzamiento de la imagen tradicional: el ama de casa, la madre,  la esposa, las hijas. En función de esta imagen se reafirma la idea de que el lugar de las mujeres está en la casa, con la idea de seguridad, permanencia,  lo que no cambia (1998:</w:t>
      </w:r>
      <w:r>
        <w:rPr>
          <w:spacing w:val="-6"/>
          <w:sz w:val="22"/>
        </w:rPr>
        <w:t> </w:t>
      </w:r>
      <w:r>
        <w:rPr>
          <w:sz w:val="22"/>
        </w:rPr>
        <w:t>388).</w:t>
      </w:r>
    </w:p>
    <w:p>
      <w:pPr>
        <w:pStyle w:val="BodyText"/>
        <w:spacing w:before="3"/>
        <w:rPr>
          <w:sz w:val="17"/>
        </w:rPr>
      </w:pPr>
    </w:p>
    <w:p>
      <w:pPr>
        <w:pStyle w:val="BodyText"/>
        <w:spacing w:line="360" w:lineRule="auto"/>
        <w:ind w:left="102" w:right="119"/>
        <w:jc w:val="both"/>
      </w:pPr>
      <w:r>
        <w:rPr/>
        <w:t>Incluso, los medios de comunicación masiva, en todas sus variantes (televisión, radio, prensa escrita y redes sociales </w:t>
      </w:r>
      <w:r>
        <w:rPr>
          <w:i/>
        </w:rPr>
        <w:t>on line</w:t>
      </w:r>
      <w:r>
        <w:rPr/>
        <w:t>), ofrecen a las mujeres alternativas  de trabajo remunerado, bajo el discurso de “trabajar desde el hogar para no descuidar a la familia”, esto, por medio de las ventas por catálogo de artículos como zapatos, cosméticos, artículos para el hogar, entre otros relativos al cuidado de la imagen, del hogar o de la familia (García,</w:t>
      </w:r>
      <w:r>
        <w:rPr>
          <w:spacing w:val="-15"/>
        </w:rPr>
        <w:t> </w:t>
      </w:r>
      <w:r>
        <w:rPr/>
        <w:t>1998).</w:t>
      </w:r>
    </w:p>
    <w:p>
      <w:pPr>
        <w:pStyle w:val="BodyText"/>
        <w:spacing w:line="360" w:lineRule="auto" w:before="204"/>
        <w:ind w:left="102" w:right="115"/>
        <w:jc w:val="both"/>
      </w:pPr>
      <w:r>
        <w:rPr/>
        <w:t>Entonces, resulta de vital importancia impulsar un reconocimiento en lo relativo al modo en que los medios de comunicación emplean la imagen de la mujer como servidumbre, soporte sentimental y objeto erótico-sexual, así como una concientización constante y permanente acerca de las capacidades primordialmente intelectuales con las que cuentan las mujeres en el mismo nivel que los hombres, erradicando, al tiempo, todas aquellas diferencias que ponen en desventaja a unas con respecto de otros.</w:t>
      </w:r>
    </w:p>
    <w:p>
      <w:pPr>
        <w:pStyle w:val="BodyText"/>
        <w:spacing w:line="360" w:lineRule="auto" w:before="205"/>
        <w:ind w:left="102" w:right="126"/>
        <w:jc w:val="both"/>
      </w:pPr>
      <w:r>
        <w:rPr/>
        <w:t>Pero, ¿cómo conocer los mecanismos sociales con los cuales es posible dar pie a un cambio dentro del Sistema de Género?</w:t>
      </w:r>
    </w:p>
    <w:p>
      <w:pPr>
        <w:pStyle w:val="BodyText"/>
        <w:spacing w:line="360" w:lineRule="auto" w:before="204"/>
        <w:ind w:left="102" w:right="116"/>
        <w:jc w:val="both"/>
      </w:pPr>
      <w:r>
        <w:rPr/>
        <w:t>Como fue planteado en párrafos anteriores, la Perspectiva de Género permite dar cuenta de las múltiples maneras en que las mujeres son socialmente segregadas, manipuladas,  discriminadas  y  sojuzgadas,  así  como  de  la  forma  en  que  ello</w:t>
      </w:r>
    </w:p>
    <w:p>
      <w:pPr>
        <w:spacing w:after="0" w:line="360" w:lineRule="auto"/>
        <w:jc w:val="both"/>
        <w:sectPr>
          <w:pgSz w:w="12240" w:h="15840"/>
          <w:pgMar w:header="0" w:footer="1032" w:top="1360" w:bottom="1220" w:left="1600" w:right="1580"/>
        </w:sectPr>
      </w:pPr>
    </w:p>
    <w:p>
      <w:pPr>
        <w:pStyle w:val="BodyText"/>
        <w:spacing w:line="360" w:lineRule="auto" w:before="57"/>
        <w:ind w:left="102" w:right="123"/>
        <w:jc w:val="both"/>
      </w:pPr>
      <w:r>
        <w:rPr/>
        <w:t>ocasiona una normalización que permea la cosmovisión social. No obstante, dicho criterio da pie al reconocimiento y la disposición de generar un cambio en el sistema con el fin de otorgar a las mujeres igualdad de derechos y oportunidades, al tiempo de ofrecer a los hombres otras maneras de autorregularse con mayor apertura en lo relativo a sus manifestaciones afectivas, emocionales, entre otros aspectos.</w:t>
      </w:r>
    </w:p>
    <w:p>
      <w:pPr>
        <w:pStyle w:val="BodyText"/>
        <w:spacing w:line="360" w:lineRule="auto" w:before="204"/>
        <w:ind w:left="102" w:right="613"/>
      </w:pPr>
      <w:r>
        <w:rPr/>
        <w:t>Así, encontramos que la Perspectiva de Género, según el INMUJERES (2008),  trabaja principalmente por:</w:t>
      </w:r>
    </w:p>
    <w:p>
      <w:pPr>
        <w:pStyle w:val="ListParagraph"/>
        <w:numPr>
          <w:ilvl w:val="0"/>
          <w:numId w:val="2"/>
        </w:numPr>
        <w:tabs>
          <w:tab w:pos="261" w:val="left" w:leader="none"/>
        </w:tabs>
        <w:spacing w:line="360" w:lineRule="auto" w:before="202" w:after="0"/>
        <w:ind w:left="102" w:right="115" w:firstLine="0"/>
        <w:jc w:val="both"/>
        <w:rPr>
          <w:sz w:val="24"/>
        </w:rPr>
      </w:pPr>
      <w:r>
        <w:rPr>
          <w:sz w:val="24"/>
        </w:rPr>
        <w:t>Desnaturalizar las diferencias sociales entre mujeres y hombres, basadas en los aspectos</w:t>
      </w:r>
      <w:r>
        <w:rPr>
          <w:spacing w:val="-7"/>
          <w:sz w:val="24"/>
        </w:rPr>
        <w:t> </w:t>
      </w:r>
      <w:r>
        <w:rPr>
          <w:sz w:val="24"/>
        </w:rPr>
        <w:t>biológicos.</w:t>
      </w:r>
    </w:p>
    <w:p>
      <w:pPr>
        <w:pStyle w:val="ListParagraph"/>
        <w:numPr>
          <w:ilvl w:val="0"/>
          <w:numId w:val="2"/>
        </w:numPr>
        <w:tabs>
          <w:tab w:pos="335" w:val="left" w:leader="none"/>
        </w:tabs>
        <w:spacing w:line="360" w:lineRule="auto" w:before="204" w:after="0"/>
        <w:ind w:left="102" w:right="119" w:firstLine="0"/>
        <w:jc w:val="both"/>
        <w:rPr>
          <w:sz w:val="24"/>
        </w:rPr>
      </w:pPr>
      <w:r>
        <w:rPr>
          <w:sz w:val="24"/>
        </w:rPr>
        <w:t>Comprender la manera en que las diferencias biológicas entre mujeres y hombres se transforman en desigualdades sociales que dan pie al nulo o escaso acceso de las primeras a los recursos económicos, políticos y culturales de su entorno.</w:t>
      </w:r>
    </w:p>
    <w:p>
      <w:pPr>
        <w:pStyle w:val="ListParagraph"/>
        <w:numPr>
          <w:ilvl w:val="0"/>
          <w:numId w:val="2"/>
        </w:numPr>
        <w:tabs>
          <w:tab w:pos="278" w:val="left" w:leader="none"/>
        </w:tabs>
        <w:spacing w:line="360" w:lineRule="auto" w:before="204" w:after="0"/>
        <w:ind w:left="102" w:right="119" w:firstLine="0"/>
        <w:jc w:val="both"/>
        <w:rPr>
          <w:sz w:val="24"/>
        </w:rPr>
      </w:pPr>
      <w:r>
        <w:rPr>
          <w:sz w:val="24"/>
        </w:rPr>
        <w:t>Identificar alternativas y medios para fomentar la igualdad jurídica y la equidad entre mujeres y</w:t>
      </w:r>
      <w:r>
        <w:rPr>
          <w:spacing w:val="-11"/>
          <w:sz w:val="24"/>
        </w:rPr>
        <w:t> </w:t>
      </w:r>
      <w:r>
        <w:rPr>
          <w:sz w:val="24"/>
        </w:rPr>
        <w:t>hombres.</w:t>
      </w:r>
    </w:p>
    <w:p>
      <w:pPr>
        <w:pStyle w:val="ListParagraph"/>
        <w:numPr>
          <w:ilvl w:val="0"/>
          <w:numId w:val="2"/>
        </w:numPr>
        <w:tabs>
          <w:tab w:pos="283" w:val="left" w:leader="none"/>
        </w:tabs>
        <w:spacing w:line="360" w:lineRule="auto" w:before="204" w:after="0"/>
        <w:ind w:left="102" w:right="118" w:firstLine="0"/>
        <w:jc w:val="both"/>
        <w:rPr>
          <w:sz w:val="24"/>
        </w:rPr>
      </w:pPr>
      <w:r>
        <w:rPr>
          <w:sz w:val="24"/>
        </w:rPr>
        <w:t>Visibilizar la participación de los hombres como género, con sus aportaciones, intereses y necesidades, con el fin de contribuir a una postura más integral e impulse a cambios inmediatos en lo relativo a las relaciones de</w:t>
      </w:r>
      <w:r>
        <w:rPr>
          <w:spacing w:val="-20"/>
          <w:sz w:val="24"/>
        </w:rPr>
        <w:t> </w:t>
      </w:r>
      <w:r>
        <w:rPr>
          <w:sz w:val="24"/>
        </w:rPr>
        <w:t>género.</w:t>
      </w:r>
    </w:p>
    <w:p>
      <w:pPr>
        <w:pStyle w:val="BodyText"/>
        <w:spacing w:line="360" w:lineRule="auto" w:before="204"/>
        <w:ind w:left="102" w:right="117"/>
        <w:jc w:val="both"/>
      </w:pPr>
      <w:r>
        <w:rPr/>
        <w:t>Ahora bien, el objetivo de la Perspectiva de Género en su aplicación a los contenidos emitidos por medios de comunicación masiva, radica en la resignificación de las mujeres como seres humanos, como individuos que, por su simple existencia, merecen un trato tan ventajoso como el que reciben los varones en los diferentes ámbitos sociales; pero también, con obligaciones dentro y fuera del hogar y pleno derecho a una equitativa distribución de las actividades  familiares y domésticas entre unos y</w:t>
      </w:r>
      <w:r>
        <w:rPr>
          <w:spacing w:val="-11"/>
        </w:rPr>
        <w:t> </w:t>
      </w:r>
      <w:r>
        <w:rPr/>
        <w:t>otras.</w:t>
      </w:r>
    </w:p>
    <w:p>
      <w:pPr>
        <w:spacing w:before="204"/>
        <w:ind w:left="668" w:right="685" w:firstLine="0"/>
        <w:jc w:val="both"/>
        <w:rPr>
          <w:sz w:val="22"/>
        </w:rPr>
      </w:pPr>
      <w:r>
        <w:rPr>
          <w:sz w:val="22"/>
        </w:rPr>
        <w:t>Los medios pueden influir en cambios sociales y culturales fundamentales si se orientan desde una perspectiva de género, de difusión e impulso de los derechos</w:t>
      </w:r>
      <w:r>
        <w:rPr>
          <w:spacing w:val="33"/>
          <w:sz w:val="22"/>
        </w:rPr>
        <w:t> </w:t>
      </w:r>
      <w:r>
        <w:rPr>
          <w:sz w:val="22"/>
        </w:rPr>
        <w:t>humanos</w:t>
      </w:r>
      <w:r>
        <w:rPr>
          <w:spacing w:val="33"/>
          <w:sz w:val="22"/>
        </w:rPr>
        <w:t> </w:t>
      </w:r>
      <w:r>
        <w:rPr>
          <w:sz w:val="22"/>
        </w:rPr>
        <w:t>de</w:t>
      </w:r>
      <w:r>
        <w:rPr>
          <w:spacing w:val="32"/>
          <w:sz w:val="22"/>
        </w:rPr>
        <w:t> </w:t>
      </w:r>
      <w:r>
        <w:rPr>
          <w:sz w:val="22"/>
        </w:rPr>
        <w:t>las</w:t>
      </w:r>
      <w:r>
        <w:rPr>
          <w:spacing w:val="33"/>
          <w:sz w:val="22"/>
        </w:rPr>
        <w:t> </w:t>
      </w:r>
      <w:r>
        <w:rPr>
          <w:sz w:val="22"/>
        </w:rPr>
        <w:t>mujeres</w:t>
      </w:r>
      <w:r>
        <w:rPr>
          <w:spacing w:val="33"/>
          <w:sz w:val="22"/>
        </w:rPr>
        <w:t> </w:t>
      </w:r>
      <w:r>
        <w:rPr>
          <w:sz w:val="22"/>
        </w:rPr>
        <w:t>y</w:t>
      </w:r>
      <w:r>
        <w:rPr>
          <w:spacing w:val="31"/>
          <w:sz w:val="22"/>
        </w:rPr>
        <w:t> </w:t>
      </w:r>
      <w:r>
        <w:rPr>
          <w:sz w:val="22"/>
        </w:rPr>
        <w:t>de</w:t>
      </w:r>
      <w:r>
        <w:rPr>
          <w:spacing w:val="30"/>
          <w:sz w:val="22"/>
        </w:rPr>
        <w:t> </w:t>
      </w:r>
      <w:r>
        <w:rPr>
          <w:sz w:val="22"/>
        </w:rPr>
        <w:t>formas</w:t>
      </w:r>
      <w:r>
        <w:rPr>
          <w:spacing w:val="30"/>
          <w:sz w:val="22"/>
        </w:rPr>
        <w:t> </w:t>
      </w:r>
      <w:r>
        <w:rPr>
          <w:sz w:val="22"/>
        </w:rPr>
        <w:t>no</w:t>
      </w:r>
      <w:r>
        <w:rPr>
          <w:spacing w:val="32"/>
          <w:sz w:val="22"/>
        </w:rPr>
        <w:t> </w:t>
      </w:r>
      <w:r>
        <w:rPr>
          <w:sz w:val="22"/>
        </w:rPr>
        <w:t>violentas</w:t>
      </w:r>
      <w:r>
        <w:rPr>
          <w:spacing w:val="33"/>
          <w:sz w:val="22"/>
        </w:rPr>
        <w:t> </w:t>
      </w:r>
      <w:r>
        <w:rPr>
          <w:sz w:val="22"/>
        </w:rPr>
        <w:t>de</w:t>
      </w:r>
      <w:r>
        <w:rPr>
          <w:spacing w:val="32"/>
          <w:sz w:val="22"/>
        </w:rPr>
        <w:t> </w:t>
      </w:r>
      <w:r>
        <w:rPr>
          <w:sz w:val="22"/>
        </w:rPr>
        <w:t>convivencia</w:t>
      </w:r>
    </w:p>
    <w:p>
      <w:pPr>
        <w:spacing w:after="0"/>
        <w:jc w:val="both"/>
        <w:rPr>
          <w:sz w:val="22"/>
        </w:rPr>
        <w:sectPr>
          <w:pgSz w:w="12240" w:h="15840"/>
          <w:pgMar w:header="0" w:footer="1032" w:top="1360" w:bottom="1220" w:left="1600" w:right="1580"/>
        </w:sectPr>
      </w:pPr>
    </w:p>
    <w:p>
      <w:pPr>
        <w:spacing w:before="56"/>
        <w:ind w:left="668" w:right="682" w:firstLine="0"/>
        <w:jc w:val="both"/>
        <w:rPr>
          <w:sz w:val="22"/>
        </w:rPr>
      </w:pPr>
      <w:r>
        <w:rPr>
          <w:sz w:val="22"/>
        </w:rPr>
        <w:t>entre mujeres y hombres. En particular, si sus recursos de comunicación, sus lenguajes y el tratamiento informativo o de investigación y difusión mediática desmontan el lenguaje agresivo, machista y misógino, no recrean la violencia  y proceden con respeto a la integridad de las personas (Lagarde, 2007: 58- 59).</w:t>
      </w:r>
    </w:p>
    <w:p>
      <w:pPr>
        <w:pStyle w:val="BodyText"/>
        <w:rPr>
          <w:sz w:val="22"/>
        </w:rPr>
      </w:pPr>
    </w:p>
    <w:p>
      <w:pPr>
        <w:pStyle w:val="BodyText"/>
        <w:spacing w:line="360" w:lineRule="auto" w:before="161"/>
        <w:ind w:left="102" w:right="115"/>
        <w:jc w:val="both"/>
      </w:pPr>
      <w:r>
        <w:rPr/>
        <w:t>Asimismo, es posible observar que, según los planteamientos de la Perspectiva de Género, es fundamental desnaturalizar los roles tradicionales que colocan convencionalmente a las mujeres dentro de la esfera privada (de lo doméstico, el servicio a otros y la crianza de los hijos) y a los hombres en la pública (en el trabajo remunerado, en el conocimiento, en su contacto directo con el Estado), propuesta de la que los medios de comunicación en su condición de “informadores”, deberían hacer obligado y permanente uso dentro de sus contenidos, y no fortalecer una cultura genéricamente opresora, denigrante y retrógrada para lo que representa más del cincuenta por ciento de la población del mundo, las</w:t>
      </w:r>
      <w:r>
        <w:rPr>
          <w:spacing w:val="-8"/>
        </w:rPr>
        <w:t> </w:t>
      </w:r>
      <w:r>
        <w:rPr/>
        <w:t>mujeres.</w:t>
      </w:r>
    </w:p>
    <w:p>
      <w:pPr>
        <w:pStyle w:val="BodyText"/>
        <w:spacing w:line="360" w:lineRule="auto" w:before="204"/>
        <w:ind w:left="102" w:right="117"/>
        <w:jc w:val="both"/>
      </w:pPr>
      <w:r>
        <w:rPr/>
        <w:t>Finalmente, en lo relativo al uso de la Perspectiva de Género en los medios de comunicación masiva, Sandra Carmona, citando lo estipulado por el INMUJERES concluye lo siguiente:</w:t>
      </w:r>
    </w:p>
    <w:p>
      <w:pPr>
        <w:spacing w:before="201"/>
        <w:ind w:left="668" w:right="684" w:firstLine="0"/>
        <w:jc w:val="both"/>
        <w:rPr>
          <w:sz w:val="22"/>
        </w:rPr>
      </w:pPr>
      <w:r>
        <w:rPr>
          <w:sz w:val="22"/>
        </w:rPr>
        <w:t>A fin de que exista equidad de género en los medios de comunicación  masivos sería necesario intervenir para evitar la transmisión de imágenes estereotipadas e injustas, como las que asocian a mujeres y varones como usuarios exclusivos de ciertos electrodomésticos o servicios (por  ejemplo, ellas promocionan artículos de limpieza, electrodomésticos, cosméticos o comida, y ellos autos, bebidas e inversiones); los mensajes que expresan violencia (física, emocional o psicológica) y subordinación; los contenidos que transmiten una visión de incapacidad o dependencia de mujeres u hombres para realizar tareas no habituales, así como la publicidad que explota  el cuerpo o la sexualidad para vender productos (2012:</w:t>
      </w:r>
      <w:r>
        <w:rPr>
          <w:spacing w:val="-15"/>
          <w:sz w:val="22"/>
        </w:rPr>
        <w:t> </w:t>
      </w:r>
      <w:r>
        <w:rPr>
          <w:sz w:val="22"/>
        </w:rPr>
        <w:t>71-72).</w:t>
      </w:r>
    </w:p>
    <w:p>
      <w:pPr>
        <w:pStyle w:val="BodyText"/>
        <w:rPr>
          <w:sz w:val="22"/>
        </w:rPr>
      </w:pPr>
    </w:p>
    <w:p>
      <w:pPr>
        <w:pStyle w:val="BodyText"/>
        <w:spacing w:line="360" w:lineRule="auto" w:before="162"/>
        <w:ind w:left="102" w:right="122"/>
        <w:jc w:val="both"/>
      </w:pPr>
      <w:r>
        <w:rPr/>
        <w:t>Es decir, la desigualdad entre hombres y mujeres, que los medios  de comunicación han conseguido reproducir y reforzar continuamente mediante sus contenidos publicitarios, de información y entretenimiento, propician un clima de violencia, principalmente simbólica y psicológica, que afecta tanto a mujeres como a los mismos varones, pues a las primeras se les priva de desarrollar capacidades y comportamientos de  poder, de saber  y de  liderazgo;   y,  a  los  segundos,  </w:t>
      </w:r>
      <w:r>
        <w:rPr>
          <w:spacing w:val="63"/>
        </w:rPr>
        <w:t> </w:t>
      </w:r>
      <w:r>
        <w:rPr/>
        <w:t>de</w:t>
      </w:r>
    </w:p>
    <w:p>
      <w:pPr>
        <w:spacing w:after="0" w:line="360" w:lineRule="auto"/>
        <w:jc w:val="both"/>
        <w:sectPr>
          <w:pgSz w:w="12240" w:h="15840"/>
          <w:pgMar w:header="0" w:footer="1032" w:top="1360" w:bottom="1220" w:left="1600" w:right="1580"/>
        </w:sectPr>
      </w:pPr>
    </w:p>
    <w:p>
      <w:pPr>
        <w:pStyle w:val="BodyText"/>
        <w:spacing w:line="360" w:lineRule="auto" w:before="57"/>
        <w:ind w:left="102" w:right="114"/>
        <w:jc w:val="both"/>
      </w:pPr>
      <w:r>
        <w:rPr/>
        <w:t>mostrar cualquier tipo de actividad, actitud o emoción que pudiese “feminizarles”, es decir, que pudiera ponerlo en una condición de dominio, discriminación y hasta burla.</w:t>
      </w:r>
    </w:p>
    <w:p>
      <w:pPr>
        <w:pStyle w:val="BodyText"/>
      </w:pPr>
    </w:p>
    <w:p>
      <w:pPr>
        <w:pStyle w:val="BodyText"/>
        <w:spacing w:line="360" w:lineRule="auto" w:before="142"/>
        <w:ind w:left="102" w:right="116"/>
        <w:jc w:val="both"/>
      </w:pPr>
      <w:r>
        <w:rPr/>
        <w:t>A manera de conclusión del presente apartado, se tiene que el estereotipo de género reproducido tanto sociocultural, como mediáticamente, resulta ser el mecanismo reforzador más constante dentro del sistema de género que sitúa a las mujeres en circunstancias desventajosas con respecto a la posición y el rol que juegan los hombres, pues al considerarse éste un patrón fundamental del origen de la identidad, el comportamiento, las creencias y las predilecciones, pone de manifiesto ciertos estándares que controlan y subyugan la verdadera esencia del ser humano, ya sea éste hombre o</w:t>
      </w:r>
      <w:r>
        <w:rPr>
          <w:spacing w:val="-12"/>
        </w:rPr>
        <w:t> </w:t>
      </w:r>
      <w:r>
        <w:rPr/>
        <w:t>mujer.</w:t>
      </w:r>
    </w:p>
    <w:p>
      <w:pPr>
        <w:pStyle w:val="BodyText"/>
      </w:pPr>
    </w:p>
    <w:p>
      <w:pPr>
        <w:pStyle w:val="BodyText"/>
        <w:spacing w:line="360" w:lineRule="auto" w:before="142"/>
        <w:ind w:left="102" w:right="116"/>
        <w:jc w:val="both"/>
      </w:pPr>
      <w:r>
        <w:rPr/>
        <w:t>Por otro lado, las múltiples variantes de violencia (física, psicológica, sexual, económica y obstétrica) que se ejerce dentro de dicho sistema, y que es, a simple vista observable, se presenta como un denominador común dentro de las relaciones entre hombres y mujeres, siendo éstas, las principales afectadas, al tener que enfrentarse a una desigualdad de reconocimiento de su existencia, sus capacidades, sus aportaciones y sus logros, anteponiendo de manera constante, la presencia de los varones en todos los aspectos relativos al poder y al liderazgo centralizado.</w:t>
      </w:r>
    </w:p>
    <w:p>
      <w:pPr>
        <w:pStyle w:val="BodyText"/>
      </w:pPr>
    </w:p>
    <w:p>
      <w:pPr>
        <w:pStyle w:val="BodyText"/>
        <w:spacing w:line="360" w:lineRule="auto" w:before="142"/>
        <w:ind w:left="102" w:right="125"/>
        <w:jc w:val="both"/>
      </w:pPr>
      <w:r>
        <w:rPr/>
        <w:t>En el mismo respecto, cabe destacar que, la violencia simbólica que se manifiesta en los tipos de violencia antes citados, permea los convencionalismos que normalizan la desigualdad, la inequidad y el maltrato que día a día sufren las mujeres y que se ve reflejado por la publicidad y el resto de los contenidos mediáticos que, a falta Perspectiva de Género, permanecen en una trinchera de intereses capitalistas, de posicionamiento económico y político.</w:t>
      </w:r>
    </w:p>
    <w:p>
      <w:pPr>
        <w:pStyle w:val="BodyText"/>
        <w:spacing w:line="360" w:lineRule="auto" w:before="204"/>
        <w:ind w:left="102" w:right="120"/>
        <w:jc w:val="both"/>
      </w:pPr>
      <w:r>
        <w:rPr/>
        <w:t>A razón de lo anterior, es que resulta indispensable generar una conciencia de Perspectiva de Género en cada uno de los ámbitos públicos y su fusión con la esfera privada, que de pie a una distribución del trabajo que no se encuentre</w:t>
      </w:r>
    </w:p>
    <w:p>
      <w:pPr>
        <w:spacing w:after="0" w:line="360" w:lineRule="auto"/>
        <w:jc w:val="both"/>
        <w:sectPr>
          <w:pgSz w:w="12240" w:h="15840"/>
          <w:pgMar w:header="0" w:footer="1032" w:top="1360" w:bottom="1220" w:left="1600" w:right="1580"/>
        </w:sectPr>
      </w:pPr>
    </w:p>
    <w:p>
      <w:pPr>
        <w:pStyle w:val="BodyText"/>
        <w:spacing w:line="360" w:lineRule="auto" w:before="57"/>
        <w:ind w:left="102" w:right="118"/>
        <w:jc w:val="both"/>
      </w:pPr>
      <w:r>
        <w:rPr/>
        <w:t>basada en la división sexual, con el fin de lograr una cada vez mayor inserción de los hombres en las actividades y familiares y domésticas, y de las mujeres en el trabajo público.</w:t>
      </w:r>
    </w:p>
    <w:p>
      <w:pPr>
        <w:pStyle w:val="BodyText"/>
        <w:spacing w:line="360" w:lineRule="auto" w:before="204"/>
        <w:ind w:left="102" w:right="118"/>
        <w:jc w:val="both"/>
      </w:pPr>
      <w:r>
        <w:rPr/>
        <w:t>La Perspectiva de Género debe verse presente en el quehacer cotidiano de cada individuo y grupo que pretenda lograr una igualdad de reconocimiento de la vida, los saberes y los logros de cada uno, es decir, una visión existencialista de las mujeres y de los hombres cuyas diferencias sólo sean contempladas en sus funciones sexuales y biológicas.</w:t>
      </w:r>
    </w:p>
    <w:p>
      <w:pPr>
        <w:spacing w:after="0" w:line="360" w:lineRule="auto"/>
        <w:jc w:val="both"/>
        <w:sectPr>
          <w:pgSz w:w="12240" w:h="15840"/>
          <w:pgMar w:header="0" w:footer="1032" w:top="1360" w:bottom="1220" w:left="1600" w:right="1580"/>
        </w:sectPr>
      </w:pPr>
    </w:p>
    <w:p>
      <w:pPr>
        <w:pStyle w:val="Heading1"/>
        <w:spacing w:before="57"/>
        <w:ind w:left="136" w:right="154"/>
        <w:jc w:val="center"/>
      </w:pPr>
      <w:r>
        <w:rPr/>
        <w:t>Diseño metodológico de la investigación.</w:t>
      </w:r>
    </w:p>
    <w:p>
      <w:pPr>
        <w:pStyle w:val="BodyText"/>
        <w:spacing w:before="4"/>
        <w:rPr>
          <w:b/>
          <w:sz w:val="29"/>
        </w:rPr>
      </w:pPr>
    </w:p>
    <w:p>
      <w:pPr>
        <w:pStyle w:val="BodyText"/>
        <w:spacing w:line="360" w:lineRule="auto" w:before="1"/>
        <w:ind w:left="102" w:right="116" w:firstLine="707"/>
        <w:jc w:val="both"/>
      </w:pPr>
      <w:r>
        <w:rPr/>
        <w:t>Previo al diseño y la aplicación de la campaña de reconocimiento y prevención de la violencia de género, se llevó a cabo la construcción del diagnóstico del problema a atender, es decir, el nulo conocimiento de la Perspectiva de Género en el estudiantado de la licenciatura en comunicación del Campus Universitario Siglo XXI.</w:t>
      </w:r>
    </w:p>
    <w:p>
      <w:pPr>
        <w:pStyle w:val="BodyText"/>
        <w:spacing w:line="360" w:lineRule="auto" w:before="202"/>
        <w:ind w:left="102" w:right="116"/>
        <w:jc w:val="both"/>
      </w:pPr>
      <w:r>
        <w:rPr/>
        <w:t>Con el fin de observar a profundidad el por qué de las conductas desarrolladas en las relaciones de poder que supone el género, este proyecto de desarrollo social optó por emplear para su diagnóstico un enfoque cuantitativo, con el cual fue posible obtener información extensiva y concreta que permitió observar de manera más amplia la visión de los jóvenes en lo relativo a la desigualdad que fomenta el género.</w:t>
      </w:r>
    </w:p>
    <w:p>
      <w:pPr>
        <w:pStyle w:val="BodyText"/>
        <w:spacing w:line="360" w:lineRule="auto" w:before="202"/>
        <w:ind w:left="102" w:right="115"/>
        <w:jc w:val="both"/>
      </w:pPr>
      <w:r>
        <w:rPr/>
        <w:t>En relación con dicho enfoque, Roberto Hernández Sampieri </w:t>
      </w:r>
      <w:r>
        <w:rPr>
          <w:i/>
        </w:rPr>
        <w:t>et al. </w:t>
      </w:r>
      <w:r>
        <w:rPr/>
        <w:t>(2006) identifican algunas características relevantes, tales como: su función para medir fenómenos, el uso de estadísticas, y su bondad de ser precisa y probatoria, así como su capacidad de analizar la realidad objetiva.</w:t>
      </w:r>
    </w:p>
    <w:p>
      <w:pPr>
        <w:pStyle w:val="BodyText"/>
        <w:spacing w:before="204"/>
        <w:ind w:left="102"/>
        <w:jc w:val="both"/>
      </w:pPr>
      <w:r>
        <w:rPr/>
        <w:t>Por otro lado, la investigación correspondiente al presente diagnóstico será de tipo</w:t>
      </w:r>
    </w:p>
    <w:p>
      <w:pPr>
        <w:spacing w:before="134"/>
        <w:ind w:left="102" w:right="0" w:firstLine="0"/>
        <w:jc w:val="both"/>
        <w:rPr>
          <w:sz w:val="24"/>
        </w:rPr>
      </w:pPr>
      <w:r>
        <w:rPr>
          <w:i/>
          <w:sz w:val="24"/>
        </w:rPr>
        <w:t>descriptivo</w:t>
      </w:r>
      <w:r>
        <w:rPr>
          <w:sz w:val="24"/>
        </w:rPr>
        <w:t>. Con respecto a ello, Hernández </w:t>
      </w:r>
      <w:r>
        <w:rPr>
          <w:i/>
          <w:sz w:val="24"/>
        </w:rPr>
        <w:t>et al., </w:t>
      </w:r>
      <w:r>
        <w:rPr>
          <w:sz w:val="24"/>
        </w:rPr>
        <w:t>indican lo siguiente:</w:t>
      </w:r>
    </w:p>
    <w:p>
      <w:pPr>
        <w:pStyle w:val="BodyText"/>
        <w:spacing w:before="6"/>
        <w:rPr>
          <w:sz w:val="29"/>
        </w:rPr>
      </w:pPr>
    </w:p>
    <w:p>
      <w:pPr>
        <w:spacing w:before="1"/>
        <w:ind w:left="668" w:right="681" w:firstLine="0"/>
        <w:jc w:val="both"/>
        <w:rPr>
          <w:sz w:val="22"/>
        </w:rPr>
      </w:pPr>
      <w:r>
        <w:rPr>
          <w:sz w:val="22"/>
        </w:rPr>
        <w:t>Los estudios descriptivos buscan especificar las propiedades, las características, y los perfiles de personas, grupos, comunidades, procesos, objetos o cualquier otro fenómeno que se someta a análisis. […] pretenden medir o recoger información de manera independiente o conjunta sobre los conceptos o las variables a las que se refieren, esto es, su objetivo no es indicar cómo se relacionan las variables medidas (2006: 102).</w:t>
      </w:r>
    </w:p>
    <w:p>
      <w:pPr>
        <w:pStyle w:val="BodyText"/>
        <w:spacing w:before="6"/>
        <w:rPr>
          <w:sz w:val="17"/>
        </w:rPr>
      </w:pPr>
    </w:p>
    <w:p>
      <w:pPr>
        <w:pStyle w:val="BodyText"/>
        <w:spacing w:line="360" w:lineRule="auto"/>
        <w:ind w:left="102" w:right="123"/>
        <w:jc w:val="both"/>
      </w:pPr>
      <w:r>
        <w:rPr/>
        <w:t>En otras palabras la investigación descriptiva se dedica a describir un tipo específico de personas, objetos o fenómenos en general que comparten elementos particulares y específicos, distinguiendo las características y los principales componentes que hacen de ellos, objetos atractivos de</w:t>
      </w:r>
      <w:r>
        <w:rPr>
          <w:spacing w:val="-22"/>
        </w:rPr>
        <w:t> </w:t>
      </w:r>
      <w:r>
        <w:rPr/>
        <w:t>estudio.</w:t>
      </w:r>
    </w:p>
    <w:p>
      <w:pPr>
        <w:pStyle w:val="BodyText"/>
        <w:spacing w:line="360" w:lineRule="auto" w:before="204"/>
        <w:ind w:left="102" w:right="124"/>
        <w:jc w:val="both"/>
      </w:pPr>
      <w:r>
        <w:rPr/>
        <w:t>En este sentido, la investigación que involucra el presente proyecto, pretende describir la manera en que los estudiantes de la licenciatura en comunicación   del</w:t>
      </w:r>
    </w:p>
    <w:p>
      <w:pPr>
        <w:spacing w:after="0" w:line="360" w:lineRule="auto"/>
        <w:jc w:val="both"/>
        <w:sectPr>
          <w:pgSz w:w="12240" w:h="15840"/>
          <w:pgMar w:header="0" w:footer="1032" w:top="1360" w:bottom="1220" w:left="1600" w:right="1580"/>
        </w:sectPr>
      </w:pPr>
    </w:p>
    <w:p>
      <w:pPr>
        <w:pStyle w:val="BodyText"/>
        <w:spacing w:line="360" w:lineRule="auto" w:before="57"/>
        <w:ind w:left="102" w:right="119"/>
        <w:jc w:val="both"/>
      </w:pPr>
      <w:r>
        <w:rPr/>
        <w:t>CUSXXI eligen reproducir de manera personal, formativa y tentativamente profesional, los patrones socioculturales y mediáticos que propician la violencia de género contra las mujeres, esto, al no conocer a fondo la propuesta crítica de la Perspectiva de Género como metodología de análisis de las problemáticas entre las mujeres y los hombres.</w:t>
      </w:r>
    </w:p>
    <w:p>
      <w:pPr>
        <w:pStyle w:val="BodyText"/>
        <w:spacing w:line="360" w:lineRule="auto" w:before="202"/>
        <w:ind w:left="102" w:right="116"/>
        <w:jc w:val="both"/>
      </w:pPr>
      <w:r>
        <w:rPr/>
        <w:t>Por otra parte, el instrumento metodológico aplicado fue el </w:t>
      </w:r>
      <w:r>
        <w:rPr>
          <w:i/>
        </w:rPr>
        <w:t>cuestionario</w:t>
      </w:r>
      <w:r>
        <w:rPr/>
        <w:t>, mismo que</w:t>
      </w:r>
    </w:p>
    <w:p>
      <w:pPr>
        <w:spacing w:before="204"/>
        <w:ind w:left="668" w:right="682" w:firstLine="0"/>
        <w:jc w:val="both"/>
        <w:rPr>
          <w:sz w:val="22"/>
        </w:rPr>
      </w:pPr>
      <w:r>
        <w:rPr>
          <w:sz w:val="22"/>
        </w:rPr>
        <w:t>consiste en un conjunto de preguntas respecto a una o más variables a medir. […] Básicamente se consideran dos tipos de preguntas: cerradas y abiertas. Las </w:t>
      </w:r>
      <w:r>
        <w:rPr>
          <w:i/>
          <w:sz w:val="22"/>
        </w:rPr>
        <w:t>preguntas cerradas </w:t>
      </w:r>
      <w:r>
        <w:rPr>
          <w:sz w:val="22"/>
        </w:rPr>
        <w:t>contienen alternativas o categorías de respuesta que han sido delimitadas. […] En cambio, las </w:t>
      </w:r>
      <w:r>
        <w:rPr>
          <w:i/>
          <w:sz w:val="22"/>
        </w:rPr>
        <w:t>preguntas abiertas </w:t>
      </w:r>
      <w:r>
        <w:rPr>
          <w:sz w:val="22"/>
        </w:rPr>
        <w:t>no delimitan de antemano las alternativas de respuesta, por lo cual el número de categorías  de respuesta es muy elevado; en teoría, es infinito […] (Hernández </w:t>
      </w:r>
      <w:r>
        <w:rPr>
          <w:i/>
          <w:sz w:val="22"/>
        </w:rPr>
        <w:t>et al.,  </w:t>
      </w:r>
      <w:r>
        <w:rPr>
          <w:sz w:val="22"/>
        </w:rPr>
        <w:t>2006:</w:t>
      </w:r>
      <w:r>
        <w:rPr>
          <w:spacing w:val="-2"/>
          <w:sz w:val="22"/>
        </w:rPr>
        <w:t> </w:t>
      </w:r>
      <w:r>
        <w:rPr>
          <w:sz w:val="22"/>
        </w:rPr>
        <w:t>391-395).</w:t>
      </w:r>
    </w:p>
    <w:p>
      <w:pPr>
        <w:pStyle w:val="BodyText"/>
        <w:spacing w:before="5"/>
        <w:rPr>
          <w:sz w:val="17"/>
        </w:rPr>
      </w:pPr>
    </w:p>
    <w:p>
      <w:pPr>
        <w:pStyle w:val="BodyText"/>
        <w:spacing w:line="360" w:lineRule="auto"/>
        <w:ind w:left="102" w:right="115"/>
        <w:jc w:val="both"/>
      </w:pPr>
      <w:r>
        <w:rPr/>
        <w:t>Para el caso específico de este proyecto, se utilizaron ambos tipos de preguntas, pues, las cerradas, sirvieron como un referente de las múltiples maneras en que los estudiantes perciben cada una de las manifestaciones de inequidad y de violencia de género. Por otro lado, las abiertas aportaron reflexiones individuales en lo relativo a lo que, para cada encuestado, significa la perspectiva de género y la manera en que podrían emplear dicho criterio, tanto en su formación actual como en su futuro desarrollo profesional. Cabe señalar que dicho instrumento abordó temas relativos a la inequidad y la violencia en razón de género.</w:t>
      </w:r>
    </w:p>
    <w:p>
      <w:pPr>
        <w:pStyle w:val="BodyText"/>
        <w:spacing w:line="360" w:lineRule="auto" w:before="204"/>
        <w:ind w:left="102" w:right="117"/>
        <w:jc w:val="both"/>
        <w:rPr>
          <w:sz w:val="22"/>
        </w:rPr>
      </w:pPr>
      <w:r>
        <w:rPr/>
        <w:t>Ahora bien, con motivo de la ausencia del resto del estudiantado los días respectivos a la aplicación del cuestionario, éste fue únicamente empleado con un 69.5% de la población de la licenciatura en Comunicación del CUSXXI (58 mujeres y 24 hombres), de un total de 116 estudiantes matriculados en el semestre 2014 </w:t>
      </w:r>
      <w:r>
        <w:rPr>
          <w:sz w:val="22"/>
        </w:rPr>
        <w:t>A.</w:t>
      </w:r>
    </w:p>
    <w:p>
      <w:pPr>
        <w:pStyle w:val="BodyText"/>
        <w:spacing w:line="360" w:lineRule="auto" w:before="204"/>
        <w:ind w:left="102" w:right="121"/>
        <w:jc w:val="both"/>
      </w:pPr>
      <w:r>
        <w:rPr/>
        <w:t>A continuación se describe el orden de los tópicos con base en los cuales, dicho cuestionario fue estructurado:</w:t>
      </w:r>
    </w:p>
    <w:p>
      <w:pPr>
        <w:pStyle w:val="ListParagraph"/>
        <w:numPr>
          <w:ilvl w:val="1"/>
          <w:numId w:val="2"/>
        </w:numPr>
        <w:tabs>
          <w:tab w:pos="822" w:val="left" w:leader="none"/>
        </w:tabs>
        <w:spacing w:line="240" w:lineRule="auto" w:before="204" w:after="0"/>
        <w:ind w:left="822" w:right="0" w:hanging="360"/>
        <w:jc w:val="left"/>
        <w:rPr>
          <w:sz w:val="24"/>
        </w:rPr>
      </w:pPr>
      <w:r>
        <w:rPr>
          <w:sz w:val="24"/>
        </w:rPr>
        <w:t>Género</w:t>
      </w:r>
      <w:r>
        <w:rPr>
          <w:spacing w:val="-5"/>
          <w:sz w:val="24"/>
        </w:rPr>
        <w:t> </w:t>
      </w:r>
      <w:r>
        <w:rPr>
          <w:sz w:val="24"/>
        </w:rPr>
        <w:t>(significado).</w:t>
      </w:r>
    </w:p>
    <w:p>
      <w:pPr>
        <w:pStyle w:val="ListParagraph"/>
        <w:numPr>
          <w:ilvl w:val="1"/>
          <w:numId w:val="2"/>
        </w:numPr>
        <w:tabs>
          <w:tab w:pos="822" w:val="left" w:leader="none"/>
        </w:tabs>
        <w:spacing w:line="240" w:lineRule="auto" w:before="137" w:after="0"/>
        <w:ind w:left="822" w:right="0" w:hanging="360"/>
        <w:jc w:val="left"/>
        <w:rPr>
          <w:sz w:val="24"/>
        </w:rPr>
      </w:pPr>
      <w:r>
        <w:rPr>
          <w:sz w:val="24"/>
        </w:rPr>
        <w:t>Manifestaciones de la violencia de</w:t>
      </w:r>
      <w:r>
        <w:rPr>
          <w:spacing w:val="-16"/>
          <w:sz w:val="24"/>
        </w:rPr>
        <w:t> </w:t>
      </w:r>
      <w:r>
        <w:rPr>
          <w:sz w:val="24"/>
        </w:rPr>
        <w:t>género.</w:t>
      </w:r>
    </w:p>
    <w:p>
      <w:pPr>
        <w:pStyle w:val="ListParagraph"/>
        <w:numPr>
          <w:ilvl w:val="1"/>
          <w:numId w:val="2"/>
        </w:numPr>
        <w:tabs>
          <w:tab w:pos="822" w:val="left" w:leader="none"/>
        </w:tabs>
        <w:spacing w:line="240" w:lineRule="auto" w:before="139" w:after="0"/>
        <w:ind w:left="822" w:right="0" w:hanging="360"/>
        <w:jc w:val="left"/>
        <w:rPr>
          <w:sz w:val="24"/>
        </w:rPr>
      </w:pPr>
      <w:r>
        <w:rPr>
          <w:sz w:val="24"/>
        </w:rPr>
        <w:t>Tipos de violencia más</w:t>
      </w:r>
      <w:r>
        <w:rPr>
          <w:spacing w:val="-11"/>
          <w:sz w:val="24"/>
        </w:rPr>
        <w:t> </w:t>
      </w:r>
      <w:r>
        <w:rPr>
          <w:sz w:val="24"/>
        </w:rPr>
        <w:t>frecuentes.</w:t>
      </w:r>
    </w:p>
    <w:p>
      <w:pPr>
        <w:spacing w:after="0" w:line="240" w:lineRule="auto"/>
        <w:jc w:val="left"/>
        <w:rPr>
          <w:sz w:val="24"/>
        </w:rPr>
        <w:sectPr>
          <w:footerReference w:type="default" r:id="rId10"/>
          <w:pgSz w:w="12240" w:h="15840"/>
          <w:pgMar w:footer="1032" w:header="0" w:top="1360" w:bottom="1220" w:left="1600" w:right="1580"/>
        </w:sectPr>
      </w:pPr>
    </w:p>
    <w:p>
      <w:pPr>
        <w:pStyle w:val="ListParagraph"/>
        <w:numPr>
          <w:ilvl w:val="1"/>
          <w:numId w:val="2"/>
        </w:numPr>
        <w:tabs>
          <w:tab w:pos="822" w:val="left" w:leader="none"/>
        </w:tabs>
        <w:spacing w:line="240" w:lineRule="auto" w:before="57" w:after="0"/>
        <w:ind w:left="822" w:right="0" w:hanging="360"/>
        <w:jc w:val="left"/>
        <w:rPr>
          <w:sz w:val="24"/>
        </w:rPr>
      </w:pPr>
      <w:r>
        <w:rPr>
          <w:sz w:val="24"/>
        </w:rPr>
        <w:t>Violencia entre hombres y</w:t>
      </w:r>
      <w:r>
        <w:rPr>
          <w:spacing w:val="-10"/>
          <w:sz w:val="24"/>
        </w:rPr>
        <w:t> </w:t>
      </w:r>
      <w:r>
        <w:rPr>
          <w:sz w:val="24"/>
        </w:rPr>
        <w:t>mujeres.</w:t>
      </w:r>
    </w:p>
    <w:p>
      <w:pPr>
        <w:pStyle w:val="ListParagraph"/>
        <w:numPr>
          <w:ilvl w:val="1"/>
          <w:numId w:val="2"/>
        </w:numPr>
        <w:tabs>
          <w:tab w:pos="822" w:val="left" w:leader="none"/>
        </w:tabs>
        <w:spacing w:line="240" w:lineRule="auto" w:before="137" w:after="0"/>
        <w:ind w:left="822" w:right="0" w:hanging="360"/>
        <w:jc w:val="left"/>
        <w:rPr>
          <w:sz w:val="24"/>
        </w:rPr>
      </w:pPr>
      <w:r>
        <w:rPr>
          <w:sz w:val="24"/>
        </w:rPr>
        <w:t>Tipos de violencia contra las</w:t>
      </w:r>
      <w:r>
        <w:rPr>
          <w:spacing w:val="-9"/>
          <w:sz w:val="24"/>
        </w:rPr>
        <w:t> </w:t>
      </w:r>
      <w:r>
        <w:rPr>
          <w:sz w:val="24"/>
        </w:rPr>
        <w:t>mujeres.</w:t>
      </w:r>
    </w:p>
    <w:p>
      <w:pPr>
        <w:pStyle w:val="ListParagraph"/>
        <w:numPr>
          <w:ilvl w:val="1"/>
          <w:numId w:val="2"/>
        </w:numPr>
        <w:tabs>
          <w:tab w:pos="822" w:val="left" w:leader="none"/>
        </w:tabs>
        <w:spacing w:line="240" w:lineRule="auto" w:before="139" w:after="0"/>
        <w:ind w:left="822" w:right="0" w:hanging="360"/>
        <w:jc w:val="left"/>
        <w:rPr>
          <w:sz w:val="24"/>
        </w:rPr>
      </w:pPr>
      <w:r>
        <w:rPr>
          <w:sz w:val="24"/>
        </w:rPr>
        <w:t>Perspectiva de Género</w:t>
      </w:r>
      <w:r>
        <w:rPr>
          <w:spacing w:val="-10"/>
          <w:sz w:val="24"/>
        </w:rPr>
        <w:t> </w:t>
      </w:r>
      <w:r>
        <w:rPr>
          <w:sz w:val="24"/>
        </w:rPr>
        <w:t>(significado).</w:t>
      </w:r>
    </w:p>
    <w:p>
      <w:pPr>
        <w:pStyle w:val="ListParagraph"/>
        <w:numPr>
          <w:ilvl w:val="1"/>
          <w:numId w:val="2"/>
        </w:numPr>
        <w:tabs>
          <w:tab w:pos="822" w:val="left" w:leader="none"/>
        </w:tabs>
        <w:spacing w:line="240" w:lineRule="auto" w:before="137" w:after="0"/>
        <w:ind w:left="822" w:right="0" w:hanging="360"/>
        <w:jc w:val="left"/>
        <w:rPr>
          <w:sz w:val="24"/>
        </w:rPr>
      </w:pPr>
      <w:r>
        <w:rPr>
          <w:sz w:val="24"/>
        </w:rPr>
        <w:t>Soluciones posibles de la perspectiva de</w:t>
      </w:r>
      <w:r>
        <w:rPr>
          <w:spacing w:val="-17"/>
          <w:sz w:val="24"/>
        </w:rPr>
        <w:t> </w:t>
      </w:r>
      <w:r>
        <w:rPr>
          <w:sz w:val="24"/>
        </w:rPr>
        <w:t>género.</w:t>
      </w:r>
    </w:p>
    <w:p>
      <w:pPr>
        <w:pStyle w:val="ListParagraph"/>
        <w:numPr>
          <w:ilvl w:val="1"/>
          <w:numId w:val="2"/>
        </w:numPr>
        <w:tabs>
          <w:tab w:pos="822" w:val="left" w:leader="none"/>
        </w:tabs>
        <w:spacing w:line="240" w:lineRule="auto" w:before="139" w:after="0"/>
        <w:ind w:left="822" w:right="0" w:hanging="360"/>
        <w:jc w:val="left"/>
        <w:rPr>
          <w:sz w:val="24"/>
        </w:rPr>
      </w:pPr>
      <w:r>
        <w:rPr>
          <w:sz w:val="24"/>
        </w:rPr>
        <w:t>Estereotipo de género en la</w:t>
      </w:r>
      <w:r>
        <w:rPr>
          <w:spacing w:val="-14"/>
          <w:sz w:val="24"/>
        </w:rPr>
        <w:t> </w:t>
      </w:r>
      <w:r>
        <w:rPr>
          <w:sz w:val="24"/>
        </w:rPr>
        <w:t>publicidad.</w:t>
      </w:r>
    </w:p>
    <w:p>
      <w:pPr>
        <w:pStyle w:val="ListParagraph"/>
        <w:numPr>
          <w:ilvl w:val="1"/>
          <w:numId w:val="2"/>
        </w:numPr>
        <w:tabs>
          <w:tab w:pos="822" w:val="left" w:leader="none"/>
        </w:tabs>
        <w:spacing w:line="360" w:lineRule="auto" w:before="137" w:after="0"/>
        <w:ind w:left="822" w:right="118" w:hanging="360"/>
        <w:jc w:val="left"/>
        <w:rPr>
          <w:sz w:val="24"/>
        </w:rPr>
      </w:pPr>
      <w:r>
        <w:rPr>
          <w:sz w:val="24"/>
        </w:rPr>
        <w:t>Posibles aportaciones con Perspectiva de Género por parte de los estudiantes.</w:t>
      </w:r>
    </w:p>
    <w:p>
      <w:pPr>
        <w:pStyle w:val="ListParagraph"/>
        <w:numPr>
          <w:ilvl w:val="1"/>
          <w:numId w:val="2"/>
        </w:numPr>
        <w:tabs>
          <w:tab w:pos="822" w:val="left" w:leader="none"/>
        </w:tabs>
        <w:spacing w:line="240" w:lineRule="auto" w:before="2" w:after="0"/>
        <w:ind w:left="822" w:right="0" w:hanging="360"/>
        <w:jc w:val="left"/>
        <w:rPr>
          <w:sz w:val="24"/>
        </w:rPr>
      </w:pPr>
      <w:r>
        <w:rPr>
          <w:sz w:val="24"/>
        </w:rPr>
        <w:t>Perspectiva de Género en el desarrollo profesional del</w:t>
      </w:r>
      <w:r>
        <w:rPr>
          <w:spacing w:val="-22"/>
          <w:sz w:val="24"/>
        </w:rPr>
        <w:t> </w:t>
      </w:r>
      <w:r>
        <w:rPr>
          <w:sz w:val="24"/>
        </w:rPr>
        <w:t>estudiantado.</w:t>
      </w:r>
    </w:p>
    <w:p>
      <w:pPr>
        <w:pStyle w:val="BodyText"/>
        <w:spacing w:before="5"/>
        <w:rPr>
          <w:sz w:val="29"/>
        </w:rPr>
      </w:pPr>
    </w:p>
    <w:p>
      <w:pPr>
        <w:spacing w:before="0"/>
        <w:ind w:left="102" w:right="0" w:firstLine="0"/>
        <w:jc w:val="both"/>
        <w:rPr>
          <w:sz w:val="22"/>
        </w:rPr>
      </w:pPr>
      <w:r>
        <w:rPr>
          <w:sz w:val="22"/>
        </w:rPr>
        <w:t>(* En el Anexo número 1 se muestra el cuestionario original.)</w:t>
      </w:r>
    </w:p>
    <w:p>
      <w:pPr>
        <w:pStyle w:val="BodyText"/>
        <w:spacing w:before="3"/>
        <w:rPr>
          <w:sz w:val="28"/>
        </w:rPr>
      </w:pPr>
    </w:p>
    <w:p>
      <w:pPr>
        <w:pStyle w:val="BodyText"/>
        <w:spacing w:line="360" w:lineRule="auto" w:before="1"/>
        <w:ind w:left="102" w:right="118"/>
        <w:jc w:val="both"/>
      </w:pPr>
      <w:r>
        <w:rPr/>
        <w:t>Los puntos anteriores (así como la estructura en que fueron planteados) contribuyeron a obtener un conocimiento más amplio sobre la manera en que las mujeres y los hombres estudiantes de comunicación perciben, reconocen y apropian los distintos tipos de violencia contra las mujeres. Asimismo, dicho instrumento permitió dar pie a una reflexión por parte del estudiantado sobre las posibilidades que la Perspectiva de Género pone a su alcance para lograr un impacto positivo en la sociedad.</w:t>
      </w:r>
    </w:p>
    <w:p>
      <w:pPr>
        <w:pStyle w:val="BodyText"/>
        <w:spacing w:line="360" w:lineRule="auto" w:before="204"/>
        <w:ind w:left="102" w:right="120"/>
        <w:jc w:val="both"/>
      </w:pPr>
      <w:r>
        <w:rPr/>
        <w:t>Una vez que el proceso de recolección de información fue consumado, cada uno de los datos fue graficado, interpretado y analizado. Posterior a ello, fue expuesto, de manera integral y exhaustiva, una explicación acerca de la postura que muestran los universitarios con respecto a los temas antes planteados.</w:t>
      </w:r>
    </w:p>
    <w:p>
      <w:pPr>
        <w:pStyle w:val="BodyText"/>
        <w:spacing w:line="360" w:lineRule="auto" w:before="202"/>
        <w:ind w:left="102" w:right="115"/>
        <w:jc w:val="both"/>
      </w:pPr>
      <w:r>
        <w:rPr/>
        <w:t>Finalmente, se emitió una conclusión que hizo posible la definición del mecanismo exacto de acción con el cual fue diseñará la campaña de fomento de la Perspectiva de Género en el</w:t>
      </w:r>
      <w:r>
        <w:rPr>
          <w:spacing w:val="-11"/>
        </w:rPr>
        <w:t> </w:t>
      </w:r>
      <w:r>
        <w:rPr/>
        <w:t>estudiantado.</w:t>
      </w:r>
    </w:p>
    <w:p>
      <w:pPr>
        <w:spacing w:after="0" w:line="360" w:lineRule="auto"/>
        <w:jc w:val="both"/>
        <w:sectPr>
          <w:footerReference w:type="default" r:id="rId11"/>
          <w:pgSz w:w="12240" w:h="15840"/>
          <w:pgMar w:footer="1032" w:header="0" w:top="1360" w:bottom="1220" w:left="1600" w:right="1580"/>
          <w:pgNumType w:start="21"/>
        </w:sectPr>
      </w:pPr>
    </w:p>
    <w:p>
      <w:pPr>
        <w:pStyle w:val="Heading1"/>
        <w:spacing w:before="57"/>
        <w:ind w:left="133" w:right="154"/>
        <w:jc w:val="center"/>
      </w:pPr>
      <w:bookmarkStart w:name="_TOC_250005" w:id="3"/>
      <w:bookmarkEnd w:id="3"/>
      <w:r>
        <w:rPr>
          <w:u w:val="thick"/>
        </w:rPr>
        <w:t>JUSTIFICACIÓN</w:t>
      </w:r>
    </w:p>
    <w:p>
      <w:pPr>
        <w:pStyle w:val="BodyText"/>
        <w:spacing w:before="4"/>
        <w:rPr>
          <w:b/>
          <w:sz w:val="23"/>
        </w:rPr>
      </w:pPr>
    </w:p>
    <w:p>
      <w:pPr>
        <w:pStyle w:val="BodyText"/>
        <w:spacing w:line="360" w:lineRule="auto" w:before="70"/>
        <w:ind w:left="102" w:right="115" w:firstLine="707"/>
        <w:jc w:val="both"/>
      </w:pPr>
      <w:r>
        <w:rPr/>
        <w:t>El presente proyecto gira en torno a un doble objetivo: sembrar en el estudiantado de comunicación del CUSXXI un cuestionamiento sobre el sistema sociocultural en el que se desarrollan, e impulsar a la utilización de mecanismos mediáticos de impacto social que contribuyan a erradicar todo indicio que ponga  en riesgo la integridad de las mujeres. Asimismo, se pretende poner a su alcance información que explique la función real de la perspectiva de género y sus modos de aplicación en la lucha contra la desigualdad y la violencia de género contra las mujeres.</w:t>
      </w:r>
    </w:p>
    <w:p>
      <w:pPr>
        <w:pStyle w:val="BodyText"/>
        <w:spacing w:line="360" w:lineRule="auto" w:before="204"/>
        <w:ind w:left="102" w:right="115"/>
        <w:jc w:val="both"/>
      </w:pPr>
      <w:r>
        <w:rPr/>
        <w:t>El motivo fundamental por el cual se optó por esta población en particular, es por el reconocimiento con que cuentan los medios de comunicación masiva como reforzadores socioculturales y, considerando que los estudiantes de comunicación se encuentran en un proceso de formación profesional / vocacional en esta área, resulta de vital importancia fomentar en ellos un desarrollo que propicie repercusiones positivas en el entorno social que se caracterice por su permanente Perspectiva de</w:t>
      </w:r>
      <w:r>
        <w:rPr>
          <w:spacing w:val="-8"/>
        </w:rPr>
        <w:t> </w:t>
      </w:r>
      <w:r>
        <w:rPr/>
        <w:t>Género.</w:t>
      </w:r>
    </w:p>
    <w:p>
      <w:pPr>
        <w:pStyle w:val="BodyText"/>
        <w:spacing w:line="360" w:lineRule="auto" w:before="204"/>
        <w:ind w:left="102" w:right="113"/>
        <w:jc w:val="both"/>
      </w:pPr>
      <w:r>
        <w:rPr/>
        <w:t>Con ello, se espera producir un cambio profundo en la visión a largo plazo de las y los estudiantes con respecto de la utilización de la Perspectiva de Género como criterio fundamental en la realización de campañas mediáticas, ya sean éstas publicitarias o propagandísticas así como al interior de las organizaciones e instituciones.</w:t>
      </w:r>
    </w:p>
    <w:p>
      <w:pPr>
        <w:spacing w:after="0" w:line="360" w:lineRule="auto"/>
        <w:jc w:val="both"/>
        <w:sectPr>
          <w:pgSz w:w="12240" w:h="15840"/>
          <w:pgMar w:header="0" w:footer="1032" w:top="1360" w:bottom="1220" w:left="1600" w:right="1580"/>
        </w:sectPr>
      </w:pPr>
    </w:p>
    <w:p>
      <w:pPr>
        <w:pStyle w:val="BodyText"/>
        <w:rPr>
          <w:sz w:val="20"/>
        </w:rPr>
      </w:pPr>
    </w:p>
    <w:p>
      <w:pPr>
        <w:pStyle w:val="BodyText"/>
        <w:spacing w:before="7"/>
        <w:rPr>
          <w:sz w:val="22"/>
        </w:rPr>
      </w:pPr>
    </w:p>
    <w:p>
      <w:pPr>
        <w:pStyle w:val="Heading1"/>
        <w:spacing w:before="70"/>
        <w:ind w:left="3858"/>
      </w:pPr>
      <w:r>
        <w:rPr/>
        <w:t>Esquema de Marco Lógico: Árbol de Problemas.</w:t>
      </w:r>
    </w:p>
    <w:p>
      <w:pPr>
        <w:pStyle w:val="BodyText"/>
        <w:spacing w:before="10"/>
        <w:rPr>
          <w:b/>
          <w:sz w:val="22"/>
        </w:rPr>
      </w:pPr>
    </w:p>
    <w:p>
      <w:pPr>
        <w:spacing w:before="74"/>
        <w:ind w:left="118" w:right="0" w:firstLine="0"/>
        <w:jc w:val="left"/>
        <w:rPr>
          <w:sz w:val="20"/>
        </w:rPr>
      </w:pPr>
      <w:r>
        <w:rPr>
          <w:sz w:val="20"/>
        </w:rPr>
        <w:t>*  Figura 1 (Miranda, 2014).</w:t>
      </w:r>
    </w:p>
    <w:p>
      <w:pPr>
        <w:pStyle w:val="BodyText"/>
        <w:rPr>
          <w:sz w:val="20"/>
        </w:rPr>
      </w:pPr>
    </w:p>
    <w:p>
      <w:pPr>
        <w:pStyle w:val="BodyText"/>
        <w:spacing w:before="8"/>
        <w:rPr>
          <w:sz w:val="16"/>
        </w:rPr>
      </w:pPr>
      <w:r>
        <w:rPr/>
        <w:drawing>
          <wp:anchor distT="0" distB="0" distL="0" distR="0" allowOverlap="1" layoutInCell="1" locked="0" behindDoc="0" simplePos="0" relativeHeight="1216">
            <wp:simplePos x="0" y="0"/>
            <wp:positionH relativeFrom="page">
              <wp:posOffset>1043939</wp:posOffset>
            </wp:positionH>
            <wp:positionV relativeFrom="paragraph">
              <wp:posOffset>146898</wp:posOffset>
            </wp:positionV>
            <wp:extent cx="7983659" cy="4631436"/>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3" cstate="print"/>
                    <a:stretch>
                      <a:fillRect/>
                    </a:stretch>
                  </pic:blipFill>
                  <pic:spPr>
                    <a:xfrm>
                      <a:off x="0" y="0"/>
                      <a:ext cx="7983659" cy="4631436"/>
                    </a:xfrm>
                    <a:prstGeom prst="rect">
                      <a:avLst/>
                    </a:prstGeom>
                  </pic:spPr>
                </pic:pic>
              </a:graphicData>
            </a:graphic>
          </wp:anchor>
        </w:drawing>
      </w:r>
    </w:p>
    <w:p>
      <w:pPr>
        <w:pStyle w:val="BodyText"/>
        <w:rPr>
          <w:sz w:val="20"/>
        </w:rPr>
      </w:pPr>
    </w:p>
    <w:p>
      <w:pPr>
        <w:pStyle w:val="BodyText"/>
        <w:rPr>
          <w:sz w:val="20"/>
        </w:rPr>
      </w:pPr>
    </w:p>
    <w:p>
      <w:pPr>
        <w:pStyle w:val="Heading1"/>
        <w:spacing w:before="172"/>
        <w:ind w:left="0" w:right="113"/>
        <w:jc w:val="right"/>
        <w:rPr>
          <w:rFonts w:ascii="Calibri"/>
        </w:rPr>
      </w:pPr>
      <w:r>
        <w:rPr>
          <w:rFonts w:ascii="Calibri"/>
        </w:rPr>
        <w:t>23</w:t>
      </w:r>
    </w:p>
    <w:p>
      <w:pPr>
        <w:spacing w:after="0"/>
        <w:jc w:val="right"/>
        <w:rPr>
          <w:rFonts w:ascii="Calibri"/>
        </w:rPr>
        <w:sectPr>
          <w:footerReference w:type="default" r:id="rId12"/>
          <w:pgSz w:w="15840" w:h="12240" w:orient="landscape"/>
          <w:pgMar w:footer="0" w:header="0" w:top="1140" w:bottom="280" w:left="1300" w:right="1300"/>
        </w:sectPr>
      </w:pPr>
    </w:p>
    <w:p>
      <w:pPr>
        <w:pStyle w:val="Heading1"/>
        <w:spacing w:before="57"/>
        <w:ind w:left="135" w:right="154"/>
        <w:jc w:val="center"/>
      </w:pPr>
      <w:bookmarkStart w:name="_TOC_250004" w:id="4"/>
      <w:bookmarkEnd w:id="4"/>
      <w:r>
        <w:rPr>
          <w:u w:val="thick"/>
        </w:rPr>
        <w:t>DIAGNÓSTICO</w:t>
      </w:r>
    </w:p>
    <w:p>
      <w:pPr>
        <w:pStyle w:val="BodyText"/>
        <w:spacing w:before="4"/>
        <w:rPr>
          <w:b/>
          <w:sz w:val="23"/>
        </w:rPr>
      </w:pPr>
    </w:p>
    <w:p>
      <w:pPr>
        <w:pStyle w:val="BodyText"/>
        <w:spacing w:line="360" w:lineRule="auto" w:before="70"/>
        <w:ind w:left="102" w:right="116" w:firstLine="707"/>
        <w:jc w:val="both"/>
      </w:pPr>
      <w:r>
        <w:rPr/>
        <w:t>En primer lugar, considerando que, el total de estudiantes de la licenciatura en comunicación del Campus Universitario Siglo XXI del semestre 2014 A es de 118, y sólo fue posible entrevistar al 69% de dicha población, se tiene la siguiente descripción general de la muestra:</w:t>
      </w:r>
    </w:p>
    <w:p>
      <w:pPr>
        <w:pStyle w:val="Heading1"/>
        <w:tabs>
          <w:tab w:pos="6678" w:val="left" w:leader="none"/>
        </w:tabs>
        <w:spacing w:before="204"/>
        <w:ind w:left="836" w:right="601"/>
      </w:pPr>
      <w:r>
        <w:rPr>
          <w:rFonts w:ascii="Wingdings" w:hAnsi="Wingdings"/>
        </w:rPr>
        <w:t></w:t>
      </w:r>
      <w:r>
        <w:rPr>
          <w:rFonts w:ascii="Times New Roman" w:hAnsi="Times New Roman"/>
        </w:rPr>
        <w:t> </w:t>
      </w:r>
      <w:r>
        <w:rPr/>
        <w:t>(N</w:t>
      </w:r>
      <w:r>
        <w:rPr>
          <w:spacing w:val="6"/>
        </w:rPr>
        <w:t> </w:t>
      </w:r>
      <w:r>
        <w:rPr/>
        <w:t>=</w:t>
      </w:r>
      <w:r>
        <w:rPr>
          <w:spacing w:val="-2"/>
        </w:rPr>
        <w:t> </w:t>
      </w:r>
      <w:r>
        <w:rPr/>
        <w:t>118)</w:t>
        <w:tab/>
      </w:r>
      <w:r>
        <w:rPr>
          <w:rFonts w:ascii="Wingdings" w:hAnsi="Wingdings"/>
        </w:rPr>
        <w:t></w:t>
      </w:r>
      <w:r>
        <w:rPr>
          <w:rFonts w:ascii="Times New Roman" w:hAnsi="Times New Roman"/>
        </w:rPr>
        <w:t> </w:t>
      </w:r>
      <w:r>
        <w:rPr/>
        <w:t>(n =</w:t>
      </w:r>
      <w:r>
        <w:rPr>
          <w:spacing w:val="4"/>
        </w:rPr>
        <w:t> </w:t>
      </w:r>
      <w:r>
        <w:rPr/>
        <w:t>82)</w:t>
      </w:r>
    </w:p>
    <w:p>
      <w:pPr>
        <w:pStyle w:val="BodyText"/>
        <w:rPr>
          <w:b/>
        </w:rPr>
      </w:pPr>
    </w:p>
    <w:p>
      <w:pPr>
        <w:pStyle w:val="BodyText"/>
        <w:spacing w:before="10"/>
        <w:rPr>
          <w:b/>
          <w:sz w:val="34"/>
        </w:rPr>
      </w:pPr>
    </w:p>
    <w:p>
      <w:pPr>
        <w:pStyle w:val="BodyText"/>
        <w:spacing w:line="360" w:lineRule="auto"/>
        <w:ind w:left="102" w:right="133"/>
      </w:pPr>
      <w:r>
        <w:rPr>
          <w:u w:val="single"/>
        </w:rPr>
        <w:t>Tabla No. 2 (Registros institucionales)</w:t>
      </w:r>
      <w:r>
        <w:rPr/>
        <w:t>. Muestra de estudiantes matriculados de la licenciatura en comunicación del CUSXXI.</w:t>
      </w:r>
    </w:p>
    <w:p>
      <w:pPr>
        <w:pStyle w:val="BodyText"/>
        <w:spacing w:before="10"/>
        <w:rPr>
          <w:sz w:val="17"/>
        </w:rPr>
      </w:pPr>
    </w:p>
    <w:tbl>
      <w:tblPr>
        <w:tblW w:w="0" w:type="auto"/>
        <w:jc w:val="left"/>
        <w:tblInd w:w="234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836"/>
        <w:gridCol w:w="1166"/>
        <w:gridCol w:w="1196"/>
        <w:gridCol w:w="1152"/>
      </w:tblGrid>
      <w:tr>
        <w:trPr>
          <w:trHeight w:val="509" w:hRule="exact"/>
        </w:trPr>
        <w:tc>
          <w:tcPr>
            <w:tcW w:w="2002" w:type="dxa"/>
            <w:gridSpan w:val="2"/>
            <w:shd w:val="clear" w:color="auto" w:fill="F1F1F1"/>
          </w:tcPr>
          <w:p>
            <w:pPr/>
          </w:p>
        </w:tc>
        <w:tc>
          <w:tcPr>
            <w:tcW w:w="1196" w:type="dxa"/>
            <w:shd w:val="clear" w:color="auto" w:fill="F1F1F1"/>
          </w:tcPr>
          <w:p>
            <w:pPr>
              <w:pStyle w:val="TableParagraph"/>
              <w:spacing w:before="148"/>
              <w:ind w:left="129" w:right="130"/>
              <w:jc w:val="center"/>
              <w:rPr>
                <w:sz w:val="18"/>
              </w:rPr>
            </w:pPr>
            <w:r>
              <w:rPr>
                <w:sz w:val="18"/>
              </w:rPr>
              <w:t>Frecuencia</w:t>
            </w:r>
          </w:p>
        </w:tc>
        <w:tc>
          <w:tcPr>
            <w:tcW w:w="1152" w:type="dxa"/>
            <w:shd w:val="clear" w:color="auto" w:fill="F1F1F1"/>
          </w:tcPr>
          <w:p>
            <w:pPr>
              <w:pStyle w:val="TableParagraph"/>
              <w:spacing w:before="148"/>
              <w:ind w:left="1"/>
              <w:jc w:val="center"/>
              <w:rPr>
                <w:sz w:val="18"/>
              </w:rPr>
            </w:pPr>
            <w:r>
              <w:rPr>
                <w:w w:val="99"/>
                <w:sz w:val="18"/>
              </w:rPr>
              <w:t>%</w:t>
            </w:r>
          </w:p>
        </w:tc>
      </w:tr>
      <w:tr>
        <w:trPr>
          <w:trHeight w:val="276" w:hRule="exact"/>
        </w:trPr>
        <w:tc>
          <w:tcPr>
            <w:tcW w:w="836" w:type="dxa"/>
            <w:tcBorders>
              <w:bottom w:val="nil"/>
              <w:right w:val="nil"/>
            </w:tcBorders>
            <w:shd w:val="clear" w:color="auto" w:fill="F1F1F1"/>
          </w:tcPr>
          <w:p>
            <w:pPr/>
          </w:p>
        </w:tc>
        <w:tc>
          <w:tcPr>
            <w:tcW w:w="1166" w:type="dxa"/>
            <w:tcBorders>
              <w:left w:val="nil"/>
              <w:bottom w:val="nil"/>
            </w:tcBorders>
            <w:shd w:val="clear" w:color="auto" w:fill="F1F1F1"/>
          </w:tcPr>
          <w:p>
            <w:pPr>
              <w:pStyle w:val="TableParagraph"/>
              <w:spacing w:line="206" w:lineRule="exact"/>
              <w:ind w:left="150"/>
              <w:rPr>
                <w:sz w:val="18"/>
              </w:rPr>
            </w:pPr>
            <w:r>
              <w:rPr>
                <w:sz w:val="18"/>
              </w:rPr>
              <w:t>Hombres</w:t>
            </w:r>
          </w:p>
        </w:tc>
        <w:tc>
          <w:tcPr>
            <w:tcW w:w="1196" w:type="dxa"/>
            <w:tcBorders>
              <w:bottom w:val="nil"/>
            </w:tcBorders>
          </w:tcPr>
          <w:p>
            <w:pPr>
              <w:pStyle w:val="TableParagraph"/>
              <w:spacing w:before="32"/>
              <w:ind w:left="129" w:right="129"/>
              <w:jc w:val="center"/>
              <w:rPr>
                <w:sz w:val="18"/>
              </w:rPr>
            </w:pPr>
            <w:r>
              <w:rPr>
                <w:sz w:val="18"/>
              </w:rPr>
              <w:t>24</w:t>
            </w:r>
          </w:p>
        </w:tc>
        <w:tc>
          <w:tcPr>
            <w:tcW w:w="1152" w:type="dxa"/>
            <w:tcBorders>
              <w:bottom w:val="nil"/>
            </w:tcBorders>
          </w:tcPr>
          <w:p>
            <w:pPr>
              <w:pStyle w:val="TableParagraph"/>
              <w:spacing w:before="32"/>
              <w:ind w:left="328" w:right="328"/>
              <w:jc w:val="center"/>
              <w:rPr>
                <w:sz w:val="18"/>
              </w:rPr>
            </w:pPr>
            <w:r>
              <w:rPr>
                <w:sz w:val="18"/>
              </w:rPr>
              <w:t>29.3</w:t>
            </w:r>
          </w:p>
        </w:tc>
      </w:tr>
      <w:tr>
        <w:trPr>
          <w:trHeight w:val="266" w:hRule="exact"/>
        </w:trPr>
        <w:tc>
          <w:tcPr>
            <w:tcW w:w="836" w:type="dxa"/>
            <w:tcBorders>
              <w:top w:val="nil"/>
              <w:bottom w:val="nil"/>
              <w:right w:val="nil"/>
            </w:tcBorders>
            <w:shd w:val="clear" w:color="auto" w:fill="F1F1F1"/>
          </w:tcPr>
          <w:p>
            <w:pPr/>
          </w:p>
        </w:tc>
        <w:tc>
          <w:tcPr>
            <w:tcW w:w="1166" w:type="dxa"/>
            <w:tcBorders>
              <w:top w:val="nil"/>
              <w:left w:val="nil"/>
              <w:bottom w:val="nil"/>
            </w:tcBorders>
            <w:shd w:val="clear" w:color="auto" w:fill="F1F1F1"/>
          </w:tcPr>
          <w:p>
            <w:pPr>
              <w:pStyle w:val="TableParagraph"/>
              <w:spacing w:line="206" w:lineRule="exact"/>
              <w:ind w:left="150"/>
              <w:rPr>
                <w:sz w:val="18"/>
              </w:rPr>
            </w:pPr>
            <w:r>
              <w:rPr>
                <w:sz w:val="18"/>
              </w:rPr>
              <w:t>Mujeres</w:t>
            </w:r>
          </w:p>
        </w:tc>
        <w:tc>
          <w:tcPr>
            <w:tcW w:w="1196" w:type="dxa"/>
            <w:tcBorders>
              <w:top w:val="nil"/>
              <w:bottom w:val="nil"/>
            </w:tcBorders>
          </w:tcPr>
          <w:p>
            <w:pPr>
              <w:pStyle w:val="TableParagraph"/>
              <w:spacing w:before="32"/>
              <w:ind w:left="129" w:right="129"/>
              <w:jc w:val="center"/>
              <w:rPr>
                <w:sz w:val="18"/>
              </w:rPr>
            </w:pPr>
            <w:r>
              <w:rPr>
                <w:sz w:val="18"/>
              </w:rPr>
              <w:t>58</w:t>
            </w:r>
          </w:p>
        </w:tc>
        <w:tc>
          <w:tcPr>
            <w:tcW w:w="1152" w:type="dxa"/>
            <w:tcBorders>
              <w:top w:val="nil"/>
              <w:bottom w:val="nil"/>
            </w:tcBorders>
          </w:tcPr>
          <w:p>
            <w:pPr>
              <w:pStyle w:val="TableParagraph"/>
              <w:spacing w:before="32"/>
              <w:ind w:left="328" w:right="328"/>
              <w:jc w:val="center"/>
              <w:rPr>
                <w:sz w:val="18"/>
              </w:rPr>
            </w:pPr>
            <w:r>
              <w:rPr>
                <w:sz w:val="18"/>
              </w:rPr>
              <w:t>70.7</w:t>
            </w:r>
          </w:p>
        </w:tc>
      </w:tr>
      <w:tr>
        <w:trPr>
          <w:trHeight w:val="555" w:hRule="exact"/>
        </w:trPr>
        <w:tc>
          <w:tcPr>
            <w:tcW w:w="836" w:type="dxa"/>
            <w:tcBorders>
              <w:top w:val="nil"/>
              <w:right w:val="nil"/>
            </w:tcBorders>
            <w:shd w:val="clear" w:color="auto" w:fill="F1F1F1"/>
          </w:tcPr>
          <w:p>
            <w:pPr/>
          </w:p>
        </w:tc>
        <w:tc>
          <w:tcPr>
            <w:tcW w:w="1166" w:type="dxa"/>
            <w:tcBorders>
              <w:top w:val="nil"/>
              <w:left w:val="nil"/>
            </w:tcBorders>
            <w:shd w:val="clear" w:color="auto" w:fill="F1F1F1"/>
          </w:tcPr>
          <w:p>
            <w:pPr>
              <w:pStyle w:val="TableParagraph"/>
              <w:spacing w:before="7"/>
              <w:ind w:left="150"/>
              <w:rPr>
                <w:sz w:val="18"/>
              </w:rPr>
            </w:pPr>
            <w:r>
              <w:rPr>
                <w:sz w:val="18"/>
              </w:rPr>
              <w:t>Total</w:t>
            </w:r>
          </w:p>
        </w:tc>
        <w:tc>
          <w:tcPr>
            <w:tcW w:w="1196" w:type="dxa"/>
            <w:tcBorders>
              <w:top w:val="nil"/>
            </w:tcBorders>
          </w:tcPr>
          <w:p>
            <w:pPr>
              <w:pStyle w:val="TableParagraph"/>
              <w:spacing w:before="38"/>
              <w:ind w:left="129" w:right="129"/>
              <w:jc w:val="center"/>
              <w:rPr>
                <w:sz w:val="18"/>
              </w:rPr>
            </w:pPr>
            <w:r>
              <w:rPr>
                <w:sz w:val="18"/>
              </w:rPr>
              <w:t>82</w:t>
            </w:r>
          </w:p>
        </w:tc>
        <w:tc>
          <w:tcPr>
            <w:tcW w:w="1152" w:type="dxa"/>
            <w:tcBorders>
              <w:top w:val="nil"/>
            </w:tcBorders>
          </w:tcPr>
          <w:p>
            <w:pPr>
              <w:pStyle w:val="TableParagraph"/>
              <w:spacing w:before="38"/>
              <w:ind w:left="328" w:right="328"/>
              <w:jc w:val="center"/>
              <w:rPr>
                <w:sz w:val="18"/>
              </w:rPr>
            </w:pPr>
            <w:r>
              <w:rPr>
                <w:sz w:val="18"/>
              </w:rPr>
              <w:t>100.0</w:t>
            </w:r>
          </w:p>
        </w:tc>
      </w:tr>
    </w:tbl>
    <w:p>
      <w:pPr>
        <w:pStyle w:val="BodyText"/>
        <w:spacing w:before="4"/>
        <w:rPr>
          <w:sz w:val="13"/>
        </w:rPr>
      </w:pPr>
    </w:p>
    <w:p>
      <w:pPr>
        <w:spacing w:before="74"/>
        <w:ind w:left="134" w:right="154" w:firstLine="0"/>
        <w:jc w:val="center"/>
        <w:rPr>
          <w:sz w:val="20"/>
        </w:rPr>
      </w:pPr>
      <w:r>
        <w:rPr>
          <w:sz w:val="20"/>
        </w:rPr>
        <w:t>(Miranda, 2014).</w:t>
      </w:r>
    </w:p>
    <w:p>
      <w:pPr>
        <w:pStyle w:val="BodyText"/>
        <w:rPr>
          <w:sz w:val="20"/>
        </w:rPr>
      </w:pPr>
    </w:p>
    <w:p>
      <w:pPr>
        <w:pStyle w:val="BodyText"/>
        <w:rPr>
          <w:sz w:val="20"/>
        </w:rPr>
      </w:pPr>
    </w:p>
    <w:p>
      <w:pPr>
        <w:pStyle w:val="BodyText"/>
        <w:rPr>
          <w:sz w:val="20"/>
        </w:rPr>
      </w:pPr>
    </w:p>
    <w:p>
      <w:pPr>
        <w:pStyle w:val="BodyText"/>
        <w:spacing w:line="276" w:lineRule="auto" w:before="171"/>
        <w:ind w:left="102" w:right="133"/>
      </w:pPr>
      <w:r>
        <w:rPr>
          <w:u w:val="single"/>
        </w:rPr>
        <w:t>Gráfica No.1 (Registros institucionales)</w:t>
      </w:r>
      <w:r>
        <w:rPr/>
        <w:t>. Muestra de estudiantes matriculados de la licenciatura en comunicación del CUSXXI.</w:t>
      </w:r>
    </w:p>
    <w:p>
      <w:pPr>
        <w:pStyle w:val="BodyText"/>
        <w:spacing w:before="6"/>
        <w:rPr>
          <w:sz w:val="13"/>
        </w:rPr>
      </w:pPr>
      <w:r>
        <w:rPr/>
        <w:pict>
          <v:group style="position:absolute;margin-left:175.134995pt;margin-top:9.751103pt;width:261.6pt;height:176.55pt;mso-position-horizontal-relative:page;mso-position-vertical-relative:paragraph;z-index:1312;mso-wrap-distance-left:0;mso-wrap-distance-right:0" coordorigin="3503,195" coordsize="5232,3531">
            <v:rect style="position:absolute;left:4824;top:1960;width:866;height:888" filled="true" fillcolor="#8063a1" stroked="false">
              <v:fill type="solid"/>
            </v:rect>
            <v:rect style="position:absolute;left:6991;top:707;width:866;height:2141" filled="true" fillcolor="#8063a1" stroked="false">
              <v:fill type="solid"/>
            </v:rect>
            <v:line style="position:absolute" from="4174,2848" to="4174,426" stroked="true" strokeweight=".72pt" strokecolor="#858585"/>
            <v:line style="position:absolute" from="4109,2848" to="4174,2848" stroked="true" strokeweight=".72pt" strokecolor="#858585"/>
            <v:line style="position:absolute" from="4109,2545" to="4174,2545" stroked="true" strokeweight=".72pt" strokecolor="#858585"/>
            <v:line style="position:absolute" from="4109,2240" to="4174,2240" stroked="true" strokeweight=".72pt" strokecolor="#858585"/>
            <v:line style="position:absolute" from="4109,1938" to="4174,1938" stroked="true" strokeweight=".72pt" strokecolor="#858585"/>
            <v:line style="position:absolute" from="4109,1636" to="4174,1636" stroked="true" strokeweight=".72pt" strokecolor="#858585"/>
            <v:line style="position:absolute" from="4109,1333" to="4174,1333" stroked="true" strokeweight=".72pt" strokecolor="#858585"/>
            <v:line style="position:absolute" from="4109,1031" to="4174,1031" stroked="true" strokeweight=".72pt" strokecolor="#858585"/>
            <v:line style="position:absolute" from="4109,728" to="4174,728" stroked="true" strokeweight=".72pt" strokecolor="#858585"/>
            <v:line style="position:absolute" from="4109,426" to="4174,426" stroked="true" strokeweight=".72pt" strokecolor="#858585"/>
            <v:line style="position:absolute" from="4174,2848" to="8508,2848" stroked="true" strokeweight=".72pt" strokecolor="#858585"/>
            <v:line style="position:absolute" from="4174,2848" to="4174,2910" stroked="true" strokeweight=".72pt" strokecolor="#858585"/>
            <v:line style="position:absolute" from="4174,2848" to="4174,3232" stroked="true" strokeweight=".72pt" strokecolor="#858585"/>
            <v:line style="position:absolute" from="6341,2848" to="6341,2910" stroked="true" strokeweight=".72pt" strokecolor="#858585"/>
            <v:line style="position:absolute" from="6341,2848" to="6341,3232" stroked="true" strokeweight=".72pt" strokecolor="#858585"/>
            <v:line style="position:absolute" from="8508,2848" to="8508,2910" stroked="true" strokeweight=".72pt" strokecolor="#858585"/>
            <v:line style="position:absolute" from="8508,2848" to="8508,3232" stroked="true" strokeweight=".72pt" strokecolor="#858585"/>
            <v:line style="position:absolute" from="4174,3232" to="4174,3618" stroked="true" strokeweight=".72pt" strokecolor="#858585"/>
            <v:line style="position:absolute" from="6341,3232" to="6341,3618" stroked="true" strokeweight=".72pt" strokecolor="#858585"/>
            <v:line style="position:absolute" from="8508,3232" to="8508,3618" stroked="true" strokeweight=".72pt" strokecolor="#858585"/>
            <v:rect style="position:absolute;left:3510;top:203;width:5217;height:3516" filled="false" stroked="true" strokeweight=".75pt" strokecolor="#858585"/>
            <v:shape style="position:absolute;left:3641;top:333;width:347;height:2622" type="#_x0000_t202" filled="false" stroked="false">
              <v:textbox inset="0,0,0,0">
                <w:txbxContent>
                  <w:p>
                    <w:pPr>
                      <w:spacing w:line="203" w:lineRule="exact" w:before="0"/>
                      <w:ind w:left="0" w:right="0" w:firstLine="0"/>
                      <w:jc w:val="center"/>
                      <w:rPr>
                        <w:rFonts w:ascii="Calibri"/>
                        <w:sz w:val="20"/>
                      </w:rPr>
                    </w:pPr>
                    <w:r>
                      <w:rPr>
                        <w:rFonts w:ascii="Calibri"/>
                        <w:sz w:val="20"/>
                      </w:rPr>
                      <w:t>80%</w:t>
                    </w:r>
                  </w:p>
                  <w:p>
                    <w:pPr>
                      <w:spacing w:before="59"/>
                      <w:ind w:left="0" w:right="0" w:firstLine="0"/>
                      <w:jc w:val="center"/>
                      <w:rPr>
                        <w:rFonts w:ascii="Calibri"/>
                        <w:sz w:val="20"/>
                      </w:rPr>
                    </w:pPr>
                    <w:r>
                      <w:rPr>
                        <w:rFonts w:ascii="Calibri"/>
                        <w:sz w:val="20"/>
                      </w:rPr>
                      <w:t>70%</w:t>
                    </w:r>
                  </w:p>
                  <w:p>
                    <w:pPr>
                      <w:spacing w:before="58"/>
                      <w:ind w:left="0" w:right="0" w:firstLine="0"/>
                      <w:jc w:val="center"/>
                      <w:rPr>
                        <w:rFonts w:ascii="Calibri"/>
                        <w:sz w:val="20"/>
                      </w:rPr>
                    </w:pPr>
                    <w:r>
                      <w:rPr>
                        <w:rFonts w:ascii="Calibri"/>
                        <w:sz w:val="20"/>
                      </w:rPr>
                      <w:t>60%</w:t>
                    </w:r>
                  </w:p>
                  <w:p>
                    <w:pPr>
                      <w:spacing w:before="58"/>
                      <w:ind w:left="0" w:right="0" w:firstLine="0"/>
                      <w:jc w:val="center"/>
                      <w:rPr>
                        <w:rFonts w:ascii="Calibri"/>
                        <w:sz w:val="20"/>
                      </w:rPr>
                    </w:pPr>
                    <w:r>
                      <w:rPr>
                        <w:rFonts w:ascii="Calibri"/>
                        <w:sz w:val="20"/>
                      </w:rPr>
                      <w:t>50%</w:t>
                    </w:r>
                  </w:p>
                  <w:p>
                    <w:pPr>
                      <w:spacing w:before="58"/>
                      <w:ind w:left="0" w:right="0" w:firstLine="0"/>
                      <w:jc w:val="center"/>
                      <w:rPr>
                        <w:rFonts w:ascii="Calibri"/>
                        <w:sz w:val="20"/>
                      </w:rPr>
                    </w:pPr>
                    <w:r>
                      <w:rPr>
                        <w:rFonts w:ascii="Calibri"/>
                        <w:sz w:val="20"/>
                      </w:rPr>
                      <w:t>40%</w:t>
                    </w:r>
                  </w:p>
                  <w:p>
                    <w:pPr>
                      <w:spacing w:before="59"/>
                      <w:ind w:left="0" w:right="0" w:firstLine="0"/>
                      <w:jc w:val="center"/>
                      <w:rPr>
                        <w:rFonts w:ascii="Calibri"/>
                        <w:sz w:val="20"/>
                      </w:rPr>
                    </w:pPr>
                    <w:r>
                      <w:rPr>
                        <w:rFonts w:ascii="Calibri"/>
                        <w:sz w:val="20"/>
                      </w:rPr>
                      <w:t>30%</w:t>
                    </w:r>
                  </w:p>
                  <w:p>
                    <w:pPr>
                      <w:spacing w:before="58"/>
                      <w:ind w:left="0" w:right="0" w:firstLine="0"/>
                      <w:jc w:val="center"/>
                      <w:rPr>
                        <w:rFonts w:ascii="Calibri"/>
                        <w:sz w:val="20"/>
                      </w:rPr>
                    </w:pPr>
                    <w:r>
                      <w:rPr>
                        <w:rFonts w:ascii="Calibri"/>
                        <w:sz w:val="20"/>
                      </w:rPr>
                      <w:t>20%</w:t>
                    </w:r>
                  </w:p>
                  <w:p>
                    <w:pPr>
                      <w:spacing w:before="58"/>
                      <w:ind w:left="0" w:right="0" w:firstLine="0"/>
                      <w:jc w:val="center"/>
                      <w:rPr>
                        <w:rFonts w:ascii="Calibri"/>
                        <w:sz w:val="20"/>
                      </w:rPr>
                    </w:pPr>
                    <w:r>
                      <w:rPr>
                        <w:rFonts w:ascii="Calibri"/>
                        <w:sz w:val="20"/>
                      </w:rPr>
                      <w:t>10%</w:t>
                    </w:r>
                  </w:p>
                  <w:p>
                    <w:pPr>
                      <w:spacing w:line="240" w:lineRule="exact" w:before="59"/>
                      <w:ind w:left="100" w:right="0" w:firstLine="0"/>
                      <w:jc w:val="center"/>
                      <w:rPr>
                        <w:rFonts w:ascii="Calibri"/>
                        <w:sz w:val="20"/>
                      </w:rPr>
                    </w:pPr>
                    <w:r>
                      <w:rPr>
                        <w:rFonts w:ascii="Calibri"/>
                        <w:sz w:val="20"/>
                      </w:rPr>
                      <w:t>0%</w:t>
                    </w:r>
                  </w:p>
                </w:txbxContent>
              </v:textbox>
              <w10:wrap type="none"/>
            </v:shape>
            <v:shape style="position:absolute;left:4885;top:3015;width:742;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Hombres</w:t>
                    </w:r>
                  </w:p>
                </w:txbxContent>
              </v:textbox>
              <w10:wrap type="none"/>
            </v:shape>
            <v:shape style="position:absolute;left:7089;top:3015;width:671;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Mujeres</w:t>
                    </w:r>
                  </w:p>
                </w:txbxContent>
              </v:textbox>
              <w10:wrap type="none"/>
            </v:shape>
            <w10:wrap type="topAndBottom"/>
          </v:group>
        </w:pict>
      </w:r>
    </w:p>
    <w:p>
      <w:pPr>
        <w:spacing w:before="203"/>
        <w:ind w:left="134" w:right="154" w:firstLine="0"/>
        <w:jc w:val="center"/>
        <w:rPr>
          <w:sz w:val="20"/>
        </w:rPr>
      </w:pPr>
      <w:r>
        <w:rPr>
          <w:sz w:val="20"/>
        </w:rPr>
        <w:t>(Miranda, 2014).</w:t>
      </w:r>
    </w:p>
    <w:p>
      <w:pPr>
        <w:spacing w:after="0"/>
        <w:jc w:val="center"/>
        <w:rPr>
          <w:sz w:val="20"/>
        </w:rPr>
        <w:sectPr>
          <w:footerReference w:type="default" r:id="rId14"/>
          <w:pgSz w:w="12240" w:h="15840"/>
          <w:pgMar w:footer="1032" w:header="0" w:top="1360" w:bottom="1220" w:left="1600" w:right="1580"/>
          <w:pgNumType w:start="24"/>
        </w:sectPr>
      </w:pPr>
    </w:p>
    <w:p>
      <w:pPr>
        <w:pStyle w:val="BodyText"/>
        <w:spacing w:line="360" w:lineRule="auto" w:before="57"/>
        <w:ind w:left="102" w:right="125"/>
        <w:jc w:val="both"/>
      </w:pPr>
      <w:r>
        <w:rPr/>
        <w:t>Como se aprecia en la tabla y en la gráfica anteriores, en el presente estudio diagnóstico, la participación de las mujeres fue de un 70% sobre la de los hombres, con un 29.9% en una muestra de 82</w:t>
      </w:r>
      <w:r>
        <w:rPr>
          <w:spacing w:val="-21"/>
        </w:rPr>
        <w:t> </w:t>
      </w:r>
      <w:r>
        <w:rPr/>
        <w:t>sujetos.</w:t>
      </w:r>
    </w:p>
    <w:p>
      <w:pPr>
        <w:pStyle w:val="BodyText"/>
        <w:spacing w:line="360" w:lineRule="auto" w:before="204"/>
        <w:ind w:left="102" w:right="118"/>
        <w:jc w:val="both"/>
      </w:pPr>
      <w:r>
        <w:rPr/>
        <w:t>Cabe recordar que el total de mujeres en la licenciatura en comunicación de dicha institución es de 77 mujeres y 41 hombres, por lo que el hecho de haber registrado mayor participación femenina, no indica directamente que el interés de los varones en este estudio haya sido menor al de ellas, sino que responde a causas ajenas al presente.</w:t>
      </w:r>
    </w:p>
    <w:p>
      <w:pPr>
        <w:pStyle w:val="BodyText"/>
        <w:spacing w:line="360" w:lineRule="auto" w:before="202"/>
        <w:ind w:left="102" w:right="118"/>
        <w:jc w:val="both"/>
      </w:pPr>
      <w:r>
        <w:rPr/>
        <w:t>Por otro lado, como se ha mencionado en el apartado metodológico del presente, la técnica de recolección de información utilizada fue el cuestionario, mismo que  se estructuró con un total de diez preguntas, seis de éstas, cerradas, una pregunta abierta y tres cerradas con la posibilidad de responder una pregunta abierta adicional en caso de que éstas fueran respondidas de manera</w:t>
      </w:r>
      <w:r>
        <w:rPr>
          <w:spacing w:val="-34"/>
        </w:rPr>
        <w:t> </w:t>
      </w:r>
      <w:r>
        <w:rPr/>
        <w:t>afirmativa.</w:t>
      </w:r>
    </w:p>
    <w:p>
      <w:pPr>
        <w:pStyle w:val="BodyText"/>
        <w:spacing w:line="360" w:lineRule="auto" w:before="204"/>
        <w:ind w:left="102" w:right="123"/>
        <w:jc w:val="both"/>
      </w:pPr>
      <w:r>
        <w:rPr/>
        <w:t>A continuación se presentan los resultados arrojados por el instrumento de recolección de información utilizado para el presente proyecto.</w:t>
      </w:r>
    </w:p>
    <w:p>
      <w:pPr>
        <w:pStyle w:val="BodyText"/>
      </w:pPr>
    </w:p>
    <w:p>
      <w:pPr>
        <w:pStyle w:val="BodyText"/>
      </w:pPr>
    </w:p>
    <w:p>
      <w:pPr>
        <w:pStyle w:val="BodyText"/>
        <w:rPr>
          <w:sz w:val="23"/>
        </w:rPr>
      </w:pPr>
    </w:p>
    <w:p>
      <w:pPr>
        <w:spacing w:before="0"/>
        <w:ind w:left="102" w:right="0" w:firstLine="0"/>
        <w:jc w:val="both"/>
        <w:rPr>
          <w:sz w:val="22"/>
        </w:rPr>
      </w:pPr>
      <w:r>
        <w:rPr>
          <w:b/>
          <w:sz w:val="24"/>
        </w:rPr>
        <w:t>Pregunta 1. </w:t>
      </w:r>
      <w:r>
        <w:rPr>
          <w:sz w:val="22"/>
        </w:rPr>
        <w:t>(Ver Anexo 1)</w:t>
      </w:r>
    </w:p>
    <w:p>
      <w:pPr>
        <w:pStyle w:val="BodyText"/>
        <w:spacing w:before="4"/>
        <w:rPr>
          <w:sz w:val="29"/>
        </w:rPr>
      </w:pPr>
    </w:p>
    <w:p>
      <w:pPr>
        <w:pStyle w:val="BodyText"/>
        <w:spacing w:before="1"/>
        <w:ind w:left="102"/>
        <w:jc w:val="both"/>
      </w:pPr>
      <w:r>
        <w:rPr>
          <w:u w:val="single"/>
        </w:rPr>
        <w:t>Tabla 1.1.  </w:t>
      </w:r>
      <w:r>
        <w:rPr/>
        <w:t>Opciones con las cuales el estudiantado relaciona el término género.</w:t>
      </w:r>
    </w:p>
    <w:p>
      <w:pPr>
        <w:pStyle w:val="BodyText"/>
        <w:spacing w:before="2" w:after="1"/>
        <w:rPr>
          <w:sz w:val="21"/>
        </w:rPr>
      </w:pPr>
    </w:p>
    <w:tbl>
      <w:tblPr>
        <w:tblW w:w="0" w:type="auto"/>
        <w:jc w:val="left"/>
        <w:tblInd w:w="51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327"/>
        <w:gridCol w:w="2101"/>
        <w:gridCol w:w="1080"/>
        <w:gridCol w:w="1210"/>
        <w:gridCol w:w="1080"/>
        <w:gridCol w:w="1210"/>
      </w:tblGrid>
      <w:tr>
        <w:trPr>
          <w:trHeight w:val="361" w:hRule="exact"/>
        </w:trPr>
        <w:tc>
          <w:tcPr>
            <w:tcW w:w="3428" w:type="dxa"/>
            <w:gridSpan w:val="2"/>
            <w:vMerge w:val="restart"/>
            <w:shd w:val="clear" w:color="auto" w:fill="F1F1F1"/>
          </w:tcPr>
          <w:p>
            <w:pPr/>
          </w:p>
        </w:tc>
        <w:tc>
          <w:tcPr>
            <w:tcW w:w="4580" w:type="dxa"/>
            <w:gridSpan w:val="4"/>
            <w:shd w:val="clear" w:color="auto" w:fill="F1F1F1"/>
          </w:tcPr>
          <w:p>
            <w:pPr>
              <w:pStyle w:val="TableParagraph"/>
              <w:spacing w:before="66"/>
              <w:ind w:left="2061" w:right="2064"/>
              <w:jc w:val="center"/>
              <w:rPr>
                <w:sz w:val="18"/>
              </w:rPr>
            </w:pPr>
            <w:r>
              <w:rPr>
                <w:sz w:val="18"/>
              </w:rPr>
              <w:t>Sexo</w:t>
            </w:r>
          </w:p>
        </w:tc>
      </w:tr>
      <w:tr>
        <w:trPr>
          <w:trHeight w:val="364" w:hRule="exact"/>
        </w:trPr>
        <w:tc>
          <w:tcPr>
            <w:tcW w:w="3428" w:type="dxa"/>
            <w:gridSpan w:val="2"/>
            <w:vMerge/>
            <w:shd w:val="clear" w:color="auto" w:fill="F1F1F1"/>
          </w:tcPr>
          <w:p>
            <w:pPr/>
          </w:p>
        </w:tc>
        <w:tc>
          <w:tcPr>
            <w:tcW w:w="2290" w:type="dxa"/>
            <w:gridSpan w:val="2"/>
            <w:shd w:val="clear" w:color="auto" w:fill="F1F1F1"/>
          </w:tcPr>
          <w:p>
            <w:pPr>
              <w:pStyle w:val="TableParagraph"/>
              <w:spacing w:before="82"/>
              <w:ind w:left="757" w:right="757"/>
              <w:jc w:val="center"/>
              <w:rPr>
                <w:sz w:val="18"/>
              </w:rPr>
            </w:pPr>
            <w:r>
              <w:rPr>
                <w:sz w:val="18"/>
              </w:rPr>
              <w:t>Hombres</w:t>
            </w:r>
          </w:p>
        </w:tc>
        <w:tc>
          <w:tcPr>
            <w:tcW w:w="2290" w:type="dxa"/>
            <w:gridSpan w:val="2"/>
            <w:shd w:val="clear" w:color="auto" w:fill="F1F1F1"/>
          </w:tcPr>
          <w:p>
            <w:pPr>
              <w:pStyle w:val="TableParagraph"/>
              <w:spacing w:before="82"/>
              <w:ind w:left="801" w:right="801"/>
              <w:jc w:val="center"/>
              <w:rPr>
                <w:sz w:val="18"/>
              </w:rPr>
            </w:pPr>
            <w:r>
              <w:rPr>
                <w:sz w:val="18"/>
              </w:rPr>
              <w:t>Mujeres</w:t>
            </w:r>
          </w:p>
        </w:tc>
      </w:tr>
      <w:tr>
        <w:trPr>
          <w:trHeight w:val="350" w:hRule="exact"/>
        </w:trPr>
        <w:tc>
          <w:tcPr>
            <w:tcW w:w="3428" w:type="dxa"/>
            <w:gridSpan w:val="2"/>
            <w:vMerge/>
            <w:shd w:val="clear" w:color="auto" w:fill="F1F1F1"/>
          </w:tcPr>
          <w:p>
            <w:pPr/>
          </w:p>
        </w:tc>
        <w:tc>
          <w:tcPr>
            <w:tcW w:w="1080" w:type="dxa"/>
            <w:shd w:val="clear" w:color="auto" w:fill="F1F1F1"/>
          </w:tcPr>
          <w:p>
            <w:pPr>
              <w:pStyle w:val="TableParagraph"/>
              <w:spacing w:before="68"/>
              <w:ind w:left="72" w:right="73"/>
              <w:jc w:val="center"/>
              <w:rPr>
                <w:sz w:val="18"/>
              </w:rPr>
            </w:pPr>
            <w:r>
              <w:rPr>
                <w:sz w:val="18"/>
              </w:rPr>
              <w:t>Frecuencia</w:t>
            </w:r>
          </w:p>
        </w:tc>
        <w:tc>
          <w:tcPr>
            <w:tcW w:w="1210" w:type="dxa"/>
            <w:shd w:val="clear" w:color="auto" w:fill="F1F1F1"/>
          </w:tcPr>
          <w:p>
            <w:pPr>
              <w:pStyle w:val="TableParagraph"/>
              <w:spacing w:before="68"/>
              <w:ind w:right="1"/>
              <w:jc w:val="center"/>
              <w:rPr>
                <w:sz w:val="18"/>
              </w:rPr>
            </w:pPr>
            <w:r>
              <w:rPr>
                <w:w w:val="99"/>
                <w:sz w:val="18"/>
              </w:rPr>
              <w:t>%</w:t>
            </w:r>
          </w:p>
        </w:tc>
        <w:tc>
          <w:tcPr>
            <w:tcW w:w="1080" w:type="dxa"/>
            <w:shd w:val="clear" w:color="auto" w:fill="F1F1F1"/>
          </w:tcPr>
          <w:p>
            <w:pPr>
              <w:pStyle w:val="TableParagraph"/>
              <w:spacing w:before="68"/>
              <w:ind w:left="70" w:right="71"/>
              <w:jc w:val="center"/>
              <w:rPr>
                <w:sz w:val="18"/>
              </w:rPr>
            </w:pPr>
            <w:r>
              <w:rPr>
                <w:sz w:val="18"/>
              </w:rPr>
              <w:t>Frecuencia</w:t>
            </w:r>
          </w:p>
        </w:tc>
        <w:tc>
          <w:tcPr>
            <w:tcW w:w="1210" w:type="dxa"/>
            <w:shd w:val="clear" w:color="auto" w:fill="F1F1F1"/>
          </w:tcPr>
          <w:p>
            <w:pPr>
              <w:pStyle w:val="TableParagraph"/>
              <w:spacing w:before="68"/>
              <w:ind w:left="2"/>
              <w:jc w:val="center"/>
              <w:rPr>
                <w:sz w:val="18"/>
              </w:rPr>
            </w:pPr>
            <w:r>
              <w:rPr>
                <w:w w:val="99"/>
                <w:sz w:val="18"/>
              </w:rPr>
              <w:t>%</w:t>
            </w:r>
          </w:p>
        </w:tc>
      </w:tr>
      <w:tr>
        <w:trPr>
          <w:trHeight w:val="266" w:hRule="exact"/>
        </w:trPr>
        <w:tc>
          <w:tcPr>
            <w:tcW w:w="1327" w:type="dxa"/>
            <w:tcBorders>
              <w:bottom w:val="nil"/>
              <w:right w:val="nil"/>
            </w:tcBorders>
            <w:shd w:val="clear" w:color="auto" w:fill="F1F1F1"/>
          </w:tcPr>
          <w:p>
            <w:pPr/>
          </w:p>
        </w:tc>
        <w:tc>
          <w:tcPr>
            <w:tcW w:w="2101" w:type="dxa"/>
            <w:tcBorders>
              <w:left w:val="nil"/>
              <w:bottom w:val="nil"/>
            </w:tcBorders>
            <w:shd w:val="clear" w:color="auto" w:fill="F1F1F1"/>
          </w:tcPr>
          <w:p>
            <w:pPr>
              <w:pStyle w:val="TableParagraph"/>
              <w:spacing w:line="206" w:lineRule="exact"/>
              <w:ind w:left="134"/>
              <w:rPr>
                <w:sz w:val="18"/>
              </w:rPr>
            </w:pPr>
            <w:r>
              <w:rPr>
                <w:sz w:val="18"/>
              </w:rPr>
              <w:t>Sexo</w:t>
            </w:r>
          </w:p>
        </w:tc>
        <w:tc>
          <w:tcPr>
            <w:tcW w:w="1080" w:type="dxa"/>
            <w:tcBorders>
              <w:bottom w:val="nil"/>
            </w:tcBorders>
          </w:tcPr>
          <w:p>
            <w:pPr>
              <w:pStyle w:val="TableParagraph"/>
              <w:spacing w:before="30"/>
              <w:ind w:right="1"/>
              <w:jc w:val="center"/>
              <w:rPr>
                <w:sz w:val="18"/>
              </w:rPr>
            </w:pPr>
            <w:r>
              <w:rPr>
                <w:w w:val="99"/>
                <w:sz w:val="18"/>
              </w:rPr>
              <w:t>1</w:t>
            </w:r>
          </w:p>
        </w:tc>
        <w:tc>
          <w:tcPr>
            <w:tcW w:w="1210" w:type="dxa"/>
            <w:tcBorders>
              <w:bottom w:val="nil"/>
            </w:tcBorders>
          </w:tcPr>
          <w:p>
            <w:pPr>
              <w:pStyle w:val="TableParagraph"/>
              <w:spacing w:before="30"/>
              <w:ind w:left="406" w:right="405"/>
              <w:jc w:val="center"/>
              <w:rPr>
                <w:sz w:val="18"/>
              </w:rPr>
            </w:pPr>
            <w:r>
              <w:rPr>
                <w:sz w:val="18"/>
              </w:rPr>
              <w:t>4.2</w:t>
            </w:r>
          </w:p>
        </w:tc>
        <w:tc>
          <w:tcPr>
            <w:tcW w:w="1080" w:type="dxa"/>
            <w:tcBorders>
              <w:bottom w:val="nil"/>
            </w:tcBorders>
          </w:tcPr>
          <w:p>
            <w:pPr>
              <w:pStyle w:val="TableParagraph"/>
              <w:spacing w:before="30"/>
              <w:jc w:val="center"/>
              <w:rPr>
                <w:sz w:val="18"/>
              </w:rPr>
            </w:pPr>
            <w:r>
              <w:rPr>
                <w:w w:val="99"/>
                <w:sz w:val="18"/>
              </w:rPr>
              <w:t>2</w:t>
            </w:r>
          </w:p>
        </w:tc>
        <w:tc>
          <w:tcPr>
            <w:tcW w:w="1210" w:type="dxa"/>
            <w:tcBorders>
              <w:bottom w:val="nil"/>
            </w:tcBorders>
          </w:tcPr>
          <w:p>
            <w:pPr>
              <w:pStyle w:val="TableParagraph"/>
              <w:spacing w:before="30"/>
              <w:ind w:left="408" w:right="407"/>
              <w:jc w:val="center"/>
              <w:rPr>
                <w:sz w:val="18"/>
              </w:rPr>
            </w:pPr>
            <w:r>
              <w:rPr>
                <w:sz w:val="18"/>
              </w:rPr>
              <w:t>3.4</w:t>
            </w:r>
          </w:p>
        </w:tc>
      </w:tr>
      <w:tr>
        <w:trPr>
          <w:trHeight w:val="274" w:hRule="exact"/>
        </w:trPr>
        <w:tc>
          <w:tcPr>
            <w:tcW w:w="1327" w:type="dxa"/>
            <w:tcBorders>
              <w:top w:val="nil"/>
              <w:bottom w:val="nil"/>
              <w:right w:val="nil"/>
            </w:tcBorders>
            <w:shd w:val="clear" w:color="auto" w:fill="F1F1F1"/>
          </w:tcPr>
          <w:p>
            <w:pPr/>
          </w:p>
        </w:tc>
        <w:tc>
          <w:tcPr>
            <w:tcW w:w="2101" w:type="dxa"/>
            <w:tcBorders>
              <w:top w:val="nil"/>
              <w:left w:val="nil"/>
              <w:bottom w:val="nil"/>
            </w:tcBorders>
            <w:shd w:val="clear" w:color="auto" w:fill="F1F1F1"/>
          </w:tcPr>
          <w:p>
            <w:pPr>
              <w:pStyle w:val="TableParagraph"/>
              <w:spacing w:before="7"/>
              <w:ind w:left="134"/>
              <w:rPr>
                <w:sz w:val="18"/>
              </w:rPr>
            </w:pPr>
            <w:r>
              <w:rPr>
                <w:sz w:val="18"/>
              </w:rPr>
              <w:t>Hombre y mujer</w:t>
            </w:r>
          </w:p>
        </w:tc>
        <w:tc>
          <w:tcPr>
            <w:tcW w:w="1080" w:type="dxa"/>
            <w:tcBorders>
              <w:top w:val="nil"/>
              <w:bottom w:val="nil"/>
            </w:tcBorders>
          </w:tcPr>
          <w:p>
            <w:pPr>
              <w:pStyle w:val="TableParagraph"/>
              <w:spacing w:before="41"/>
              <w:ind w:right="1"/>
              <w:jc w:val="center"/>
              <w:rPr>
                <w:sz w:val="18"/>
              </w:rPr>
            </w:pPr>
            <w:r>
              <w:rPr>
                <w:w w:val="99"/>
                <w:sz w:val="18"/>
              </w:rPr>
              <w:t>6</w:t>
            </w:r>
          </w:p>
        </w:tc>
        <w:tc>
          <w:tcPr>
            <w:tcW w:w="1210" w:type="dxa"/>
            <w:tcBorders>
              <w:top w:val="nil"/>
              <w:bottom w:val="nil"/>
            </w:tcBorders>
          </w:tcPr>
          <w:p>
            <w:pPr>
              <w:pStyle w:val="TableParagraph"/>
              <w:spacing w:before="41"/>
              <w:ind w:left="406" w:right="406"/>
              <w:jc w:val="center"/>
              <w:rPr>
                <w:sz w:val="18"/>
              </w:rPr>
            </w:pPr>
            <w:r>
              <w:rPr>
                <w:sz w:val="18"/>
              </w:rPr>
              <w:t>25.0</w:t>
            </w:r>
          </w:p>
        </w:tc>
        <w:tc>
          <w:tcPr>
            <w:tcW w:w="1080" w:type="dxa"/>
            <w:tcBorders>
              <w:top w:val="nil"/>
              <w:bottom w:val="nil"/>
            </w:tcBorders>
          </w:tcPr>
          <w:p>
            <w:pPr>
              <w:pStyle w:val="TableParagraph"/>
              <w:spacing w:before="41"/>
              <w:ind w:left="70" w:right="70"/>
              <w:jc w:val="center"/>
              <w:rPr>
                <w:sz w:val="18"/>
              </w:rPr>
            </w:pPr>
            <w:r>
              <w:rPr>
                <w:sz w:val="18"/>
              </w:rPr>
              <w:t>17</w:t>
            </w:r>
          </w:p>
        </w:tc>
        <w:tc>
          <w:tcPr>
            <w:tcW w:w="1210" w:type="dxa"/>
            <w:tcBorders>
              <w:top w:val="nil"/>
              <w:bottom w:val="nil"/>
            </w:tcBorders>
          </w:tcPr>
          <w:p>
            <w:pPr>
              <w:pStyle w:val="TableParagraph"/>
              <w:spacing w:before="41"/>
              <w:ind w:left="408" w:right="407"/>
              <w:jc w:val="center"/>
              <w:rPr>
                <w:sz w:val="18"/>
              </w:rPr>
            </w:pPr>
            <w:r>
              <w:rPr>
                <w:sz w:val="18"/>
              </w:rPr>
              <w:t>29.3</w:t>
            </w:r>
          </w:p>
        </w:tc>
      </w:tr>
      <w:tr>
        <w:trPr>
          <w:trHeight w:val="274" w:hRule="exact"/>
        </w:trPr>
        <w:tc>
          <w:tcPr>
            <w:tcW w:w="1327" w:type="dxa"/>
            <w:tcBorders>
              <w:top w:val="nil"/>
              <w:bottom w:val="nil"/>
              <w:right w:val="nil"/>
            </w:tcBorders>
            <w:shd w:val="clear" w:color="auto" w:fill="F1F1F1"/>
          </w:tcPr>
          <w:p>
            <w:pPr/>
          </w:p>
        </w:tc>
        <w:tc>
          <w:tcPr>
            <w:tcW w:w="2101" w:type="dxa"/>
            <w:tcBorders>
              <w:top w:val="nil"/>
              <w:left w:val="nil"/>
              <w:bottom w:val="nil"/>
            </w:tcBorders>
            <w:shd w:val="clear" w:color="auto" w:fill="F1F1F1"/>
          </w:tcPr>
          <w:p>
            <w:pPr>
              <w:pStyle w:val="TableParagraph"/>
              <w:spacing w:before="7"/>
              <w:ind w:left="134"/>
              <w:rPr>
                <w:sz w:val="18"/>
              </w:rPr>
            </w:pPr>
            <w:r>
              <w:rPr>
                <w:sz w:val="18"/>
              </w:rPr>
              <w:t>Masculino y femenino</w:t>
            </w:r>
          </w:p>
        </w:tc>
        <w:tc>
          <w:tcPr>
            <w:tcW w:w="1080" w:type="dxa"/>
            <w:tcBorders>
              <w:top w:val="nil"/>
              <w:bottom w:val="nil"/>
            </w:tcBorders>
          </w:tcPr>
          <w:p>
            <w:pPr>
              <w:pStyle w:val="TableParagraph"/>
              <w:spacing w:before="40"/>
              <w:ind w:left="72" w:right="72"/>
              <w:jc w:val="center"/>
              <w:rPr>
                <w:sz w:val="18"/>
              </w:rPr>
            </w:pPr>
            <w:r>
              <w:rPr>
                <w:sz w:val="18"/>
              </w:rPr>
              <w:t>16</w:t>
            </w:r>
          </w:p>
        </w:tc>
        <w:tc>
          <w:tcPr>
            <w:tcW w:w="1210" w:type="dxa"/>
            <w:tcBorders>
              <w:top w:val="nil"/>
              <w:bottom w:val="nil"/>
            </w:tcBorders>
          </w:tcPr>
          <w:p>
            <w:pPr>
              <w:pStyle w:val="TableParagraph"/>
              <w:spacing w:before="40"/>
              <w:ind w:left="406" w:right="406"/>
              <w:jc w:val="center"/>
              <w:rPr>
                <w:sz w:val="18"/>
              </w:rPr>
            </w:pPr>
            <w:r>
              <w:rPr>
                <w:sz w:val="18"/>
              </w:rPr>
              <w:t>66.7</w:t>
            </w:r>
          </w:p>
        </w:tc>
        <w:tc>
          <w:tcPr>
            <w:tcW w:w="1080" w:type="dxa"/>
            <w:tcBorders>
              <w:top w:val="nil"/>
              <w:bottom w:val="nil"/>
            </w:tcBorders>
          </w:tcPr>
          <w:p>
            <w:pPr>
              <w:pStyle w:val="TableParagraph"/>
              <w:spacing w:before="40"/>
              <w:ind w:left="70" w:right="70"/>
              <w:jc w:val="center"/>
              <w:rPr>
                <w:sz w:val="18"/>
              </w:rPr>
            </w:pPr>
            <w:r>
              <w:rPr>
                <w:sz w:val="18"/>
              </w:rPr>
              <w:t>39</w:t>
            </w:r>
          </w:p>
        </w:tc>
        <w:tc>
          <w:tcPr>
            <w:tcW w:w="1210" w:type="dxa"/>
            <w:tcBorders>
              <w:top w:val="nil"/>
              <w:bottom w:val="nil"/>
            </w:tcBorders>
          </w:tcPr>
          <w:p>
            <w:pPr>
              <w:pStyle w:val="TableParagraph"/>
              <w:spacing w:before="40"/>
              <w:ind w:left="408" w:right="407"/>
              <w:jc w:val="center"/>
              <w:rPr>
                <w:sz w:val="18"/>
              </w:rPr>
            </w:pPr>
            <w:r>
              <w:rPr>
                <w:sz w:val="18"/>
              </w:rPr>
              <w:t>67.2</w:t>
            </w:r>
          </w:p>
        </w:tc>
      </w:tr>
      <w:tr>
        <w:trPr>
          <w:trHeight w:val="284" w:hRule="exact"/>
        </w:trPr>
        <w:tc>
          <w:tcPr>
            <w:tcW w:w="1327" w:type="dxa"/>
            <w:tcBorders>
              <w:top w:val="nil"/>
              <w:right w:val="nil"/>
            </w:tcBorders>
            <w:shd w:val="clear" w:color="auto" w:fill="F1F1F1"/>
          </w:tcPr>
          <w:p>
            <w:pPr/>
          </w:p>
        </w:tc>
        <w:tc>
          <w:tcPr>
            <w:tcW w:w="2101" w:type="dxa"/>
            <w:tcBorders>
              <w:top w:val="nil"/>
              <w:left w:val="nil"/>
            </w:tcBorders>
            <w:shd w:val="clear" w:color="auto" w:fill="F1F1F1"/>
          </w:tcPr>
          <w:p>
            <w:pPr>
              <w:pStyle w:val="TableParagraph"/>
              <w:spacing w:before="7"/>
              <w:ind w:left="134"/>
              <w:rPr>
                <w:sz w:val="18"/>
              </w:rPr>
            </w:pPr>
            <w:r>
              <w:rPr>
                <w:sz w:val="18"/>
              </w:rPr>
              <w:t>Otro</w:t>
            </w:r>
          </w:p>
        </w:tc>
        <w:tc>
          <w:tcPr>
            <w:tcW w:w="1080" w:type="dxa"/>
            <w:tcBorders>
              <w:top w:val="nil"/>
            </w:tcBorders>
          </w:tcPr>
          <w:p>
            <w:pPr>
              <w:pStyle w:val="TableParagraph"/>
              <w:spacing w:before="40"/>
              <w:ind w:right="1"/>
              <w:jc w:val="center"/>
              <w:rPr>
                <w:sz w:val="18"/>
              </w:rPr>
            </w:pPr>
            <w:r>
              <w:rPr>
                <w:w w:val="99"/>
                <w:sz w:val="18"/>
              </w:rPr>
              <w:t>1</w:t>
            </w:r>
          </w:p>
        </w:tc>
        <w:tc>
          <w:tcPr>
            <w:tcW w:w="1210" w:type="dxa"/>
            <w:tcBorders>
              <w:top w:val="nil"/>
            </w:tcBorders>
          </w:tcPr>
          <w:p>
            <w:pPr>
              <w:pStyle w:val="TableParagraph"/>
              <w:spacing w:before="40"/>
              <w:ind w:left="406" w:right="405"/>
              <w:jc w:val="center"/>
              <w:rPr>
                <w:sz w:val="18"/>
              </w:rPr>
            </w:pPr>
            <w:r>
              <w:rPr>
                <w:sz w:val="18"/>
              </w:rPr>
              <w:t>4.2</w:t>
            </w:r>
          </w:p>
        </w:tc>
        <w:tc>
          <w:tcPr>
            <w:tcW w:w="1080" w:type="dxa"/>
            <w:tcBorders>
              <w:top w:val="nil"/>
            </w:tcBorders>
          </w:tcPr>
          <w:p>
            <w:pPr>
              <w:pStyle w:val="TableParagraph"/>
              <w:spacing w:before="40"/>
              <w:jc w:val="center"/>
              <w:rPr>
                <w:sz w:val="18"/>
              </w:rPr>
            </w:pPr>
            <w:r>
              <w:rPr>
                <w:w w:val="99"/>
                <w:sz w:val="18"/>
              </w:rPr>
              <w:t>0</w:t>
            </w:r>
          </w:p>
        </w:tc>
        <w:tc>
          <w:tcPr>
            <w:tcW w:w="1210" w:type="dxa"/>
            <w:tcBorders>
              <w:top w:val="nil"/>
            </w:tcBorders>
          </w:tcPr>
          <w:p>
            <w:pPr>
              <w:pStyle w:val="TableParagraph"/>
              <w:spacing w:before="40"/>
              <w:jc w:val="center"/>
              <w:rPr>
                <w:sz w:val="18"/>
              </w:rPr>
            </w:pPr>
            <w:r>
              <w:rPr>
                <w:w w:val="99"/>
                <w:sz w:val="18"/>
              </w:rPr>
              <w:t>0</w:t>
            </w:r>
          </w:p>
        </w:tc>
      </w:tr>
    </w:tbl>
    <w:p>
      <w:pPr>
        <w:pStyle w:val="BodyText"/>
        <w:spacing w:before="4"/>
        <w:rPr>
          <w:sz w:val="13"/>
        </w:rPr>
      </w:pPr>
    </w:p>
    <w:p>
      <w:pPr>
        <w:spacing w:before="74"/>
        <w:ind w:left="134" w:right="154" w:firstLine="0"/>
        <w:jc w:val="center"/>
        <w:rPr>
          <w:sz w:val="20"/>
        </w:rPr>
      </w:pPr>
      <w:r>
        <w:rPr>
          <w:sz w:val="20"/>
        </w:rPr>
        <w:t>(Miranda, 2014).</w:t>
      </w:r>
    </w:p>
    <w:p>
      <w:pPr>
        <w:spacing w:after="0"/>
        <w:jc w:val="center"/>
        <w:rPr>
          <w:sz w:val="20"/>
        </w:rPr>
        <w:sectPr>
          <w:pgSz w:w="12240" w:h="15840"/>
          <w:pgMar w:header="0" w:footer="1032" w:top="1360" w:bottom="1220" w:left="1600" w:right="1580"/>
        </w:sectPr>
      </w:pPr>
    </w:p>
    <w:p>
      <w:pPr>
        <w:pStyle w:val="BodyText"/>
        <w:spacing w:before="57"/>
        <w:ind w:left="102" w:right="133"/>
      </w:pPr>
      <w:r>
        <w:rPr>
          <w:u w:val="single"/>
        </w:rPr>
        <w:t>Gráfica 1.1. </w:t>
      </w:r>
      <w:r>
        <w:rPr/>
        <w:t>Opciones con las cuales el estudiantado relaciona el término género.</w:t>
      </w:r>
    </w:p>
    <w:p>
      <w:pPr>
        <w:pStyle w:val="BodyText"/>
        <w:rPr>
          <w:sz w:val="20"/>
        </w:rPr>
      </w:pPr>
    </w:p>
    <w:p>
      <w:pPr>
        <w:pStyle w:val="BodyText"/>
        <w:spacing w:before="8"/>
        <w:rPr>
          <w:sz w:val="15"/>
        </w:rPr>
      </w:pPr>
      <w:r>
        <w:rPr/>
        <w:drawing>
          <wp:anchor distT="0" distB="0" distL="0" distR="0" allowOverlap="1" layoutInCell="1" locked="0" behindDoc="0" simplePos="0" relativeHeight="1336">
            <wp:simplePos x="0" y="0"/>
            <wp:positionH relativeFrom="page">
              <wp:posOffset>1856485</wp:posOffset>
            </wp:positionH>
            <wp:positionV relativeFrom="paragraph">
              <wp:posOffset>139929</wp:posOffset>
            </wp:positionV>
            <wp:extent cx="4094319" cy="2464879"/>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5" cstate="print"/>
                    <a:stretch>
                      <a:fillRect/>
                    </a:stretch>
                  </pic:blipFill>
                  <pic:spPr>
                    <a:xfrm>
                      <a:off x="0" y="0"/>
                      <a:ext cx="4094319" cy="2464879"/>
                    </a:xfrm>
                    <a:prstGeom prst="rect">
                      <a:avLst/>
                    </a:prstGeom>
                  </pic:spPr>
                </pic:pic>
              </a:graphicData>
            </a:graphic>
          </wp:anchor>
        </w:drawing>
      </w:r>
    </w:p>
    <w:p>
      <w:pPr>
        <w:pStyle w:val="BodyText"/>
        <w:spacing w:before="6"/>
        <w:rPr>
          <w:sz w:val="7"/>
        </w:rPr>
      </w:pPr>
    </w:p>
    <w:p>
      <w:pPr>
        <w:spacing w:before="74"/>
        <w:ind w:left="134" w:right="154" w:firstLine="0"/>
        <w:jc w:val="center"/>
        <w:rPr>
          <w:sz w:val="20"/>
        </w:rPr>
      </w:pPr>
      <w:r>
        <w:rPr>
          <w:sz w:val="20"/>
        </w:rPr>
        <w:t>(Miranda, 2014).</w:t>
      </w:r>
    </w:p>
    <w:p>
      <w:pPr>
        <w:pStyle w:val="BodyText"/>
        <w:rPr>
          <w:sz w:val="20"/>
        </w:rPr>
      </w:pPr>
    </w:p>
    <w:p>
      <w:pPr>
        <w:pStyle w:val="BodyText"/>
        <w:spacing w:before="2"/>
        <w:rPr>
          <w:sz w:val="20"/>
        </w:rPr>
      </w:pPr>
    </w:p>
    <w:p>
      <w:pPr>
        <w:pStyle w:val="BodyText"/>
        <w:spacing w:line="360" w:lineRule="auto"/>
        <w:ind w:left="102" w:right="117"/>
        <w:jc w:val="both"/>
      </w:pPr>
      <w:r>
        <w:rPr/>
        <w:t>El término “Género” fue principalmente asociado con lo masculino y lo femenino tanto por hombres como por mujeres (66.7% y 67.2% respectivamente), seguida de la categoría “Hombre y mujer”, por otro lado, una mínima parte de la muestra tuvo en mente un concepto distinto de este término.</w:t>
      </w:r>
    </w:p>
    <w:p>
      <w:pPr>
        <w:pStyle w:val="BodyText"/>
        <w:spacing w:line="360" w:lineRule="auto" w:before="204"/>
        <w:ind w:left="102" w:right="118"/>
        <w:jc w:val="both"/>
      </w:pPr>
      <w:r>
        <w:rPr/>
        <w:t>Lo anterior, pone de manifiesto que, en términos generales, existe una considerable confusión entre los conceptos, significados y aplicaciones de los términos femenino, masculino, hombre y mujer, y que, en efecto, se relaciona directamente el género femenino con el sexo mujer y el género masculino con el sexo hombre.</w:t>
      </w:r>
    </w:p>
    <w:p>
      <w:pPr>
        <w:pStyle w:val="BodyText"/>
        <w:spacing w:line="360" w:lineRule="auto" w:before="204"/>
        <w:ind w:left="102" w:right="117"/>
        <w:jc w:val="both"/>
      </w:pPr>
      <w:r>
        <w:rPr/>
        <w:t>Dicha acepción, confirma lo planteado por Salvatore Cucchiari (1996) con respecto a la definición de “género” (y a su sistema) como aquella construcción social y cultural que se hace en cada ser humano con base en las diferencias sexuales y que resultan mutuamente complementarias y excluyentes.</w:t>
      </w:r>
    </w:p>
    <w:p>
      <w:pPr>
        <w:spacing w:after="0" w:line="360" w:lineRule="auto"/>
        <w:jc w:val="both"/>
        <w:sectPr>
          <w:pgSz w:w="12240" w:h="15840"/>
          <w:pgMar w:header="0" w:footer="1032" w:top="1360" w:bottom="1220" w:left="1600" w:right="1580"/>
        </w:sectPr>
      </w:pPr>
    </w:p>
    <w:p>
      <w:pPr>
        <w:spacing w:before="57"/>
        <w:ind w:left="222" w:right="0" w:firstLine="0"/>
        <w:jc w:val="left"/>
        <w:rPr>
          <w:sz w:val="22"/>
        </w:rPr>
      </w:pPr>
      <w:r>
        <w:rPr>
          <w:b/>
          <w:sz w:val="24"/>
        </w:rPr>
        <w:t>Pregunta 2. </w:t>
      </w:r>
      <w:r>
        <w:rPr>
          <w:sz w:val="22"/>
        </w:rPr>
        <w:t>(Ver Anexo 1)</w:t>
      </w:r>
    </w:p>
    <w:p>
      <w:pPr>
        <w:pStyle w:val="BodyText"/>
        <w:spacing w:before="4"/>
        <w:rPr>
          <w:sz w:val="29"/>
        </w:rPr>
      </w:pPr>
    </w:p>
    <w:p>
      <w:pPr>
        <w:pStyle w:val="BodyText"/>
        <w:spacing w:before="1"/>
        <w:ind w:left="222"/>
      </w:pPr>
      <w:r>
        <w:rPr>
          <w:u w:val="single"/>
        </w:rPr>
        <w:t>Tabla 2.1. </w:t>
      </w:r>
      <w:r>
        <w:rPr/>
        <w:t>Acciones que el estudiantado considera violentas.</w:t>
      </w:r>
    </w:p>
    <w:p>
      <w:pPr>
        <w:pStyle w:val="BodyText"/>
        <w:spacing w:before="4"/>
        <w:rPr>
          <w:sz w:val="2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36"/>
        <w:gridCol w:w="708"/>
        <w:gridCol w:w="852"/>
        <w:gridCol w:w="566"/>
        <w:gridCol w:w="708"/>
        <w:gridCol w:w="709"/>
        <w:gridCol w:w="569"/>
        <w:gridCol w:w="708"/>
        <w:gridCol w:w="708"/>
      </w:tblGrid>
      <w:tr>
        <w:trPr>
          <w:trHeight w:val="218" w:hRule="exact"/>
        </w:trPr>
        <w:tc>
          <w:tcPr>
            <w:tcW w:w="3936" w:type="dxa"/>
            <w:vMerge w:val="restart"/>
            <w:shd w:val="clear" w:color="auto" w:fill="F1F1F1"/>
          </w:tcPr>
          <w:p>
            <w:pPr/>
          </w:p>
        </w:tc>
        <w:tc>
          <w:tcPr>
            <w:tcW w:w="5528" w:type="dxa"/>
            <w:gridSpan w:val="8"/>
            <w:shd w:val="clear" w:color="auto" w:fill="F1F1F1"/>
          </w:tcPr>
          <w:p>
            <w:pPr>
              <w:pStyle w:val="TableParagraph"/>
              <w:spacing w:before="1"/>
              <w:ind w:left="2533" w:right="2534"/>
              <w:jc w:val="center"/>
              <w:rPr>
                <w:sz w:val="18"/>
              </w:rPr>
            </w:pPr>
            <w:r>
              <w:rPr>
                <w:sz w:val="18"/>
              </w:rPr>
              <w:t>Sexo</w:t>
            </w:r>
          </w:p>
        </w:tc>
      </w:tr>
      <w:tr>
        <w:trPr>
          <w:trHeight w:val="216" w:hRule="exact"/>
        </w:trPr>
        <w:tc>
          <w:tcPr>
            <w:tcW w:w="3936" w:type="dxa"/>
            <w:vMerge/>
            <w:shd w:val="clear" w:color="auto" w:fill="F1F1F1"/>
          </w:tcPr>
          <w:p>
            <w:pPr/>
          </w:p>
        </w:tc>
        <w:tc>
          <w:tcPr>
            <w:tcW w:w="2835" w:type="dxa"/>
            <w:gridSpan w:val="4"/>
            <w:shd w:val="clear" w:color="auto" w:fill="F1F1F1"/>
          </w:tcPr>
          <w:p>
            <w:pPr>
              <w:pStyle w:val="TableParagraph"/>
              <w:spacing w:line="206" w:lineRule="exact"/>
              <w:ind w:left="1027" w:right="1028"/>
              <w:jc w:val="center"/>
              <w:rPr>
                <w:sz w:val="18"/>
              </w:rPr>
            </w:pPr>
            <w:r>
              <w:rPr>
                <w:sz w:val="18"/>
              </w:rPr>
              <w:t>Hombres</w:t>
            </w:r>
          </w:p>
        </w:tc>
        <w:tc>
          <w:tcPr>
            <w:tcW w:w="2693" w:type="dxa"/>
            <w:gridSpan w:val="4"/>
            <w:shd w:val="clear" w:color="auto" w:fill="F1F1F1"/>
          </w:tcPr>
          <w:p>
            <w:pPr>
              <w:pStyle w:val="TableParagraph"/>
              <w:spacing w:line="206" w:lineRule="exact"/>
              <w:ind w:left="999" w:right="1000"/>
              <w:jc w:val="center"/>
              <w:rPr>
                <w:sz w:val="18"/>
              </w:rPr>
            </w:pPr>
            <w:r>
              <w:rPr>
                <w:sz w:val="18"/>
              </w:rPr>
              <w:t>Mujeres</w:t>
            </w:r>
          </w:p>
        </w:tc>
      </w:tr>
      <w:tr>
        <w:trPr>
          <w:trHeight w:val="218" w:hRule="exact"/>
        </w:trPr>
        <w:tc>
          <w:tcPr>
            <w:tcW w:w="3936" w:type="dxa"/>
            <w:vMerge/>
            <w:shd w:val="clear" w:color="auto" w:fill="F1F1F1"/>
          </w:tcPr>
          <w:p>
            <w:pPr/>
          </w:p>
        </w:tc>
        <w:tc>
          <w:tcPr>
            <w:tcW w:w="708" w:type="dxa"/>
            <w:shd w:val="clear" w:color="auto" w:fill="F1F1F1"/>
          </w:tcPr>
          <w:p>
            <w:pPr>
              <w:pStyle w:val="TableParagraph"/>
              <w:spacing w:line="206" w:lineRule="exact"/>
              <w:ind w:left="218"/>
              <w:rPr>
                <w:sz w:val="18"/>
              </w:rPr>
            </w:pPr>
            <w:r>
              <w:rPr>
                <w:sz w:val="18"/>
              </w:rPr>
              <w:t>#Si</w:t>
            </w:r>
          </w:p>
        </w:tc>
        <w:tc>
          <w:tcPr>
            <w:tcW w:w="852" w:type="dxa"/>
            <w:shd w:val="clear" w:color="auto" w:fill="F1F1F1"/>
          </w:tcPr>
          <w:p>
            <w:pPr>
              <w:pStyle w:val="TableParagraph"/>
              <w:spacing w:line="206" w:lineRule="exact"/>
              <w:ind w:left="261"/>
              <w:rPr>
                <w:sz w:val="18"/>
              </w:rPr>
            </w:pPr>
            <w:r>
              <w:rPr>
                <w:sz w:val="18"/>
              </w:rPr>
              <w:t>%Si</w:t>
            </w:r>
          </w:p>
        </w:tc>
        <w:tc>
          <w:tcPr>
            <w:tcW w:w="566" w:type="dxa"/>
            <w:shd w:val="clear" w:color="auto" w:fill="F1F1F1"/>
          </w:tcPr>
          <w:p>
            <w:pPr>
              <w:pStyle w:val="TableParagraph"/>
              <w:spacing w:line="206" w:lineRule="exact"/>
              <w:ind w:left="110"/>
              <w:rPr>
                <w:sz w:val="18"/>
              </w:rPr>
            </w:pPr>
            <w:r>
              <w:rPr>
                <w:sz w:val="18"/>
              </w:rPr>
              <w:t>#No</w:t>
            </w:r>
          </w:p>
        </w:tc>
        <w:tc>
          <w:tcPr>
            <w:tcW w:w="708" w:type="dxa"/>
            <w:shd w:val="clear" w:color="auto" w:fill="F1F1F1"/>
          </w:tcPr>
          <w:p>
            <w:pPr>
              <w:pStyle w:val="TableParagraph"/>
              <w:spacing w:line="206" w:lineRule="exact"/>
              <w:ind w:left="153"/>
              <w:rPr>
                <w:sz w:val="18"/>
              </w:rPr>
            </w:pPr>
            <w:r>
              <w:rPr>
                <w:sz w:val="18"/>
              </w:rPr>
              <w:t>%No</w:t>
            </w:r>
          </w:p>
        </w:tc>
        <w:tc>
          <w:tcPr>
            <w:tcW w:w="709" w:type="dxa"/>
            <w:shd w:val="clear" w:color="auto" w:fill="F1F1F1"/>
          </w:tcPr>
          <w:p>
            <w:pPr>
              <w:pStyle w:val="TableParagraph"/>
              <w:spacing w:line="206" w:lineRule="exact"/>
              <w:ind w:left="218"/>
              <w:rPr>
                <w:sz w:val="18"/>
              </w:rPr>
            </w:pPr>
            <w:r>
              <w:rPr>
                <w:sz w:val="18"/>
              </w:rPr>
              <w:t>#Si</w:t>
            </w:r>
          </w:p>
        </w:tc>
        <w:tc>
          <w:tcPr>
            <w:tcW w:w="569" w:type="dxa"/>
            <w:shd w:val="clear" w:color="auto" w:fill="F1F1F1"/>
          </w:tcPr>
          <w:p>
            <w:pPr>
              <w:pStyle w:val="TableParagraph"/>
              <w:spacing w:line="206" w:lineRule="exact"/>
              <w:ind w:left="117"/>
              <w:rPr>
                <w:sz w:val="18"/>
              </w:rPr>
            </w:pPr>
            <w:r>
              <w:rPr>
                <w:sz w:val="18"/>
              </w:rPr>
              <w:t>%Si</w:t>
            </w:r>
          </w:p>
        </w:tc>
        <w:tc>
          <w:tcPr>
            <w:tcW w:w="708" w:type="dxa"/>
            <w:shd w:val="clear" w:color="auto" w:fill="F1F1F1"/>
          </w:tcPr>
          <w:p>
            <w:pPr>
              <w:pStyle w:val="TableParagraph"/>
              <w:spacing w:line="206" w:lineRule="exact"/>
              <w:ind w:left="179"/>
              <w:rPr>
                <w:sz w:val="18"/>
              </w:rPr>
            </w:pPr>
            <w:r>
              <w:rPr>
                <w:sz w:val="18"/>
              </w:rPr>
              <w:t>#No</w:t>
            </w:r>
          </w:p>
        </w:tc>
        <w:tc>
          <w:tcPr>
            <w:tcW w:w="708" w:type="dxa"/>
            <w:shd w:val="clear" w:color="auto" w:fill="F1F1F1"/>
          </w:tcPr>
          <w:p>
            <w:pPr>
              <w:pStyle w:val="TableParagraph"/>
              <w:spacing w:line="206" w:lineRule="exact"/>
              <w:ind w:left="153"/>
              <w:rPr>
                <w:sz w:val="18"/>
              </w:rPr>
            </w:pPr>
            <w:r>
              <w:rPr>
                <w:sz w:val="18"/>
              </w:rPr>
              <w:t>%No</w:t>
            </w:r>
          </w:p>
        </w:tc>
      </w:tr>
      <w:tr>
        <w:trPr>
          <w:trHeight w:val="2494" w:hRule="exact"/>
        </w:trPr>
        <w:tc>
          <w:tcPr>
            <w:tcW w:w="3936" w:type="dxa"/>
            <w:shd w:val="clear" w:color="auto" w:fill="F1F1F1"/>
          </w:tcPr>
          <w:p>
            <w:pPr>
              <w:pStyle w:val="TableParagraph"/>
              <w:spacing w:before="10"/>
              <w:rPr>
                <w:sz w:val="17"/>
              </w:rPr>
            </w:pPr>
          </w:p>
          <w:p>
            <w:pPr>
              <w:pStyle w:val="TableParagraph"/>
              <w:spacing w:line="207" w:lineRule="exact"/>
              <w:ind w:left="955" w:right="430"/>
              <w:rPr>
                <w:sz w:val="18"/>
              </w:rPr>
            </w:pPr>
            <w:r>
              <w:rPr>
                <w:sz w:val="18"/>
              </w:rPr>
              <w:t>Celos</w:t>
            </w:r>
          </w:p>
          <w:p>
            <w:pPr>
              <w:pStyle w:val="TableParagraph"/>
              <w:ind w:left="955" w:right="430"/>
              <w:rPr>
                <w:sz w:val="18"/>
              </w:rPr>
            </w:pPr>
            <w:r>
              <w:rPr>
                <w:sz w:val="18"/>
              </w:rPr>
              <w:t>Nulo respeto a la privacidad del otro</w:t>
            </w:r>
          </w:p>
          <w:p>
            <w:pPr>
              <w:pStyle w:val="TableParagraph"/>
              <w:ind w:left="955" w:right="400"/>
              <w:rPr>
                <w:sz w:val="18"/>
              </w:rPr>
            </w:pPr>
            <w:r>
              <w:rPr>
                <w:sz w:val="18"/>
              </w:rPr>
              <w:t>Control sobre las decisiones del otro</w:t>
            </w:r>
          </w:p>
          <w:p>
            <w:pPr>
              <w:pStyle w:val="TableParagraph"/>
              <w:ind w:left="955" w:right="1881"/>
              <w:rPr>
                <w:sz w:val="18"/>
              </w:rPr>
            </w:pPr>
            <w:r>
              <w:rPr>
                <w:sz w:val="18"/>
              </w:rPr>
              <w:t>Golpes Asesinato Acoso sexual Humillación Gritos</w:t>
            </w:r>
          </w:p>
          <w:p>
            <w:pPr>
              <w:pStyle w:val="TableParagraph"/>
              <w:spacing w:before="2"/>
              <w:ind w:left="955" w:right="430"/>
              <w:rPr>
                <w:sz w:val="18"/>
              </w:rPr>
            </w:pPr>
            <w:r>
              <w:rPr>
                <w:sz w:val="18"/>
              </w:rPr>
              <w:t>Todas las anteriores</w:t>
            </w:r>
          </w:p>
        </w:tc>
        <w:tc>
          <w:tcPr>
            <w:tcW w:w="708" w:type="dxa"/>
          </w:tcPr>
          <w:p>
            <w:pPr>
              <w:pStyle w:val="TableParagraph"/>
              <w:spacing w:before="10"/>
              <w:rPr>
                <w:sz w:val="17"/>
              </w:rPr>
            </w:pPr>
          </w:p>
          <w:p>
            <w:pPr>
              <w:pStyle w:val="TableParagraph"/>
              <w:spacing w:line="207" w:lineRule="exact"/>
              <w:ind w:right="1"/>
              <w:jc w:val="center"/>
              <w:rPr>
                <w:sz w:val="18"/>
              </w:rPr>
            </w:pPr>
            <w:r>
              <w:rPr>
                <w:w w:val="99"/>
                <w:sz w:val="18"/>
              </w:rPr>
              <w:t>3</w:t>
            </w:r>
          </w:p>
          <w:p>
            <w:pPr>
              <w:pStyle w:val="TableParagraph"/>
              <w:spacing w:line="207" w:lineRule="exact"/>
              <w:ind w:right="1"/>
              <w:jc w:val="center"/>
              <w:rPr>
                <w:sz w:val="18"/>
              </w:rPr>
            </w:pPr>
            <w:r>
              <w:rPr>
                <w:w w:val="99"/>
                <w:sz w:val="18"/>
              </w:rPr>
              <w:t>5</w:t>
            </w:r>
          </w:p>
          <w:p>
            <w:pPr>
              <w:pStyle w:val="TableParagraph"/>
              <w:spacing w:before="1"/>
              <w:rPr>
                <w:sz w:val="18"/>
              </w:rPr>
            </w:pPr>
          </w:p>
          <w:p>
            <w:pPr>
              <w:pStyle w:val="TableParagraph"/>
              <w:ind w:right="1"/>
              <w:jc w:val="center"/>
              <w:rPr>
                <w:sz w:val="18"/>
              </w:rPr>
            </w:pPr>
            <w:r>
              <w:rPr>
                <w:w w:val="99"/>
                <w:sz w:val="18"/>
              </w:rPr>
              <w:t>6</w:t>
            </w:r>
          </w:p>
          <w:p>
            <w:pPr>
              <w:pStyle w:val="TableParagraph"/>
              <w:spacing w:before="10"/>
              <w:rPr>
                <w:sz w:val="17"/>
              </w:rPr>
            </w:pPr>
          </w:p>
          <w:p>
            <w:pPr>
              <w:pStyle w:val="TableParagraph"/>
              <w:ind w:left="230" w:right="228"/>
              <w:jc w:val="center"/>
              <w:rPr>
                <w:sz w:val="18"/>
              </w:rPr>
            </w:pPr>
            <w:r>
              <w:rPr>
                <w:sz w:val="18"/>
              </w:rPr>
              <w:t>14</w:t>
            </w:r>
          </w:p>
          <w:p>
            <w:pPr>
              <w:pStyle w:val="TableParagraph"/>
              <w:spacing w:line="207" w:lineRule="exact" w:before="2"/>
              <w:ind w:left="230" w:right="228"/>
              <w:jc w:val="center"/>
              <w:rPr>
                <w:sz w:val="18"/>
              </w:rPr>
            </w:pPr>
            <w:r>
              <w:rPr>
                <w:sz w:val="18"/>
              </w:rPr>
              <w:t>13</w:t>
            </w:r>
          </w:p>
          <w:p>
            <w:pPr>
              <w:pStyle w:val="TableParagraph"/>
              <w:spacing w:line="206" w:lineRule="exact"/>
              <w:ind w:left="230" w:right="228"/>
              <w:jc w:val="center"/>
              <w:rPr>
                <w:sz w:val="18"/>
              </w:rPr>
            </w:pPr>
            <w:r>
              <w:rPr>
                <w:sz w:val="18"/>
              </w:rPr>
              <w:t>10</w:t>
            </w:r>
          </w:p>
          <w:p>
            <w:pPr>
              <w:pStyle w:val="TableParagraph"/>
              <w:spacing w:line="206" w:lineRule="exact"/>
              <w:ind w:left="230" w:right="228"/>
              <w:jc w:val="center"/>
              <w:rPr>
                <w:sz w:val="18"/>
              </w:rPr>
            </w:pPr>
            <w:r>
              <w:rPr>
                <w:sz w:val="18"/>
              </w:rPr>
              <w:t>11</w:t>
            </w:r>
          </w:p>
          <w:p>
            <w:pPr>
              <w:pStyle w:val="TableParagraph"/>
              <w:spacing w:line="207" w:lineRule="exact"/>
              <w:ind w:left="230" w:right="228"/>
              <w:jc w:val="center"/>
              <w:rPr>
                <w:sz w:val="18"/>
              </w:rPr>
            </w:pPr>
            <w:r>
              <w:rPr>
                <w:sz w:val="18"/>
              </w:rPr>
              <w:t>12</w:t>
            </w:r>
          </w:p>
          <w:p>
            <w:pPr>
              <w:pStyle w:val="TableParagraph"/>
              <w:spacing w:before="2"/>
              <w:ind w:right="1"/>
              <w:jc w:val="center"/>
              <w:rPr>
                <w:sz w:val="18"/>
              </w:rPr>
            </w:pPr>
            <w:r>
              <w:rPr>
                <w:w w:val="99"/>
                <w:sz w:val="18"/>
              </w:rPr>
              <w:t>9</w:t>
            </w:r>
          </w:p>
        </w:tc>
        <w:tc>
          <w:tcPr>
            <w:tcW w:w="852" w:type="dxa"/>
          </w:tcPr>
          <w:p>
            <w:pPr>
              <w:pStyle w:val="TableParagraph"/>
              <w:spacing w:before="10"/>
              <w:rPr>
                <w:sz w:val="17"/>
              </w:rPr>
            </w:pPr>
          </w:p>
          <w:p>
            <w:pPr>
              <w:pStyle w:val="TableParagraph"/>
              <w:spacing w:line="207" w:lineRule="exact"/>
              <w:ind w:left="225" w:right="226"/>
              <w:jc w:val="center"/>
              <w:rPr>
                <w:sz w:val="18"/>
              </w:rPr>
            </w:pPr>
            <w:r>
              <w:rPr>
                <w:sz w:val="18"/>
              </w:rPr>
              <w:t>12.5</w:t>
            </w:r>
          </w:p>
          <w:p>
            <w:pPr>
              <w:pStyle w:val="TableParagraph"/>
              <w:spacing w:line="207" w:lineRule="exact"/>
              <w:ind w:left="225" w:right="226"/>
              <w:jc w:val="center"/>
              <w:rPr>
                <w:sz w:val="18"/>
              </w:rPr>
            </w:pPr>
            <w:r>
              <w:rPr>
                <w:sz w:val="18"/>
              </w:rPr>
              <w:t>20.8</w:t>
            </w:r>
          </w:p>
          <w:p>
            <w:pPr>
              <w:pStyle w:val="TableParagraph"/>
              <w:spacing w:before="1"/>
              <w:rPr>
                <w:sz w:val="18"/>
              </w:rPr>
            </w:pPr>
          </w:p>
          <w:p>
            <w:pPr>
              <w:pStyle w:val="TableParagraph"/>
              <w:ind w:left="225" w:right="223"/>
              <w:jc w:val="center"/>
              <w:rPr>
                <w:sz w:val="18"/>
              </w:rPr>
            </w:pPr>
            <w:r>
              <w:rPr>
                <w:sz w:val="18"/>
              </w:rPr>
              <w:t>25</w:t>
            </w:r>
          </w:p>
          <w:p>
            <w:pPr>
              <w:pStyle w:val="TableParagraph"/>
              <w:spacing w:before="10"/>
              <w:rPr>
                <w:sz w:val="17"/>
              </w:rPr>
            </w:pPr>
          </w:p>
          <w:p>
            <w:pPr>
              <w:pStyle w:val="TableParagraph"/>
              <w:ind w:left="225" w:right="226"/>
              <w:jc w:val="center"/>
              <w:rPr>
                <w:sz w:val="18"/>
              </w:rPr>
            </w:pPr>
            <w:r>
              <w:rPr>
                <w:sz w:val="18"/>
              </w:rPr>
              <w:t>58.3</w:t>
            </w:r>
          </w:p>
          <w:p>
            <w:pPr>
              <w:pStyle w:val="TableParagraph"/>
              <w:spacing w:line="207" w:lineRule="exact" w:before="2"/>
              <w:ind w:left="225" w:right="226"/>
              <w:jc w:val="center"/>
              <w:rPr>
                <w:sz w:val="18"/>
              </w:rPr>
            </w:pPr>
            <w:r>
              <w:rPr>
                <w:sz w:val="18"/>
              </w:rPr>
              <w:t>54.1</w:t>
            </w:r>
          </w:p>
          <w:p>
            <w:pPr>
              <w:pStyle w:val="TableParagraph"/>
              <w:spacing w:line="206" w:lineRule="exact"/>
              <w:ind w:left="225" w:right="226"/>
              <w:jc w:val="center"/>
              <w:rPr>
                <w:sz w:val="18"/>
              </w:rPr>
            </w:pPr>
            <w:r>
              <w:rPr>
                <w:sz w:val="18"/>
              </w:rPr>
              <w:t>41.6</w:t>
            </w:r>
          </w:p>
          <w:p>
            <w:pPr>
              <w:pStyle w:val="TableParagraph"/>
              <w:spacing w:line="206" w:lineRule="exact"/>
              <w:ind w:left="225" w:right="226"/>
              <w:jc w:val="center"/>
              <w:rPr>
                <w:sz w:val="18"/>
              </w:rPr>
            </w:pPr>
            <w:r>
              <w:rPr>
                <w:sz w:val="18"/>
              </w:rPr>
              <w:t>45.8</w:t>
            </w:r>
          </w:p>
          <w:p>
            <w:pPr>
              <w:pStyle w:val="TableParagraph"/>
              <w:spacing w:line="207" w:lineRule="exact"/>
              <w:ind w:left="225" w:right="223"/>
              <w:jc w:val="center"/>
              <w:rPr>
                <w:sz w:val="18"/>
              </w:rPr>
            </w:pPr>
            <w:r>
              <w:rPr>
                <w:sz w:val="18"/>
              </w:rPr>
              <w:t>50</w:t>
            </w:r>
          </w:p>
          <w:p>
            <w:pPr>
              <w:pStyle w:val="TableParagraph"/>
              <w:spacing w:before="2"/>
              <w:ind w:left="225" w:right="226"/>
              <w:jc w:val="center"/>
              <w:rPr>
                <w:sz w:val="18"/>
              </w:rPr>
            </w:pPr>
            <w:r>
              <w:rPr>
                <w:sz w:val="18"/>
              </w:rPr>
              <w:t>37.5</w:t>
            </w:r>
          </w:p>
        </w:tc>
        <w:tc>
          <w:tcPr>
            <w:tcW w:w="566" w:type="dxa"/>
          </w:tcPr>
          <w:p>
            <w:pPr>
              <w:pStyle w:val="TableParagraph"/>
              <w:spacing w:before="10"/>
              <w:rPr>
                <w:sz w:val="17"/>
              </w:rPr>
            </w:pPr>
          </w:p>
          <w:p>
            <w:pPr>
              <w:pStyle w:val="TableParagraph"/>
              <w:spacing w:line="207" w:lineRule="exact"/>
              <w:ind w:left="175"/>
              <w:rPr>
                <w:sz w:val="18"/>
              </w:rPr>
            </w:pPr>
            <w:r>
              <w:rPr>
                <w:sz w:val="18"/>
              </w:rPr>
              <w:t>21</w:t>
            </w:r>
          </w:p>
          <w:p>
            <w:pPr>
              <w:pStyle w:val="TableParagraph"/>
              <w:spacing w:line="207" w:lineRule="exact"/>
              <w:ind w:left="175"/>
              <w:rPr>
                <w:sz w:val="18"/>
              </w:rPr>
            </w:pPr>
            <w:r>
              <w:rPr>
                <w:sz w:val="18"/>
              </w:rPr>
              <w:t>19</w:t>
            </w:r>
          </w:p>
          <w:p>
            <w:pPr>
              <w:pStyle w:val="TableParagraph"/>
              <w:spacing w:before="1"/>
              <w:rPr>
                <w:sz w:val="18"/>
              </w:rPr>
            </w:pPr>
          </w:p>
          <w:p>
            <w:pPr>
              <w:pStyle w:val="TableParagraph"/>
              <w:ind w:left="175"/>
              <w:rPr>
                <w:sz w:val="18"/>
              </w:rPr>
            </w:pPr>
            <w:r>
              <w:rPr>
                <w:sz w:val="18"/>
              </w:rPr>
              <w:t>18</w:t>
            </w:r>
          </w:p>
          <w:p>
            <w:pPr>
              <w:pStyle w:val="TableParagraph"/>
              <w:spacing w:before="10"/>
              <w:rPr>
                <w:sz w:val="17"/>
              </w:rPr>
            </w:pPr>
          </w:p>
          <w:p>
            <w:pPr>
              <w:pStyle w:val="TableParagraph"/>
              <w:ind w:left="175"/>
              <w:rPr>
                <w:sz w:val="18"/>
              </w:rPr>
            </w:pPr>
            <w:r>
              <w:rPr>
                <w:sz w:val="18"/>
              </w:rPr>
              <w:t>10</w:t>
            </w:r>
          </w:p>
          <w:p>
            <w:pPr>
              <w:pStyle w:val="TableParagraph"/>
              <w:spacing w:line="207" w:lineRule="exact" w:before="2"/>
              <w:ind w:left="175"/>
              <w:rPr>
                <w:sz w:val="18"/>
              </w:rPr>
            </w:pPr>
            <w:r>
              <w:rPr>
                <w:sz w:val="18"/>
              </w:rPr>
              <w:t>11</w:t>
            </w:r>
          </w:p>
          <w:p>
            <w:pPr>
              <w:pStyle w:val="TableParagraph"/>
              <w:spacing w:line="206" w:lineRule="exact"/>
              <w:ind w:left="175"/>
              <w:rPr>
                <w:sz w:val="18"/>
              </w:rPr>
            </w:pPr>
            <w:r>
              <w:rPr>
                <w:sz w:val="18"/>
              </w:rPr>
              <w:t>14</w:t>
            </w:r>
          </w:p>
          <w:p>
            <w:pPr>
              <w:pStyle w:val="TableParagraph"/>
              <w:spacing w:line="206" w:lineRule="exact"/>
              <w:ind w:left="175"/>
              <w:rPr>
                <w:sz w:val="18"/>
              </w:rPr>
            </w:pPr>
            <w:r>
              <w:rPr>
                <w:sz w:val="18"/>
              </w:rPr>
              <w:t>13</w:t>
            </w:r>
          </w:p>
          <w:p>
            <w:pPr>
              <w:pStyle w:val="TableParagraph"/>
              <w:spacing w:line="207" w:lineRule="exact"/>
              <w:ind w:left="175"/>
              <w:rPr>
                <w:sz w:val="18"/>
              </w:rPr>
            </w:pPr>
            <w:r>
              <w:rPr>
                <w:sz w:val="18"/>
              </w:rPr>
              <w:t>12</w:t>
            </w:r>
          </w:p>
          <w:p>
            <w:pPr>
              <w:pStyle w:val="TableParagraph"/>
              <w:spacing w:before="2"/>
              <w:ind w:left="175"/>
              <w:rPr>
                <w:sz w:val="18"/>
              </w:rPr>
            </w:pPr>
            <w:r>
              <w:rPr>
                <w:sz w:val="18"/>
              </w:rPr>
              <w:t>15</w:t>
            </w:r>
          </w:p>
        </w:tc>
        <w:tc>
          <w:tcPr>
            <w:tcW w:w="708" w:type="dxa"/>
          </w:tcPr>
          <w:p>
            <w:pPr>
              <w:pStyle w:val="TableParagraph"/>
              <w:spacing w:before="10"/>
              <w:rPr>
                <w:sz w:val="17"/>
              </w:rPr>
            </w:pPr>
          </w:p>
          <w:p>
            <w:pPr>
              <w:pStyle w:val="TableParagraph"/>
              <w:spacing w:line="207" w:lineRule="exact"/>
              <w:ind w:left="152" w:right="153"/>
              <w:jc w:val="center"/>
              <w:rPr>
                <w:sz w:val="18"/>
              </w:rPr>
            </w:pPr>
            <w:r>
              <w:rPr>
                <w:sz w:val="18"/>
              </w:rPr>
              <w:t>87.5</w:t>
            </w:r>
          </w:p>
          <w:p>
            <w:pPr>
              <w:pStyle w:val="TableParagraph"/>
              <w:spacing w:line="207" w:lineRule="exact"/>
              <w:ind w:left="152" w:right="153"/>
              <w:jc w:val="center"/>
              <w:rPr>
                <w:sz w:val="18"/>
              </w:rPr>
            </w:pPr>
            <w:r>
              <w:rPr>
                <w:sz w:val="18"/>
              </w:rPr>
              <w:t>79.2</w:t>
            </w:r>
          </w:p>
          <w:p>
            <w:pPr>
              <w:pStyle w:val="TableParagraph"/>
              <w:spacing w:before="1"/>
              <w:rPr>
                <w:sz w:val="18"/>
              </w:rPr>
            </w:pPr>
          </w:p>
          <w:p>
            <w:pPr>
              <w:pStyle w:val="TableParagraph"/>
              <w:ind w:left="152" w:right="150"/>
              <w:jc w:val="center"/>
              <w:rPr>
                <w:sz w:val="18"/>
              </w:rPr>
            </w:pPr>
            <w:r>
              <w:rPr>
                <w:sz w:val="18"/>
              </w:rPr>
              <w:t>75</w:t>
            </w:r>
          </w:p>
          <w:p>
            <w:pPr>
              <w:pStyle w:val="TableParagraph"/>
              <w:spacing w:before="10"/>
              <w:rPr>
                <w:sz w:val="17"/>
              </w:rPr>
            </w:pPr>
          </w:p>
          <w:p>
            <w:pPr>
              <w:pStyle w:val="TableParagraph"/>
              <w:ind w:left="152" w:right="153"/>
              <w:jc w:val="center"/>
              <w:rPr>
                <w:sz w:val="18"/>
              </w:rPr>
            </w:pPr>
            <w:r>
              <w:rPr>
                <w:sz w:val="18"/>
              </w:rPr>
              <w:t>41.7</w:t>
            </w:r>
          </w:p>
          <w:p>
            <w:pPr>
              <w:pStyle w:val="TableParagraph"/>
              <w:spacing w:line="207" w:lineRule="exact" w:before="2"/>
              <w:ind w:left="152" w:right="153"/>
              <w:jc w:val="center"/>
              <w:rPr>
                <w:sz w:val="18"/>
              </w:rPr>
            </w:pPr>
            <w:r>
              <w:rPr>
                <w:sz w:val="18"/>
              </w:rPr>
              <w:t>45.9</w:t>
            </w:r>
          </w:p>
          <w:p>
            <w:pPr>
              <w:pStyle w:val="TableParagraph"/>
              <w:spacing w:line="206" w:lineRule="exact"/>
              <w:ind w:left="152" w:right="153"/>
              <w:jc w:val="center"/>
              <w:rPr>
                <w:sz w:val="18"/>
              </w:rPr>
            </w:pPr>
            <w:r>
              <w:rPr>
                <w:sz w:val="18"/>
              </w:rPr>
              <w:t>58.4</w:t>
            </w:r>
          </w:p>
          <w:p>
            <w:pPr>
              <w:pStyle w:val="TableParagraph"/>
              <w:spacing w:line="206" w:lineRule="exact"/>
              <w:ind w:left="152" w:right="153"/>
              <w:jc w:val="center"/>
              <w:rPr>
                <w:sz w:val="18"/>
              </w:rPr>
            </w:pPr>
            <w:r>
              <w:rPr>
                <w:sz w:val="18"/>
              </w:rPr>
              <w:t>54.2</w:t>
            </w:r>
          </w:p>
          <w:p>
            <w:pPr>
              <w:pStyle w:val="TableParagraph"/>
              <w:spacing w:line="207" w:lineRule="exact"/>
              <w:ind w:left="152" w:right="150"/>
              <w:jc w:val="center"/>
              <w:rPr>
                <w:sz w:val="18"/>
              </w:rPr>
            </w:pPr>
            <w:r>
              <w:rPr>
                <w:sz w:val="18"/>
              </w:rPr>
              <w:t>50</w:t>
            </w:r>
          </w:p>
          <w:p>
            <w:pPr>
              <w:pStyle w:val="TableParagraph"/>
              <w:spacing w:before="2"/>
              <w:ind w:left="152" w:right="153"/>
              <w:jc w:val="center"/>
              <w:rPr>
                <w:sz w:val="18"/>
              </w:rPr>
            </w:pPr>
            <w:r>
              <w:rPr>
                <w:sz w:val="18"/>
              </w:rPr>
              <w:t>62.5</w:t>
            </w:r>
          </w:p>
        </w:tc>
        <w:tc>
          <w:tcPr>
            <w:tcW w:w="709" w:type="dxa"/>
          </w:tcPr>
          <w:p>
            <w:pPr>
              <w:pStyle w:val="TableParagraph"/>
              <w:spacing w:before="10"/>
              <w:rPr>
                <w:sz w:val="17"/>
              </w:rPr>
            </w:pPr>
          </w:p>
          <w:p>
            <w:pPr>
              <w:pStyle w:val="TableParagraph"/>
              <w:spacing w:line="207" w:lineRule="exact"/>
              <w:ind w:right="1"/>
              <w:jc w:val="center"/>
              <w:rPr>
                <w:sz w:val="18"/>
              </w:rPr>
            </w:pPr>
            <w:r>
              <w:rPr>
                <w:w w:val="99"/>
                <w:sz w:val="18"/>
              </w:rPr>
              <w:t>6</w:t>
            </w:r>
          </w:p>
          <w:p>
            <w:pPr>
              <w:pStyle w:val="TableParagraph"/>
              <w:spacing w:line="207" w:lineRule="exact"/>
              <w:ind w:right="1"/>
              <w:jc w:val="center"/>
              <w:rPr>
                <w:sz w:val="18"/>
              </w:rPr>
            </w:pPr>
            <w:r>
              <w:rPr>
                <w:w w:val="99"/>
                <w:sz w:val="18"/>
              </w:rPr>
              <w:t>5</w:t>
            </w:r>
          </w:p>
          <w:p>
            <w:pPr>
              <w:pStyle w:val="TableParagraph"/>
              <w:spacing w:before="1"/>
              <w:rPr>
                <w:sz w:val="18"/>
              </w:rPr>
            </w:pPr>
          </w:p>
          <w:p>
            <w:pPr>
              <w:pStyle w:val="TableParagraph"/>
              <w:ind w:right="1"/>
              <w:jc w:val="center"/>
              <w:rPr>
                <w:sz w:val="18"/>
              </w:rPr>
            </w:pPr>
            <w:r>
              <w:rPr>
                <w:w w:val="99"/>
                <w:sz w:val="18"/>
              </w:rPr>
              <w:t>4</w:t>
            </w:r>
          </w:p>
          <w:p>
            <w:pPr>
              <w:pStyle w:val="TableParagraph"/>
              <w:spacing w:before="10"/>
              <w:rPr>
                <w:sz w:val="17"/>
              </w:rPr>
            </w:pPr>
          </w:p>
          <w:p>
            <w:pPr>
              <w:pStyle w:val="TableParagraph"/>
              <w:ind w:left="229" w:right="228"/>
              <w:jc w:val="center"/>
              <w:rPr>
                <w:sz w:val="18"/>
              </w:rPr>
            </w:pPr>
            <w:r>
              <w:rPr>
                <w:sz w:val="18"/>
              </w:rPr>
              <w:t>19</w:t>
            </w:r>
          </w:p>
          <w:p>
            <w:pPr>
              <w:pStyle w:val="TableParagraph"/>
              <w:spacing w:line="207" w:lineRule="exact" w:before="2"/>
              <w:ind w:left="229" w:right="228"/>
              <w:jc w:val="center"/>
              <w:rPr>
                <w:sz w:val="18"/>
              </w:rPr>
            </w:pPr>
            <w:r>
              <w:rPr>
                <w:sz w:val="18"/>
              </w:rPr>
              <w:t>13</w:t>
            </w:r>
          </w:p>
          <w:p>
            <w:pPr>
              <w:pStyle w:val="TableParagraph"/>
              <w:spacing w:line="206" w:lineRule="exact"/>
              <w:ind w:left="229" w:right="228"/>
              <w:jc w:val="center"/>
              <w:rPr>
                <w:sz w:val="18"/>
              </w:rPr>
            </w:pPr>
            <w:r>
              <w:rPr>
                <w:sz w:val="18"/>
              </w:rPr>
              <w:t>15</w:t>
            </w:r>
          </w:p>
          <w:p>
            <w:pPr>
              <w:pStyle w:val="TableParagraph"/>
              <w:spacing w:line="206" w:lineRule="exact"/>
              <w:ind w:left="229" w:right="228"/>
              <w:jc w:val="center"/>
              <w:rPr>
                <w:sz w:val="18"/>
              </w:rPr>
            </w:pPr>
            <w:r>
              <w:rPr>
                <w:sz w:val="18"/>
              </w:rPr>
              <w:t>13</w:t>
            </w:r>
          </w:p>
          <w:p>
            <w:pPr>
              <w:pStyle w:val="TableParagraph"/>
              <w:spacing w:line="207" w:lineRule="exact"/>
              <w:ind w:left="229" w:right="228"/>
              <w:jc w:val="center"/>
              <w:rPr>
                <w:sz w:val="18"/>
              </w:rPr>
            </w:pPr>
            <w:r>
              <w:rPr>
                <w:sz w:val="18"/>
              </w:rPr>
              <w:t>11</w:t>
            </w:r>
          </w:p>
          <w:p>
            <w:pPr>
              <w:pStyle w:val="TableParagraph"/>
              <w:spacing w:before="2"/>
              <w:ind w:left="229" w:right="228"/>
              <w:jc w:val="center"/>
              <w:rPr>
                <w:sz w:val="18"/>
              </w:rPr>
            </w:pPr>
            <w:r>
              <w:rPr>
                <w:sz w:val="18"/>
              </w:rPr>
              <w:t>37</w:t>
            </w:r>
          </w:p>
        </w:tc>
        <w:tc>
          <w:tcPr>
            <w:tcW w:w="569" w:type="dxa"/>
          </w:tcPr>
          <w:p>
            <w:pPr>
              <w:pStyle w:val="TableParagraph"/>
              <w:spacing w:before="10"/>
              <w:rPr>
                <w:sz w:val="17"/>
              </w:rPr>
            </w:pPr>
          </w:p>
          <w:p>
            <w:pPr>
              <w:pStyle w:val="TableParagraph"/>
              <w:spacing w:line="207" w:lineRule="exact"/>
              <w:ind w:left="103"/>
              <w:rPr>
                <w:sz w:val="18"/>
              </w:rPr>
            </w:pPr>
            <w:r>
              <w:rPr>
                <w:sz w:val="18"/>
              </w:rPr>
              <w:t>10.3</w:t>
            </w:r>
          </w:p>
          <w:p>
            <w:pPr>
              <w:pStyle w:val="TableParagraph"/>
              <w:spacing w:line="207" w:lineRule="exact"/>
              <w:ind w:left="153"/>
              <w:rPr>
                <w:sz w:val="18"/>
              </w:rPr>
            </w:pPr>
            <w:r>
              <w:rPr>
                <w:sz w:val="18"/>
              </w:rPr>
              <w:t>8.6</w:t>
            </w:r>
          </w:p>
          <w:p>
            <w:pPr>
              <w:pStyle w:val="TableParagraph"/>
              <w:spacing w:before="1"/>
              <w:rPr>
                <w:sz w:val="18"/>
              </w:rPr>
            </w:pPr>
          </w:p>
          <w:p>
            <w:pPr>
              <w:pStyle w:val="TableParagraph"/>
              <w:ind w:left="153"/>
              <w:rPr>
                <w:sz w:val="18"/>
              </w:rPr>
            </w:pPr>
            <w:r>
              <w:rPr>
                <w:sz w:val="18"/>
              </w:rPr>
              <w:t>6.8</w:t>
            </w:r>
          </w:p>
          <w:p>
            <w:pPr>
              <w:pStyle w:val="TableParagraph"/>
              <w:spacing w:before="10"/>
              <w:rPr>
                <w:sz w:val="17"/>
              </w:rPr>
            </w:pPr>
          </w:p>
          <w:p>
            <w:pPr>
              <w:pStyle w:val="TableParagraph"/>
              <w:ind w:left="103"/>
              <w:rPr>
                <w:sz w:val="18"/>
              </w:rPr>
            </w:pPr>
            <w:r>
              <w:rPr>
                <w:sz w:val="18"/>
              </w:rPr>
              <w:t>32.7</w:t>
            </w:r>
          </w:p>
          <w:p>
            <w:pPr>
              <w:pStyle w:val="TableParagraph"/>
              <w:spacing w:line="207" w:lineRule="exact" w:before="2"/>
              <w:ind w:left="103"/>
              <w:rPr>
                <w:sz w:val="18"/>
              </w:rPr>
            </w:pPr>
            <w:r>
              <w:rPr>
                <w:sz w:val="18"/>
              </w:rPr>
              <w:t>22.4</w:t>
            </w:r>
          </w:p>
          <w:p>
            <w:pPr>
              <w:pStyle w:val="TableParagraph"/>
              <w:spacing w:line="206" w:lineRule="exact"/>
              <w:ind w:left="103"/>
              <w:rPr>
                <w:sz w:val="18"/>
              </w:rPr>
            </w:pPr>
            <w:r>
              <w:rPr>
                <w:sz w:val="18"/>
              </w:rPr>
              <w:t>25.8</w:t>
            </w:r>
          </w:p>
          <w:p>
            <w:pPr>
              <w:pStyle w:val="TableParagraph"/>
              <w:spacing w:line="206" w:lineRule="exact"/>
              <w:ind w:left="103"/>
              <w:rPr>
                <w:sz w:val="18"/>
              </w:rPr>
            </w:pPr>
            <w:r>
              <w:rPr>
                <w:sz w:val="18"/>
              </w:rPr>
              <w:t>22.4</w:t>
            </w:r>
          </w:p>
          <w:p>
            <w:pPr>
              <w:pStyle w:val="TableParagraph"/>
              <w:spacing w:line="207" w:lineRule="exact"/>
              <w:ind w:left="103"/>
              <w:rPr>
                <w:sz w:val="18"/>
              </w:rPr>
            </w:pPr>
            <w:r>
              <w:rPr>
                <w:sz w:val="18"/>
              </w:rPr>
              <w:t>18.9</w:t>
            </w:r>
          </w:p>
          <w:p>
            <w:pPr>
              <w:pStyle w:val="TableParagraph"/>
              <w:spacing w:before="2"/>
              <w:ind w:left="103"/>
              <w:rPr>
                <w:sz w:val="18"/>
              </w:rPr>
            </w:pPr>
            <w:r>
              <w:rPr>
                <w:sz w:val="18"/>
              </w:rPr>
              <w:t>63.7</w:t>
            </w:r>
          </w:p>
        </w:tc>
        <w:tc>
          <w:tcPr>
            <w:tcW w:w="708" w:type="dxa"/>
          </w:tcPr>
          <w:p>
            <w:pPr>
              <w:pStyle w:val="TableParagraph"/>
              <w:spacing w:before="10"/>
              <w:rPr>
                <w:sz w:val="17"/>
              </w:rPr>
            </w:pPr>
          </w:p>
          <w:p>
            <w:pPr>
              <w:pStyle w:val="TableParagraph"/>
              <w:spacing w:line="207" w:lineRule="exact"/>
              <w:ind w:left="152" w:right="152"/>
              <w:jc w:val="center"/>
              <w:rPr>
                <w:sz w:val="18"/>
              </w:rPr>
            </w:pPr>
            <w:r>
              <w:rPr>
                <w:sz w:val="18"/>
              </w:rPr>
              <w:t>52</w:t>
            </w:r>
          </w:p>
          <w:p>
            <w:pPr>
              <w:pStyle w:val="TableParagraph"/>
              <w:spacing w:line="207" w:lineRule="exact"/>
              <w:ind w:left="152" w:right="152"/>
              <w:jc w:val="center"/>
              <w:rPr>
                <w:sz w:val="18"/>
              </w:rPr>
            </w:pPr>
            <w:r>
              <w:rPr>
                <w:sz w:val="18"/>
              </w:rPr>
              <w:t>53</w:t>
            </w:r>
          </w:p>
          <w:p>
            <w:pPr>
              <w:pStyle w:val="TableParagraph"/>
              <w:spacing w:before="1"/>
              <w:rPr>
                <w:sz w:val="18"/>
              </w:rPr>
            </w:pPr>
          </w:p>
          <w:p>
            <w:pPr>
              <w:pStyle w:val="TableParagraph"/>
              <w:ind w:left="152" w:right="152"/>
              <w:jc w:val="center"/>
              <w:rPr>
                <w:sz w:val="18"/>
              </w:rPr>
            </w:pPr>
            <w:r>
              <w:rPr>
                <w:sz w:val="18"/>
              </w:rPr>
              <w:t>54</w:t>
            </w:r>
          </w:p>
          <w:p>
            <w:pPr>
              <w:pStyle w:val="TableParagraph"/>
              <w:spacing w:before="10"/>
              <w:rPr>
                <w:sz w:val="17"/>
              </w:rPr>
            </w:pPr>
          </w:p>
          <w:p>
            <w:pPr>
              <w:pStyle w:val="TableParagraph"/>
              <w:ind w:left="152" w:right="152"/>
              <w:jc w:val="center"/>
              <w:rPr>
                <w:sz w:val="18"/>
              </w:rPr>
            </w:pPr>
            <w:r>
              <w:rPr>
                <w:sz w:val="18"/>
              </w:rPr>
              <w:t>39</w:t>
            </w:r>
          </w:p>
          <w:p>
            <w:pPr>
              <w:pStyle w:val="TableParagraph"/>
              <w:spacing w:line="207" w:lineRule="exact" w:before="2"/>
              <w:ind w:left="152" w:right="152"/>
              <w:jc w:val="center"/>
              <w:rPr>
                <w:sz w:val="18"/>
              </w:rPr>
            </w:pPr>
            <w:r>
              <w:rPr>
                <w:sz w:val="18"/>
              </w:rPr>
              <w:t>45</w:t>
            </w:r>
          </w:p>
          <w:p>
            <w:pPr>
              <w:pStyle w:val="TableParagraph"/>
              <w:spacing w:line="206" w:lineRule="exact"/>
              <w:ind w:left="152" w:right="152"/>
              <w:jc w:val="center"/>
              <w:rPr>
                <w:sz w:val="18"/>
              </w:rPr>
            </w:pPr>
            <w:r>
              <w:rPr>
                <w:sz w:val="18"/>
              </w:rPr>
              <w:t>43</w:t>
            </w:r>
          </w:p>
          <w:p>
            <w:pPr>
              <w:pStyle w:val="TableParagraph"/>
              <w:spacing w:line="206" w:lineRule="exact"/>
              <w:ind w:left="152" w:right="152"/>
              <w:jc w:val="center"/>
              <w:rPr>
                <w:sz w:val="18"/>
              </w:rPr>
            </w:pPr>
            <w:r>
              <w:rPr>
                <w:sz w:val="18"/>
              </w:rPr>
              <w:t>45</w:t>
            </w:r>
          </w:p>
          <w:p>
            <w:pPr>
              <w:pStyle w:val="TableParagraph"/>
              <w:spacing w:line="207" w:lineRule="exact"/>
              <w:ind w:left="152" w:right="152"/>
              <w:jc w:val="center"/>
              <w:rPr>
                <w:sz w:val="18"/>
              </w:rPr>
            </w:pPr>
            <w:r>
              <w:rPr>
                <w:sz w:val="18"/>
              </w:rPr>
              <w:t>47</w:t>
            </w:r>
          </w:p>
          <w:p>
            <w:pPr>
              <w:pStyle w:val="TableParagraph"/>
              <w:spacing w:before="2"/>
              <w:ind w:left="152" w:right="152"/>
              <w:jc w:val="center"/>
              <w:rPr>
                <w:sz w:val="18"/>
              </w:rPr>
            </w:pPr>
            <w:r>
              <w:rPr>
                <w:sz w:val="18"/>
              </w:rPr>
              <w:t>21</w:t>
            </w:r>
          </w:p>
        </w:tc>
        <w:tc>
          <w:tcPr>
            <w:tcW w:w="708" w:type="dxa"/>
          </w:tcPr>
          <w:p>
            <w:pPr>
              <w:pStyle w:val="TableParagraph"/>
              <w:spacing w:before="10"/>
              <w:rPr>
                <w:sz w:val="17"/>
              </w:rPr>
            </w:pPr>
          </w:p>
          <w:p>
            <w:pPr>
              <w:pStyle w:val="TableParagraph"/>
              <w:spacing w:line="207" w:lineRule="exact"/>
              <w:ind w:left="172"/>
              <w:rPr>
                <w:sz w:val="18"/>
              </w:rPr>
            </w:pPr>
            <w:r>
              <w:rPr>
                <w:sz w:val="18"/>
              </w:rPr>
              <w:t>89.7</w:t>
            </w:r>
          </w:p>
          <w:p>
            <w:pPr>
              <w:pStyle w:val="TableParagraph"/>
              <w:spacing w:line="207" w:lineRule="exact"/>
              <w:ind w:left="172"/>
              <w:rPr>
                <w:sz w:val="18"/>
              </w:rPr>
            </w:pPr>
            <w:r>
              <w:rPr>
                <w:sz w:val="18"/>
              </w:rPr>
              <w:t>91.4</w:t>
            </w:r>
          </w:p>
          <w:p>
            <w:pPr>
              <w:pStyle w:val="TableParagraph"/>
              <w:spacing w:before="1"/>
              <w:rPr>
                <w:sz w:val="18"/>
              </w:rPr>
            </w:pPr>
          </w:p>
          <w:p>
            <w:pPr>
              <w:pStyle w:val="TableParagraph"/>
              <w:ind w:left="172"/>
              <w:rPr>
                <w:sz w:val="18"/>
              </w:rPr>
            </w:pPr>
            <w:r>
              <w:rPr>
                <w:sz w:val="18"/>
              </w:rPr>
              <w:t>93.2</w:t>
            </w:r>
          </w:p>
          <w:p>
            <w:pPr>
              <w:pStyle w:val="TableParagraph"/>
              <w:spacing w:before="10"/>
              <w:rPr>
                <w:sz w:val="17"/>
              </w:rPr>
            </w:pPr>
          </w:p>
          <w:p>
            <w:pPr>
              <w:pStyle w:val="TableParagraph"/>
              <w:ind w:left="172"/>
              <w:rPr>
                <w:sz w:val="18"/>
              </w:rPr>
            </w:pPr>
            <w:r>
              <w:rPr>
                <w:sz w:val="18"/>
              </w:rPr>
              <w:t>67.3</w:t>
            </w:r>
          </w:p>
          <w:p>
            <w:pPr>
              <w:pStyle w:val="TableParagraph"/>
              <w:spacing w:line="207" w:lineRule="exact" w:before="2"/>
              <w:ind w:left="172"/>
              <w:rPr>
                <w:sz w:val="18"/>
              </w:rPr>
            </w:pPr>
            <w:r>
              <w:rPr>
                <w:sz w:val="18"/>
              </w:rPr>
              <w:t>77.6</w:t>
            </w:r>
          </w:p>
          <w:p>
            <w:pPr>
              <w:pStyle w:val="TableParagraph"/>
              <w:spacing w:line="206" w:lineRule="exact"/>
              <w:ind w:left="172"/>
              <w:rPr>
                <w:sz w:val="18"/>
              </w:rPr>
            </w:pPr>
            <w:r>
              <w:rPr>
                <w:sz w:val="18"/>
              </w:rPr>
              <w:t>74.2</w:t>
            </w:r>
          </w:p>
          <w:p>
            <w:pPr>
              <w:pStyle w:val="TableParagraph"/>
              <w:spacing w:line="206" w:lineRule="exact"/>
              <w:ind w:left="172"/>
              <w:rPr>
                <w:sz w:val="18"/>
              </w:rPr>
            </w:pPr>
            <w:r>
              <w:rPr>
                <w:sz w:val="18"/>
              </w:rPr>
              <w:t>77.6</w:t>
            </w:r>
          </w:p>
          <w:p>
            <w:pPr>
              <w:pStyle w:val="TableParagraph"/>
              <w:spacing w:line="207" w:lineRule="exact"/>
              <w:ind w:left="172"/>
              <w:rPr>
                <w:sz w:val="18"/>
              </w:rPr>
            </w:pPr>
            <w:r>
              <w:rPr>
                <w:sz w:val="18"/>
              </w:rPr>
              <w:t>81.1</w:t>
            </w:r>
          </w:p>
          <w:p>
            <w:pPr>
              <w:pStyle w:val="TableParagraph"/>
              <w:spacing w:before="2"/>
              <w:ind w:left="172"/>
              <w:rPr>
                <w:sz w:val="18"/>
              </w:rPr>
            </w:pPr>
            <w:r>
              <w:rPr>
                <w:sz w:val="18"/>
              </w:rPr>
              <w:t>36.3</w:t>
            </w:r>
          </w:p>
        </w:tc>
      </w:tr>
    </w:tbl>
    <w:p>
      <w:pPr>
        <w:pStyle w:val="BodyText"/>
        <w:rPr>
          <w:sz w:val="20"/>
        </w:rPr>
      </w:pPr>
    </w:p>
    <w:p>
      <w:pPr>
        <w:pStyle w:val="BodyText"/>
        <w:spacing w:before="1"/>
        <w:rPr>
          <w:sz w:val="17"/>
        </w:rPr>
      </w:pPr>
    </w:p>
    <w:p>
      <w:pPr>
        <w:spacing w:before="0"/>
        <w:ind w:left="3686" w:right="4106" w:firstLine="0"/>
        <w:jc w:val="center"/>
        <w:rPr>
          <w:sz w:val="20"/>
        </w:rPr>
      </w:pPr>
      <w:r>
        <w:rPr>
          <w:sz w:val="20"/>
        </w:rPr>
        <w:t>(Miranda, 2014).</w:t>
      </w:r>
    </w:p>
    <w:p>
      <w:pPr>
        <w:pStyle w:val="BodyText"/>
        <w:rPr>
          <w:sz w:val="20"/>
        </w:rPr>
      </w:pPr>
    </w:p>
    <w:p>
      <w:pPr>
        <w:pStyle w:val="BodyText"/>
        <w:spacing w:before="5"/>
        <w:rPr>
          <w:sz w:val="21"/>
        </w:rPr>
      </w:pPr>
    </w:p>
    <w:p>
      <w:pPr>
        <w:pStyle w:val="BodyText"/>
        <w:ind w:left="222"/>
      </w:pPr>
      <w:r>
        <w:rPr>
          <w:u w:val="single"/>
        </w:rPr>
        <w:t>Gráfica 2.1 </w:t>
      </w:r>
      <w:r>
        <w:rPr/>
        <w:t>Acciones que el estudiantado considera violentas.</w:t>
      </w:r>
    </w:p>
    <w:p>
      <w:pPr>
        <w:pStyle w:val="BodyText"/>
        <w:rPr>
          <w:sz w:val="20"/>
        </w:rPr>
      </w:pPr>
    </w:p>
    <w:p>
      <w:pPr>
        <w:pStyle w:val="BodyText"/>
        <w:spacing w:before="5"/>
        <w:rPr>
          <w:sz w:val="17"/>
        </w:rPr>
      </w:pPr>
      <w:r>
        <w:rPr/>
        <w:pict>
          <v:group style="position:absolute;margin-left:89.627998pt;margin-top:12.002998pt;width:432.55pt;height:284.05pt;mso-position-horizontal-relative:page;mso-position-vertical-relative:paragraph;z-index:1744;mso-wrap-distance-left:0;mso-wrap-distance-right:0" coordorigin="1793,240" coordsize="8651,5681">
            <v:line style="position:absolute" from="7814,4715" to="7913,4715" stroked="true" strokeweight=".72pt" strokecolor="#858585"/>
            <v:line style="position:absolute" from="6439,4715" to="6636,4715" stroked="true" strokeweight=".72pt" strokecolor="#858585"/>
            <v:line style="position:absolute" from="6439,4247" to="6636,4247" stroked="true" strokeweight=".72pt" strokecolor="#858585"/>
            <v:line style="position:absolute" from="6439,3779" to="6636,3779" stroked="true" strokeweight=".72pt" strokecolor="#858585"/>
            <v:line style="position:absolute" from="6307,3311" to="6636,3311" stroked="true" strokeweight=".72pt" strokecolor="#858585"/>
            <v:line style="position:absolute" from="5914,2841" to="6636,2841" stroked="true" strokeweight=".72pt" strokecolor="#858585"/>
            <v:line style="position:absolute" from="4932,2373" to="6636,2373" stroked="true" strokeweight=".72pt" strokecolor="#858585"/>
            <v:line style="position:absolute" from="4932,1905" to="6636,1905" stroked="true" strokeweight=".72pt" strokecolor="#858585"/>
            <v:line style="position:absolute" from="6766,1437" to="7913,1437" stroked="true" strokeweight=".72pt" strokecolor="#858585"/>
            <v:line style="position:absolute" from="4932,1437" to="6636,1437" stroked="true" strokeweight=".72pt" strokecolor="#858585"/>
            <v:rect style="position:absolute;left:6636;top:1084;width:130;height:4102" filled="true" fillcolor="#4571a7" stroked="false">
              <v:fill type="solid"/>
            </v:rect>
            <v:line style="position:absolute" from="5064,4715" to="5261,4715" stroked="true" strokeweight=".72pt" strokecolor="#858585"/>
            <v:rect style="position:absolute;left:5261;top:4597;width:130;height:588" filled="true" fillcolor="#4571a7" stroked="false">
              <v:fill type="solid"/>
            </v:rect>
            <v:line style="position:absolute" from="5064,4247" to="5390,4247" stroked="true" strokeweight=".72pt" strokecolor="#858585"/>
            <v:rect style="position:absolute;left:5390;top:4209;width:132;height:977" filled="true" fillcolor="#aa4643" stroked="false">
              <v:fill type="solid"/>
            </v:rect>
            <v:rect style="position:absolute;left:6766;top:1473;width:132;height:3713" filled="true" fillcolor="#aa4643" stroked="false">
              <v:fill type="solid"/>
            </v:rect>
            <v:line style="position:absolute" from="3689,4715" to="3883,4715" stroked="true" strokeweight=".72pt" strokecolor="#858585"/>
            <v:line style="position:absolute" from="3689,4247" to="3883,4247" stroked="true" strokeweight=".72pt" strokecolor="#858585"/>
            <v:line style="position:absolute" from="3689,3779" to="3883,3779" stroked="true" strokeweight=".72pt" strokecolor="#858585"/>
            <v:line style="position:absolute" from="3689,3311" to="3883,3311" stroked="true" strokeweight=".72pt" strokecolor="#858585"/>
            <v:line style="position:absolute" from="3689,2841" to="3883,2841" stroked="true" strokeweight=".72pt" strokecolor="#858585"/>
            <v:line style="position:absolute" from="3689,2373" to="3883,2373" stroked="true" strokeweight=".72pt" strokecolor="#858585"/>
            <v:line style="position:absolute" from="2410,1905" to="3883,1905" stroked="true" strokeweight=".72pt" strokecolor="#858585"/>
            <v:line style="position:absolute" from="2410,1437" to="3883,1437" stroked="true" strokeweight=".72pt" strokecolor="#858585"/>
            <v:line style="position:absolute" from="2410,966" to="4015,966" stroked="true" strokeweight=".72pt" strokecolor="#858585"/>
            <v:rect style="position:absolute;left:3883;top:981;width:132;height:4205" filled="true" fillcolor="#4571a7" stroked="false">
              <v:fill type="solid"/>
            </v:rect>
            <v:line style="position:absolute" from="2410,4715" to="2902,4715" stroked="true" strokeweight=".72pt" strokecolor="#858585"/>
            <v:rect style="position:absolute;left:2508;top:4701;width:132;height:485" filled="true" fillcolor="#4571a7" stroked="false">
              <v:fill type="solid"/>
            </v:rect>
            <v:rect style="position:absolute;left:2640;top:4782;width:130;height:403" filled="true" fillcolor="#aa4643" stroked="false">
              <v:fill type="solid"/>
            </v:rect>
            <v:rect style="position:absolute;left:4015;top:901;width:132;height:4284" filled="true" fillcolor="#aa4643" stroked="false">
              <v:fill type="solid"/>
            </v:rect>
            <v:rect style="position:absolute;left:2770;top:4866;width:132;height:319" filled="true" fillcolor="#88a44e" stroked="false">
              <v:fill type="solid"/>
            </v:rect>
            <v:line style="position:absolute" from="4277,1905" to="4409,1905" stroked="true" strokeweight=".72pt" strokecolor="#858585"/>
            <v:line style="position:absolute" from="4277,1437" to="4802,1437" stroked="true" strokeweight=".72pt" strokecolor="#858585"/>
            <v:line style="position:absolute" from="4277,966" to="7913,966" stroked="true" strokeweight=".72pt" strokecolor="#858585"/>
            <v:rect style="position:absolute;left:4147;top:817;width:130;height:4368" filled="true" fillcolor="#88a44e" stroked="false">
              <v:fill type="solid"/>
            </v:rect>
            <v:rect style="position:absolute;left:5522;top:4012;width:130;height:1174" filled="true" fillcolor="#88a44e" stroked="false">
              <v:fill type="solid"/>
            </v:rect>
            <v:line style="position:absolute" from="7027,2841" to="7291,2841" stroked="true" strokeweight=".72pt" strokecolor="#858585"/>
            <v:line style="position:absolute" from="7027,2373" to="7682,2373" stroked="true" strokeweight=".72pt" strokecolor="#858585"/>
            <v:line style="position:absolute" from="7027,1905" to="7913,1905" stroked="true" strokeweight=".72pt" strokecolor="#858585"/>
            <v:rect style="position:absolute;left:6898;top:1669;width:130;height:3516" filled="true" fillcolor="#88a44e" stroked="false">
              <v:fill type="solid"/>
            </v:rect>
            <v:line style="position:absolute" from="2410,4247" to="2902,4247" stroked="true" strokeweight=".72pt" strokecolor="#858585"/>
            <v:line style="position:absolute" from="3034,3779" to="3557,3779" stroked="true" strokeweight=".72pt" strokecolor="#858585"/>
            <v:line style="position:absolute" from="2410,3779" to="2902,3779" stroked="true" strokeweight=".72pt" strokecolor="#858585"/>
            <v:rect style="position:absolute;left:2902;top:3652;width:132;height:1534" filled="true" fillcolor="#70578f" stroked="false">
              <v:fill type="solid"/>
            </v:rect>
            <v:rect style="position:absolute;left:4277;top:2029;width:132;height:3156" filled="true" fillcolor="#70578f" stroked="false">
              <v:fill type="solid"/>
            </v:rect>
            <v:line style="position:absolute" from="5064,3779" to="5652,3779" stroked="true" strokeweight=".72pt" strokecolor="#858585"/>
            <v:line style="position:absolute" from="4932,3311" to="5652,3311" stroked="true" strokeweight=".72pt" strokecolor="#858585"/>
            <v:line style="position:absolute" from="4932,2841" to="5652,2841" stroked="true" strokeweight=".72pt" strokecolor="#858585"/>
            <v:rect style="position:absolute;left:5652;top:2452;width:132;height:2734" filled="true" fillcolor="#70578f" stroked="false">
              <v:fill type="solid"/>
            </v:rect>
            <v:rect style="position:absolute;left:7027;top:3229;width:132;height:1956" filled="true" fillcolor="#70578f" stroked="false">
              <v:fill type="solid"/>
            </v:rect>
            <v:rect style="position:absolute;left:3034;top:4134;width:130;height:1051" filled="true" fillcolor="#4197ae" stroked="false">
              <v:fill type="solid"/>
            </v:rect>
            <v:rect style="position:absolute;left:4409;top:1547;width:130;height:3638" filled="true" fillcolor="#4197ae" stroked="false">
              <v:fill type="solid"/>
            </v:rect>
            <v:rect style="position:absolute;left:5784;top:2649;width:130;height:2537" filled="true" fillcolor="#4197ae" stroked="false">
              <v:fill type="solid"/>
            </v:rect>
            <v:rect style="position:absolute;left:7159;top:3033;width:132;height:2153" filled="true" fillcolor="#4197ae" stroked="false">
              <v:fill type="solid"/>
            </v:rect>
            <v:rect style="position:absolute;left:3163;top:3976;width:132;height:1210" filled="true" fillcolor="#db843c" stroked="false">
              <v:fill type="solid"/>
            </v:rect>
            <v:rect style="position:absolute;left:4538;top:1708;width:132;height:3478" filled="true" fillcolor="#db843c" stroked="false">
              <v:fill type="solid"/>
            </v:rect>
            <v:rect style="position:absolute;left:5914;top:3234;width:132;height:1951" filled="true" fillcolor="#db843c" stroked="false">
              <v:fill type="solid"/>
            </v:rect>
            <v:rect style="position:absolute;left:7291;top:2447;width:130;height:2738" filled="true" fillcolor="#db843c" stroked="false">
              <v:fill type="solid"/>
            </v:rect>
            <v:line style="position:absolute" from="3425,4247" to="3557,4247" stroked="true" strokeweight=".72pt" strokecolor="#858585"/>
            <v:rect style="position:absolute;left:3295;top:4134;width:130;height:1051" filled="true" fillcolor="#92a9cf" stroked="false">
              <v:fill type="solid"/>
            </v:rect>
            <v:rect style="position:absolute;left:4670;top:1547;width:132;height:3638" filled="true" fillcolor="#92a9cf" stroked="false">
              <v:fill type="solid"/>
            </v:rect>
            <v:rect style="position:absolute;left:6046;top:3037;width:132;height:2148" filled="true" fillcolor="#92a9cf" stroked="false">
              <v:fill type="solid"/>
            </v:rect>
            <v:line style="position:absolute" from="7553,2841" to="7682,2841" stroked="true" strokeweight=".72pt" strokecolor="#858585"/>
            <v:rect style="position:absolute;left:7421;top:2644;width:132;height:2542" filled="true" fillcolor="#92a9cf" stroked="false">
              <v:fill type="solid"/>
            </v:rect>
            <v:rect style="position:absolute;left:3425;top:4300;width:132;height:886" filled="true" fillcolor="#d19292" stroked="false">
              <v:fill type="solid"/>
            </v:rect>
            <v:rect style="position:absolute;left:4802;top:1384;width:130;height:3802" filled="true" fillcolor="#d19292" stroked="false">
              <v:fill type="solid"/>
            </v:rect>
            <v:rect style="position:absolute;left:6178;top:2841;width:130;height:2345" filled="true" fillcolor="#d19292" stroked="false">
              <v:fill type="solid"/>
            </v:rect>
            <v:rect style="position:absolute;left:7553;top:2841;width:130;height:2345" filled="true" fillcolor="#d19292" stroked="false">
              <v:fill type="solid"/>
            </v:rect>
            <v:line style="position:absolute" from="2410,3311" to="3557,3311" stroked="true" strokeweight=".72pt" strokecolor="#858585"/>
            <v:line style="position:absolute" from="2410,2841" to="3557,2841" stroked="true" strokeweight=".72pt" strokecolor="#858585"/>
            <v:line style="position:absolute" from="2410,2373" to="3557,2373" stroked="true" strokeweight=".72pt" strokecolor="#858585"/>
            <v:rect style="position:absolute;left:3557;top:2200;width:132;height:2986" filled="true" fillcolor="#b8cd95" stroked="false">
              <v:fill type="solid"/>
            </v:rect>
            <v:rect style="position:absolute;left:4932;top:3484;width:132;height:1702" filled="true" fillcolor="#b8cd95" stroked="false">
              <v:fill type="solid"/>
            </v:rect>
            <v:rect style="position:absolute;left:6307;top:3426;width:132;height:1759" filled="true" fillcolor="#b8cd95" stroked="false">
              <v:fill type="solid"/>
            </v:rect>
            <v:line style="position:absolute" from="7814,4247" to="7913,4247" stroked="true" strokeweight=".72pt" strokecolor="#858585"/>
            <v:line style="position:absolute" from="7814,3779" to="7913,3779" stroked="true" strokeweight=".72pt" strokecolor="#858585"/>
            <v:line style="position:absolute" from="7814,3311" to="7913,3311" stroked="true" strokeweight=".72pt" strokecolor="#858585"/>
            <v:line style="position:absolute" from="7814,2841" to="7913,2841" stroked="true" strokeweight=".72pt" strokecolor="#858585"/>
            <v:line style="position:absolute" from="7814,2373" to="7913,2373" stroked="true" strokeweight=".72pt" strokecolor="#858585"/>
            <v:rect style="position:absolute;left:7682;top:2255;width:132;height:2930" filled="true" fillcolor="#b8cd95" stroked="false">
              <v:fill type="solid"/>
            </v:rect>
            <v:line style="position:absolute" from="2410,498" to="7913,498" stroked="true" strokeweight=".72pt" strokecolor="#858585"/>
            <v:line style="position:absolute" from="2410,5185" to="2410,498" stroked="true" strokeweight=".72pt" strokecolor="#858585"/>
            <v:line style="position:absolute" from="2347,5185" to="2410,5185" stroked="true" strokeweight=".72pt" strokecolor="#858585"/>
            <v:line style="position:absolute" from="2347,4715" to="2410,4715" stroked="true" strokeweight=".72pt" strokecolor="#858585"/>
            <v:line style="position:absolute" from="2347,4247" to="2410,4247" stroked="true" strokeweight=".72pt" strokecolor="#858585"/>
            <v:line style="position:absolute" from="2347,3779" to="2410,3779" stroked="true" strokeweight=".72pt" strokecolor="#858585"/>
            <v:line style="position:absolute" from="2347,3311" to="2410,3311" stroked="true" strokeweight=".72pt" strokecolor="#858585"/>
            <v:line style="position:absolute" from="2347,2841" to="2410,2841" stroked="true" strokeweight=".72pt" strokecolor="#858585"/>
            <v:line style="position:absolute" from="2347,2373" to="2410,2373" stroked="true" strokeweight=".72pt" strokecolor="#858585"/>
            <v:line style="position:absolute" from="2347,1905" to="2410,1905" stroked="true" strokeweight=".72pt" strokecolor="#858585"/>
            <v:line style="position:absolute" from="2347,1437" to="2410,1437" stroked="true" strokeweight=".72pt" strokecolor="#858585"/>
            <v:line style="position:absolute" from="2347,966" to="2410,966" stroked="true" strokeweight=".72pt" strokecolor="#858585"/>
            <v:line style="position:absolute" from="2347,498" to="2410,498" stroked="true" strokeweight=".72pt" strokecolor="#858585"/>
            <v:line style="position:absolute" from="2410,5185" to="7913,5185" stroked="true" strokeweight=".72pt" strokecolor="#858585"/>
            <v:line style="position:absolute" from="2410,5185" to="2410,5248" stroked="true" strokeweight=".72pt" strokecolor="#858585"/>
            <v:line style="position:absolute" from="3785,5185" to="3785,5248" stroked="true" strokeweight=".72pt" strokecolor="#858585"/>
            <v:line style="position:absolute" from="5162,5185" to="5162,5248" stroked="true" strokeweight=".72pt" strokecolor="#858585"/>
            <v:line style="position:absolute" from="6538,5185" to="6538,5248" stroked="true" strokeweight=".72pt" strokecolor="#858585"/>
            <v:line style="position:absolute" from="7913,5185" to="7913,5248" stroked="true" strokeweight=".72pt" strokecolor="#858585"/>
            <v:rect style="position:absolute;left:8390;top:493;width:110;height:110" filled="true" fillcolor="#4571a7" stroked="false">
              <v:fill type="solid"/>
            </v:rect>
            <v:rect style="position:absolute;left:8390;top:1098;width:110;height:108" filled="true" fillcolor="#aa4643" stroked="false">
              <v:fill type="solid"/>
            </v:rect>
            <v:rect style="position:absolute;left:8390;top:1701;width:110;height:110" filled="true" fillcolor="#88a44e" stroked="false">
              <v:fill type="solid"/>
            </v:rect>
            <v:rect style="position:absolute;left:8390;top:2303;width:110;height:110" filled="true" fillcolor="#70578f" stroked="false">
              <v:fill type="solid"/>
            </v:rect>
            <v:rect style="position:absolute;left:8390;top:2905;width:110;height:110" filled="true" fillcolor="#4197ae" stroked="false">
              <v:fill type="solid"/>
            </v:rect>
            <v:rect style="position:absolute;left:8390;top:3508;width:110;height:110" filled="true" fillcolor="#db843c" stroked="false">
              <v:fill type="solid"/>
            </v:rect>
            <v:rect style="position:absolute;left:8390;top:4113;width:110;height:108" filled="true" fillcolor="#92a9cf" stroked="false">
              <v:fill type="solid"/>
            </v:rect>
            <v:rect style="position:absolute;left:8390;top:4715;width:110;height:110" filled="true" fillcolor="#d19292" stroked="false">
              <v:fill type="solid"/>
            </v:rect>
            <v:rect style="position:absolute;left:8390;top:5317;width:110;height:110" filled="true" fillcolor="#b8cd95" stroked="false">
              <v:fill type="solid"/>
            </v:rect>
            <v:rect style="position:absolute;left:1800;top:248;width:8636;height:5666" filled="false" stroked="true" strokeweight=".75pt" strokecolor="#858585"/>
            <v:shape style="position:absolute;left:1919;top:405;width:305;height:200" type="#_x0000_t202" filled="false" stroked="false">
              <v:textbox inset="0,0,0,0">
                <w:txbxContent>
                  <w:p>
                    <w:pPr>
                      <w:spacing w:line="199" w:lineRule="exact" w:before="0"/>
                      <w:ind w:left="0" w:right="-20" w:firstLine="0"/>
                      <w:jc w:val="left"/>
                      <w:rPr>
                        <w:rFonts w:ascii="Calibri"/>
                        <w:sz w:val="20"/>
                      </w:rPr>
                    </w:pPr>
                    <w:r>
                      <w:rPr>
                        <w:rFonts w:ascii="Calibri"/>
                        <w:sz w:val="20"/>
                      </w:rPr>
                      <w:t>100</w:t>
                    </w:r>
                  </w:p>
                </w:txbxContent>
              </v:textbox>
              <w10:wrap type="none"/>
            </v:shape>
            <v:shape style="position:absolute;left:8548;top:456;width:48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Celos.</w:t>
                    </w:r>
                  </w:p>
                </w:txbxContent>
              </v:textbox>
              <w10:wrap type="none"/>
            </v:shape>
            <v:shape style="position:absolute;left:2020;top:874;width:202;height:1606"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90</w:t>
                    </w:r>
                  </w:p>
                  <w:p>
                    <w:pPr>
                      <w:spacing w:line="240" w:lineRule="auto" w:before="6"/>
                      <w:rPr>
                        <w:sz w:val="19"/>
                      </w:rPr>
                    </w:pPr>
                  </w:p>
                  <w:p>
                    <w:pPr>
                      <w:spacing w:before="0"/>
                      <w:ind w:left="0" w:right="-19" w:firstLine="0"/>
                      <w:jc w:val="left"/>
                      <w:rPr>
                        <w:rFonts w:ascii="Calibri"/>
                        <w:sz w:val="20"/>
                      </w:rPr>
                    </w:pPr>
                    <w:r>
                      <w:rPr>
                        <w:rFonts w:ascii="Calibri"/>
                        <w:spacing w:val="-1"/>
                        <w:sz w:val="20"/>
                      </w:rPr>
                      <w:t>80</w:t>
                    </w:r>
                  </w:p>
                  <w:p>
                    <w:pPr>
                      <w:spacing w:line="240" w:lineRule="auto" w:before="5"/>
                      <w:rPr>
                        <w:sz w:val="19"/>
                      </w:rPr>
                    </w:pPr>
                  </w:p>
                  <w:p>
                    <w:pPr>
                      <w:spacing w:before="1"/>
                      <w:ind w:left="0" w:right="-19" w:firstLine="0"/>
                      <w:jc w:val="left"/>
                      <w:rPr>
                        <w:rFonts w:ascii="Calibri"/>
                        <w:sz w:val="20"/>
                      </w:rPr>
                    </w:pPr>
                    <w:r>
                      <w:rPr>
                        <w:rFonts w:ascii="Calibri"/>
                        <w:spacing w:val="-1"/>
                        <w:sz w:val="20"/>
                      </w:rPr>
                      <w:t>70</w:t>
                    </w:r>
                  </w:p>
                  <w:p>
                    <w:pPr>
                      <w:spacing w:line="240" w:lineRule="auto" w:before="6"/>
                      <w:rPr>
                        <w:sz w:val="19"/>
                      </w:rPr>
                    </w:pPr>
                  </w:p>
                  <w:p>
                    <w:pPr>
                      <w:spacing w:line="240" w:lineRule="exact" w:before="0"/>
                      <w:ind w:left="0" w:right="-19" w:firstLine="0"/>
                      <w:jc w:val="left"/>
                      <w:rPr>
                        <w:rFonts w:ascii="Calibri"/>
                        <w:sz w:val="20"/>
                      </w:rPr>
                    </w:pPr>
                    <w:r>
                      <w:rPr>
                        <w:rFonts w:ascii="Calibri"/>
                        <w:spacing w:val="-1"/>
                        <w:sz w:val="20"/>
                      </w:rPr>
                      <w:t>60</w:t>
                    </w:r>
                  </w:p>
                </w:txbxContent>
              </v:textbox>
              <w10:wrap type="none"/>
            </v:shape>
            <v:shape style="position:absolute;left:8548;top:1059;width:1585;height:1406" type="#_x0000_t202" filled="false" stroked="false">
              <v:textbox inset="0,0,0,0">
                <w:txbxContent>
                  <w:p>
                    <w:pPr>
                      <w:spacing w:line="203" w:lineRule="exact" w:before="0"/>
                      <w:ind w:left="0" w:right="-18" w:firstLine="0"/>
                      <w:jc w:val="left"/>
                      <w:rPr>
                        <w:rFonts w:ascii="Calibri"/>
                        <w:sz w:val="20"/>
                      </w:rPr>
                    </w:pPr>
                    <w:r>
                      <w:rPr>
                        <w:rFonts w:ascii="Calibri"/>
                        <w:sz w:val="20"/>
                      </w:rPr>
                      <w:t>Nulo respeto a la</w:t>
                    </w:r>
                  </w:p>
                  <w:p>
                    <w:pPr>
                      <w:spacing w:before="1"/>
                      <w:ind w:left="0" w:right="-18" w:firstLine="0"/>
                      <w:jc w:val="left"/>
                      <w:rPr>
                        <w:rFonts w:ascii="Calibri"/>
                        <w:sz w:val="20"/>
                      </w:rPr>
                    </w:pPr>
                    <w:r>
                      <w:rPr>
                        <w:rFonts w:ascii="Calibri"/>
                        <w:sz w:val="20"/>
                      </w:rPr>
                      <w:t>privacidad del otro.</w:t>
                    </w:r>
                  </w:p>
                  <w:p>
                    <w:pPr>
                      <w:spacing w:before="114"/>
                      <w:ind w:left="0" w:right="-14" w:firstLine="0"/>
                      <w:jc w:val="left"/>
                      <w:rPr>
                        <w:rFonts w:ascii="Calibri"/>
                        <w:sz w:val="20"/>
                      </w:rPr>
                    </w:pPr>
                    <w:r>
                      <w:rPr>
                        <w:rFonts w:ascii="Calibri"/>
                        <w:sz w:val="20"/>
                      </w:rPr>
                      <w:t>Control sobre las decisiones del</w:t>
                    </w:r>
                    <w:r>
                      <w:rPr>
                        <w:rFonts w:ascii="Calibri"/>
                        <w:spacing w:val="-8"/>
                        <w:sz w:val="20"/>
                      </w:rPr>
                      <w:t> </w:t>
                    </w:r>
                    <w:r>
                      <w:rPr>
                        <w:rFonts w:ascii="Calibri"/>
                        <w:sz w:val="20"/>
                      </w:rPr>
                      <w:t>otro.</w:t>
                    </w:r>
                  </w:p>
                  <w:p>
                    <w:pPr>
                      <w:spacing w:line="240" w:lineRule="exact" w:before="114"/>
                      <w:ind w:left="0" w:right="-18" w:firstLine="0"/>
                      <w:jc w:val="left"/>
                      <w:rPr>
                        <w:rFonts w:ascii="Calibri"/>
                        <w:sz w:val="20"/>
                      </w:rPr>
                    </w:pPr>
                    <w:r>
                      <w:rPr>
                        <w:rFonts w:ascii="Calibri"/>
                        <w:sz w:val="20"/>
                      </w:rPr>
                      <w:t>Golpes.</w:t>
                    </w:r>
                  </w:p>
                </w:txbxContent>
              </v:textbox>
              <w10:wrap type="none"/>
            </v:shape>
            <v:shape style="position:absolute;left:2020;top:274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8548;top:2868;width:842;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Asesinato.</w:t>
                    </w:r>
                  </w:p>
                </w:txbxContent>
              </v:textbox>
              <w10:wrap type="none"/>
            </v:shape>
            <v:shape style="position:absolute;left:2020;top:321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8548;top:3471;width:1096;height:200" type="#_x0000_t202" filled="false" stroked="false">
              <v:textbox inset="0,0,0,0">
                <w:txbxContent>
                  <w:p>
                    <w:pPr>
                      <w:spacing w:line="199" w:lineRule="exact" w:before="0"/>
                      <w:ind w:left="0" w:right="-15" w:firstLine="0"/>
                      <w:jc w:val="left"/>
                      <w:rPr>
                        <w:rFonts w:ascii="Calibri"/>
                        <w:sz w:val="20"/>
                      </w:rPr>
                    </w:pPr>
                    <w:r>
                      <w:rPr>
                        <w:rFonts w:ascii="Calibri"/>
                        <w:sz w:val="20"/>
                      </w:rPr>
                      <w:t>Acoso</w:t>
                    </w:r>
                    <w:r>
                      <w:rPr>
                        <w:rFonts w:ascii="Calibri"/>
                        <w:spacing w:val="-6"/>
                        <w:sz w:val="20"/>
                      </w:rPr>
                      <w:t> </w:t>
                    </w:r>
                    <w:r>
                      <w:rPr>
                        <w:rFonts w:ascii="Calibri"/>
                        <w:sz w:val="20"/>
                      </w:rPr>
                      <w:t>sexual.</w:t>
                    </w:r>
                  </w:p>
                </w:txbxContent>
              </v:textbox>
              <w10:wrap type="none"/>
            </v:shape>
            <v:shape style="position:absolute;left:2020;top:3686;width:202;height:668"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30</w:t>
                    </w:r>
                  </w:p>
                  <w:p>
                    <w:pPr>
                      <w:spacing w:line="240" w:lineRule="auto" w:before="5"/>
                      <w:rPr>
                        <w:sz w:val="19"/>
                      </w:rPr>
                    </w:pPr>
                  </w:p>
                  <w:p>
                    <w:pPr>
                      <w:spacing w:line="240" w:lineRule="exact" w:before="1"/>
                      <w:ind w:left="0" w:right="-19" w:firstLine="0"/>
                      <w:jc w:val="left"/>
                      <w:rPr>
                        <w:rFonts w:ascii="Calibri"/>
                        <w:sz w:val="20"/>
                      </w:rPr>
                    </w:pPr>
                    <w:r>
                      <w:rPr>
                        <w:rFonts w:ascii="Calibri"/>
                        <w:spacing w:val="-1"/>
                        <w:sz w:val="20"/>
                      </w:rPr>
                      <w:t>20</w:t>
                    </w:r>
                  </w:p>
                </w:txbxContent>
              </v:textbox>
              <w10:wrap type="none"/>
            </v:shape>
            <v:shape style="position:absolute;left:8548;top:4074;width:1015;height:200" type="#_x0000_t202" filled="false" stroked="false">
              <v:textbox inset="0,0,0,0">
                <w:txbxContent>
                  <w:p>
                    <w:pPr>
                      <w:spacing w:line="199" w:lineRule="exact" w:before="0"/>
                      <w:ind w:left="0" w:right="0" w:firstLine="0"/>
                      <w:jc w:val="left"/>
                      <w:rPr>
                        <w:rFonts w:ascii="Calibri" w:hAnsi="Calibri"/>
                        <w:sz w:val="20"/>
                      </w:rPr>
                    </w:pPr>
                    <w:r>
                      <w:rPr>
                        <w:rFonts w:ascii="Calibri" w:hAnsi="Calibri"/>
                        <w:w w:val="95"/>
                        <w:sz w:val="20"/>
                      </w:rPr>
                      <w:t>Humillación.</w:t>
                    </w:r>
                  </w:p>
                </w:txbxContent>
              </v:textbox>
              <w10:wrap type="none"/>
            </v:shape>
            <v:shape style="position:absolute;left:2020;top:462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8548;top:4677;width:543;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Gritos.</w:t>
                    </w:r>
                  </w:p>
                </w:txbxContent>
              </v:textbox>
              <w10:wrap type="none"/>
            </v:shape>
            <v:shape style="position:absolute;left:2122;top:5092;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2584;top:5352;width:3789;height:200" type="#_x0000_t202" filled="false" stroked="false">
              <v:textbox inset="0,0,0,0">
                <w:txbxContent>
                  <w:p>
                    <w:pPr>
                      <w:tabs>
                        <w:tab w:pos="1338" w:val="left" w:leader="none"/>
                        <w:tab w:pos="2738" w:val="left" w:leader="none"/>
                      </w:tabs>
                      <w:spacing w:line="199" w:lineRule="exact" w:before="0"/>
                      <w:ind w:left="0" w:right="0" w:firstLine="0"/>
                      <w:jc w:val="left"/>
                      <w:rPr>
                        <w:rFonts w:ascii="Calibri" w:hAnsi="Calibri"/>
                        <w:sz w:val="20"/>
                      </w:rPr>
                    </w:pPr>
                    <w:r>
                      <w:rPr>
                        <w:rFonts w:ascii="Calibri" w:hAnsi="Calibri"/>
                        <w:sz w:val="20"/>
                      </w:rPr>
                      <w:t>SÍ</w:t>
                    </w:r>
                    <w:r>
                      <w:rPr>
                        <w:rFonts w:ascii="Calibri" w:hAnsi="Calibri"/>
                        <w:spacing w:val="-3"/>
                        <w:sz w:val="20"/>
                      </w:rPr>
                      <w:t> </w:t>
                    </w:r>
                    <w:r>
                      <w:rPr>
                        <w:rFonts w:ascii="Calibri" w:hAnsi="Calibri"/>
                        <w:sz w:val="20"/>
                      </w:rPr>
                      <w:t>(Mujeres)</w:t>
                      <w:tab/>
                      <w:t>NO</w:t>
                    </w:r>
                    <w:r>
                      <w:rPr>
                        <w:rFonts w:ascii="Calibri" w:hAnsi="Calibri"/>
                        <w:spacing w:val="-2"/>
                        <w:sz w:val="20"/>
                      </w:rPr>
                      <w:t> </w:t>
                    </w:r>
                    <w:r>
                      <w:rPr>
                        <w:rFonts w:ascii="Calibri" w:hAnsi="Calibri"/>
                        <w:sz w:val="20"/>
                      </w:rPr>
                      <w:t>(Mujeres)</w:t>
                      <w:tab/>
                      <w:t>SÍ</w:t>
                    </w:r>
                    <w:r>
                      <w:rPr>
                        <w:rFonts w:ascii="Calibri" w:hAnsi="Calibri"/>
                        <w:spacing w:val="-6"/>
                        <w:sz w:val="20"/>
                      </w:rPr>
                      <w:t> </w:t>
                    </w:r>
                    <w:r>
                      <w:rPr>
                        <w:rFonts w:ascii="Calibri" w:hAnsi="Calibri"/>
                        <w:sz w:val="20"/>
                      </w:rPr>
                      <w:t>(Hombres)</w:t>
                    </w:r>
                  </w:p>
                </w:txbxContent>
              </v:textbox>
              <w10:wrap type="none"/>
            </v:shape>
            <v:shape style="position:absolute;left:6638;top:5352;width:1169;height:200" type="#_x0000_t202" filled="false" stroked="false">
              <v:textbox inset="0,0,0,0">
                <w:txbxContent>
                  <w:p>
                    <w:pPr>
                      <w:spacing w:line="199" w:lineRule="exact" w:before="0"/>
                      <w:ind w:left="0" w:right="-14" w:firstLine="0"/>
                      <w:jc w:val="left"/>
                      <w:rPr>
                        <w:rFonts w:ascii="Calibri"/>
                        <w:sz w:val="20"/>
                      </w:rPr>
                    </w:pPr>
                    <w:r>
                      <w:rPr>
                        <w:rFonts w:ascii="Calibri"/>
                        <w:sz w:val="20"/>
                      </w:rPr>
                      <w:t>NO</w:t>
                    </w:r>
                    <w:r>
                      <w:rPr>
                        <w:rFonts w:ascii="Calibri"/>
                        <w:spacing w:val="-8"/>
                        <w:sz w:val="20"/>
                      </w:rPr>
                      <w:t> </w:t>
                    </w:r>
                    <w:r>
                      <w:rPr>
                        <w:rFonts w:ascii="Calibri"/>
                        <w:sz w:val="20"/>
                      </w:rPr>
                      <w:t>(Hombres)</w:t>
                    </w:r>
                  </w:p>
                </w:txbxContent>
              </v:textbox>
              <w10:wrap type="none"/>
            </v:shape>
            <v:shape style="position:absolute;left:8548;top:5280;width:1677;height:200" type="#_x0000_t202" filled="false" stroked="false">
              <v:textbox inset="0,0,0,0">
                <w:txbxContent>
                  <w:p>
                    <w:pPr>
                      <w:spacing w:line="199" w:lineRule="exact" w:before="0"/>
                      <w:ind w:left="0" w:right="-14" w:firstLine="0"/>
                      <w:jc w:val="left"/>
                      <w:rPr>
                        <w:rFonts w:ascii="Calibri"/>
                        <w:sz w:val="20"/>
                      </w:rPr>
                    </w:pPr>
                    <w:r>
                      <w:rPr>
                        <w:rFonts w:ascii="Calibri"/>
                        <w:sz w:val="20"/>
                      </w:rPr>
                      <w:t>Todas las</w:t>
                    </w:r>
                    <w:r>
                      <w:rPr>
                        <w:rFonts w:ascii="Calibri"/>
                        <w:spacing w:val="-8"/>
                        <w:sz w:val="20"/>
                      </w:rPr>
                      <w:t> </w:t>
                    </w:r>
                    <w:r>
                      <w:rPr>
                        <w:rFonts w:ascii="Calibri"/>
                        <w:sz w:val="20"/>
                      </w:rPr>
                      <w:t>anteriores.</w:t>
                    </w:r>
                  </w:p>
                </w:txbxContent>
              </v:textbox>
              <w10:wrap type="none"/>
            </v:shape>
            <w10:wrap type="topAndBottom"/>
          </v:group>
        </w:pict>
      </w:r>
    </w:p>
    <w:p>
      <w:pPr>
        <w:pStyle w:val="BodyText"/>
        <w:spacing w:before="8"/>
        <w:rPr>
          <w:sz w:val="20"/>
        </w:rPr>
      </w:pPr>
    </w:p>
    <w:p>
      <w:pPr>
        <w:spacing w:before="74"/>
        <w:ind w:left="3686" w:right="4106" w:firstLine="0"/>
        <w:jc w:val="center"/>
        <w:rPr>
          <w:sz w:val="20"/>
        </w:rPr>
      </w:pPr>
      <w:r>
        <w:rPr>
          <w:sz w:val="20"/>
        </w:rPr>
        <w:t>(Miranda, 2014).</w:t>
      </w:r>
    </w:p>
    <w:p>
      <w:pPr>
        <w:spacing w:after="0"/>
        <w:jc w:val="center"/>
        <w:rPr>
          <w:sz w:val="20"/>
        </w:rPr>
        <w:sectPr>
          <w:pgSz w:w="12240" w:h="15840"/>
          <w:pgMar w:header="0" w:footer="1032" w:top="1360" w:bottom="1220" w:left="1480" w:right="1060"/>
        </w:sectPr>
      </w:pPr>
    </w:p>
    <w:p>
      <w:pPr>
        <w:pStyle w:val="BodyText"/>
        <w:spacing w:line="360" w:lineRule="auto" w:before="57"/>
        <w:ind w:left="102" w:right="115"/>
        <w:jc w:val="both"/>
      </w:pPr>
      <w:r>
        <w:rPr/>
        <w:t>Los estudiantes de comunicación de la presente muestra consideraron principalmente a las siguientes acciones violentas: “golpes” en primer lugar, “asesinato” en segundo lugar, y “humillación” en tercero. Por otra parte llama la atención que la categoría “Celos” ocupa el último lugar de esta categoría y por lo tanto la última acción en ser considerada como violencia por este grupo, seguida de las categorías “Nulo respeto a la privacidad del otro” y “Control sobre las decisiones del otro” en segundo y tercer lugar respectivamente de las menos votadas.</w:t>
      </w:r>
    </w:p>
    <w:p>
      <w:pPr>
        <w:pStyle w:val="BodyText"/>
        <w:spacing w:line="360" w:lineRule="auto" w:before="205"/>
        <w:ind w:left="102" w:right="122"/>
        <w:jc w:val="both"/>
      </w:pPr>
      <w:r>
        <w:rPr/>
        <w:t>En cuanto a ellas, una significativa mayoría (63.7%) valoraron a todas las respuestas posibles como una forma de violencia; en esta ocasión la categoría “Control sobre las decisiones del otro” fue la menos votada, seguida de la categoría “Nulo respeto a la privacidad del otro”, y</w:t>
      </w:r>
      <w:r>
        <w:rPr>
          <w:spacing w:val="-18"/>
        </w:rPr>
        <w:t> </w:t>
      </w:r>
      <w:r>
        <w:rPr/>
        <w:t>“Celos”.</w:t>
      </w:r>
    </w:p>
    <w:p>
      <w:pPr>
        <w:pStyle w:val="BodyText"/>
        <w:spacing w:line="360" w:lineRule="auto" w:before="202"/>
        <w:ind w:left="102" w:right="116"/>
        <w:jc w:val="both"/>
      </w:pPr>
      <w:r>
        <w:rPr/>
        <w:t>En este sentido, resulta preocupante el hecho de que en su mayoría, los hombres descartaron formas de violencia que se consideran “ocultas” tales como el control, los celos y la invasión de la privacidad, en </w:t>
      </w:r>
      <w:r>
        <w:rPr>
          <w:spacing w:val="3"/>
        </w:rPr>
        <w:t>el </w:t>
      </w:r>
      <w:r>
        <w:rPr/>
        <w:t>entendido de que éstas se encuentran normalizadas en el entorno social. Un aspecto más para tomar en cuenta es el hecho de que, el “asesinato”, no fue seleccionado como la acción violenta principal, siendo que éste, es el último tipo de violencia a razón de su irreversibilidad.</w:t>
      </w:r>
    </w:p>
    <w:p>
      <w:pPr>
        <w:pStyle w:val="BodyText"/>
        <w:spacing w:line="360" w:lineRule="auto" w:before="204"/>
        <w:ind w:left="102" w:right="116"/>
        <w:jc w:val="both"/>
      </w:pPr>
      <w:r>
        <w:rPr/>
        <w:t>Lo anterior, nos recuerda que las variantes de la violencia dentro del sistema de género que se ejercen sobre las mujeres, son reproducidas y reforzadas por ellas mismas a causa de la normalización, la desinformación y la falta de políticas de prevención y sanción de aquellos que violentan su integridad (Vélez, 2014).</w:t>
      </w:r>
    </w:p>
    <w:p>
      <w:pPr>
        <w:spacing w:after="0" w:line="360" w:lineRule="auto"/>
        <w:jc w:val="both"/>
        <w:sectPr>
          <w:pgSz w:w="12240" w:h="15840"/>
          <w:pgMar w:header="0" w:footer="1032" w:top="1360" w:bottom="1220" w:left="1600" w:right="1580"/>
        </w:sectPr>
      </w:pPr>
    </w:p>
    <w:p>
      <w:pPr>
        <w:spacing w:before="57"/>
        <w:ind w:left="102" w:right="601" w:firstLine="0"/>
        <w:jc w:val="left"/>
        <w:rPr>
          <w:sz w:val="22"/>
        </w:rPr>
      </w:pPr>
      <w:r>
        <w:rPr>
          <w:b/>
          <w:sz w:val="24"/>
        </w:rPr>
        <w:t>Pregunta 3. </w:t>
      </w:r>
      <w:r>
        <w:rPr>
          <w:sz w:val="22"/>
        </w:rPr>
        <w:t>(Ver anexo 1)</w:t>
      </w:r>
    </w:p>
    <w:p>
      <w:pPr>
        <w:pStyle w:val="BodyText"/>
        <w:spacing w:before="4"/>
        <w:rPr>
          <w:sz w:val="29"/>
        </w:rPr>
      </w:pPr>
    </w:p>
    <w:p>
      <w:pPr>
        <w:pStyle w:val="BodyText"/>
        <w:spacing w:line="360" w:lineRule="auto" w:before="1"/>
        <w:ind w:left="102" w:right="601"/>
      </w:pPr>
      <w:r>
        <w:rPr>
          <w:u w:val="single"/>
        </w:rPr>
        <w:t>Tabla 3.1. </w:t>
      </w:r>
      <w:r>
        <w:rPr/>
        <w:t>Tipos de violencia que el estudiantado considera que ocurren con  mayor</w:t>
      </w:r>
      <w:r>
        <w:rPr>
          <w:spacing w:val="-6"/>
        </w:rPr>
        <w:t> </w:t>
      </w:r>
      <w:r>
        <w:rPr/>
        <w:t>frecuencia.</w:t>
      </w:r>
    </w:p>
    <w:p>
      <w:pPr>
        <w:pStyle w:val="BodyText"/>
        <w:spacing w:before="10"/>
        <w:rPr>
          <w:sz w:val="17"/>
        </w:rPr>
      </w:pPr>
    </w:p>
    <w:tbl>
      <w:tblPr>
        <w:tblW w:w="0" w:type="auto"/>
        <w:jc w:val="left"/>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84"/>
        <w:gridCol w:w="709"/>
        <w:gridCol w:w="850"/>
        <w:gridCol w:w="566"/>
        <w:gridCol w:w="710"/>
        <w:gridCol w:w="708"/>
        <w:gridCol w:w="567"/>
        <w:gridCol w:w="708"/>
        <w:gridCol w:w="710"/>
      </w:tblGrid>
      <w:tr>
        <w:trPr>
          <w:trHeight w:val="217" w:hRule="exact"/>
        </w:trPr>
        <w:tc>
          <w:tcPr>
            <w:tcW w:w="3184" w:type="dxa"/>
            <w:vMerge w:val="restart"/>
            <w:shd w:val="clear" w:color="auto" w:fill="F1F1F1"/>
          </w:tcPr>
          <w:p>
            <w:pPr/>
          </w:p>
        </w:tc>
        <w:tc>
          <w:tcPr>
            <w:tcW w:w="5529" w:type="dxa"/>
            <w:gridSpan w:val="8"/>
            <w:shd w:val="clear" w:color="auto" w:fill="F1F1F1"/>
          </w:tcPr>
          <w:p>
            <w:pPr>
              <w:pStyle w:val="TableParagraph"/>
              <w:spacing w:line="206" w:lineRule="exact"/>
              <w:ind w:left="2532" w:right="2536"/>
              <w:jc w:val="center"/>
              <w:rPr>
                <w:sz w:val="18"/>
              </w:rPr>
            </w:pPr>
            <w:r>
              <w:rPr>
                <w:sz w:val="18"/>
              </w:rPr>
              <w:t>Sexo</w:t>
            </w:r>
          </w:p>
        </w:tc>
      </w:tr>
      <w:tr>
        <w:trPr>
          <w:trHeight w:val="217" w:hRule="exact"/>
        </w:trPr>
        <w:tc>
          <w:tcPr>
            <w:tcW w:w="3184" w:type="dxa"/>
            <w:vMerge/>
            <w:shd w:val="clear" w:color="auto" w:fill="F1F1F1"/>
          </w:tcPr>
          <w:p>
            <w:pPr/>
          </w:p>
        </w:tc>
        <w:tc>
          <w:tcPr>
            <w:tcW w:w="2836" w:type="dxa"/>
            <w:gridSpan w:val="4"/>
            <w:shd w:val="clear" w:color="auto" w:fill="F1F1F1"/>
          </w:tcPr>
          <w:p>
            <w:pPr>
              <w:pStyle w:val="TableParagraph"/>
              <w:ind w:left="1026" w:right="1029"/>
              <w:jc w:val="center"/>
              <w:rPr>
                <w:sz w:val="18"/>
              </w:rPr>
            </w:pPr>
            <w:r>
              <w:rPr>
                <w:sz w:val="18"/>
              </w:rPr>
              <w:t>Hombres</w:t>
            </w:r>
          </w:p>
        </w:tc>
        <w:tc>
          <w:tcPr>
            <w:tcW w:w="2693" w:type="dxa"/>
            <w:gridSpan w:val="4"/>
            <w:shd w:val="clear" w:color="auto" w:fill="F1F1F1"/>
          </w:tcPr>
          <w:p>
            <w:pPr>
              <w:pStyle w:val="TableParagraph"/>
              <w:ind w:left="998" w:right="1002"/>
              <w:jc w:val="center"/>
              <w:rPr>
                <w:sz w:val="18"/>
              </w:rPr>
            </w:pPr>
            <w:r>
              <w:rPr>
                <w:sz w:val="18"/>
              </w:rPr>
              <w:t>Mujeres</w:t>
            </w:r>
          </w:p>
        </w:tc>
      </w:tr>
      <w:tr>
        <w:trPr>
          <w:trHeight w:val="216" w:hRule="exact"/>
        </w:trPr>
        <w:tc>
          <w:tcPr>
            <w:tcW w:w="3184" w:type="dxa"/>
            <w:vMerge/>
            <w:shd w:val="clear" w:color="auto" w:fill="F1F1F1"/>
          </w:tcPr>
          <w:p>
            <w:pPr/>
          </w:p>
        </w:tc>
        <w:tc>
          <w:tcPr>
            <w:tcW w:w="709" w:type="dxa"/>
            <w:shd w:val="clear" w:color="auto" w:fill="F1F1F1"/>
          </w:tcPr>
          <w:p>
            <w:pPr>
              <w:pStyle w:val="TableParagraph"/>
              <w:spacing w:line="206" w:lineRule="exact"/>
              <w:ind w:left="217"/>
              <w:rPr>
                <w:sz w:val="18"/>
              </w:rPr>
            </w:pPr>
            <w:r>
              <w:rPr>
                <w:sz w:val="18"/>
              </w:rPr>
              <w:t>#Si</w:t>
            </w:r>
          </w:p>
        </w:tc>
        <w:tc>
          <w:tcPr>
            <w:tcW w:w="850" w:type="dxa"/>
            <w:shd w:val="clear" w:color="auto" w:fill="F1F1F1"/>
          </w:tcPr>
          <w:p>
            <w:pPr>
              <w:pStyle w:val="TableParagraph"/>
              <w:spacing w:line="206" w:lineRule="exact"/>
              <w:ind w:left="259"/>
              <w:rPr>
                <w:sz w:val="18"/>
              </w:rPr>
            </w:pPr>
            <w:r>
              <w:rPr>
                <w:sz w:val="18"/>
              </w:rPr>
              <w:t>%Si</w:t>
            </w:r>
          </w:p>
        </w:tc>
        <w:tc>
          <w:tcPr>
            <w:tcW w:w="566" w:type="dxa"/>
            <w:shd w:val="clear" w:color="auto" w:fill="F1F1F1"/>
          </w:tcPr>
          <w:p>
            <w:pPr>
              <w:pStyle w:val="TableParagraph"/>
              <w:spacing w:line="206" w:lineRule="exact"/>
              <w:ind w:left="112"/>
              <w:rPr>
                <w:sz w:val="18"/>
              </w:rPr>
            </w:pPr>
            <w:r>
              <w:rPr>
                <w:sz w:val="18"/>
              </w:rPr>
              <w:t>#No</w:t>
            </w:r>
          </w:p>
        </w:tc>
        <w:tc>
          <w:tcPr>
            <w:tcW w:w="710" w:type="dxa"/>
            <w:shd w:val="clear" w:color="auto" w:fill="F1F1F1"/>
          </w:tcPr>
          <w:p>
            <w:pPr>
              <w:pStyle w:val="TableParagraph"/>
              <w:spacing w:line="206" w:lineRule="exact"/>
              <w:ind w:left="153"/>
              <w:rPr>
                <w:sz w:val="18"/>
              </w:rPr>
            </w:pPr>
            <w:r>
              <w:rPr>
                <w:sz w:val="18"/>
              </w:rPr>
              <w:t>%No</w:t>
            </w:r>
          </w:p>
        </w:tc>
        <w:tc>
          <w:tcPr>
            <w:tcW w:w="708" w:type="dxa"/>
            <w:shd w:val="clear" w:color="auto" w:fill="F1F1F1"/>
          </w:tcPr>
          <w:p>
            <w:pPr>
              <w:pStyle w:val="TableParagraph"/>
              <w:spacing w:line="206" w:lineRule="exact"/>
              <w:ind w:left="218"/>
              <w:rPr>
                <w:sz w:val="18"/>
              </w:rPr>
            </w:pPr>
            <w:r>
              <w:rPr>
                <w:sz w:val="18"/>
              </w:rPr>
              <w:t>#Si</w:t>
            </w:r>
          </w:p>
        </w:tc>
        <w:tc>
          <w:tcPr>
            <w:tcW w:w="567" w:type="dxa"/>
            <w:shd w:val="clear" w:color="auto" w:fill="F1F1F1"/>
          </w:tcPr>
          <w:p>
            <w:pPr>
              <w:pStyle w:val="TableParagraph"/>
              <w:spacing w:line="206" w:lineRule="exact"/>
              <w:ind w:left="115"/>
              <w:rPr>
                <w:sz w:val="18"/>
              </w:rPr>
            </w:pPr>
            <w:r>
              <w:rPr>
                <w:sz w:val="18"/>
              </w:rPr>
              <w:t>%Si</w:t>
            </w:r>
          </w:p>
        </w:tc>
        <w:tc>
          <w:tcPr>
            <w:tcW w:w="708" w:type="dxa"/>
            <w:shd w:val="clear" w:color="auto" w:fill="F1F1F1"/>
          </w:tcPr>
          <w:p>
            <w:pPr>
              <w:pStyle w:val="TableParagraph"/>
              <w:spacing w:line="206" w:lineRule="exact"/>
              <w:ind w:left="182"/>
              <w:rPr>
                <w:sz w:val="18"/>
              </w:rPr>
            </w:pPr>
            <w:r>
              <w:rPr>
                <w:sz w:val="18"/>
              </w:rPr>
              <w:t>#No</w:t>
            </w:r>
          </w:p>
        </w:tc>
        <w:tc>
          <w:tcPr>
            <w:tcW w:w="710" w:type="dxa"/>
            <w:shd w:val="clear" w:color="auto" w:fill="F1F1F1"/>
          </w:tcPr>
          <w:p>
            <w:pPr>
              <w:pStyle w:val="TableParagraph"/>
              <w:spacing w:line="206" w:lineRule="exact"/>
              <w:ind w:left="153"/>
              <w:rPr>
                <w:sz w:val="18"/>
              </w:rPr>
            </w:pPr>
            <w:r>
              <w:rPr>
                <w:sz w:val="18"/>
              </w:rPr>
              <w:t>%No</w:t>
            </w:r>
          </w:p>
        </w:tc>
      </w:tr>
      <w:tr>
        <w:trPr>
          <w:trHeight w:val="2288" w:hRule="exact"/>
        </w:trPr>
        <w:tc>
          <w:tcPr>
            <w:tcW w:w="3184" w:type="dxa"/>
            <w:shd w:val="clear" w:color="auto" w:fill="F1F1F1"/>
          </w:tcPr>
          <w:p>
            <w:pPr>
              <w:pStyle w:val="TableParagraph"/>
              <w:rPr>
                <w:sz w:val="18"/>
              </w:rPr>
            </w:pPr>
          </w:p>
          <w:p>
            <w:pPr>
              <w:pStyle w:val="TableParagraph"/>
              <w:spacing w:line="480" w:lineRule="auto" w:before="1"/>
              <w:ind w:left="103" w:right="120"/>
              <w:rPr>
                <w:sz w:val="18"/>
              </w:rPr>
            </w:pPr>
            <w:r>
              <w:rPr>
                <w:sz w:val="18"/>
              </w:rPr>
              <w:t>Discriminación por el color de la piel. Discriminación por nivel económico. Violencia infantil.</w:t>
            </w:r>
          </w:p>
          <w:p>
            <w:pPr>
              <w:pStyle w:val="TableParagraph"/>
              <w:spacing w:line="482" w:lineRule="auto" w:before="4"/>
              <w:ind w:left="103" w:right="1370"/>
              <w:rPr>
                <w:sz w:val="18"/>
              </w:rPr>
            </w:pPr>
            <w:r>
              <w:rPr>
                <w:sz w:val="18"/>
              </w:rPr>
              <w:t>Violencia de género. Todas las anteriores.</w:t>
            </w:r>
          </w:p>
        </w:tc>
        <w:tc>
          <w:tcPr>
            <w:tcW w:w="709" w:type="dxa"/>
          </w:tcPr>
          <w:p>
            <w:pPr>
              <w:pStyle w:val="TableParagraph"/>
              <w:rPr>
                <w:sz w:val="18"/>
              </w:rPr>
            </w:pPr>
          </w:p>
          <w:p>
            <w:pPr>
              <w:pStyle w:val="TableParagraph"/>
              <w:spacing w:before="1"/>
              <w:ind w:right="4"/>
              <w:jc w:val="center"/>
              <w:rPr>
                <w:sz w:val="18"/>
              </w:rPr>
            </w:pPr>
            <w:r>
              <w:rPr>
                <w:w w:val="99"/>
                <w:sz w:val="18"/>
              </w:rPr>
              <w:t>1</w:t>
            </w:r>
          </w:p>
          <w:p>
            <w:pPr>
              <w:pStyle w:val="TableParagraph"/>
              <w:spacing w:before="10"/>
              <w:rPr>
                <w:sz w:val="17"/>
              </w:rPr>
            </w:pPr>
          </w:p>
          <w:p>
            <w:pPr>
              <w:pStyle w:val="TableParagraph"/>
              <w:ind w:right="4"/>
              <w:jc w:val="center"/>
              <w:rPr>
                <w:sz w:val="18"/>
              </w:rPr>
            </w:pPr>
            <w:r>
              <w:rPr>
                <w:w w:val="99"/>
                <w:sz w:val="18"/>
              </w:rPr>
              <w:t>7</w:t>
            </w:r>
          </w:p>
          <w:p>
            <w:pPr>
              <w:pStyle w:val="TableParagraph"/>
              <w:spacing w:before="1"/>
              <w:rPr>
                <w:sz w:val="18"/>
              </w:rPr>
            </w:pPr>
          </w:p>
          <w:p>
            <w:pPr>
              <w:pStyle w:val="TableParagraph"/>
              <w:spacing w:before="1"/>
              <w:ind w:right="4"/>
              <w:jc w:val="center"/>
              <w:rPr>
                <w:sz w:val="18"/>
              </w:rPr>
            </w:pPr>
            <w:r>
              <w:rPr>
                <w:w w:val="99"/>
                <w:sz w:val="18"/>
              </w:rPr>
              <w:t>2</w:t>
            </w:r>
          </w:p>
          <w:p>
            <w:pPr>
              <w:pStyle w:val="TableParagraph"/>
              <w:spacing w:before="10"/>
              <w:rPr>
                <w:sz w:val="17"/>
              </w:rPr>
            </w:pPr>
          </w:p>
          <w:p>
            <w:pPr>
              <w:pStyle w:val="TableParagraph"/>
              <w:ind w:right="4"/>
              <w:jc w:val="center"/>
              <w:rPr>
                <w:sz w:val="18"/>
              </w:rPr>
            </w:pPr>
            <w:r>
              <w:rPr>
                <w:w w:val="99"/>
                <w:sz w:val="18"/>
              </w:rPr>
              <w:t>3</w:t>
            </w:r>
          </w:p>
          <w:p>
            <w:pPr>
              <w:pStyle w:val="TableParagraph"/>
              <w:spacing w:before="1"/>
              <w:rPr>
                <w:sz w:val="18"/>
              </w:rPr>
            </w:pPr>
          </w:p>
          <w:p>
            <w:pPr>
              <w:pStyle w:val="TableParagraph"/>
              <w:ind w:left="229" w:right="230"/>
              <w:jc w:val="center"/>
              <w:rPr>
                <w:sz w:val="18"/>
              </w:rPr>
            </w:pPr>
            <w:r>
              <w:rPr>
                <w:sz w:val="18"/>
              </w:rPr>
              <w:t>11</w:t>
            </w:r>
          </w:p>
        </w:tc>
        <w:tc>
          <w:tcPr>
            <w:tcW w:w="850" w:type="dxa"/>
          </w:tcPr>
          <w:p>
            <w:pPr>
              <w:pStyle w:val="TableParagraph"/>
              <w:rPr>
                <w:sz w:val="18"/>
              </w:rPr>
            </w:pPr>
          </w:p>
          <w:p>
            <w:pPr>
              <w:pStyle w:val="TableParagraph"/>
              <w:spacing w:before="1"/>
              <w:ind w:left="224" w:right="226"/>
              <w:jc w:val="center"/>
              <w:rPr>
                <w:sz w:val="18"/>
              </w:rPr>
            </w:pPr>
            <w:r>
              <w:rPr>
                <w:sz w:val="18"/>
              </w:rPr>
              <w:t>4.2</w:t>
            </w:r>
          </w:p>
          <w:p>
            <w:pPr>
              <w:pStyle w:val="TableParagraph"/>
              <w:spacing w:before="10"/>
              <w:rPr>
                <w:sz w:val="17"/>
              </w:rPr>
            </w:pPr>
          </w:p>
          <w:p>
            <w:pPr>
              <w:pStyle w:val="TableParagraph"/>
              <w:ind w:left="224" w:right="226"/>
              <w:jc w:val="center"/>
              <w:rPr>
                <w:sz w:val="18"/>
              </w:rPr>
            </w:pPr>
            <w:r>
              <w:rPr>
                <w:sz w:val="18"/>
              </w:rPr>
              <w:t>29.1</w:t>
            </w:r>
          </w:p>
          <w:p>
            <w:pPr>
              <w:pStyle w:val="TableParagraph"/>
              <w:spacing w:before="1"/>
              <w:rPr>
                <w:sz w:val="18"/>
              </w:rPr>
            </w:pPr>
          </w:p>
          <w:p>
            <w:pPr>
              <w:pStyle w:val="TableParagraph"/>
              <w:spacing w:before="1"/>
              <w:ind w:left="224" w:right="226"/>
              <w:jc w:val="center"/>
              <w:rPr>
                <w:sz w:val="18"/>
              </w:rPr>
            </w:pPr>
            <w:r>
              <w:rPr>
                <w:sz w:val="18"/>
              </w:rPr>
              <w:t>8.4</w:t>
            </w:r>
          </w:p>
          <w:p>
            <w:pPr>
              <w:pStyle w:val="TableParagraph"/>
              <w:spacing w:before="10"/>
              <w:rPr>
                <w:sz w:val="17"/>
              </w:rPr>
            </w:pPr>
          </w:p>
          <w:p>
            <w:pPr>
              <w:pStyle w:val="TableParagraph"/>
              <w:ind w:left="224" w:right="226"/>
              <w:jc w:val="center"/>
              <w:rPr>
                <w:sz w:val="18"/>
              </w:rPr>
            </w:pPr>
            <w:r>
              <w:rPr>
                <w:sz w:val="18"/>
              </w:rPr>
              <w:t>12.5</w:t>
            </w:r>
          </w:p>
          <w:p>
            <w:pPr>
              <w:pStyle w:val="TableParagraph"/>
              <w:spacing w:before="1"/>
              <w:rPr>
                <w:sz w:val="18"/>
              </w:rPr>
            </w:pPr>
          </w:p>
          <w:p>
            <w:pPr>
              <w:pStyle w:val="TableParagraph"/>
              <w:ind w:left="224" w:right="226"/>
              <w:jc w:val="center"/>
              <w:rPr>
                <w:sz w:val="18"/>
              </w:rPr>
            </w:pPr>
            <w:r>
              <w:rPr>
                <w:sz w:val="18"/>
              </w:rPr>
              <w:t>45.8</w:t>
            </w:r>
          </w:p>
        </w:tc>
        <w:tc>
          <w:tcPr>
            <w:tcW w:w="566" w:type="dxa"/>
          </w:tcPr>
          <w:p>
            <w:pPr>
              <w:pStyle w:val="TableParagraph"/>
              <w:rPr>
                <w:sz w:val="18"/>
              </w:rPr>
            </w:pPr>
          </w:p>
          <w:p>
            <w:pPr>
              <w:pStyle w:val="TableParagraph"/>
              <w:spacing w:before="1"/>
              <w:ind w:left="177"/>
              <w:rPr>
                <w:sz w:val="18"/>
              </w:rPr>
            </w:pPr>
            <w:r>
              <w:rPr>
                <w:sz w:val="18"/>
              </w:rPr>
              <w:t>23</w:t>
            </w:r>
          </w:p>
          <w:p>
            <w:pPr>
              <w:pStyle w:val="TableParagraph"/>
              <w:spacing w:before="10"/>
              <w:rPr>
                <w:sz w:val="17"/>
              </w:rPr>
            </w:pPr>
          </w:p>
          <w:p>
            <w:pPr>
              <w:pStyle w:val="TableParagraph"/>
              <w:ind w:left="177"/>
              <w:rPr>
                <w:sz w:val="18"/>
              </w:rPr>
            </w:pPr>
            <w:r>
              <w:rPr>
                <w:sz w:val="18"/>
              </w:rPr>
              <w:t>17</w:t>
            </w:r>
          </w:p>
          <w:p>
            <w:pPr>
              <w:pStyle w:val="TableParagraph"/>
              <w:spacing w:before="1"/>
              <w:rPr>
                <w:sz w:val="18"/>
              </w:rPr>
            </w:pPr>
          </w:p>
          <w:p>
            <w:pPr>
              <w:pStyle w:val="TableParagraph"/>
              <w:spacing w:before="1"/>
              <w:ind w:left="177"/>
              <w:rPr>
                <w:sz w:val="18"/>
              </w:rPr>
            </w:pPr>
            <w:r>
              <w:rPr>
                <w:sz w:val="18"/>
              </w:rPr>
              <w:t>22</w:t>
            </w:r>
          </w:p>
          <w:p>
            <w:pPr>
              <w:pStyle w:val="TableParagraph"/>
              <w:spacing w:before="10"/>
              <w:rPr>
                <w:sz w:val="17"/>
              </w:rPr>
            </w:pPr>
          </w:p>
          <w:p>
            <w:pPr>
              <w:pStyle w:val="TableParagraph"/>
              <w:ind w:left="177"/>
              <w:rPr>
                <w:sz w:val="18"/>
              </w:rPr>
            </w:pPr>
            <w:r>
              <w:rPr>
                <w:sz w:val="18"/>
              </w:rPr>
              <w:t>21</w:t>
            </w:r>
          </w:p>
          <w:p>
            <w:pPr>
              <w:pStyle w:val="TableParagraph"/>
              <w:spacing w:before="1"/>
              <w:rPr>
                <w:sz w:val="18"/>
              </w:rPr>
            </w:pPr>
          </w:p>
          <w:p>
            <w:pPr>
              <w:pStyle w:val="TableParagraph"/>
              <w:ind w:left="177"/>
              <w:rPr>
                <w:sz w:val="18"/>
              </w:rPr>
            </w:pPr>
            <w:r>
              <w:rPr>
                <w:sz w:val="18"/>
              </w:rPr>
              <w:t>13</w:t>
            </w:r>
          </w:p>
        </w:tc>
        <w:tc>
          <w:tcPr>
            <w:tcW w:w="710" w:type="dxa"/>
          </w:tcPr>
          <w:p>
            <w:pPr>
              <w:pStyle w:val="TableParagraph"/>
              <w:rPr>
                <w:sz w:val="18"/>
              </w:rPr>
            </w:pPr>
          </w:p>
          <w:p>
            <w:pPr>
              <w:pStyle w:val="TableParagraph"/>
              <w:spacing w:before="1"/>
              <w:ind w:left="172"/>
              <w:rPr>
                <w:sz w:val="18"/>
              </w:rPr>
            </w:pPr>
            <w:r>
              <w:rPr>
                <w:sz w:val="18"/>
              </w:rPr>
              <w:t>95.8</w:t>
            </w:r>
          </w:p>
          <w:p>
            <w:pPr>
              <w:pStyle w:val="TableParagraph"/>
              <w:spacing w:before="10"/>
              <w:rPr>
                <w:sz w:val="17"/>
              </w:rPr>
            </w:pPr>
          </w:p>
          <w:p>
            <w:pPr>
              <w:pStyle w:val="TableParagraph"/>
              <w:ind w:left="172"/>
              <w:rPr>
                <w:sz w:val="18"/>
              </w:rPr>
            </w:pPr>
            <w:r>
              <w:rPr>
                <w:sz w:val="18"/>
              </w:rPr>
              <w:t>70.9</w:t>
            </w:r>
          </w:p>
          <w:p>
            <w:pPr>
              <w:pStyle w:val="TableParagraph"/>
              <w:spacing w:before="1"/>
              <w:rPr>
                <w:sz w:val="18"/>
              </w:rPr>
            </w:pPr>
          </w:p>
          <w:p>
            <w:pPr>
              <w:pStyle w:val="TableParagraph"/>
              <w:spacing w:before="1"/>
              <w:ind w:left="172"/>
              <w:rPr>
                <w:sz w:val="18"/>
              </w:rPr>
            </w:pPr>
            <w:r>
              <w:rPr>
                <w:sz w:val="18"/>
              </w:rPr>
              <w:t>91.6</w:t>
            </w:r>
          </w:p>
          <w:p>
            <w:pPr>
              <w:pStyle w:val="TableParagraph"/>
              <w:spacing w:before="10"/>
              <w:rPr>
                <w:sz w:val="17"/>
              </w:rPr>
            </w:pPr>
          </w:p>
          <w:p>
            <w:pPr>
              <w:pStyle w:val="TableParagraph"/>
              <w:ind w:left="172"/>
              <w:rPr>
                <w:sz w:val="18"/>
              </w:rPr>
            </w:pPr>
            <w:r>
              <w:rPr>
                <w:sz w:val="18"/>
              </w:rPr>
              <w:t>87.5</w:t>
            </w:r>
          </w:p>
          <w:p>
            <w:pPr>
              <w:pStyle w:val="TableParagraph"/>
              <w:spacing w:before="1"/>
              <w:rPr>
                <w:sz w:val="18"/>
              </w:rPr>
            </w:pPr>
          </w:p>
          <w:p>
            <w:pPr>
              <w:pStyle w:val="TableParagraph"/>
              <w:ind w:left="172"/>
              <w:rPr>
                <w:sz w:val="18"/>
              </w:rPr>
            </w:pPr>
            <w:r>
              <w:rPr>
                <w:sz w:val="18"/>
              </w:rPr>
              <w:t>54.2</w:t>
            </w:r>
          </w:p>
        </w:tc>
        <w:tc>
          <w:tcPr>
            <w:tcW w:w="708" w:type="dxa"/>
          </w:tcPr>
          <w:p>
            <w:pPr>
              <w:pStyle w:val="TableParagraph"/>
              <w:rPr>
                <w:sz w:val="18"/>
              </w:rPr>
            </w:pPr>
          </w:p>
          <w:p>
            <w:pPr>
              <w:pStyle w:val="TableParagraph"/>
              <w:spacing w:before="1"/>
              <w:ind w:right="1"/>
              <w:jc w:val="center"/>
              <w:rPr>
                <w:sz w:val="18"/>
              </w:rPr>
            </w:pPr>
            <w:r>
              <w:rPr>
                <w:w w:val="99"/>
                <w:sz w:val="18"/>
              </w:rPr>
              <w:t>2</w:t>
            </w:r>
          </w:p>
          <w:p>
            <w:pPr>
              <w:pStyle w:val="TableParagraph"/>
              <w:spacing w:before="10"/>
              <w:rPr>
                <w:sz w:val="17"/>
              </w:rPr>
            </w:pPr>
          </w:p>
          <w:p>
            <w:pPr>
              <w:pStyle w:val="TableParagraph"/>
              <w:ind w:left="152" w:right="150"/>
              <w:jc w:val="center"/>
              <w:rPr>
                <w:sz w:val="18"/>
              </w:rPr>
            </w:pPr>
            <w:r>
              <w:rPr>
                <w:sz w:val="18"/>
              </w:rPr>
              <w:t>21</w:t>
            </w:r>
          </w:p>
          <w:p>
            <w:pPr>
              <w:pStyle w:val="TableParagraph"/>
              <w:spacing w:before="1"/>
              <w:rPr>
                <w:sz w:val="18"/>
              </w:rPr>
            </w:pPr>
          </w:p>
          <w:p>
            <w:pPr>
              <w:pStyle w:val="TableParagraph"/>
              <w:spacing w:before="1"/>
              <w:ind w:right="1"/>
              <w:jc w:val="center"/>
              <w:rPr>
                <w:sz w:val="18"/>
              </w:rPr>
            </w:pPr>
            <w:r>
              <w:rPr>
                <w:w w:val="99"/>
                <w:sz w:val="18"/>
              </w:rPr>
              <w:t>1</w:t>
            </w:r>
          </w:p>
          <w:p>
            <w:pPr>
              <w:pStyle w:val="TableParagraph"/>
              <w:spacing w:before="10"/>
              <w:rPr>
                <w:sz w:val="17"/>
              </w:rPr>
            </w:pPr>
          </w:p>
          <w:p>
            <w:pPr>
              <w:pStyle w:val="TableParagraph"/>
              <w:ind w:left="152" w:right="150"/>
              <w:jc w:val="center"/>
              <w:rPr>
                <w:sz w:val="18"/>
              </w:rPr>
            </w:pPr>
            <w:r>
              <w:rPr>
                <w:sz w:val="18"/>
              </w:rPr>
              <w:t>12</w:t>
            </w:r>
          </w:p>
          <w:p>
            <w:pPr>
              <w:pStyle w:val="TableParagraph"/>
              <w:spacing w:before="1"/>
              <w:rPr>
                <w:sz w:val="18"/>
              </w:rPr>
            </w:pPr>
          </w:p>
          <w:p>
            <w:pPr>
              <w:pStyle w:val="TableParagraph"/>
              <w:ind w:left="152" w:right="150"/>
              <w:jc w:val="center"/>
              <w:rPr>
                <w:sz w:val="18"/>
              </w:rPr>
            </w:pPr>
            <w:r>
              <w:rPr>
                <w:sz w:val="18"/>
              </w:rPr>
              <w:t>22</w:t>
            </w:r>
          </w:p>
        </w:tc>
        <w:tc>
          <w:tcPr>
            <w:tcW w:w="567" w:type="dxa"/>
          </w:tcPr>
          <w:p>
            <w:pPr>
              <w:pStyle w:val="TableParagraph"/>
              <w:rPr>
                <w:sz w:val="18"/>
              </w:rPr>
            </w:pPr>
          </w:p>
          <w:p>
            <w:pPr>
              <w:pStyle w:val="TableParagraph"/>
              <w:spacing w:before="1"/>
              <w:ind w:left="151"/>
              <w:rPr>
                <w:sz w:val="18"/>
              </w:rPr>
            </w:pPr>
            <w:r>
              <w:rPr>
                <w:sz w:val="18"/>
              </w:rPr>
              <w:t>3.4</w:t>
            </w:r>
          </w:p>
          <w:p>
            <w:pPr>
              <w:pStyle w:val="TableParagraph"/>
              <w:spacing w:before="10"/>
              <w:rPr>
                <w:sz w:val="17"/>
              </w:rPr>
            </w:pPr>
          </w:p>
          <w:p>
            <w:pPr>
              <w:pStyle w:val="TableParagraph"/>
              <w:ind w:left="100"/>
              <w:rPr>
                <w:sz w:val="18"/>
              </w:rPr>
            </w:pPr>
            <w:r>
              <w:rPr>
                <w:sz w:val="18"/>
              </w:rPr>
              <w:t>36.2</w:t>
            </w:r>
          </w:p>
          <w:p>
            <w:pPr>
              <w:pStyle w:val="TableParagraph"/>
              <w:spacing w:before="1"/>
              <w:rPr>
                <w:sz w:val="18"/>
              </w:rPr>
            </w:pPr>
          </w:p>
          <w:p>
            <w:pPr>
              <w:pStyle w:val="TableParagraph"/>
              <w:spacing w:before="1"/>
              <w:ind w:left="151"/>
              <w:rPr>
                <w:sz w:val="18"/>
              </w:rPr>
            </w:pPr>
            <w:r>
              <w:rPr>
                <w:sz w:val="18"/>
              </w:rPr>
              <w:t>1.7</w:t>
            </w:r>
          </w:p>
          <w:p>
            <w:pPr>
              <w:pStyle w:val="TableParagraph"/>
              <w:spacing w:before="10"/>
              <w:rPr>
                <w:sz w:val="17"/>
              </w:rPr>
            </w:pPr>
          </w:p>
          <w:p>
            <w:pPr>
              <w:pStyle w:val="TableParagraph"/>
              <w:ind w:left="100"/>
              <w:rPr>
                <w:sz w:val="18"/>
              </w:rPr>
            </w:pPr>
            <w:r>
              <w:rPr>
                <w:sz w:val="18"/>
              </w:rPr>
              <w:t>20.6</w:t>
            </w:r>
          </w:p>
          <w:p>
            <w:pPr>
              <w:pStyle w:val="TableParagraph"/>
              <w:spacing w:before="1"/>
              <w:rPr>
                <w:sz w:val="18"/>
              </w:rPr>
            </w:pPr>
          </w:p>
          <w:p>
            <w:pPr>
              <w:pStyle w:val="TableParagraph"/>
              <w:ind w:left="100"/>
              <w:rPr>
                <w:sz w:val="18"/>
              </w:rPr>
            </w:pPr>
            <w:r>
              <w:rPr>
                <w:sz w:val="18"/>
              </w:rPr>
              <w:t>37.9</w:t>
            </w:r>
          </w:p>
        </w:tc>
        <w:tc>
          <w:tcPr>
            <w:tcW w:w="708" w:type="dxa"/>
          </w:tcPr>
          <w:p>
            <w:pPr>
              <w:pStyle w:val="TableParagraph"/>
              <w:rPr>
                <w:sz w:val="18"/>
              </w:rPr>
            </w:pPr>
          </w:p>
          <w:p>
            <w:pPr>
              <w:pStyle w:val="TableParagraph"/>
              <w:spacing w:before="1"/>
              <w:ind w:left="152" w:right="150"/>
              <w:jc w:val="center"/>
              <w:rPr>
                <w:sz w:val="18"/>
              </w:rPr>
            </w:pPr>
            <w:r>
              <w:rPr>
                <w:sz w:val="18"/>
              </w:rPr>
              <w:t>56</w:t>
            </w:r>
          </w:p>
          <w:p>
            <w:pPr>
              <w:pStyle w:val="TableParagraph"/>
              <w:spacing w:before="10"/>
              <w:rPr>
                <w:sz w:val="17"/>
              </w:rPr>
            </w:pPr>
          </w:p>
          <w:p>
            <w:pPr>
              <w:pStyle w:val="TableParagraph"/>
              <w:ind w:left="152" w:right="150"/>
              <w:jc w:val="center"/>
              <w:rPr>
                <w:sz w:val="18"/>
              </w:rPr>
            </w:pPr>
            <w:r>
              <w:rPr>
                <w:sz w:val="18"/>
              </w:rPr>
              <w:t>37</w:t>
            </w:r>
          </w:p>
          <w:p>
            <w:pPr>
              <w:pStyle w:val="TableParagraph"/>
              <w:spacing w:before="1"/>
              <w:rPr>
                <w:sz w:val="18"/>
              </w:rPr>
            </w:pPr>
          </w:p>
          <w:p>
            <w:pPr>
              <w:pStyle w:val="TableParagraph"/>
              <w:spacing w:before="1"/>
              <w:ind w:left="152" w:right="150"/>
              <w:jc w:val="center"/>
              <w:rPr>
                <w:sz w:val="18"/>
              </w:rPr>
            </w:pPr>
            <w:r>
              <w:rPr>
                <w:sz w:val="18"/>
              </w:rPr>
              <w:t>57</w:t>
            </w:r>
          </w:p>
          <w:p>
            <w:pPr>
              <w:pStyle w:val="TableParagraph"/>
              <w:spacing w:before="10"/>
              <w:rPr>
                <w:sz w:val="17"/>
              </w:rPr>
            </w:pPr>
          </w:p>
          <w:p>
            <w:pPr>
              <w:pStyle w:val="TableParagraph"/>
              <w:ind w:left="152" w:right="150"/>
              <w:jc w:val="center"/>
              <w:rPr>
                <w:sz w:val="18"/>
              </w:rPr>
            </w:pPr>
            <w:r>
              <w:rPr>
                <w:sz w:val="18"/>
              </w:rPr>
              <w:t>46</w:t>
            </w:r>
          </w:p>
          <w:p>
            <w:pPr>
              <w:pStyle w:val="TableParagraph"/>
              <w:spacing w:before="1"/>
              <w:rPr>
                <w:sz w:val="18"/>
              </w:rPr>
            </w:pPr>
          </w:p>
          <w:p>
            <w:pPr>
              <w:pStyle w:val="TableParagraph"/>
              <w:ind w:left="152" w:right="150"/>
              <w:jc w:val="center"/>
              <w:rPr>
                <w:sz w:val="18"/>
              </w:rPr>
            </w:pPr>
            <w:r>
              <w:rPr>
                <w:sz w:val="18"/>
              </w:rPr>
              <w:t>36</w:t>
            </w:r>
          </w:p>
        </w:tc>
        <w:tc>
          <w:tcPr>
            <w:tcW w:w="710" w:type="dxa"/>
          </w:tcPr>
          <w:p>
            <w:pPr>
              <w:pStyle w:val="TableParagraph"/>
              <w:rPr>
                <w:sz w:val="18"/>
              </w:rPr>
            </w:pPr>
          </w:p>
          <w:p>
            <w:pPr>
              <w:pStyle w:val="TableParagraph"/>
              <w:spacing w:before="1"/>
              <w:ind w:left="172"/>
              <w:rPr>
                <w:sz w:val="18"/>
              </w:rPr>
            </w:pPr>
            <w:r>
              <w:rPr>
                <w:sz w:val="18"/>
              </w:rPr>
              <w:t>96.6</w:t>
            </w:r>
          </w:p>
          <w:p>
            <w:pPr>
              <w:pStyle w:val="TableParagraph"/>
              <w:spacing w:before="10"/>
              <w:rPr>
                <w:sz w:val="17"/>
              </w:rPr>
            </w:pPr>
          </w:p>
          <w:p>
            <w:pPr>
              <w:pStyle w:val="TableParagraph"/>
              <w:ind w:left="172"/>
              <w:rPr>
                <w:sz w:val="18"/>
              </w:rPr>
            </w:pPr>
            <w:r>
              <w:rPr>
                <w:sz w:val="18"/>
              </w:rPr>
              <w:t>63.8</w:t>
            </w:r>
          </w:p>
          <w:p>
            <w:pPr>
              <w:pStyle w:val="TableParagraph"/>
              <w:spacing w:before="1"/>
              <w:rPr>
                <w:sz w:val="18"/>
              </w:rPr>
            </w:pPr>
          </w:p>
          <w:p>
            <w:pPr>
              <w:pStyle w:val="TableParagraph"/>
              <w:spacing w:before="1"/>
              <w:ind w:left="172"/>
              <w:rPr>
                <w:sz w:val="18"/>
              </w:rPr>
            </w:pPr>
            <w:r>
              <w:rPr>
                <w:sz w:val="18"/>
              </w:rPr>
              <w:t>98.3</w:t>
            </w:r>
          </w:p>
          <w:p>
            <w:pPr>
              <w:pStyle w:val="TableParagraph"/>
              <w:spacing w:before="10"/>
              <w:rPr>
                <w:sz w:val="17"/>
              </w:rPr>
            </w:pPr>
          </w:p>
          <w:p>
            <w:pPr>
              <w:pStyle w:val="TableParagraph"/>
              <w:ind w:left="172"/>
              <w:rPr>
                <w:sz w:val="18"/>
              </w:rPr>
            </w:pPr>
            <w:r>
              <w:rPr>
                <w:sz w:val="18"/>
              </w:rPr>
              <w:t>79.4</w:t>
            </w:r>
          </w:p>
          <w:p>
            <w:pPr>
              <w:pStyle w:val="TableParagraph"/>
              <w:spacing w:before="1"/>
              <w:rPr>
                <w:sz w:val="18"/>
              </w:rPr>
            </w:pPr>
          </w:p>
          <w:p>
            <w:pPr>
              <w:pStyle w:val="TableParagraph"/>
              <w:ind w:left="172"/>
              <w:rPr>
                <w:sz w:val="18"/>
              </w:rPr>
            </w:pPr>
            <w:r>
              <w:rPr>
                <w:sz w:val="18"/>
              </w:rPr>
              <w:t>62.1</w:t>
            </w:r>
          </w:p>
        </w:tc>
      </w:tr>
    </w:tbl>
    <w:p>
      <w:pPr>
        <w:pStyle w:val="BodyText"/>
        <w:spacing w:before="5"/>
        <w:rPr>
          <w:sz w:val="29"/>
        </w:rPr>
      </w:pPr>
    </w:p>
    <w:p>
      <w:pPr>
        <w:spacing w:before="74"/>
        <w:ind w:left="134" w:right="154" w:firstLine="0"/>
        <w:jc w:val="center"/>
        <w:rPr>
          <w:sz w:val="20"/>
        </w:rPr>
      </w:pPr>
      <w:r>
        <w:rPr>
          <w:sz w:val="20"/>
        </w:rPr>
        <w:t>(Miranda, 2014).</w:t>
      </w:r>
    </w:p>
    <w:p>
      <w:pPr>
        <w:pStyle w:val="BodyText"/>
        <w:rPr>
          <w:sz w:val="20"/>
        </w:rPr>
      </w:pPr>
    </w:p>
    <w:p>
      <w:pPr>
        <w:pStyle w:val="BodyText"/>
        <w:rPr>
          <w:sz w:val="20"/>
        </w:rPr>
      </w:pPr>
    </w:p>
    <w:p>
      <w:pPr>
        <w:pStyle w:val="BodyText"/>
        <w:spacing w:line="360" w:lineRule="auto" w:before="153"/>
        <w:ind w:left="102" w:right="601"/>
      </w:pPr>
      <w:r>
        <w:rPr>
          <w:u w:val="single"/>
        </w:rPr>
        <w:t>Gráfica 3.1 </w:t>
      </w:r>
      <w:r>
        <w:rPr/>
        <w:t>Tipos de violencia que el estudiantado considera que ocurren con mayor frecuencia.</w:t>
      </w:r>
    </w:p>
    <w:p>
      <w:pPr>
        <w:pStyle w:val="BodyText"/>
        <w:rPr>
          <w:sz w:val="20"/>
        </w:rPr>
      </w:pPr>
    </w:p>
    <w:p>
      <w:pPr>
        <w:pStyle w:val="BodyText"/>
        <w:spacing w:before="8"/>
        <w:rPr>
          <w:sz w:val="11"/>
        </w:rPr>
      </w:pPr>
      <w:r>
        <w:rPr/>
        <w:pict>
          <v:group style="position:absolute;margin-left:104.644997pt;margin-top:8.689892pt;width:402.75pt;height:219.25pt;mso-position-horizontal-relative:page;mso-position-vertical-relative:paragraph;z-index:1960;mso-wrap-distance-left:0;mso-wrap-distance-right:0" coordorigin="2093,174" coordsize="8055,4385">
            <v:line style="position:absolute" from="7356,3143" to="7493,3143" stroked="true" strokeweight=".72pt" strokecolor="#858585"/>
            <v:line style="position:absolute" from="6175,3143" to="6446,3143" stroked="true" strokeweight=".72pt" strokecolor="#858585"/>
            <v:line style="position:absolute" from="6175,2594" to="6446,2594" stroked="true" strokeweight=".72pt" strokecolor="#858585"/>
            <v:line style="position:absolute" from="4992,2044" to="6446,2044" stroked="true" strokeweight=".72pt" strokecolor="#858585"/>
            <v:line style="position:absolute" from="6629,1494" to="6811,1494" stroked="true" strokeweight=".72pt" strokecolor="#858585"/>
            <v:line style="position:absolute" from="4627,1494" to="6446,1494" stroked="true" strokeweight=".72pt" strokecolor="#858585"/>
            <v:rect style="position:absolute;left:6446;top:1060;width:182;height:2635" filled="true" fillcolor="#4f81bc" stroked="false">
              <v:fill type="solid"/>
            </v:rect>
            <v:line style="position:absolute" from="5628,3143" to="5993,3143" stroked="true" strokeweight=".72pt" strokecolor="#858585"/>
            <v:line style="position:absolute" from="4992,3143" to="5446,3143" stroked="true" strokeweight=".72pt" strokecolor="#858585"/>
            <v:rect style="position:absolute;left:5266;top:3578;width:180;height:118" filled="true" fillcolor="#4f81bc" stroked="false">
              <v:fill type="solid"/>
            </v:rect>
            <v:rect style="position:absolute;left:5446;top:2894;width:182;height:802" filled="true" fillcolor="#c0504d" stroked="false">
              <v:fill type="solid"/>
            </v:rect>
            <v:rect style="position:absolute;left:6629;top:1744;width:182;height:1951" filled="true" fillcolor="#c0504d" stroked="false">
              <v:fill type="solid"/>
            </v:rect>
            <v:line style="position:absolute" from="3809,3143" to="4082,3143" stroked="true" strokeweight=".72pt" strokecolor="#858585"/>
            <v:line style="position:absolute" from="2762,2594" to="4082,2594" stroked="true" strokeweight=".72pt" strokecolor="#858585"/>
            <v:line style="position:absolute" from="2762,2044" to="4082,2044" stroked="true" strokeweight=".72pt" strokecolor="#858585"/>
            <v:line style="position:absolute" from="4262,1494" to="4445,1494" stroked="true" strokeweight=".72pt" strokecolor="#858585"/>
            <v:line style="position:absolute" from="2762,1494" to="4082,1494" stroked="true" strokeweight=".72pt" strokecolor="#858585"/>
            <v:rect style="position:absolute;left:4082;top:1038;width:180;height:2657" filled="true" fillcolor="#4f81bc" stroked="false">
              <v:fill type="solid"/>
            </v:rect>
            <v:line style="position:absolute" from="3262,3143" to="3626,3143" stroked="true" strokeweight=".72pt" strokecolor="#858585"/>
            <v:line style="position:absolute" from="2762,3143" to="3082,3143" stroked="true" strokeweight=".72pt" strokecolor="#858585"/>
            <v:rect style="position:absolute;left:2899;top:3602;width:182;height:94" filled="true" fillcolor="#4f81bc" stroked="false">
              <v:fill type="solid"/>
            </v:rect>
            <v:rect style="position:absolute;left:3082;top:2699;width:180;height:996" filled="true" fillcolor="#c0504d" stroked="false">
              <v:fill type="solid"/>
            </v:rect>
            <v:rect style="position:absolute;left:4262;top:1941;width:182;height:1754" filled="true" fillcolor="#c0504d" stroked="false">
              <v:fill type="solid"/>
            </v:rect>
            <v:line style="position:absolute" from="3262,3671" to="3444,3671" stroked="true" strokeweight="2.4pt" strokecolor="#9bba58"/>
            <v:line style="position:absolute" from="2762,945" to="7493,945" stroked="true" strokeweight=".72pt" strokecolor="#858585"/>
            <v:rect style="position:absolute;left:4445;top:990;width:182;height:2705" filled="true" fillcolor="#9bba58" stroked="false">
              <v:fill type="solid"/>
            </v:rect>
            <v:rect style="position:absolute;left:5628;top:3462;width:182;height:233" filled="true" fillcolor="#9bba58" stroked="false">
              <v:fill type="solid"/>
            </v:rect>
            <v:rect style="position:absolute;left:6811;top:1175;width:182;height:2520" filled="true" fillcolor="#9bba58" stroked="false">
              <v:fill type="solid"/>
            </v:rect>
            <v:rect style="position:absolute;left:3444;top:3129;width:182;height:566" filled="true" fillcolor="#8063a1" stroked="false">
              <v:fill type="solid"/>
            </v:rect>
            <v:rect style="position:absolute;left:4627;top:1511;width:182;height:2184" filled="true" fillcolor="#8063a1" stroked="false">
              <v:fill type="solid"/>
            </v:rect>
            <v:rect style="position:absolute;left:5810;top:3350;width:182;height:346" filled="true" fillcolor="#8063a1" stroked="false">
              <v:fill type="solid"/>
            </v:rect>
            <v:line style="position:absolute" from="7176,2044" to="7493,2044" stroked="true" strokeweight=".72pt" strokecolor="#858585"/>
            <v:line style="position:absolute" from="7176,1494" to="7493,1494" stroked="true" strokeweight=".72pt" strokecolor="#858585"/>
            <v:rect style="position:absolute;left:6994;top:1288;width:182;height:2407" filled="true" fillcolor="#8063a1" stroked="false">
              <v:fill type="solid"/>
            </v:rect>
            <v:rect style="position:absolute;left:3626;top:2651;width:182;height:1044" filled="true" fillcolor="#4aacc5" stroked="false">
              <v:fill type="solid"/>
            </v:rect>
            <v:line style="position:absolute" from="4992,2594" to="5993,2594" stroked="true" strokeweight=".72pt" strokecolor="#858585"/>
            <v:rect style="position:absolute;left:4810;top:1986;width:182;height:1709" filled="true" fillcolor="#4aacc5" stroked="false">
              <v:fill type="solid"/>
            </v:rect>
            <v:rect style="position:absolute;left:5993;top:2435;width:182;height:1260" filled="true" fillcolor="#4aacc5" stroked="false">
              <v:fill type="solid"/>
            </v:rect>
            <v:line style="position:absolute" from="7356,2594" to="7493,2594" stroked="true" strokeweight=".72pt" strokecolor="#858585"/>
            <v:rect style="position:absolute;left:7176;top:2205;width:180;height:1490" filled="true" fillcolor="#4aacc5" stroked="false">
              <v:fill type="solid"/>
            </v:rect>
            <v:line style="position:absolute" from="2762,395" to="7493,395" stroked="true" strokeweight=".72pt" strokecolor="#858585"/>
            <v:line style="position:absolute" from="2762,3695" to="2762,395" stroked="true" strokeweight=".72pt" strokecolor="#858585"/>
            <v:line style="position:absolute" from="2700,3695" to="2762,3695" stroked="true" strokeweight=".72pt" strokecolor="#858585"/>
            <v:line style="position:absolute" from="2700,3143" to="2762,3143" stroked="true" strokeweight=".72pt" strokecolor="#858585"/>
            <v:line style="position:absolute" from="2700,2594" to="2762,2594" stroked="true" strokeweight=".72pt" strokecolor="#858585"/>
            <v:line style="position:absolute" from="2700,2044" to="2762,2044" stroked="true" strokeweight=".72pt" strokecolor="#858585"/>
            <v:line style="position:absolute" from="2700,1494" to="2762,1494" stroked="true" strokeweight=".72pt" strokecolor="#858585"/>
            <v:line style="position:absolute" from="2700,945" to="2762,945" stroked="true" strokeweight=".72pt" strokecolor="#858585"/>
            <v:line style="position:absolute" from="2700,395" to="2762,395" stroked="true" strokeweight=".72pt" strokecolor="#858585"/>
            <v:line style="position:absolute" from="2762,3695" to="7493,3695" stroked="true" strokeweight=".72pt" strokecolor="#858585"/>
            <v:line style="position:absolute" from="2762,3695" to="2762,3750" stroked="true" strokeweight=".72pt" strokecolor="#858585"/>
            <v:line style="position:absolute" from="3946,3695" to="3946,3750" stroked="true" strokeweight=".72pt" strokecolor="#858585"/>
            <v:line style="position:absolute" from="5129,3695" to="5129,3750" stroked="true" strokeweight=".72pt" strokecolor="#858585"/>
            <v:line style="position:absolute" from="6310,3695" to="6310,3750" stroked="true" strokeweight=".72pt" strokecolor="#858585"/>
            <v:line style="position:absolute" from="7493,3695" to="7493,3750" stroked="true" strokeweight=".72pt" strokecolor="#858585"/>
            <v:rect style="position:absolute;left:7870;top:1034;width:110;height:110" filled="true" fillcolor="#4f81bc" stroked="false">
              <v:fill type="solid"/>
            </v:rect>
            <v:rect style="position:absolute;left:7870;top:1612;width:110;height:110" filled="true" fillcolor="#c0504d" stroked="false">
              <v:fill type="solid"/>
            </v:rect>
            <v:rect style="position:absolute;left:7870;top:2190;width:110;height:110" filled="true" fillcolor="#9bba58" stroked="false">
              <v:fill type="solid"/>
            </v:rect>
            <v:rect style="position:absolute;left:7870;top:2769;width:110;height:110" filled="true" fillcolor="#8063a1" stroked="false">
              <v:fill type="solid"/>
            </v:rect>
            <v:rect style="position:absolute;left:7870;top:3350;width:110;height:108" filled="true" fillcolor="#4aacc5" stroked="false">
              <v:fill type="solid"/>
            </v:rect>
            <v:rect style="position:absolute;left:2100;top:181;width:8040;height:4370" filled="false" stroked="true" strokeweight=".75pt" strokecolor="#858585"/>
            <v:shape style="position:absolute;left:2271;top:303;width:305;height:1849" type="#_x0000_t202" filled="false" stroked="false">
              <v:textbox inset="0,0,0,0">
                <w:txbxContent>
                  <w:p>
                    <w:pPr>
                      <w:spacing w:line="203" w:lineRule="exact" w:before="0"/>
                      <w:ind w:left="-1" w:right="0" w:firstLine="0"/>
                      <w:jc w:val="center"/>
                      <w:rPr>
                        <w:rFonts w:ascii="Calibri"/>
                        <w:sz w:val="20"/>
                      </w:rPr>
                    </w:pPr>
                    <w:r>
                      <w:rPr>
                        <w:rFonts w:ascii="Calibri"/>
                        <w:sz w:val="20"/>
                      </w:rPr>
                      <w:t>120</w:t>
                    </w:r>
                  </w:p>
                  <w:p>
                    <w:pPr>
                      <w:spacing w:line="240" w:lineRule="auto" w:before="6"/>
                      <w:rPr>
                        <w:sz w:val="26"/>
                      </w:rPr>
                    </w:pPr>
                  </w:p>
                  <w:p>
                    <w:pPr>
                      <w:spacing w:before="0"/>
                      <w:ind w:left="-1" w:right="0" w:firstLine="0"/>
                      <w:jc w:val="center"/>
                      <w:rPr>
                        <w:rFonts w:ascii="Calibri"/>
                        <w:sz w:val="20"/>
                      </w:rPr>
                    </w:pPr>
                    <w:r>
                      <w:rPr>
                        <w:rFonts w:ascii="Calibri"/>
                        <w:sz w:val="20"/>
                      </w:rPr>
                      <w:t>100</w:t>
                    </w:r>
                  </w:p>
                  <w:p>
                    <w:pPr>
                      <w:spacing w:line="240" w:lineRule="auto" w:before="6"/>
                      <w:rPr>
                        <w:sz w:val="26"/>
                      </w:rPr>
                    </w:pPr>
                  </w:p>
                  <w:p>
                    <w:pPr>
                      <w:spacing w:before="1"/>
                      <w:ind w:left="100" w:right="0" w:firstLine="0"/>
                      <w:jc w:val="center"/>
                      <w:rPr>
                        <w:rFonts w:ascii="Calibri"/>
                        <w:sz w:val="20"/>
                      </w:rPr>
                    </w:pPr>
                    <w:r>
                      <w:rPr>
                        <w:rFonts w:ascii="Calibri"/>
                        <w:sz w:val="20"/>
                      </w:rPr>
                      <w:t>80</w:t>
                    </w:r>
                  </w:p>
                  <w:p>
                    <w:pPr>
                      <w:spacing w:line="240" w:lineRule="auto" w:before="6"/>
                      <w:rPr>
                        <w:sz w:val="26"/>
                      </w:rPr>
                    </w:pPr>
                  </w:p>
                  <w:p>
                    <w:pPr>
                      <w:spacing w:line="240" w:lineRule="exact" w:before="1"/>
                      <w:ind w:left="100" w:right="0" w:firstLine="0"/>
                      <w:jc w:val="center"/>
                      <w:rPr>
                        <w:rFonts w:ascii="Calibri"/>
                        <w:sz w:val="20"/>
                      </w:rPr>
                    </w:pPr>
                    <w:r>
                      <w:rPr>
                        <w:rFonts w:ascii="Calibri"/>
                        <w:sz w:val="20"/>
                      </w:rPr>
                      <w:t>60</w:t>
                    </w:r>
                  </w:p>
                </w:txbxContent>
              </v:textbox>
              <w10:wrap type="none"/>
            </v:shape>
            <v:shape style="position:absolute;left:8027;top:996;width:1956;height:1358" type="#_x0000_t202" filled="false" stroked="false">
              <v:textbox inset="0,0,0,0">
                <w:txbxContent>
                  <w:p>
                    <w:pPr>
                      <w:spacing w:line="203" w:lineRule="exact" w:before="0"/>
                      <w:ind w:left="0" w:right="-17" w:firstLine="0"/>
                      <w:jc w:val="left"/>
                      <w:rPr>
                        <w:rFonts w:ascii="Calibri" w:hAnsi="Calibri"/>
                        <w:sz w:val="20"/>
                      </w:rPr>
                    </w:pPr>
                    <w:r>
                      <w:rPr>
                        <w:rFonts w:ascii="Calibri" w:hAnsi="Calibri"/>
                        <w:sz w:val="20"/>
                      </w:rPr>
                      <w:t>Discriminación por el</w:t>
                    </w:r>
                  </w:p>
                  <w:p>
                    <w:pPr>
                      <w:spacing w:before="0"/>
                      <w:ind w:left="0" w:right="-17" w:firstLine="0"/>
                      <w:jc w:val="left"/>
                      <w:rPr>
                        <w:rFonts w:ascii="Calibri"/>
                        <w:sz w:val="20"/>
                      </w:rPr>
                    </w:pPr>
                    <w:r>
                      <w:rPr>
                        <w:rFonts w:ascii="Calibri"/>
                        <w:sz w:val="20"/>
                      </w:rPr>
                      <w:t>color de la piel.</w:t>
                    </w:r>
                  </w:p>
                  <w:p>
                    <w:pPr>
                      <w:spacing w:before="90"/>
                      <w:ind w:left="0" w:right="-17" w:firstLine="0"/>
                      <w:jc w:val="left"/>
                      <w:rPr>
                        <w:rFonts w:ascii="Calibri" w:hAnsi="Calibri"/>
                        <w:sz w:val="20"/>
                      </w:rPr>
                    </w:pPr>
                    <w:r>
                      <w:rPr>
                        <w:rFonts w:ascii="Calibri" w:hAnsi="Calibri"/>
                        <w:sz w:val="20"/>
                      </w:rPr>
                      <w:t>Discriminación por nivel económico.</w:t>
                    </w:r>
                  </w:p>
                  <w:p>
                    <w:pPr>
                      <w:spacing w:line="240" w:lineRule="exact" w:before="90"/>
                      <w:ind w:left="0" w:right="-17" w:firstLine="0"/>
                      <w:jc w:val="left"/>
                      <w:rPr>
                        <w:rFonts w:ascii="Calibri"/>
                        <w:sz w:val="20"/>
                      </w:rPr>
                    </w:pPr>
                    <w:r>
                      <w:rPr>
                        <w:rFonts w:ascii="Calibri"/>
                        <w:sz w:val="20"/>
                      </w:rPr>
                      <w:t>Violencia infantil.</w:t>
                    </w:r>
                  </w:p>
                </w:txbxContent>
              </v:textbox>
              <w10:wrap type="none"/>
            </v:shape>
            <v:shape style="position:absolute;left:2372;top:2503;width:203;height:200" type="#_x0000_t202" filled="false" stroked="false">
              <v:textbox inset="0,0,0,0">
                <w:txbxContent>
                  <w:p>
                    <w:pPr>
                      <w:spacing w:line="199" w:lineRule="exact" w:before="0"/>
                      <w:ind w:left="0" w:right="-10" w:firstLine="0"/>
                      <w:jc w:val="left"/>
                      <w:rPr>
                        <w:rFonts w:ascii="Calibri"/>
                        <w:sz w:val="20"/>
                      </w:rPr>
                    </w:pPr>
                    <w:r>
                      <w:rPr>
                        <w:rFonts w:ascii="Calibri"/>
                        <w:w w:val="95"/>
                        <w:sz w:val="20"/>
                      </w:rPr>
                      <w:t>40</w:t>
                    </w:r>
                  </w:p>
                </w:txbxContent>
              </v:textbox>
              <w10:wrap type="none"/>
            </v:shape>
            <v:shape style="position:absolute;left:8027;top:2733;width:1665;height:200" type="#_x0000_t202" filled="false" stroked="false">
              <v:textbox inset="0,0,0,0">
                <w:txbxContent>
                  <w:p>
                    <w:pPr>
                      <w:spacing w:line="199" w:lineRule="exact" w:before="0"/>
                      <w:ind w:left="0" w:right="-16" w:firstLine="0"/>
                      <w:jc w:val="left"/>
                      <w:rPr>
                        <w:rFonts w:ascii="Calibri" w:hAnsi="Calibri"/>
                        <w:sz w:val="20"/>
                      </w:rPr>
                    </w:pPr>
                    <w:r>
                      <w:rPr>
                        <w:rFonts w:ascii="Calibri" w:hAnsi="Calibri"/>
                        <w:sz w:val="20"/>
                      </w:rPr>
                      <w:t>Violencia de género.</w:t>
                    </w:r>
                  </w:p>
                </w:txbxContent>
              </v:textbox>
              <w10:wrap type="none"/>
            </v:shape>
            <v:shape style="position:absolute;left:2372;top:3053;width:203;height:200" type="#_x0000_t202" filled="false" stroked="false">
              <v:textbox inset="0,0,0,0">
                <w:txbxContent>
                  <w:p>
                    <w:pPr>
                      <w:spacing w:line="199" w:lineRule="exact" w:before="0"/>
                      <w:ind w:left="0" w:right="-10" w:firstLine="0"/>
                      <w:jc w:val="left"/>
                      <w:rPr>
                        <w:rFonts w:ascii="Calibri"/>
                        <w:sz w:val="20"/>
                      </w:rPr>
                    </w:pPr>
                    <w:r>
                      <w:rPr>
                        <w:rFonts w:ascii="Calibri"/>
                        <w:w w:val="95"/>
                        <w:sz w:val="20"/>
                      </w:rPr>
                      <w:t>20</w:t>
                    </w:r>
                  </w:p>
                </w:txbxContent>
              </v:textbox>
              <w10:wrap type="none"/>
            </v:shape>
            <v:shape style="position:absolute;left:8027;top:3312;width:1681;height:200" type="#_x0000_t202" filled="false" stroked="false">
              <v:textbox inset="0,0,0,0">
                <w:txbxContent>
                  <w:p>
                    <w:pPr>
                      <w:spacing w:line="199" w:lineRule="exact" w:before="0"/>
                      <w:ind w:left="0" w:right="-18" w:firstLine="0"/>
                      <w:jc w:val="left"/>
                      <w:rPr>
                        <w:rFonts w:ascii="Calibri"/>
                        <w:sz w:val="20"/>
                      </w:rPr>
                    </w:pPr>
                    <w:r>
                      <w:rPr>
                        <w:rFonts w:ascii="Calibri"/>
                        <w:sz w:val="20"/>
                      </w:rPr>
                      <w:t>Todas las anteriores.</w:t>
                    </w:r>
                  </w:p>
                </w:txbxContent>
              </v:textbox>
              <w10:wrap type="none"/>
            </v:shape>
            <v:shape style="position:absolute;left:2474;top:3602;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2891;top:3845;width:4536;height:180" type="#_x0000_t202" filled="false" stroked="false">
              <v:textbox inset="0,0,0,0">
                <w:txbxContent>
                  <w:p>
                    <w:pPr>
                      <w:tabs>
                        <w:tab w:pos="1149" w:val="left" w:leader="none"/>
                        <w:tab w:pos="2354" w:val="left" w:leader="none"/>
                      </w:tabs>
                      <w:spacing w:line="180" w:lineRule="exact" w:before="0"/>
                      <w:ind w:left="0" w:right="0" w:firstLine="0"/>
                      <w:jc w:val="left"/>
                      <w:rPr>
                        <w:rFonts w:ascii="Calibri" w:hAnsi="Calibri"/>
                        <w:sz w:val="18"/>
                      </w:rPr>
                    </w:pPr>
                    <w:r>
                      <w:rPr>
                        <w:rFonts w:ascii="Calibri" w:hAnsi="Calibri"/>
                        <w:sz w:val="18"/>
                      </w:rPr>
                      <w:t>SÍ</w:t>
                    </w:r>
                    <w:r>
                      <w:rPr>
                        <w:rFonts w:ascii="Calibri" w:hAnsi="Calibri"/>
                        <w:spacing w:val="-2"/>
                        <w:sz w:val="18"/>
                      </w:rPr>
                      <w:t> </w:t>
                    </w:r>
                    <w:r>
                      <w:rPr>
                        <w:rFonts w:ascii="Calibri" w:hAnsi="Calibri"/>
                        <w:sz w:val="18"/>
                      </w:rPr>
                      <w:t>(Mujeres)</w:t>
                      <w:tab/>
                      <w:t>NO</w:t>
                    </w:r>
                    <w:r>
                      <w:rPr>
                        <w:rFonts w:ascii="Calibri" w:hAnsi="Calibri"/>
                        <w:spacing w:val="-2"/>
                        <w:sz w:val="18"/>
                      </w:rPr>
                      <w:t> </w:t>
                    </w:r>
                    <w:r>
                      <w:rPr>
                        <w:rFonts w:ascii="Calibri" w:hAnsi="Calibri"/>
                        <w:sz w:val="18"/>
                      </w:rPr>
                      <w:t>(Mujeres)</w:t>
                      <w:tab/>
                      <w:t>SÍ (Hombres)    NO</w:t>
                    </w:r>
                    <w:r>
                      <w:rPr>
                        <w:rFonts w:ascii="Calibri" w:hAnsi="Calibri"/>
                        <w:spacing w:val="10"/>
                        <w:sz w:val="18"/>
                      </w:rPr>
                      <w:t> </w:t>
                    </w:r>
                    <w:r>
                      <w:rPr>
                        <w:rFonts w:ascii="Calibri" w:hAnsi="Calibri"/>
                        <w:sz w:val="18"/>
                      </w:rPr>
                      <w:t>(Hombres)</w:t>
                    </w:r>
                  </w:p>
                </w:txbxContent>
              </v:textbox>
              <w10:wrap type="none"/>
            </v:shape>
            <w10:wrap type="topAndBottom"/>
          </v:group>
        </w:pict>
      </w:r>
    </w:p>
    <w:p>
      <w:pPr>
        <w:pStyle w:val="BodyText"/>
        <w:spacing w:before="6"/>
        <w:rPr>
          <w:sz w:val="33"/>
        </w:rPr>
      </w:pPr>
    </w:p>
    <w:p>
      <w:pPr>
        <w:spacing w:before="0"/>
        <w:ind w:left="134" w:right="154" w:firstLine="0"/>
        <w:jc w:val="center"/>
        <w:rPr>
          <w:sz w:val="20"/>
        </w:rPr>
      </w:pPr>
      <w:r>
        <w:rPr>
          <w:sz w:val="20"/>
        </w:rPr>
        <w:t>(Miranda, 2014).</w:t>
      </w:r>
    </w:p>
    <w:p>
      <w:pPr>
        <w:spacing w:after="0"/>
        <w:jc w:val="center"/>
        <w:rPr>
          <w:sz w:val="20"/>
        </w:rPr>
        <w:sectPr>
          <w:pgSz w:w="12240" w:h="15840"/>
          <w:pgMar w:header="0" w:footer="1032" w:top="1360" w:bottom="1220" w:left="1600" w:right="1580"/>
        </w:sectPr>
      </w:pPr>
    </w:p>
    <w:p>
      <w:pPr>
        <w:pStyle w:val="BodyText"/>
        <w:spacing w:line="360" w:lineRule="auto" w:before="57"/>
        <w:ind w:left="102" w:right="121"/>
        <w:jc w:val="both"/>
      </w:pPr>
      <w:r>
        <w:rPr/>
        <w:t>Un porcentaje elevado de hombres (45.8%) valoraron que todas las formas de violencia descritas en el cuestionario se alzan con una presencia constante en la sociedad mexicana, siendo la menos frecuente la discriminación por el color de piel y la violencia de tipo</w:t>
      </w:r>
      <w:r>
        <w:rPr>
          <w:spacing w:val="-8"/>
        </w:rPr>
        <w:t> </w:t>
      </w:r>
      <w:r>
        <w:rPr/>
        <w:t>infantil.</w:t>
      </w:r>
    </w:p>
    <w:p>
      <w:pPr>
        <w:pStyle w:val="BodyText"/>
        <w:spacing w:line="360" w:lineRule="auto" w:before="204"/>
        <w:ind w:left="102" w:right="119"/>
        <w:jc w:val="both"/>
      </w:pPr>
      <w:r>
        <w:rPr/>
        <w:t>En la otra cara de la moneda, la mayoría de las mujeres (37.9%) calificaron todas las formas de violencia mencionadas en el cuestionario. Una vez más la violencia infantil fue confinada al último lugar.</w:t>
      </w:r>
    </w:p>
    <w:p>
      <w:pPr>
        <w:pStyle w:val="BodyText"/>
        <w:spacing w:line="360" w:lineRule="auto" w:before="205"/>
        <w:ind w:left="102" w:right="117"/>
        <w:jc w:val="both"/>
      </w:pPr>
      <w:r>
        <w:rPr/>
        <w:t>Al respecto, cabe observar que la violencia de género es la más frecuente pues permea a todo sistema de distinciones económicas, sociales, raciales, étnicas, de edad, etc. no obstante, es también a la que se le atribuye menor importancia, lo que se refleja en la naturalización de los roles tradicionales de la mujer y del hombre que delimitan que la mujer nace para desarrollarse en la esfera privada y el hombre en la pública (INMUJERES, 2008). En este sentido, se reflexiona sobre la postura de Celia Amorós (2001) en lo relativo a los esencialismos atribuidos a los hombres y a las mujeres dentro del sistema de género, pues ello, como ya lo muestran las respuestas del estudiantado en la Pregunta 3, hace invisible la violencia estructural y simbólica a la que se encuentran sometidas las mujeres en nuestra</w:t>
      </w:r>
      <w:r>
        <w:rPr>
          <w:spacing w:val="-6"/>
        </w:rPr>
        <w:t> </w:t>
      </w:r>
      <w:r>
        <w:rPr/>
        <w:t>sociedad.</w:t>
      </w:r>
    </w:p>
    <w:p>
      <w:pPr>
        <w:pStyle w:val="BodyText"/>
      </w:pPr>
    </w:p>
    <w:p>
      <w:pPr>
        <w:pStyle w:val="BodyText"/>
      </w:pPr>
    </w:p>
    <w:p>
      <w:pPr>
        <w:pStyle w:val="BodyText"/>
        <w:spacing w:before="11"/>
        <w:rPr>
          <w:sz w:val="22"/>
        </w:rPr>
      </w:pPr>
    </w:p>
    <w:p>
      <w:pPr>
        <w:spacing w:before="0"/>
        <w:ind w:left="102" w:right="0" w:firstLine="0"/>
        <w:jc w:val="both"/>
        <w:rPr>
          <w:sz w:val="22"/>
        </w:rPr>
      </w:pPr>
      <w:r>
        <w:rPr>
          <w:b/>
          <w:sz w:val="24"/>
        </w:rPr>
        <w:t>Pregunta 4. </w:t>
      </w:r>
      <w:r>
        <w:rPr>
          <w:sz w:val="22"/>
        </w:rPr>
        <w:t>(Ver Anexo 1)</w:t>
      </w:r>
    </w:p>
    <w:p>
      <w:pPr>
        <w:pStyle w:val="BodyText"/>
        <w:spacing w:before="4"/>
        <w:rPr>
          <w:sz w:val="29"/>
        </w:rPr>
      </w:pPr>
    </w:p>
    <w:p>
      <w:pPr>
        <w:pStyle w:val="BodyText"/>
        <w:spacing w:line="360" w:lineRule="auto" w:before="1"/>
        <w:ind w:left="102" w:right="124"/>
        <w:jc w:val="both"/>
      </w:pPr>
      <w:r>
        <w:rPr>
          <w:u w:val="single"/>
        </w:rPr>
        <w:t>Tabla 4.1. </w:t>
      </w:r>
      <w:r>
        <w:rPr/>
        <w:t>Los dos tipos más frecuentes de violencia entre hombres y mujeres, consideradas por el estudiantado.</w:t>
      </w:r>
    </w:p>
    <w:p>
      <w:pPr>
        <w:pStyle w:val="BodyText"/>
        <w:spacing w:before="4"/>
        <w:rPr>
          <w:sz w:val="18"/>
        </w:rPr>
      </w:pPr>
    </w:p>
    <w:tbl>
      <w:tblPr>
        <w:tblW w:w="0" w:type="auto"/>
        <w:jc w:val="left"/>
        <w:tblInd w:w="4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8"/>
        <w:gridCol w:w="761"/>
        <w:gridCol w:w="1015"/>
        <w:gridCol w:w="758"/>
        <w:gridCol w:w="764"/>
        <w:gridCol w:w="758"/>
        <w:gridCol w:w="890"/>
        <w:gridCol w:w="759"/>
        <w:gridCol w:w="775"/>
      </w:tblGrid>
      <w:tr>
        <w:trPr>
          <w:trHeight w:val="240" w:hRule="exact"/>
        </w:trPr>
        <w:tc>
          <w:tcPr>
            <w:tcW w:w="1618" w:type="dxa"/>
            <w:vMerge w:val="restart"/>
          </w:tcPr>
          <w:p>
            <w:pPr/>
          </w:p>
        </w:tc>
        <w:tc>
          <w:tcPr>
            <w:tcW w:w="6482" w:type="dxa"/>
            <w:gridSpan w:val="8"/>
          </w:tcPr>
          <w:p>
            <w:pPr>
              <w:pStyle w:val="TableParagraph"/>
              <w:spacing w:line="230" w:lineRule="exact"/>
              <w:ind w:left="2987" w:right="2988"/>
              <w:jc w:val="center"/>
              <w:rPr>
                <w:sz w:val="20"/>
              </w:rPr>
            </w:pPr>
            <w:r>
              <w:rPr>
                <w:sz w:val="20"/>
              </w:rPr>
              <w:t>Sexo</w:t>
            </w:r>
          </w:p>
        </w:tc>
      </w:tr>
      <w:tr>
        <w:trPr>
          <w:trHeight w:val="470" w:hRule="exact"/>
        </w:trPr>
        <w:tc>
          <w:tcPr>
            <w:tcW w:w="1618" w:type="dxa"/>
            <w:vMerge/>
          </w:tcPr>
          <w:p>
            <w:pPr/>
          </w:p>
        </w:tc>
        <w:tc>
          <w:tcPr>
            <w:tcW w:w="1777" w:type="dxa"/>
            <w:gridSpan w:val="2"/>
          </w:tcPr>
          <w:p>
            <w:pPr>
              <w:pStyle w:val="TableParagraph"/>
              <w:ind w:left="478" w:right="457" w:firstLine="60"/>
              <w:rPr>
                <w:sz w:val="20"/>
              </w:rPr>
            </w:pPr>
            <w:r>
              <w:rPr>
                <w:sz w:val="20"/>
              </w:rPr>
              <w:t>1° lugar Hombres</w:t>
            </w:r>
          </w:p>
        </w:tc>
        <w:tc>
          <w:tcPr>
            <w:tcW w:w="1522" w:type="dxa"/>
            <w:gridSpan w:val="2"/>
          </w:tcPr>
          <w:p>
            <w:pPr>
              <w:pStyle w:val="TableParagraph"/>
              <w:ind w:left="345" w:right="336" w:firstLine="62"/>
              <w:rPr>
                <w:sz w:val="20"/>
              </w:rPr>
            </w:pPr>
            <w:r>
              <w:rPr>
                <w:sz w:val="20"/>
              </w:rPr>
              <w:t>2° lugar Hombres</w:t>
            </w:r>
          </w:p>
        </w:tc>
        <w:tc>
          <w:tcPr>
            <w:tcW w:w="1649" w:type="dxa"/>
            <w:gridSpan w:val="2"/>
          </w:tcPr>
          <w:p>
            <w:pPr>
              <w:pStyle w:val="TableParagraph"/>
              <w:ind w:left="460" w:right="458" w:firstLine="9"/>
              <w:rPr>
                <w:sz w:val="20"/>
              </w:rPr>
            </w:pPr>
            <w:r>
              <w:rPr>
                <w:sz w:val="20"/>
              </w:rPr>
              <w:t>1° lugar </w:t>
            </w:r>
            <w:r>
              <w:rPr>
                <w:w w:val="95"/>
                <w:sz w:val="20"/>
              </w:rPr>
              <w:t>Mujeres</w:t>
            </w:r>
          </w:p>
        </w:tc>
        <w:tc>
          <w:tcPr>
            <w:tcW w:w="1534" w:type="dxa"/>
            <w:gridSpan w:val="2"/>
          </w:tcPr>
          <w:p>
            <w:pPr>
              <w:pStyle w:val="TableParagraph"/>
              <w:ind w:left="406" w:right="398" w:firstLine="9"/>
              <w:rPr>
                <w:sz w:val="20"/>
              </w:rPr>
            </w:pPr>
            <w:r>
              <w:rPr>
                <w:sz w:val="20"/>
              </w:rPr>
              <w:t>2° lugar </w:t>
            </w:r>
            <w:r>
              <w:rPr>
                <w:w w:val="95"/>
                <w:sz w:val="20"/>
              </w:rPr>
              <w:t>Mujeres</w:t>
            </w:r>
          </w:p>
        </w:tc>
      </w:tr>
      <w:tr>
        <w:trPr>
          <w:trHeight w:val="240" w:hRule="exact"/>
        </w:trPr>
        <w:tc>
          <w:tcPr>
            <w:tcW w:w="1618" w:type="dxa"/>
          </w:tcPr>
          <w:p>
            <w:pPr/>
          </w:p>
        </w:tc>
        <w:tc>
          <w:tcPr>
            <w:tcW w:w="761" w:type="dxa"/>
          </w:tcPr>
          <w:p>
            <w:pPr>
              <w:pStyle w:val="TableParagraph"/>
              <w:spacing w:line="225" w:lineRule="exact"/>
              <w:ind w:right="319"/>
              <w:jc w:val="right"/>
              <w:rPr>
                <w:b/>
                <w:sz w:val="20"/>
              </w:rPr>
            </w:pPr>
            <w:r>
              <w:rPr>
                <w:b/>
                <w:w w:val="99"/>
                <w:sz w:val="20"/>
              </w:rPr>
              <w:t>#</w:t>
            </w:r>
          </w:p>
        </w:tc>
        <w:tc>
          <w:tcPr>
            <w:tcW w:w="1015" w:type="dxa"/>
          </w:tcPr>
          <w:p>
            <w:pPr>
              <w:pStyle w:val="TableParagraph"/>
              <w:spacing w:line="225" w:lineRule="exact"/>
              <w:jc w:val="center"/>
              <w:rPr>
                <w:b/>
                <w:sz w:val="20"/>
              </w:rPr>
            </w:pPr>
            <w:r>
              <w:rPr>
                <w:b/>
                <w:w w:val="99"/>
                <w:sz w:val="20"/>
              </w:rPr>
              <w:t>%</w:t>
            </w:r>
          </w:p>
        </w:tc>
        <w:tc>
          <w:tcPr>
            <w:tcW w:w="758" w:type="dxa"/>
          </w:tcPr>
          <w:p>
            <w:pPr>
              <w:pStyle w:val="TableParagraph"/>
              <w:spacing w:line="225" w:lineRule="exact"/>
              <w:ind w:right="2"/>
              <w:jc w:val="center"/>
              <w:rPr>
                <w:b/>
                <w:sz w:val="20"/>
              </w:rPr>
            </w:pPr>
            <w:r>
              <w:rPr>
                <w:b/>
                <w:w w:val="99"/>
                <w:sz w:val="20"/>
              </w:rPr>
              <w:t>#</w:t>
            </w:r>
          </w:p>
        </w:tc>
        <w:tc>
          <w:tcPr>
            <w:tcW w:w="764" w:type="dxa"/>
          </w:tcPr>
          <w:p>
            <w:pPr>
              <w:pStyle w:val="TableParagraph"/>
              <w:spacing w:line="225" w:lineRule="exact"/>
              <w:jc w:val="center"/>
              <w:rPr>
                <w:b/>
                <w:sz w:val="20"/>
              </w:rPr>
            </w:pPr>
            <w:r>
              <w:rPr>
                <w:b/>
                <w:w w:val="99"/>
                <w:sz w:val="20"/>
              </w:rPr>
              <w:t>%</w:t>
            </w:r>
          </w:p>
        </w:tc>
        <w:tc>
          <w:tcPr>
            <w:tcW w:w="758" w:type="dxa"/>
          </w:tcPr>
          <w:p>
            <w:pPr>
              <w:pStyle w:val="TableParagraph"/>
              <w:spacing w:line="225" w:lineRule="exact"/>
              <w:ind w:right="2"/>
              <w:jc w:val="center"/>
              <w:rPr>
                <w:b/>
                <w:sz w:val="20"/>
              </w:rPr>
            </w:pPr>
            <w:r>
              <w:rPr>
                <w:b/>
                <w:w w:val="99"/>
                <w:sz w:val="20"/>
              </w:rPr>
              <w:t>#</w:t>
            </w:r>
          </w:p>
        </w:tc>
        <w:tc>
          <w:tcPr>
            <w:tcW w:w="890" w:type="dxa"/>
          </w:tcPr>
          <w:p>
            <w:pPr>
              <w:pStyle w:val="TableParagraph"/>
              <w:spacing w:line="225" w:lineRule="exact"/>
              <w:jc w:val="center"/>
              <w:rPr>
                <w:b/>
                <w:sz w:val="20"/>
              </w:rPr>
            </w:pPr>
            <w:r>
              <w:rPr>
                <w:b/>
                <w:w w:val="99"/>
                <w:sz w:val="20"/>
              </w:rPr>
              <w:t>%</w:t>
            </w:r>
          </w:p>
        </w:tc>
        <w:tc>
          <w:tcPr>
            <w:tcW w:w="759" w:type="dxa"/>
          </w:tcPr>
          <w:p>
            <w:pPr>
              <w:pStyle w:val="TableParagraph"/>
              <w:spacing w:line="225" w:lineRule="exact"/>
              <w:ind w:right="3"/>
              <w:jc w:val="center"/>
              <w:rPr>
                <w:b/>
                <w:sz w:val="20"/>
              </w:rPr>
            </w:pPr>
            <w:r>
              <w:rPr>
                <w:b/>
                <w:w w:val="99"/>
                <w:sz w:val="20"/>
              </w:rPr>
              <w:t>#</w:t>
            </w:r>
          </w:p>
        </w:tc>
        <w:tc>
          <w:tcPr>
            <w:tcW w:w="775" w:type="dxa"/>
          </w:tcPr>
          <w:p>
            <w:pPr>
              <w:pStyle w:val="TableParagraph"/>
              <w:spacing w:line="225" w:lineRule="exact"/>
              <w:jc w:val="center"/>
              <w:rPr>
                <w:b/>
                <w:sz w:val="20"/>
              </w:rPr>
            </w:pPr>
            <w:r>
              <w:rPr>
                <w:b/>
                <w:w w:val="99"/>
                <w:sz w:val="20"/>
              </w:rPr>
              <w:t>%</w:t>
            </w:r>
          </w:p>
        </w:tc>
      </w:tr>
      <w:tr>
        <w:trPr>
          <w:trHeight w:val="1162" w:hRule="exact"/>
        </w:trPr>
        <w:tc>
          <w:tcPr>
            <w:tcW w:w="1618" w:type="dxa"/>
          </w:tcPr>
          <w:p>
            <w:pPr>
              <w:pStyle w:val="TableParagraph"/>
              <w:ind w:left="215" w:right="215" w:hanging="1"/>
              <w:jc w:val="center"/>
              <w:rPr>
                <w:sz w:val="20"/>
              </w:rPr>
            </w:pPr>
            <w:r>
              <w:rPr>
                <w:sz w:val="20"/>
              </w:rPr>
              <w:t>Violencia contra las mujeres y</w:t>
            </w:r>
            <w:r>
              <w:rPr>
                <w:spacing w:val="-6"/>
                <w:sz w:val="20"/>
              </w:rPr>
              <w:t> </w:t>
            </w:r>
            <w:r>
              <w:rPr>
                <w:sz w:val="20"/>
              </w:rPr>
              <w:t>las niñas.</w:t>
            </w:r>
          </w:p>
        </w:tc>
        <w:tc>
          <w:tcPr>
            <w:tcW w:w="761" w:type="dxa"/>
          </w:tcPr>
          <w:p>
            <w:pPr>
              <w:pStyle w:val="TableParagraph"/>
              <w:spacing w:before="9"/>
              <w:rPr>
                <w:sz w:val="19"/>
              </w:rPr>
            </w:pPr>
          </w:p>
          <w:p>
            <w:pPr>
              <w:pStyle w:val="TableParagraph"/>
              <w:ind w:right="264"/>
              <w:jc w:val="right"/>
              <w:rPr>
                <w:sz w:val="20"/>
              </w:rPr>
            </w:pPr>
            <w:r>
              <w:rPr>
                <w:sz w:val="20"/>
              </w:rPr>
              <w:t>15</w:t>
            </w:r>
          </w:p>
        </w:tc>
        <w:tc>
          <w:tcPr>
            <w:tcW w:w="1015" w:type="dxa"/>
          </w:tcPr>
          <w:p>
            <w:pPr>
              <w:pStyle w:val="TableParagraph"/>
              <w:spacing w:before="9"/>
              <w:rPr>
                <w:sz w:val="19"/>
              </w:rPr>
            </w:pPr>
          </w:p>
          <w:p>
            <w:pPr>
              <w:pStyle w:val="TableParagraph"/>
              <w:ind w:left="286" w:right="290"/>
              <w:jc w:val="center"/>
              <w:rPr>
                <w:sz w:val="20"/>
              </w:rPr>
            </w:pPr>
            <w:r>
              <w:rPr>
                <w:sz w:val="20"/>
              </w:rPr>
              <w:t>62.5</w:t>
            </w:r>
          </w:p>
        </w:tc>
        <w:tc>
          <w:tcPr>
            <w:tcW w:w="758" w:type="dxa"/>
          </w:tcPr>
          <w:p>
            <w:pPr>
              <w:pStyle w:val="TableParagraph"/>
              <w:spacing w:before="9"/>
              <w:rPr>
                <w:sz w:val="19"/>
              </w:rPr>
            </w:pPr>
          </w:p>
          <w:p>
            <w:pPr>
              <w:pStyle w:val="TableParagraph"/>
              <w:ind w:right="2"/>
              <w:jc w:val="center"/>
              <w:rPr>
                <w:sz w:val="20"/>
              </w:rPr>
            </w:pPr>
            <w:r>
              <w:rPr>
                <w:w w:val="99"/>
                <w:sz w:val="20"/>
              </w:rPr>
              <w:t>6</w:t>
            </w:r>
          </w:p>
        </w:tc>
        <w:tc>
          <w:tcPr>
            <w:tcW w:w="764" w:type="dxa"/>
          </w:tcPr>
          <w:p>
            <w:pPr>
              <w:pStyle w:val="TableParagraph"/>
              <w:spacing w:before="9"/>
              <w:rPr>
                <w:sz w:val="19"/>
              </w:rPr>
            </w:pPr>
          </w:p>
          <w:p>
            <w:pPr>
              <w:pStyle w:val="TableParagraph"/>
              <w:ind w:left="160" w:right="162"/>
              <w:jc w:val="center"/>
              <w:rPr>
                <w:sz w:val="20"/>
              </w:rPr>
            </w:pPr>
            <w:r>
              <w:rPr>
                <w:sz w:val="20"/>
              </w:rPr>
              <w:t>25</w:t>
            </w:r>
          </w:p>
        </w:tc>
        <w:tc>
          <w:tcPr>
            <w:tcW w:w="758" w:type="dxa"/>
          </w:tcPr>
          <w:p>
            <w:pPr>
              <w:pStyle w:val="TableParagraph"/>
              <w:spacing w:before="9"/>
              <w:rPr>
                <w:sz w:val="19"/>
              </w:rPr>
            </w:pPr>
          </w:p>
          <w:p>
            <w:pPr>
              <w:pStyle w:val="TableParagraph"/>
              <w:ind w:left="242" w:right="244"/>
              <w:jc w:val="center"/>
              <w:rPr>
                <w:sz w:val="20"/>
              </w:rPr>
            </w:pPr>
            <w:r>
              <w:rPr>
                <w:sz w:val="20"/>
              </w:rPr>
              <w:t>36</w:t>
            </w:r>
          </w:p>
        </w:tc>
        <w:tc>
          <w:tcPr>
            <w:tcW w:w="890" w:type="dxa"/>
          </w:tcPr>
          <w:p>
            <w:pPr>
              <w:pStyle w:val="TableParagraph"/>
              <w:spacing w:before="9"/>
              <w:rPr>
                <w:sz w:val="19"/>
              </w:rPr>
            </w:pPr>
          </w:p>
          <w:p>
            <w:pPr>
              <w:pStyle w:val="TableParagraph"/>
              <w:ind w:left="223" w:right="227"/>
              <w:jc w:val="center"/>
              <w:rPr>
                <w:sz w:val="20"/>
              </w:rPr>
            </w:pPr>
            <w:r>
              <w:rPr>
                <w:sz w:val="20"/>
              </w:rPr>
              <w:t>62.1</w:t>
            </w:r>
          </w:p>
        </w:tc>
        <w:tc>
          <w:tcPr>
            <w:tcW w:w="759" w:type="dxa"/>
          </w:tcPr>
          <w:p>
            <w:pPr>
              <w:pStyle w:val="TableParagraph"/>
              <w:spacing w:before="9"/>
              <w:rPr>
                <w:sz w:val="19"/>
              </w:rPr>
            </w:pPr>
          </w:p>
          <w:p>
            <w:pPr>
              <w:pStyle w:val="TableParagraph"/>
              <w:ind w:left="241" w:right="244"/>
              <w:jc w:val="center"/>
              <w:rPr>
                <w:sz w:val="20"/>
              </w:rPr>
            </w:pPr>
            <w:r>
              <w:rPr>
                <w:sz w:val="20"/>
              </w:rPr>
              <w:t>21</w:t>
            </w:r>
          </w:p>
        </w:tc>
        <w:tc>
          <w:tcPr>
            <w:tcW w:w="775" w:type="dxa"/>
          </w:tcPr>
          <w:p>
            <w:pPr>
              <w:pStyle w:val="TableParagraph"/>
              <w:spacing w:before="9"/>
              <w:rPr>
                <w:sz w:val="19"/>
              </w:rPr>
            </w:pPr>
          </w:p>
          <w:p>
            <w:pPr>
              <w:pStyle w:val="TableParagraph"/>
              <w:ind w:left="166" w:right="170"/>
              <w:jc w:val="center"/>
              <w:rPr>
                <w:sz w:val="20"/>
              </w:rPr>
            </w:pPr>
            <w:r>
              <w:rPr>
                <w:sz w:val="20"/>
              </w:rPr>
              <w:t>36.2</w:t>
            </w:r>
          </w:p>
        </w:tc>
      </w:tr>
    </w:tbl>
    <w:p>
      <w:pPr>
        <w:spacing w:after="0"/>
        <w:jc w:val="center"/>
        <w:rPr>
          <w:sz w:val="20"/>
        </w:rPr>
        <w:sectPr>
          <w:footerReference w:type="default" r:id="rId16"/>
          <w:pgSz w:w="12240" w:h="15840"/>
          <w:pgMar w:footer="1032" w:header="0" w:top="1360" w:bottom="1220" w:left="1600" w:right="1580"/>
        </w:sectPr>
      </w:pPr>
    </w:p>
    <w:tbl>
      <w:tblPr>
        <w:tblW w:w="0" w:type="auto"/>
        <w:jc w:val="left"/>
        <w:tblInd w:w="4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8"/>
        <w:gridCol w:w="761"/>
        <w:gridCol w:w="1015"/>
        <w:gridCol w:w="758"/>
        <w:gridCol w:w="764"/>
        <w:gridCol w:w="758"/>
        <w:gridCol w:w="890"/>
        <w:gridCol w:w="759"/>
        <w:gridCol w:w="775"/>
      </w:tblGrid>
      <w:tr>
        <w:trPr>
          <w:trHeight w:val="929" w:hRule="exact"/>
        </w:trPr>
        <w:tc>
          <w:tcPr>
            <w:tcW w:w="1618" w:type="dxa"/>
          </w:tcPr>
          <w:p>
            <w:pPr>
              <w:pStyle w:val="TableParagraph"/>
              <w:ind w:left="182" w:right="182" w:hanging="1"/>
              <w:jc w:val="center"/>
              <w:rPr>
                <w:sz w:val="20"/>
              </w:rPr>
            </w:pPr>
            <w:r>
              <w:rPr>
                <w:sz w:val="20"/>
              </w:rPr>
              <w:t>Violencia contra los hombres</w:t>
            </w:r>
            <w:r>
              <w:rPr>
                <w:spacing w:val="1"/>
                <w:sz w:val="20"/>
              </w:rPr>
              <w:t> </w:t>
            </w:r>
            <w:r>
              <w:rPr>
                <w:sz w:val="20"/>
              </w:rPr>
              <w:t>y</w:t>
            </w:r>
            <w:r>
              <w:rPr>
                <w:spacing w:val="-7"/>
                <w:sz w:val="20"/>
              </w:rPr>
              <w:t> </w:t>
            </w:r>
            <w:r>
              <w:rPr>
                <w:sz w:val="20"/>
              </w:rPr>
              <w:t>los</w:t>
            </w:r>
            <w:r>
              <w:rPr>
                <w:w w:val="99"/>
                <w:sz w:val="20"/>
              </w:rPr>
              <w:t> </w:t>
            </w:r>
            <w:r>
              <w:rPr>
                <w:sz w:val="20"/>
              </w:rPr>
              <w:t>niños.</w:t>
            </w:r>
          </w:p>
        </w:tc>
        <w:tc>
          <w:tcPr>
            <w:tcW w:w="761" w:type="dxa"/>
          </w:tcPr>
          <w:p>
            <w:pPr>
              <w:pStyle w:val="TableParagraph"/>
              <w:spacing w:before="9"/>
              <w:rPr>
                <w:sz w:val="19"/>
              </w:rPr>
            </w:pPr>
          </w:p>
          <w:p>
            <w:pPr>
              <w:pStyle w:val="TableParagraph"/>
              <w:ind w:right="1"/>
              <w:jc w:val="center"/>
              <w:rPr>
                <w:sz w:val="20"/>
              </w:rPr>
            </w:pPr>
            <w:r>
              <w:rPr>
                <w:w w:val="99"/>
                <w:sz w:val="20"/>
              </w:rPr>
              <w:t>2</w:t>
            </w:r>
          </w:p>
        </w:tc>
        <w:tc>
          <w:tcPr>
            <w:tcW w:w="1015" w:type="dxa"/>
          </w:tcPr>
          <w:p>
            <w:pPr>
              <w:pStyle w:val="TableParagraph"/>
              <w:spacing w:before="9"/>
              <w:rPr>
                <w:sz w:val="19"/>
              </w:rPr>
            </w:pPr>
          </w:p>
          <w:p>
            <w:pPr>
              <w:pStyle w:val="TableParagraph"/>
              <w:ind w:left="286" w:right="290"/>
              <w:jc w:val="center"/>
              <w:rPr>
                <w:sz w:val="20"/>
              </w:rPr>
            </w:pPr>
            <w:r>
              <w:rPr>
                <w:sz w:val="20"/>
              </w:rPr>
              <w:t>8.3</w:t>
            </w:r>
          </w:p>
        </w:tc>
        <w:tc>
          <w:tcPr>
            <w:tcW w:w="758" w:type="dxa"/>
          </w:tcPr>
          <w:p>
            <w:pPr>
              <w:pStyle w:val="TableParagraph"/>
              <w:spacing w:before="9"/>
              <w:rPr>
                <w:sz w:val="19"/>
              </w:rPr>
            </w:pPr>
          </w:p>
          <w:p>
            <w:pPr>
              <w:pStyle w:val="TableParagraph"/>
              <w:ind w:right="2"/>
              <w:jc w:val="center"/>
              <w:rPr>
                <w:sz w:val="20"/>
              </w:rPr>
            </w:pPr>
            <w:r>
              <w:rPr>
                <w:w w:val="99"/>
                <w:sz w:val="20"/>
              </w:rPr>
              <w:t>4</w:t>
            </w:r>
          </w:p>
        </w:tc>
        <w:tc>
          <w:tcPr>
            <w:tcW w:w="764" w:type="dxa"/>
          </w:tcPr>
          <w:p>
            <w:pPr>
              <w:pStyle w:val="TableParagraph"/>
              <w:spacing w:before="9"/>
              <w:rPr>
                <w:sz w:val="19"/>
              </w:rPr>
            </w:pPr>
          </w:p>
          <w:p>
            <w:pPr>
              <w:pStyle w:val="TableParagraph"/>
              <w:ind w:left="162" w:right="162"/>
              <w:jc w:val="center"/>
              <w:rPr>
                <w:sz w:val="20"/>
              </w:rPr>
            </w:pPr>
            <w:r>
              <w:rPr>
                <w:sz w:val="20"/>
              </w:rPr>
              <w:t>16.7</w:t>
            </w:r>
          </w:p>
        </w:tc>
        <w:tc>
          <w:tcPr>
            <w:tcW w:w="758" w:type="dxa"/>
          </w:tcPr>
          <w:p>
            <w:pPr>
              <w:pStyle w:val="TableParagraph"/>
              <w:spacing w:before="9"/>
              <w:rPr>
                <w:sz w:val="19"/>
              </w:rPr>
            </w:pPr>
          </w:p>
          <w:p>
            <w:pPr>
              <w:pStyle w:val="TableParagraph"/>
              <w:ind w:right="2"/>
              <w:jc w:val="center"/>
              <w:rPr>
                <w:sz w:val="20"/>
              </w:rPr>
            </w:pPr>
            <w:r>
              <w:rPr>
                <w:w w:val="99"/>
                <w:sz w:val="20"/>
              </w:rPr>
              <w:t>1</w:t>
            </w:r>
          </w:p>
        </w:tc>
        <w:tc>
          <w:tcPr>
            <w:tcW w:w="890" w:type="dxa"/>
          </w:tcPr>
          <w:p>
            <w:pPr>
              <w:pStyle w:val="TableParagraph"/>
              <w:spacing w:before="9"/>
              <w:rPr>
                <w:sz w:val="19"/>
              </w:rPr>
            </w:pPr>
          </w:p>
          <w:p>
            <w:pPr>
              <w:pStyle w:val="TableParagraph"/>
              <w:ind w:right="302"/>
              <w:jc w:val="right"/>
              <w:rPr>
                <w:sz w:val="20"/>
              </w:rPr>
            </w:pPr>
            <w:r>
              <w:rPr>
                <w:sz w:val="20"/>
              </w:rPr>
              <w:t>1.7</w:t>
            </w:r>
          </w:p>
        </w:tc>
        <w:tc>
          <w:tcPr>
            <w:tcW w:w="759" w:type="dxa"/>
          </w:tcPr>
          <w:p>
            <w:pPr>
              <w:pStyle w:val="TableParagraph"/>
              <w:spacing w:before="9"/>
              <w:rPr>
                <w:sz w:val="19"/>
              </w:rPr>
            </w:pPr>
          </w:p>
          <w:p>
            <w:pPr>
              <w:pStyle w:val="TableParagraph"/>
              <w:ind w:right="3"/>
              <w:jc w:val="center"/>
              <w:rPr>
                <w:sz w:val="20"/>
              </w:rPr>
            </w:pPr>
            <w:r>
              <w:rPr>
                <w:w w:val="99"/>
                <w:sz w:val="20"/>
              </w:rPr>
              <w:t>3</w:t>
            </w:r>
          </w:p>
        </w:tc>
        <w:tc>
          <w:tcPr>
            <w:tcW w:w="775" w:type="dxa"/>
          </w:tcPr>
          <w:p>
            <w:pPr>
              <w:pStyle w:val="TableParagraph"/>
              <w:spacing w:before="9"/>
              <w:rPr>
                <w:sz w:val="19"/>
              </w:rPr>
            </w:pPr>
          </w:p>
          <w:p>
            <w:pPr>
              <w:pStyle w:val="TableParagraph"/>
              <w:ind w:left="166" w:right="168"/>
              <w:jc w:val="center"/>
              <w:rPr>
                <w:sz w:val="20"/>
              </w:rPr>
            </w:pPr>
            <w:r>
              <w:rPr>
                <w:sz w:val="20"/>
              </w:rPr>
              <w:t>5.2</w:t>
            </w:r>
          </w:p>
        </w:tc>
      </w:tr>
      <w:tr>
        <w:trPr>
          <w:trHeight w:val="1162" w:hRule="exact"/>
        </w:trPr>
        <w:tc>
          <w:tcPr>
            <w:tcW w:w="1618" w:type="dxa"/>
          </w:tcPr>
          <w:p>
            <w:pPr>
              <w:pStyle w:val="TableParagraph"/>
              <w:ind w:left="158" w:right="160" w:firstLine="1"/>
              <w:jc w:val="center"/>
              <w:rPr>
                <w:sz w:val="20"/>
              </w:rPr>
            </w:pPr>
            <w:r>
              <w:rPr>
                <w:sz w:val="20"/>
              </w:rPr>
              <w:t>Violencia contra </w:t>
            </w:r>
            <w:r>
              <w:rPr>
                <w:w w:val="95"/>
                <w:sz w:val="20"/>
              </w:rPr>
              <w:t>homosexuales </w:t>
            </w:r>
            <w:r>
              <w:rPr>
                <w:sz w:val="20"/>
              </w:rPr>
              <w:t>y lesbianas.</w:t>
            </w:r>
          </w:p>
        </w:tc>
        <w:tc>
          <w:tcPr>
            <w:tcW w:w="761" w:type="dxa"/>
          </w:tcPr>
          <w:p>
            <w:pPr>
              <w:pStyle w:val="TableParagraph"/>
              <w:spacing w:before="9"/>
              <w:rPr>
                <w:sz w:val="19"/>
              </w:rPr>
            </w:pPr>
          </w:p>
          <w:p>
            <w:pPr>
              <w:pStyle w:val="TableParagraph"/>
              <w:ind w:right="1"/>
              <w:jc w:val="center"/>
              <w:rPr>
                <w:sz w:val="20"/>
              </w:rPr>
            </w:pPr>
            <w:r>
              <w:rPr>
                <w:w w:val="99"/>
                <w:sz w:val="20"/>
              </w:rPr>
              <w:t>7</w:t>
            </w:r>
          </w:p>
        </w:tc>
        <w:tc>
          <w:tcPr>
            <w:tcW w:w="1015" w:type="dxa"/>
          </w:tcPr>
          <w:p>
            <w:pPr>
              <w:pStyle w:val="TableParagraph"/>
              <w:spacing w:before="9"/>
              <w:rPr>
                <w:sz w:val="19"/>
              </w:rPr>
            </w:pPr>
          </w:p>
          <w:p>
            <w:pPr>
              <w:pStyle w:val="TableParagraph"/>
              <w:ind w:left="286" w:right="290"/>
              <w:jc w:val="center"/>
              <w:rPr>
                <w:sz w:val="20"/>
              </w:rPr>
            </w:pPr>
            <w:r>
              <w:rPr>
                <w:sz w:val="20"/>
              </w:rPr>
              <w:t>29.2</w:t>
            </w:r>
          </w:p>
        </w:tc>
        <w:tc>
          <w:tcPr>
            <w:tcW w:w="758" w:type="dxa"/>
          </w:tcPr>
          <w:p>
            <w:pPr>
              <w:pStyle w:val="TableParagraph"/>
              <w:spacing w:before="9"/>
              <w:rPr>
                <w:sz w:val="19"/>
              </w:rPr>
            </w:pPr>
          </w:p>
          <w:p>
            <w:pPr>
              <w:pStyle w:val="TableParagraph"/>
              <w:ind w:left="242" w:right="244"/>
              <w:jc w:val="center"/>
              <w:rPr>
                <w:sz w:val="20"/>
              </w:rPr>
            </w:pPr>
            <w:r>
              <w:rPr>
                <w:sz w:val="20"/>
              </w:rPr>
              <w:t>14</w:t>
            </w:r>
          </w:p>
        </w:tc>
        <w:tc>
          <w:tcPr>
            <w:tcW w:w="764" w:type="dxa"/>
          </w:tcPr>
          <w:p>
            <w:pPr>
              <w:pStyle w:val="TableParagraph"/>
              <w:spacing w:before="9"/>
              <w:rPr>
                <w:sz w:val="19"/>
              </w:rPr>
            </w:pPr>
          </w:p>
          <w:p>
            <w:pPr>
              <w:pStyle w:val="TableParagraph"/>
              <w:ind w:left="162" w:right="162"/>
              <w:jc w:val="center"/>
              <w:rPr>
                <w:sz w:val="20"/>
              </w:rPr>
            </w:pPr>
            <w:r>
              <w:rPr>
                <w:sz w:val="20"/>
              </w:rPr>
              <w:t>58.3</w:t>
            </w:r>
          </w:p>
        </w:tc>
        <w:tc>
          <w:tcPr>
            <w:tcW w:w="758" w:type="dxa"/>
          </w:tcPr>
          <w:p>
            <w:pPr>
              <w:pStyle w:val="TableParagraph"/>
              <w:spacing w:before="9"/>
              <w:rPr>
                <w:sz w:val="19"/>
              </w:rPr>
            </w:pPr>
          </w:p>
          <w:p>
            <w:pPr>
              <w:pStyle w:val="TableParagraph"/>
              <w:ind w:left="242" w:right="244"/>
              <w:jc w:val="center"/>
              <w:rPr>
                <w:sz w:val="20"/>
              </w:rPr>
            </w:pPr>
            <w:r>
              <w:rPr>
                <w:sz w:val="20"/>
              </w:rPr>
              <w:t>21</w:t>
            </w:r>
          </w:p>
        </w:tc>
        <w:tc>
          <w:tcPr>
            <w:tcW w:w="890" w:type="dxa"/>
          </w:tcPr>
          <w:p>
            <w:pPr>
              <w:pStyle w:val="TableParagraph"/>
              <w:spacing w:before="9"/>
              <w:rPr>
                <w:sz w:val="19"/>
              </w:rPr>
            </w:pPr>
          </w:p>
          <w:p>
            <w:pPr>
              <w:pStyle w:val="TableParagraph"/>
              <w:ind w:right="247"/>
              <w:jc w:val="right"/>
              <w:rPr>
                <w:sz w:val="20"/>
              </w:rPr>
            </w:pPr>
            <w:r>
              <w:rPr>
                <w:sz w:val="20"/>
              </w:rPr>
              <w:t>36.2</w:t>
            </w:r>
          </w:p>
        </w:tc>
        <w:tc>
          <w:tcPr>
            <w:tcW w:w="759" w:type="dxa"/>
          </w:tcPr>
          <w:p>
            <w:pPr>
              <w:pStyle w:val="TableParagraph"/>
              <w:spacing w:before="9"/>
              <w:rPr>
                <w:sz w:val="19"/>
              </w:rPr>
            </w:pPr>
          </w:p>
          <w:p>
            <w:pPr>
              <w:pStyle w:val="TableParagraph"/>
              <w:ind w:left="241" w:right="244"/>
              <w:jc w:val="center"/>
              <w:rPr>
                <w:sz w:val="20"/>
              </w:rPr>
            </w:pPr>
            <w:r>
              <w:rPr>
                <w:sz w:val="20"/>
              </w:rPr>
              <w:t>34</w:t>
            </w:r>
          </w:p>
        </w:tc>
        <w:tc>
          <w:tcPr>
            <w:tcW w:w="775" w:type="dxa"/>
          </w:tcPr>
          <w:p>
            <w:pPr>
              <w:pStyle w:val="TableParagraph"/>
              <w:spacing w:before="9"/>
              <w:rPr>
                <w:sz w:val="19"/>
              </w:rPr>
            </w:pPr>
          </w:p>
          <w:p>
            <w:pPr>
              <w:pStyle w:val="TableParagraph"/>
              <w:ind w:left="166" w:right="170"/>
              <w:jc w:val="center"/>
              <w:rPr>
                <w:sz w:val="20"/>
              </w:rPr>
            </w:pPr>
            <w:r>
              <w:rPr>
                <w:sz w:val="20"/>
              </w:rPr>
              <w:t>58.6</w:t>
            </w:r>
          </w:p>
        </w:tc>
      </w:tr>
    </w:tbl>
    <w:p>
      <w:pPr>
        <w:pStyle w:val="BodyText"/>
        <w:spacing w:before="2"/>
        <w:rPr>
          <w:sz w:val="13"/>
        </w:rPr>
      </w:pPr>
    </w:p>
    <w:p>
      <w:pPr>
        <w:spacing w:before="74"/>
        <w:ind w:left="135" w:right="154" w:firstLine="0"/>
        <w:jc w:val="center"/>
        <w:rPr>
          <w:sz w:val="20"/>
        </w:rPr>
      </w:pPr>
      <w:r>
        <w:rPr>
          <w:sz w:val="20"/>
        </w:rPr>
        <w:t>(Miranda, 2014).</w:t>
      </w:r>
    </w:p>
    <w:p>
      <w:pPr>
        <w:pStyle w:val="BodyText"/>
        <w:rPr>
          <w:sz w:val="20"/>
        </w:rPr>
      </w:pPr>
    </w:p>
    <w:p>
      <w:pPr>
        <w:pStyle w:val="BodyText"/>
        <w:rPr>
          <w:sz w:val="20"/>
        </w:rPr>
      </w:pPr>
    </w:p>
    <w:p>
      <w:pPr>
        <w:pStyle w:val="BodyText"/>
        <w:rPr>
          <w:sz w:val="20"/>
        </w:rPr>
      </w:pPr>
    </w:p>
    <w:p>
      <w:pPr>
        <w:pStyle w:val="BodyText"/>
        <w:spacing w:before="9"/>
        <w:rPr>
          <w:sz w:val="17"/>
        </w:rPr>
      </w:pPr>
    </w:p>
    <w:p>
      <w:pPr>
        <w:pStyle w:val="BodyText"/>
        <w:ind w:left="102" w:right="124"/>
        <w:jc w:val="both"/>
      </w:pPr>
      <w:r>
        <w:rPr>
          <w:u w:val="single"/>
        </w:rPr>
        <w:t>Gráfica 4.1. </w:t>
      </w:r>
      <w:r>
        <w:rPr/>
        <w:t>Los dos tipos más frecuentes de violencia entre hombres y mujeres, consideradas por el estudiantado.</w:t>
      </w:r>
    </w:p>
    <w:p>
      <w:pPr>
        <w:pStyle w:val="BodyText"/>
        <w:rPr>
          <w:sz w:val="20"/>
        </w:rPr>
      </w:pPr>
    </w:p>
    <w:p>
      <w:pPr>
        <w:pStyle w:val="BodyText"/>
        <w:spacing w:before="3"/>
        <w:rPr>
          <w:sz w:val="12"/>
        </w:rPr>
      </w:pPr>
      <w:r>
        <w:rPr/>
        <w:pict>
          <v:group style="position:absolute;margin-left:89.649002pt;margin-top:9.003022pt;width:433.05pt;height:229.3pt;mso-position-horizontal-relative:page;mso-position-vertical-relative:paragraph;z-index:2224;mso-wrap-distance-left:0;mso-wrap-distance-right:0" coordorigin="1793,180" coordsize="8661,4586">
            <v:line style="position:absolute" from="7634,3441" to="7862,3441" stroked="true" strokeweight=".72pt" strokecolor="#858585"/>
            <v:line style="position:absolute" from="7030,3441" to="7332,3441" stroked="true" strokeweight=".72pt" strokecolor="#858585"/>
            <v:line style="position:absolute" from="6274,3441" to="6727,3441" stroked="true" strokeweight=".72pt" strokecolor="#858585"/>
            <v:line style="position:absolute" from="5666,3441" to="5969,3441" stroked="true" strokeweight=".72pt" strokecolor="#858585"/>
            <v:line style="position:absolute" from="4910,3441" to="5364,3441" stroked="true" strokeweight=".72pt" strokecolor="#858585"/>
            <v:line style="position:absolute" from="3547,3441" to="4001,3441" stroked="true" strokeweight=".72pt" strokecolor="#858585"/>
            <v:line style="position:absolute" from="2940,3441" to="3245,3441" stroked="true" strokeweight=".72pt" strokecolor="#858585"/>
            <v:line style="position:absolute" from="2412,3441" to="2638,3441" stroked="true" strokeweight=".72pt" strokecolor="#858585"/>
            <v:line style="position:absolute" from="2940,2932" to="3245,2932" stroked="true" strokeweight=".72pt" strokecolor="#858585"/>
            <v:line style="position:absolute" from="2412,2932" to="2638,2932" stroked="true" strokeweight=".72pt" strokecolor="#858585"/>
            <v:line style="position:absolute" from="2940,2423" to="4606,2423" stroked="true" strokeweight=".72pt" strokecolor="#858585"/>
            <v:line style="position:absolute" from="2412,2423" to="2638,2423" stroked="true" strokeweight=".72pt" strokecolor="#858585"/>
            <v:line style="position:absolute" from="2940,1914" to="4606,1914" stroked="true" strokeweight=".72pt" strokecolor="#858585"/>
            <v:line style="position:absolute" from="2412,1914" to="2638,1914" stroked="true" strokeweight=".72pt" strokecolor="#858585"/>
            <v:line style="position:absolute" from="2940,1408" to="4606,1408" stroked="true" strokeweight=".72pt" strokecolor="#858585"/>
            <v:line style="position:absolute" from="2412,1408" to="2638,1408" stroked="true" strokeweight=".72pt" strokecolor="#858585"/>
            <v:line style="position:absolute" from="2940,899" to="5364,899" stroked="true" strokeweight=".72pt" strokecolor="#858585"/>
            <v:line style="position:absolute" from="2412,899" to="2638,899" stroked="true" strokeweight=".72pt" strokecolor="#858585"/>
            <v:rect style="position:absolute;left:2638;top:772;width:302;height:3178" filled="true" fillcolor="#3b8da2" stroked="false">
              <v:fill type="solid"/>
            </v:rect>
            <v:line style="position:absolute" from="4303,2932" to="4606,2932" stroked="true" strokeweight=".72pt" strokecolor="#858585"/>
            <v:line style="position:absolute" from="3547,2932" to="4001,2932" stroked="true" strokeweight=".72pt" strokecolor="#858585"/>
            <v:rect style="position:absolute;left:4001;top:2677;width:302;height:1272" filled="true" fillcolor="#3b8da2" stroked="false">
              <v:fill type="solid"/>
            </v:rect>
            <v:line style="position:absolute" from="5666,2932" to="5969,2932" stroked="true" strokeweight=".72pt" strokecolor="#858585"/>
            <v:line style="position:absolute" from="4910,2932" to="5364,2932" stroked="true" strokeweight=".72pt" strokecolor="#858585"/>
            <v:line style="position:absolute" from="5666,2423" to="5969,2423" stroked="true" strokeweight=".72pt" strokecolor="#858585"/>
            <v:line style="position:absolute" from="4910,2423" to="5364,2423" stroked="true" strokeweight=".72pt" strokecolor="#858585"/>
            <v:line style="position:absolute" from="5666,1914" to="7332,1914" stroked="true" strokeweight=".72pt" strokecolor="#858585"/>
            <v:line style="position:absolute" from="4910,1914" to="5364,1914" stroked="true" strokeweight=".72pt" strokecolor="#858585"/>
            <v:line style="position:absolute" from="5666,1408" to="7332,1408" stroked="true" strokeweight=".72pt" strokecolor="#858585"/>
            <v:line style="position:absolute" from="4910,1408" to="5364,1408" stroked="true" strokeweight=".72pt" strokecolor="#858585"/>
            <v:line style="position:absolute" from="5666,899" to="7862,899" stroked="true" strokeweight=".72pt" strokecolor="#858585"/>
            <v:rect style="position:absolute;left:5364;top:791;width:302;height:3158" filled="true" fillcolor="#3b8da2" stroked="false">
              <v:fill type="solid"/>
            </v:rect>
            <v:line style="position:absolute" from="7030,2932" to="7332,2932" stroked="true" strokeweight=".72pt" strokecolor="#858585"/>
            <v:line style="position:absolute" from="6274,2932" to="6727,2932" stroked="true" strokeweight=".72pt" strokecolor="#858585"/>
            <v:line style="position:absolute" from="7030,2423" to="7332,2423" stroked="true" strokeweight=".72pt" strokecolor="#858585"/>
            <v:line style="position:absolute" from="6274,2423" to="6727,2423" stroked="true" strokeweight=".72pt" strokecolor="#858585"/>
            <v:rect style="position:absolute;left:6727;top:2109;width:302;height:1841" filled="true" fillcolor="#3b8da2" stroked="false">
              <v:fill type="solid"/>
            </v:rect>
            <v:rect style="position:absolute;left:2940;top:3527;width:305;height:422" filled="true" fillcolor="#4aacc5" stroked="false">
              <v:fill type="solid"/>
            </v:rect>
            <v:rect style="position:absolute;left:4303;top:3100;width:302;height:850" filled="true" fillcolor="#4aacc5" stroked="false">
              <v:fill type="solid"/>
            </v:rect>
            <v:line style="position:absolute" from="5666,3906" to="5969,3906" stroked="true" strokeweight="4.32pt" strokecolor="#4aacc5"/>
            <v:rect style="position:absolute;left:7030;top:3685;width:302;height:264" filled="true" fillcolor="#4aacc5" stroked="false">
              <v:fill type="solid"/>
            </v:rect>
            <v:rect style="position:absolute;left:3245;top:2464;width:302;height:1486" filled="true" fillcolor="#a9cedc" stroked="false">
              <v:fill type="solid"/>
            </v:rect>
            <v:rect style="position:absolute;left:4606;top:985;width:305;height:2964" filled="true" fillcolor="#a9cedc" stroked="false">
              <v:fill type="solid"/>
            </v:rect>
            <v:rect style="position:absolute;left:5969;top:2109;width:305;height:1841" filled="true" fillcolor="#a9cedc" stroked="false">
              <v:fill type="solid"/>
            </v:rect>
            <v:line style="position:absolute" from="7634,2932" to="7862,2932" stroked="true" strokeweight=".72pt" strokecolor="#858585"/>
            <v:line style="position:absolute" from="7634,2423" to="7862,2423" stroked="true" strokeweight=".72pt" strokecolor="#858585"/>
            <v:line style="position:absolute" from="7634,1914" to="7862,1914" stroked="true" strokeweight=".72pt" strokecolor="#858585"/>
            <v:line style="position:absolute" from="7634,1408" to="7862,1408" stroked="true" strokeweight=".72pt" strokecolor="#858585"/>
            <v:rect style="position:absolute;left:7332;top:969;width:302;height:2981" filled="true" fillcolor="#a9cedc" stroked="false">
              <v:fill type="solid"/>
            </v:rect>
            <v:line style="position:absolute" from="2412,390" to="7862,390" stroked="true" strokeweight=".72pt" strokecolor="#858585"/>
            <v:line style="position:absolute" from="2412,3949" to="2412,390" stroked="true" strokeweight=".72pt" strokecolor="#858585"/>
            <v:line style="position:absolute" from="2347,3949" to="2412,3949" stroked="true" strokeweight=".72pt" strokecolor="#858585"/>
            <v:line style="position:absolute" from="2347,3441" to="2412,3441" stroked="true" strokeweight=".72pt" strokecolor="#858585"/>
            <v:line style="position:absolute" from="2347,2932" to="2412,2932" stroked="true" strokeweight=".72pt" strokecolor="#858585"/>
            <v:line style="position:absolute" from="2347,2423" to="2412,2423" stroked="true" strokeweight=".72pt" strokecolor="#858585"/>
            <v:line style="position:absolute" from="2347,1914" to="2412,1914" stroked="true" strokeweight=".72pt" strokecolor="#858585"/>
            <v:line style="position:absolute" from="2347,1408" to="2412,1408" stroked="true" strokeweight=".72pt" strokecolor="#858585"/>
            <v:line style="position:absolute" from="2347,899" to="2412,899" stroked="true" strokeweight=".72pt" strokecolor="#858585"/>
            <v:line style="position:absolute" from="2347,390" to="2412,390" stroked="true" strokeweight=".72pt" strokecolor="#858585"/>
            <v:line style="position:absolute" from="2412,3949" to="7862,3949" stroked="true" strokeweight=".72pt" strokecolor="#858585"/>
            <v:line style="position:absolute" from="2412,3949" to="2412,4012" stroked="true" strokeweight=".72pt" strokecolor="#858585"/>
            <v:line style="position:absolute" from="3773,3949" to="3773,4012" stroked="true" strokeweight=".72pt" strokecolor="#858585"/>
            <v:line style="position:absolute" from="5136,3949" to="5136,4012" stroked="true" strokeweight=".72pt" strokecolor="#858585"/>
            <v:line style="position:absolute" from="6499,3949" to="6499,4012" stroked="true" strokeweight=".72pt" strokecolor="#858585"/>
            <v:line style="position:absolute" from="7862,3949" to="7862,4012" stroked="true" strokeweight=".72pt" strokecolor="#858585"/>
            <v:rect style="position:absolute;left:8297;top:1273;width:108;height:110" filled="true" fillcolor="#3b8da2" stroked="false">
              <v:fill type="solid"/>
            </v:rect>
            <v:rect style="position:absolute;left:8297;top:2123;width:108;height:110" filled="true" fillcolor="#4aacc5" stroked="false">
              <v:fill type="solid"/>
            </v:rect>
            <v:rect style="position:absolute;left:8297;top:2973;width:108;height:110" filled="true" fillcolor="#a9cedc" stroked="false">
              <v:fill type="solid"/>
            </v:rect>
            <v:rect style="position:absolute;left:1800;top:188;width:8646;height:4571" filled="false" stroked="true" strokeweight=".75pt" strokecolor="#858585"/>
            <v:shape style="position:absolute;left:2021;top:297;width:202;height:1217"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70</w:t>
                    </w:r>
                  </w:p>
                  <w:p>
                    <w:pPr>
                      <w:spacing w:line="240" w:lineRule="auto" w:before="0"/>
                      <w:rPr>
                        <w:sz w:val="23"/>
                      </w:rPr>
                    </w:pPr>
                  </w:p>
                  <w:p>
                    <w:pPr>
                      <w:spacing w:before="0"/>
                      <w:ind w:left="0" w:right="-19" w:firstLine="0"/>
                      <w:jc w:val="left"/>
                      <w:rPr>
                        <w:rFonts w:ascii="Calibri"/>
                        <w:sz w:val="20"/>
                      </w:rPr>
                    </w:pPr>
                    <w:r>
                      <w:rPr>
                        <w:rFonts w:ascii="Calibri"/>
                        <w:spacing w:val="-1"/>
                        <w:sz w:val="20"/>
                      </w:rPr>
                      <w:t>60</w:t>
                    </w:r>
                  </w:p>
                  <w:p>
                    <w:pPr>
                      <w:spacing w:line="240" w:lineRule="auto" w:before="11"/>
                      <w:rPr>
                        <w:sz w:val="22"/>
                      </w:rPr>
                    </w:pPr>
                  </w:p>
                  <w:p>
                    <w:pPr>
                      <w:spacing w:line="240" w:lineRule="exact" w:before="0"/>
                      <w:ind w:left="0" w:right="-19" w:firstLine="0"/>
                      <w:jc w:val="left"/>
                      <w:rPr>
                        <w:rFonts w:ascii="Calibri"/>
                        <w:sz w:val="20"/>
                      </w:rPr>
                    </w:pPr>
                    <w:r>
                      <w:rPr>
                        <w:rFonts w:ascii="Calibri"/>
                        <w:spacing w:val="-1"/>
                        <w:sz w:val="20"/>
                      </w:rPr>
                      <w:t>50</w:t>
                    </w:r>
                  </w:p>
                </w:txbxContent>
              </v:textbox>
              <w10:wrap type="none"/>
            </v:shape>
            <v:shape style="position:absolute;left:8453;top:1236;width:1580;height:444" type="#_x0000_t202" filled="false" stroked="false">
              <v:textbox inset="0,0,0,0">
                <w:txbxContent>
                  <w:p>
                    <w:pPr>
                      <w:spacing w:line="203" w:lineRule="exact" w:before="0"/>
                      <w:ind w:left="0" w:right="-20" w:firstLine="0"/>
                      <w:jc w:val="left"/>
                      <w:rPr>
                        <w:rFonts w:ascii="Calibri"/>
                        <w:sz w:val="20"/>
                      </w:rPr>
                    </w:pPr>
                    <w:r>
                      <w:rPr>
                        <w:rFonts w:ascii="Calibri"/>
                        <w:sz w:val="20"/>
                      </w:rPr>
                      <w:t>Violencia contra las</w:t>
                    </w:r>
                  </w:p>
                  <w:p>
                    <w:pPr>
                      <w:spacing w:line="240" w:lineRule="exact" w:before="0"/>
                      <w:ind w:left="0" w:right="-20" w:firstLine="0"/>
                      <w:jc w:val="left"/>
                      <w:rPr>
                        <w:rFonts w:ascii="Calibri" w:hAnsi="Calibri"/>
                        <w:sz w:val="20"/>
                      </w:rPr>
                    </w:pPr>
                    <w:r>
                      <w:rPr>
                        <w:rFonts w:ascii="Calibri" w:hAnsi="Calibri"/>
                        <w:sz w:val="20"/>
                      </w:rPr>
                      <w:t>mujeres y las niñas</w:t>
                    </w:r>
                  </w:p>
                </w:txbxContent>
              </v:textbox>
              <w10:wrap type="none"/>
            </v:shape>
            <v:shape style="position:absolute;left:2021;top:1822;width:8098;height:708" type="#_x0000_t202" filled="false" stroked="false">
              <v:textbox inset="0,0,0,0">
                <w:txbxContent>
                  <w:p>
                    <w:pPr>
                      <w:spacing w:line="203" w:lineRule="exact" w:before="0"/>
                      <w:ind w:left="0" w:right="0" w:firstLine="0"/>
                      <w:jc w:val="left"/>
                      <w:rPr>
                        <w:rFonts w:ascii="Calibri"/>
                        <w:sz w:val="20"/>
                      </w:rPr>
                    </w:pPr>
                    <w:r>
                      <w:rPr>
                        <w:rFonts w:ascii="Calibri"/>
                        <w:sz w:val="20"/>
                      </w:rPr>
                      <w:t>40</w:t>
                    </w:r>
                  </w:p>
                  <w:p>
                    <w:pPr>
                      <w:spacing w:before="19"/>
                      <w:ind w:left="0" w:right="75" w:firstLine="0"/>
                      <w:jc w:val="right"/>
                      <w:rPr>
                        <w:rFonts w:ascii="Calibri"/>
                        <w:sz w:val="20"/>
                      </w:rPr>
                    </w:pPr>
                    <w:r>
                      <w:rPr>
                        <w:rFonts w:ascii="Calibri"/>
                        <w:sz w:val="20"/>
                      </w:rPr>
                      <w:t>Violencia contra los</w:t>
                    </w:r>
                  </w:p>
                  <w:p>
                    <w:pPr>
                      <w:tabs>
                        <w:tab w:pos="6431" w:val="left" w:leader="none"/>
                      </w:tabs>
                      <w:spacing w:line="240" w:lineRule="exact" w:before="1"/>
                      <w:ind w:left="0" w:right="0" w:firstLine="0"/>
                      <w:jc w:val="right"/>
                      <w:rPr>
                        <w:rFonts w:ascii="Calibri" w:hAnsi="Calibri"/>
                        <w:sz w:val="20"/>
                      </w:rPr>
                    </w:pPr>
                    <w:r>
                      <w:rPr>
                        <w:rFonts w:ascii="Calibri" w:hAnsi="Calibri"/>
                        <w:sz w:val="20"/>
                      </w:rPr>
                      <w:t>30</w:t>
                      <w:tab/>
                      <w:t>hombres y los</w:t>
                    </w:r>
                    <w:r>
                      <w:rPr>
                        <w:rFonts w:ascii="Calibri" w:hAnsi="Calibri"/>
                        <w:spacing w:val="-10"/>
                        <w:sz w:val="20"/>
                      </w:rPr>
                      <w:t> </w:t>
                    </w:r>
                    <w:r>
                      <w:rPr>
                        <w:rFonts w:ascii="Calibri" w:hAnsi="Calibri"/>
                        <w:sz w:val="20"/>
                      </w:rPr>
                      <w:t>niños.</w:t>
                    </w:r>
                  </w:p>
                </w:txbxContent>
              </v:textbox>
              <w10:wrap type="none"/>
            </v:shape>
            <v:shape style="position:absolute;left:2021;top:2840;width:202;height:709"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20</w:t>
                    </w:r>
                  </w:p>
                  <w:p>
                    <w:pPr>
                      <w:spacing w:line="240" w:lineRule="auto" w:before="0"/>
                      <w:rPr>
                        <w:sz w:val="23"/>
                      </w:rPr>
                    </w:pPr>
                  </w:p>
                  <w:p>
                    <w:pPr>
                      <w:spacing w:line="240" w:lineRule="exact" w:before="0"/>
                      <w:ind w:left="0" w:right="-19" w:firstLine="0"/>
                      <w:jc w:val="left"/>
                      <w:rPr>
                        <w:rFonts w:ascii="Calibri"/>
                        <w:sz w:val="20"/>
                      </w:rPr>
                    </w:pPr>
                    <w:r>
                      <w:rPr>
                        <w:rFonts w:ascii="Calibri"/>
                        <w:spacing w:val="-1"/>
                        <w:sz w:val="20"/>
                      </w:rPr>
                      <w:t>10</w:t>
                    </w:r>
                  </w:p>
                </w:txbxContent>
              </v:textbox>
              <w10:wrap type="none"/>
            </v:shape>
            <v:shape style="position:absolute;left:8453;top:2935;width:1314;height:687" type="#_x0000_t202" filled="false" stroked="false">
              <v:textbox inset="0,0,0,0">
                <w:txbxContent>
                  <w:p>
                    <w:pPr>
                      <w:spacing w:line="203" w:lineRule="exact" w:before="0"/>
                      <w:ind w:left="0" w:right="-14" w:firstLine="0"/>
                      <w:jc w:val="left"/>
                      <w:rPr>
                        <w:rFonts w:ascii="Calibri"/>
                        <w:sz w:val="20"/>
                      </w:rPr>
                    </w:pPr>
                    <w:r>
                      <w:rPr>
                        <w:rFonts w:ascii="Calibri"/>
                        <w:sz w:val="20"/>
                      </w:rPr>
                      <w:t>Violencia</w:t>
                    </w:r>
                    <w:r>
                      <w:rPr>
                        <w:rFonts w:ascii="Calibri"/>
                        <w:spacing w:val="-7"/>
                        <w:sz w:val="20"/>
                      </w:rPr>
                      <w:t> </w:t>
                    </w:r>
                    <w:r>
                      <w:rPr>
                        <w:rFonts w:ascii="Calibri"/>
                        <w:sz w:val="20"/>
                      </w:rPr>
                      <w:t>contra</w:t>
                    </w:r>
                  </w:p>
                  <w:p>
                    <w:pPr>
                      <w:spacing w:before="0"/>
                      <w:ind w:left="0" w:right="-7" w:firstLine="0"/>
                      <w:jc w:val="left"/>
                      <w:rPr>
                        <w:rFonts w:ascii="Calibri"/>
                        <w:sz w:val="20"/>
                      </w:rPr>
                    </w:pPr>
                    <w:r>
                      <w:rPr>
                        <w:rFonts w:ascii="Calibri"/>
                        <w:sz w:val="20"/>
                      </w:rPr>
                      <w:t>homosexuales y lesbianas.</w:t>
                    </w:r>
                  </w:p>
                </w:txbxContent>
              </v:textbox>
              <w10:wrap type="none"/>
            </v:shape>
            <v:shape style="position:absolute;left:2123;top:3857;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2659;top:4117;width:864;height:444" type="#_x0000_t202" filled="false" stroked="false">
              <v:textbox inset="0,0,0,0">
                <w:txbxContent>
                  <w:p>
                    <w:pPr>
                      <w:spacing w:line="203" w:lineRule="exact" w:before="0"/>
                      <w:ind w:left="0" w:right="1" w:firstLine="0"/>
                      <w:jc w:val="center"/>
                      <w:rPr>
                        <w:rFonts w:ascii="Calibri" w:hAnsi="Calibri"/>
                        <w:sz w:val="20"/>
                      </w:rPr>
                    </w:pPr>
                    <w:r>
                      <w:rPr>
                        <w:rFonts w:ascii="Calibri" w:hAnsi="Calibri"/>
                        <w:sz w:val="20"/>
                      </w:rPr>
                      <w:t>1°</w:t>
                    </w:r>
                    <w:r>
                      <w:rPr>
                        <w:rFonts w:ascii="Calibri" w:hAnsi="Calibri"/>
                        <w:spacing w:val="-4"/>
                        <w:sz w:val="20"/>
                      </w:rPr>
                      <w:t> </w:t>
                    </w:r>
                    <w:r>
                      <w:rPr>
                        <w:rFonts w:ascii="Calibri" w:hAnsi="Calibri"/>
                        <w:sz w:val="20"/>
                      </w:rPr>
                      <w:t>lugar</w:t>
                    </w:r>
                  </w:p>
                  <w:p>
                    <w:pPr>
                      <w:spacing w:line="240" w:lineRule="exact" w:before="0"/>
                      <w:ind w:left="1" w:right="1" w:firstLine="0"/>
                      <w:jc w:val="center"/>
                      <w:rPr>
                        <w:rFonts w:ascii="Calibri"/>
                        <w:sz w:val="20"/>
                      </w:rPr>
                    </w:pPr>
                    <w:r>
                      <w:rPr>
                        <w:rFonts w:ascii="Calibri"/>
                        <w:w w:val="95"/>
                        <w:sz w:val="20"/>
                      </w:rPr>
                      <w:t>(Hombres)</w:t>
                    </w:r>
                  </w:p>
                </w:txbxContent>
              </v:textbox>
              <w10:wrap type="none"/>
            </v:shape>
            <v:shape style="position:absolute;left:4022;top:4117;width:864;height:444" type="#_x0000_t202" filled="false" stroked="false">
              <v:textbox inset="0,0,0,0">
                <w:txbxContent>
                  <w:p>
                    <w:pPr>
                      <w:spacing w:line="203" w:lineRule="exact" w:before="0"/>
                      <w:ind w:left="0" w:right="1" w:firstLine="0"/>
                      <w:jc w:val="center"/>
                      <w:rPr>
                        <w:rFonts w:ascii="Calibri" w:hAnsi="Calibri"/>
                        <w:sz w:val="20"/>
                      </w:rPr>
                    </w:pPr>
                    <w:r>
                      <w:rPr>
                        <w:rFonts w:ascii="Calibri" w:hAnsi="Calibri"/>
                        <w:sz w:val="20"/>
                      </w:rPr>
                      <w:t>2°</w:t>
                    </w:r>
                    <w:r>
                      <w:rPr>
                        <w:rFonts w:ascii="Calibri" w:hAnsi="Calibri"/>
                        <w:spacing w:val="-4"/>
                        <w:sz w:val="20"/>
                      </w:rPr>
                      <w:t> </w:t>
                    </w:r>
                    <w:r>
                      <w:rPr>
                        <w:rFonts w:ascii="Calibri" w:hAnsi="Calibri"/>
                        <w:sz w:val="20"/>
                      </w:rPr>
                      <w:t>lugar</w:t>
                    </w:r>
                  </w:p>
                  <w:p>
                    <w:pPr>
                      <w:spacing w:line="240" w:lineRule="exact" w:before="0"/>
                      <w:ind w:left="1" w:right="1" w:firstLine="0"/>
                      <w:jc w:val="center"/>
                      <w:rPr>
                        <w:rFonts w:ascii="Calibri"/>
                        <w:sz w:val="20"/>
                      </w:rPr>
                    </w:pPr>
                    <w:r>
                      <w:rPr>
                        <w:rFonts w:ascii="Calibri"/>
                        <w:w w:val="95"/>
                        <w:sz w:val="20"/>
                      </w:rPr>
                      <w:t>(Hombres)</w:t>
                    </w:r>
                  </w:p>
                </w:txbxContent>
              </v:textbox>
              <w10:wrap type="none"/>
            </v:shape>
            <v:shape style="position:absolute;left:5421;top:4117;width:792;height:444" type="#_x0000_t202" filled="false" stroked="false">
              <v:textbox inset="0,0,0,0">
                <w:txbxContent>
                  <w:p>
                    <w:pPr>
                      <w:spacing w:line="203" w:lineRule="exact" w:before="0"/>
                      <w:ind w:left="0" w:right="0" w:firstLine="0"/>
                      <w:jc w:val="center"/>
                      <w:rPr>
                        <w:rFonts w:ascii="Calibri" w:hAnsi="Calibri"/>
                        <w:sz w:val="20"/>
                      </w:rPr>
                    </w:pPr>
                    <w:r>
                      <w:rPr>
                        <w:rFonts w:ascii="Calibri" w:hAnsi="Calibri"/>
                        <w:sz w:val="20"/>
                      </w:rPr>
                      <w:t>1° lugar</w:t>
                    </w:r>
                  </w:p>
                  <w:p>
                    <w:pPr>
                      <w:spacing w:line="240" w:lineRule="exact" w:before="0"/>
                      <w:ind w:left="0" w:right="0" w:firstLine="0"/>
                      <w:jc w:val="center"/>
                      <w:rPr>
                        <w:rFonts w:ascii="Calibri"/>
                        <w:sz w:val="20"/>
                      </w:rPr>
                    </w:pPr>
                    <w:r>
                      <w:rPr>
                        <w:rFonts w:ascii="Calibri"/>
                        <w:w w:val="95"/>
                        <w:sz w:val="20"/>
                      </w:rPr>
                      <w:t>(Mujeres)</w:t>
                    </w:r>
                  </w:p>
                </w:txbxContent>
              </v:textbox>
              <w10:wrap type="none"/>
            </v:shape>
            <v:shape style="position:absolute;left:6784;top:4117;width:792;height:444" type="#_x0000_t202" filled="false" stroked="false">
              <v:textbox inset="0,0,0,0">
                <w:txbxContent>
                  <w:p>
                    <w:pPr>
                      <w:spacing w:line="203" w:lineRule="exact" w:before="0"/>
                      <w:ind w:left="0" w:right="0" w:firstLine="0"/>
                      <w:jc w:val="center"/>
                      <w:rPr>
                        <w:rFonts w:ascii="Calibri" w:hAnsi="Calibri"/>
                        <w:sz w:val="20"/>
                      </w:rPr>
                    </w:pPr>
                    <w:r>
                      <w:rPr>
                        <w:rFonts w:ascii="Calibri" w:hAnsi="Calibri"/>
                        <w:sz w:val="20"/>
                      </w:rPr>
                      <w:t>2° lugar</w:t>
                    </w:r>
                  </w:p>
                  <w:p>
                    <w:pPr>
                      <w:spacing w:line="240" w:lineRule="exact" w:before="0"/>
                      <w:ind w:left="0" w:right="0" w:firstLine="0"/>
                      <w:jc w:val="center"/>
                      <w:rPr>
                        <w:rFonts w:ascii="Calibri"/>
                        <w:sz w:val="20"/>
                      </w:rPr>
                    </w:pPr>
                    <w:r>
                      <w:rPr>
                        <w:rFonts w:ascii="Calibri"/>
                        <w:w w:val="95"/>
                        <w:sz w:val="20"/>
                      </w:rPr>
                      <w:t>(Mujeres)</w:t>
                    </w:r>
                  </w:p>
                </w:txbxContent>
              </v:textbox>
              <w10:wrap type="none"/>
            </v:shape>
            <w10:wrap type="topAndBottom"/>
          </v:group>
        </w:pict>
      </w:r>
    </w:p>
    <w:p>
      <w:pPr>
        <w:pStyle w:val="BodyText"/>
        <w:spacing w:before="8"/>
        <w:rPr>
          <w:sz w:val="26"/>
        </w:rPr>
      </w:pPr>
    </w:p>
    <w:p>
      <w:pPr>
        <w:spacing w:before="0"/>
        <w:ind w:left="134" w:right="154" w:firstLine="0"/>
        <w:jc w:val="center"/>
        <w:rPr>
          <w:sz w:val="20"/>
        </w:rPr>
      </w:pPr>
      <w:r>
        <w:rPr>
          <w:sz w:val="20"/>
        </w:rPr>
        <w:t>(Miranda, 2014).</w:t>
      </w:r>
    </w:p>
    <w:p>
      <w:pPr>
        <w:pStyle w:val="BodyText"/>
        <w:rPr>
          <w:sz w:val="20"/>
        </w:rPr>
      </w:pPr>
    </w:p>
    <w:p>
      <w:pPr>
        <w:pStyle w:val="BodyText"/>
        <w:rPr>
          <w:sz w:val="20"/>
        </w:rPr>
      </w:pPr>
    </w:p>
    <w:p>
      <w:pPr>
        <w:pStyle w:val="BodyText"/>
        <w:spacing w:before="4"/>
        <w:rPr>
          <w:sz w:val="23"/>
        </w:rPr>
      </w:pPr>
    </w:p>
    <w:p>
      <w:pPr>
        <w:pStyle w:val="BodyText"/>
        <w:spacing w:line="360" w:lineRule="auto"/>
        <w:ind w:left="102" w:right="117"/>
        <w:jc w:val="both"/>
      </w:pPr>
      <w:r>
        <w:rPr/>
        <w:t>Los hombres y las mujeres de la muestra opinaron que la violencia contra las mujeres y las niñas es la principal forma de violencia de género (62.5% y 62.1% respectivamente), seguida de una tendencia similar en lo que refiere a la violencia contra homosexuales y lesbianas, por último se considera de forma muy modesta a la violencia contra los hombres y los niños como la primera manifestación de violencia de</w:t>
      </w:r>
      <w:r>
        <w:rPr>
          <w:spacing w:val="-7"/>
        </w:rPr>
        <w:t> </w:t>
      </w:r>
      <w:r>
        <w:rPr/>
        <w:t>género.</w:t>
      </w:r>
    </w:p>
    <w:p>
      <w:pPr>
        <w:spacing w:after="0" w:line="360" w:lineRule="auto"/>
        <w:jc w:val="both"/>
        <w:sectPr>
          <w:footerReference w:type="default" r:id="rId17"/>
          <w:pgSz w:w="12240" w:h="15840"/>
          <w:pgMar w:footer="1032" w:header="0" w:top="1420" w:bottom="1220" w:left="1600" w:right="1580"/>
          <w:pgNumType w:start="31"/>
        </w:sectPr>
      </w:pPr>
    </w:p>
    <w:p>
      <w:pPr>
        <w:pStyle w:val="BodyText"/>
        <w:spacing w:line="360" w:lineRule="auto" w:before="57"/>
        <w:ind w:left="102" w:right="121"/>
        <w:jc w:val="both"/>
      </w:pPr>
      <w:r>
        <w:rPr/>
        <w:t>La segunda forma considerada como principal presentación de la violencia de género la ocupo la categoría “Violencia contra homosexuales y lesbianas”, tanto para hombres y mujeres (58.3% y 58.6%), ocupando el segundo sitio la categoría “Violencia contra las mujeres y las niñas” para ambos sexos; nuevamente quedando relegada al último lugar la categoría “Violencia contra los hombres y los niños” en ambos sexos.</w:t>
      </w:r>
    </w:p>
    <w:p>
      <w:pPr>
        <w:pStyle w:val="BodyText"/>
        <w:spacing w:line="360" w:lineRule="auto" w:before="204"/>
        <w:ind w:left="102" w:right="118"/>
        <w:jc w:val="both"/>
      </w:pPr>
      <w:r>
        <w:rPr/>
        <w:t>En este respecto, se manifiesta un entendimiento mayor en lo que respecta a las modalidades de la violencia de género vista como las relaciones de poder que se ejercen entre hombres y mujeres, jerarquía en la cual, las mujeres fungen el papel de las dominadas y los hombres de dominantes, a partir de un marco de referencia que determina que ellas y lo femenino debe ser demeritado y ellos y lo masculino, engrandecido.</w:t>
      </w:r>
    </w:p>
    <w:p>
      <w:pPr>
        <w:pStyle w:val="BodyText"/>
        <w:spacing w:line="360" w:lineRule="auto" w:before="202"/>
        <w:ind w:left="102" w:right="120"/>
        <w:jc w:val="both"/>
      </w:pPr>
      <w:r>
        <w:rPr/>
        <w:t>En este orden de ideas, la violencia que se ejerce contra los homosexuales y las lesbianas (y demás diversidades sexuales), entendida ésta como una segunda modalidad de violencia de género, se ve notablemente comprendida por el estudiantado, y relacionada con el término “género” como una construcción social (Lamas, 1996) que impone estándares de comportamiento según los preceptos  del sistema de</w:t>
      </w:r>
      <w:r>
        <w:rPr>
          <w:spacing w:val="-12"/>
        </w:rPr>
        <w:t> </w:t>
      </w:r>
      <w:r>
        <w:rPr/>
        <w:t>patriarcado.</w:t>
      </w:r>
    </w:p>
    <w:p>
      <w:pPr>
        <w:pStyle w:val="BodyText"/>
        <w:spacing w:line="360" w:lineRule="auto" w:before="204"/>
        <w:ind w:left="102" w:right="119"/>
        <w:jc w:val="both"/>
      </w:pPr>
      <w:r>
        <w:rPr/>
        <w:t>La violencia de género, en el sentido que comprende a las mujeres y a las diversidades sexuales, genera una discriminación latente y continuamente actualizada que obstaculiza el pleno desarrollo de quien resulta sujeto de dominación. Así, se confirma lo estipulado por la Ley Federal para Prevenir y Eliminar la Discriminación, con respecto a las dificultades a las que se enfrenta la  o el discriminado, es decir; al hecho de “impedir o anular el reconocimiento o el ejercicio de los derechos y la igualdad real de oportunidades” (CONAPRED, 2009: 5)</w:t>
      </w:r>
    </w:p>
    <w:p>
      <w:pPr>
        <w:pStyle w:val="BodyText"/>
        <w:spacing w:line="360" w:lineRule="auto" w:before="204"/>
        <w:ind w:left="102" w:right="126"/>
        <w:jc w:val="both"/>
      </w:pPr>
      <w:r>
        <w:rPr/>
        <w:t>Por lo tanto, la discriminación es un elemento imprescindible en el orden de las prácticas de violencia de género ya sea contra las mujeres o contra personas que se manifiestan en desacuerdo de la heterosexualidad normalizada.</w:t>
      </w:r>
    </w:p>
    <w:p>
      <w:pPr>
        <w:spacing w:after="0" w:line="360" w:lineRule="auto"/>
        <w:jc w:val="both"/>
        <w:sectPr>
          <w:pgSz w:w="12240" w:h="15840"/>
          <w:pgMar w:header="0" w:footer="1032" w:top="1360" w:bottom="1220" w:left="1600" w:right="1580"/>
        </w:sectPr>
      </w:pPr>
    </w:p>
    <w:p>
      <w:pPr>
        <w:spacing w:before="57"/>
        <w:ind w:left="422" w:right="0" w:firstLine="0"/>
        <w:jc w:val="left"/>
        <w:rPr>
          <w:sz w:val="22"/>
        </w:rPr>
      </w:pPr>
      <w:r>
        <w:rPr>
          <w:b/>
          <w:sz w:val="24"/>
        </w:rPr>
        <w:t>Pregunta 5. </w:t>
      </w:r>
      <w:r>
        <w:rPr>
          <w:sz w:val="22"/>
        </w:rPr>
        <w:t>(Ver Anexo 1)</w:t>
      </w:r>
    </w:p>
    <w:p>
      <w:pPr>
        <w:pStyle w:val="BodyText"/>
        <w:spacing w:before="4"/>
        <w:rPr>
          <w:sz w:val="29"/>
        </w:rPr>
      </w:pPr>
    </w:p>
    <w:p>
      <w:pPr>
        <w:pStyle w:val="BodyText"/>
        <w:spacing w:before="1"/>
        <w:ind w:left="422"/>
      </w:pPr>
      <w:r>
        <w:rPr>
          <w:u w:val="single"/>
        </w:rPr>
        <w:t>Tabla 5.1. </w:t>
      </w:r>
      <w:r>
        <w:rPr/>
        <w:t>Tipos de violencia contra las mujeres conocidos por el estudiantado.</w:t>
      </w:r>
    </w:p>
    <w:p>
      <w:pPr>
        <w:pStyle w:val="BodyText"/>
        <w:spacing w:before="4"/>
        <w:rPr>
          <w:sz w:val="29"/>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35"/>
        <w:gridCol w:w="709"/>
        <w:gridCol w:w="850"/>
        <w:gridCol w:w="566"/>
        <w:gridCol w:w="710"/>
        <w:gridCol w:w="708"/>
        <w:gridCol w:w="567"/>
        <w:gridCol w:w="710"/>
        <w:gridCol w:w="708"/>
      </w:tblGrid>
      <w:tr>
        <w:trPr>
          <w:trHeight w:val="218" w:hRule="exact"/>
        </w:trPr>
        <w:tc>
          <w:tcPr>
            <w:tcW w:w="3935" w:type="dxa"/>
            <w:vMerge w:val="restart"/>
            <w:shd w:val="clear" w:color="auto" w:fill="F1F1F1"/>
          </w:tcPr>
          <w:p>
            <w:pPr/>
          </w:p>
        </w:tc>
        <w:tc>
          <w:tcPr>
            <w:tcW w:w="5529" w:type="dxa"/>
            <w:gridSpan w:val="8"/>
            <w:shd w:val="clear" w:color="auto" w:fill="F1F1F1"/>
          </w:tcPr>
          <w:p>
            <w:pPr>
              <w:pStyle w:val="TableParagraph"/>
              <w:spacing w:before="1"/>
              <w:ind w:left="2531" w:right="2536"/>
              <w:jc w:val="center"/>
              <w:rPr>
                <w:sz w:val="18"/>
              </w:rPr>
            </w:pPr>
            <w:r>
              <w:rPr>
                <w:sz w:val="18"/>
              </w:rPr>
              <w:t>Sexo</w:t>
            </w:r>
          </w:p>
        </w:tc>
      </w:tr>
      <w:tr>
        <w:trPr>
          <w:trHeight w:val="216" w:hRule="exact"/>
        </w:trPr>
        <w:tc>
          <w:tcPr>
            <w:tcW w:w="3935" w:type="dxa"/>
            <w:vMerge/>
            <w:shd w:val="clear" w:color="auto" w:fill="F1F1F1"/>
          </w:tcPr>
          <w:p>
            <w:pPr/>
          </w:p>
        </w:tc>
        <w:tc>
          <w:tcPr>
            <w:tcW w:w="2836" w:type="dxa"/>
            <w:gridSpan w:val="4"/>
            <w:shd w:val="clear" w:color="auto" w:fill="F1F1F1"/>
          </w:tcPr>
          <w:p>
            <w:pPr>
              <w:pStyle w:val="TableParagraph"/>
              <w:spacing w:line="206" w:lineRule="exact"/>
              <w:ind w:left="1026" w:right="1029"/>
              <w:jc w:val="center"/>
              <w:rPr>
                <w:sz w:val="18"/>
              </w:rPr>
            </w:pPr>
            <w:r>
              <w:rPr>
                <w:sz w:val="18"/>
              </w:rPr>
              <w:t>Hombres</w:t>
            </w:r>
          </w:p>
        </w:tc>
        <w:tc>
          <w:tcPr>
            <w:tcW w:w="2693" w:type="dxa"/>
            <w:gridSpan w:val="4"/>
            <w:shd w:val="clear" w:color="auto" w:fill="F1F1F1"/>
          </w:tcPr>
          <w:p>
            <w:pPr>
              <w:pStyle w:val="TableParagraph"/>
              <w:spacing w:line="206" w:lineRule="exact"/>
              <w:ind w:left="999" w:right="1000"/>
              <w:jc w:val="center"/>
              <w:rPr>
                <w:sz w:val="18"/>
              </w:rPr>
            </w:pPr>
            <w:r>
              <w:rPr>
                <w:sz w:val="18"/>
              </w:rPr>
              <w:t>Mujeres</w:t>
            </w:r>
          </w:p>
        </w:tc>
      </w:tr>
      <w:tr>
        <w:trPr>
          <w:trHeight w:val="218" w:hRule="exact"/>
        </w:trPr>
        <w:tc>
          <w:tcPr>
            <w:tcW w:w="3935" w:type="dxa"/>
            <w:vMerge/>
            <w:shd w:val="clear" w:color="auto" w:fill="F1F1F1"/>
          </w:tcPr>
          <w:p>
            <w:pPr/>
          </w:p>
        </w:tc>
        <w:tc>
          <w:tcPr>
            <w:tcW w:w="709" w:type="dxa"/>
            <w:shd w:val="clear" w:color="auto" w:fill="F1F1F1"/>
          </w:tcPr>
          <w:p>
            <w:pPr>
              <w:pStyle w:val="TableParagraph"/>
              <w:spacing w:line="206" w:lineRule="exact"/>
              <w:ind w:left="217"/>
              <w:rPr>
                <w:sz w:val="18"/>
              </w:rPr>
            </w:pPr>
            <w:r>
              <w:rPr>
                <w:sz w:val="18"/>
              </w:rPr>
              <w:t>#Si</w:t>
            </w:r>
          </w:p>
        </w:tc>
        <w:tc>
          <w:tcPr>
            <w:tcW w:w="850" w:type="dxa"/>
            <w:shd w:val="clear" w:color="auto" w:fill="F1F1F1"/>
          </w:tcPr>
          <w:p>
            <w:pPr>
              <w:pStyle w:val="TableParagraph"/>
              <w:spacing w:line="206" w:lineRule="exact"/>
              <w:ind w:left="259"/>
              <w:rPr>
                <w:sz w:val="18"/>
              </w:rPr>
            </w:pPr>
            <w:r>
              <w:rPr>
                <w:sz w:val="18"/>
              </w:rPr>
              <w:t>%Si</w:t>
            </w:r>
          </w:p>
        </w:tc>
        <w:tc>
          <w:tcPr>
            <w:tcW w:w="566" w:type="dxa"/>
            <w:shd w:val="clear" w:color="auto" w:fill="F1F1F1"/>
          </w:tcPr>
          <w:p>
            <w:pPr>
              <w:pStyle w:val="TableParagraph"/>
              <w:spacing w:line="206" w:lineRule="exact"/>
              <w:ind w:left="112"/>
              <w:rPr>
                <w:sz w:val="18"/>
              </w:rPr>
            </w:pPr>
            <w:r>
              <w:rPr>
                <w:sz w:val="18"/>
              </w:rPr>
              <w:t>#No</w:t>
            </w:r>
          </w:p>
        </w:tc>
        <w:tc>
          <w:tcPr>
            <w:tcW w:w="710" w:type="dxa"/>
            <w:shd w:val="clear" w:color="auto" w:fill="F1F1F1"/>
          </w:tcPr>
          <w:p>
            <w:pPr>
              <w:pStyle w:val="TableParagraph"/>
              <w:spacing w:line="206" w:lineRule="exact"/>
              <w:ind w:left="153"/>
              <w:rPr>
                <w:sz w:val="18"/>
              </w:rPr>
            </w:pPr>
            <w:r>
              <w:rPr>
                <w:sz w:val="18"/>
              </w:rPr>
              <w:t>%No</w:t>
            </w:r>
          </w:p>
        </w:tc>
        <w:tc>
          <w:tcPr>
            <w:tcW w:w="708" w:type="dxa"/>
            <w:shd w:val="clear" w:color="auto" w:fill="F1F1F1"/>
          </w:tcPr>
          <w:p>
            <w:pPr>
              <w:pStyle w:val="TableParagraph"/>
              <w:spacing w:line="206" w:lineRule="exact"/>
              <w:ind w:left="218"/>
              <w:rPr>
                <w:sz w:val="18"/>
              </w:rPr>
            </w:pPr>
            <w:r>
              <w:rPr>
                <w:sz w:val="18"/>
              </w:rPr>
              <w:t>#Si</w:t>
            </w:r>
          </w:p>
        </w:tc>
        <w:tc>
          <w:tcPr>
            <w:tcW w:w="567" w:type="dxa"/>
            <w:shd w:val="clear" w:color="auto" w:fill="F1F1F1"/>
          </w:tcPr>
          <w:p>
            <w:pPr>
              <w:pStyle w:val="TableParagraph"/>
              <w:spacing w:line="206" w:lineRule="exact"/>
              <w:ind w:left="118"/>
              <w:rPr>
                <w:sz w:val="18"/>
              </w:rPr>
            </w:pPr>
            <w:r>
              <w:rPr>
                <w:sz w:val="18"/>
              </w:rPr>
              <w:t>%Si</w:t>
            </w:r>
          </w:p>
        </w:tc>
        <w:tc>
          <w:tcPr>
            <w:tcW w:w="710" w:type="dxa"/>
            <w:shd w:val="clear" w:color="auto" w:fill="F1F1F1"/>
          </w:tcPr>
          <w:p>
            <w:pPr>
              <w:pStyle w:val="TableParagraph"/>
              <w:spacing w:line="206" w:lineRule="exact"/>
              <w:ind w:left="182"/>
              <w:rPr>
                <w:sz w:val="18"/>
              </w:rPr>
            </w:pPr>
            <w:r>
              <w:rPr>
                <w:sz w:val="18"/>
              </w:rPr>
              <w:t>#No</w:t>
            </w:r>
          </w:p>
        </w:tc>
        <w:tc>
          <w:tcPr>
            <w:tcW w:w="708" w:type="dxa"/>
            <w:shd w:val="clear" w:color="auto" w:fill="F1F1F1"/>
          </w:tcPr>
          <w:p>
            <w:pPr>
              <w:pStyle w:val="TableParagraph"/>
              <w:spacing w:line="206" w:lineRule="exact"/>
              <w:ind w:left="151"/>
              <w:rPr>
                <w:sz w:val="18"/>
              </w:rPr>
            </w:pPr>
            <w:r>
              <w:rPr>
                <w:sz w:val="18"/>
              </w:rPr>
              <w:t>%No</w:t>
            </w:r>
          </w:p>
        </w:tc>
      </w:tr>
      <w:tr>
        <w:trPr>
          <w:trHeight w:val="3116" w:hRule="exact"/>
        </w:trPr>
        <w:tc>
          <w:tcPr>
            <w:tcW w:w="3935" w:type="dxa"/>
            <w:shd w:val="clear" w:color="auto" w:fill="F1F1F1"/>
          </w:tcPr>
          <w:p>
            <w:pPr>
              <w:pStyle w:val="TableParagraph"/>
              <w:spacing w:before="10"/>
              <w:rPr>
                <w:sz w:val="17"/>
              </w:rPr>
            </w:pPr>
          </w:p>
          <w:p>
            <w:pPr>
              <w:pStyle w:val="TableParagraph"/>
              <w:ind w:left="952" w:right="2092" w:hanging="99"/>
              <w:rPr>
                <w:sz w:val="18"/>
              </w:rPr>
            </w:pPr>
            <w:r>
              <w:rPr>
                <w:sz w:val="18"/>
              </w:rPr>
              <w:t>Psicológica. Física.</w:t>
            </w:r>
          </w:p>
          <w:p>
            <w:pPr>
              <w:pStyle w:val="TableParagraph"/>
              <w:spacing w:before="2"/>
              <w:ind w:left="952" w:right="2013"/>
              <w:rPr>
                <w:sz w:val="18"/>
              </w:rPr>
            </w:pPr>
            <w:r>
              <w:rPr>
                <w:sz w:val="18"/>
              </w:rPr>
              <w:t>Económica. Sexual.</w:t>
            </w:r>
          </w:p>
          <w:p>
            <w:pPr>
              <w:pStyle w:val="TableParagraph"/>
              <w:spacing w:line="206" w:lineRule="exact"/>
              <w:ind w:left="952" w:right="2013"/>
              <w:rPr>
                <w:sz w:val="18"/>
              </w:rPr>
            </w:pPr>
            <w:r>
              <w:rPr>
                <w:sz w:val="18"/>
              </w:rPr>
              <w:t>Obstétrica.</w:t>
            </w:r>
          </w:p>
          <w:p>
            <w:pPr>
              <w:pStyle w:val="TableParagraph"/>
              <w:spacing w:line="242" w:lineRule="auto"/>
              <w:ind w:left="952" w:right="282"/>
              <w:rPr>
                <w:sz w:val="18"/>
              </w:rPr>
            </w:pPr>
            <w:r>
              <w:rPr>
                <w:sz w:val="18"/>
              </w:rPr>
              <w:t>Acoso callejero (silbidos, albures, etc.).</w:t>
            </w:r>
          </w:p>
          <w:p>
            <w:pPr>
              <w:pStyle w:val="TableParagraph"/>
              <w:spacing w:line="206" w:lineRule="exact" w:before="1"/>
              <w:ind w:left="952" w:right="912" w:hanging="852"/>
              <w:rPr>
                <w:sz w:val="18"/>
              </w:rPr>
            </w:pPr>
            <w:r>
              <w:rPr>
                <w:sz w:val="18"/>
              </w:rPr>
              <w:t>Insinuaciones sexuales indeseadas. Control sobre sus gastos.</w:t>
            </w:r>
          </w:p>
          <w:p>
            <w:pPr>
              <w:pStyle w:val="TableParagraph"/>
              <w:spacing w:line="242" w:lineRule="auto"/>
              <w:ind w:left="952" w:right="272"/>
              <w:rPr>
                <w:sz w:val="18"/>
              </w:rPr>
            </w:pPr>
            <w:r>
              <w:rPr>
                <w:sz w:val="18"/>
              </w:rPr>
              <w:t>Trato ofensivo por no encajar con el estereotipo estético.</w:t>
            </w:r>
          </w:p>
          <w:p>
            <w:pPr>
              <w:pStyle w:val="TableParagraph"/>
              <w:spacing w:line="206" w:lineRule="exact" w:before="1"/>
              <w:ind w:left="952" w:right="542"/>
              <w:rPr>
                <w:sz w:val="18"/>
              </w:rPr>
            </w:pPr>
            <w:r>
              <w:rPr>
                <w:sz w:val="18"/>
              </w:rPr>
              <w:t>Trato abusivo en una consulta ginecológica.</w:t>
            </w:r>
          </w:p>
          <w:p>
            <w:pPr>
              <w:pStyle w:val="TableParagraph"/>
              <w:spacing w:line="203" w:lineRule="exact"/>
              <w:ind w:left="952" w:right="282"/>
              <w:rPr>
                <w:sz w:val="18"/>
              </w:rPr>
            </w:pPr>
            <w:r>
              <w:rPr>
                <w:sz w:val="18"/>
              </w:rPr>
              <w:t>Todas las anteriores.</w:t>
            </w:r>
          </w:p>
        </w:tc>
        <w:tc>
          <w:tcPr>
            <w:tcW w:w="709" w:type="dxa"/>
          </w:tcPr>
          <w:p>
            <w:pPr>
              <w:pStyle w:val="TableParagraph"/>
              <w:spacing w:before="10"/>
              <w:rPr>
                <w:sz w:val="17"/>
              </w:rPr>
            </w:pPr>
          </w:p>
          <w:p>
            <w:pPr>
              <w:pStyle w:val="TableParagraph"/>
              <w:spacing w:line="207" w:lineRule="exact"/>
              <w:ind w:left="229" w:right="230"/>
              <w:jc w:val="center"/>
              <w:rPr>
                <w:sz w:val="18"/>
              </w:rPr>
            </w:pPr>
            <w:r>
              <w:rPr>
                <w:sz w:val="18"/>
              </w:rPr>
              <w:t>14</w:t>
            </w:r>
          </w:p>
          <w:p>
            <w:pPr>
              <w:pStyle w:val="TableParagraph"/>
              <w:spacing w:line="207" w:lineRule="exact"/>
              <w:ind w:left="229" w:right="230"/>
              <w:jc w:val="center"/>
              <w:rPr>
                <w:sz w:val="18"/>
              </w:rPr>
            </w:pPr>
            <w:r>
              <w:rPr>
                <w:sz w:val="18"/>
              </w:rPr>
              <w:t>16</w:t>
            </w:r>
          </w:p>
          <w:p>
            <w:pPr>
              <w:pStyle w:val="TableParagraph"/>
              <w:spacing w:line="207" w:lineRule="exact" w:before="2"/>
              <w:ind w:right="4"/>
              <w:jc w:val="center"/>
              <w:rPr>
                <w:sz w:val="18"/>
              </w:rPr>
            </w:pPr>
            <w:r>
              <w:rPr>
                <w:w w:val="99"/>
                <w:sz w:val="18"/>
              </w:rPr>
              <w:t>4</w:t>
            </w:r>
          </w:p>
          <w:p>
            <w:pPr>
              <w:pStyle w:val="TableParagraph"/>
              <w:spacing w:line="206" w:lineRule="exact"/>
              <w:ind w:left="229" w:right="230"/>
              <w:jc w:val="center"/>
              <w:rPr>
                <w:sz w:val="18"/>
              </w:rPr>
            </w:pPr>
            <w:r>
              <w:rPr>
                <w:sz w:val="18"/>
              </w:rPr>
              <w:t>15</w:t>
            </w:r>
          </w:p>
          <w:p>
            <w:pPr>
              <w:pStyle w:val="TableParagraph"/>
              <w:spacing w:line="206" w:lineRule="exact"/>
              <w:ind w:right="4"/>
              <w:jc w:val="center"/>
              <w:rPr>
                <w:sz w:val="18"/>
              </w:rPr>
            </w:pPr>
            <w:r>
              <w:rPr>
                <w:w w:val="99"/>
                <w:sz w:val="18"/>
              </w:rPr>
              <w:t>1</w:t>
            </w:r>
          </w:p>
          <w:p>
            <w:pPr>
              <w:pStyle w:val="TableParagraph"/>
              <w:spacing w:line="207" w:lineRule="exact"/>
              <w:ind w:left="229" w:right="230"/>
              <w:jc w:val="center"/>
              <w:rPr>
                <w:sz w:val="18"/>
              </w:rPr>
            </w:pPr>
            <w:r>
              <w:rPr>
                <w:sz w:val="18"/>
              </w:rPr>
              <w:t>12</w:t>
            </w:r>
          </w:p>
          <w:p>
            <w:pPr>
              <w:pStyle w:val="TableParagraph"/>
              <w:spacing w:before="1"/>
              <w:rPr>
                <w:sz w:val="18"/>
              </w:rPr>
            </w:pPr>
          </w:p>
          <w:p>
            <w:pPr>
              <w:pStyle w:val="TableParagraph"/>
              <w:spacing w:line="207" w:lineRule="exact" w:before="1"/>
              <w:ind w:left="229" w:right="230"/>
              <w:jc w:val="center"/>
              <w:rPr>
                <w:sz w:val="18"/>
              </w:rPr>
            </w:pPr>
            <w:r>
              <w:rPr>
                <w:sz w:val="18"/>
              </w:rPr>
              <w:t>10</w:t>
            </w:r>
          </w:p>
          <w:p>
            <w:pPr>
              <w:pStyle w:val="TableParagraph"/>
              <w:spacing w:line="206" w:lineRule="exact"/>
              <w:ind w:right="4"/>
              <w:jc w:val="center"/>
              <w:rPr>
                <w:sz w:val="18"/>
              </w:rPr>
            </w:pPr>
            <w:r>
              <w:rPr>
                <w:w w:val="99"/>
                <w:sz w:val="18"/>
              </w:rPr>
              <w:t>2</w:t>
            </w:r>
          </w:p>
          <w:p>
            <w:pPr>
              <w:pStyle w:val="TableParagraph"/>
              <w:spacing w:line="207" w:lineRule="exact"/>
              <w:ind w:right="4"/>
              <w:jc w:val="center"/>
              <w:rPr>
                <w:sz w:val="18"/>
              </w:rPr>
            </w:pPr>
            <w:r>
              <w:rPr>
                <w:w w:val="99"/>
                <w:sz w:val="18"/>
              </w:rPr>
              <w:t>4</w:t>
            </w:r>
          </w:p>
          <w:p>
            <w:pPr>
              <w:pStyle w:val="TableParagraph"/>
              <w:spacing w:before="1"/>
              <w:rPr>
                <w:sz w:val="18"/>
              </w:rPr>
            </w:pPr>
          </w:p>
          <w:p>
            <w:pPr>
              <w:pStyle w:val="TableParagraph"/>
              <w:ind w:right="4"/>
              <w:jc w:val="center"/>
              <w:rPr>
                <w:sz w:val="18"/>
              </w:rPr>
            </w:pPr>
            <w:r>
              <w:rPr>
                <w:w w:val="99"/>
                <w:sz w:val="18"/>
              </w:rPr>
              <w:t>2</w:t>
            </w:r>
          </w:p>
          <w:p>
            <w:pPr>
              <w:pStyle w:val="TableParagraph"/>
              <w:spacing w:before="10"/>
              <w:rPr>
                <w:sz w:val="17"/>
              </w:rPr>
            </w:pPr>
          </w:p>
          <w:p>
            <w:pPr>
              <w:pStyle w:val="TableParagraph"/>
              <w:ind w:right="4"/>
              <w:jc w:val="center"/>
              <w:rPr>
                <w:sz w:val="18"/>
              </w:rPr>
            </w:pPr>
            <w:r>
              <w:rPr>
                <w:w w:val="99"/>
                <w:sz w:val="18"/>
              </w:rPr>
              <w:t>7</w:t>
            </w:r>
          </w:p>
        </w:tc>
        <w:tc>
          <w:tcPr>
            <w:tcW w:w="850" w:type="dxa"/>
          </w:tcPr>
          <w:p>
            <w:pPr>
              <w:pStyle w:val="TableParagraph"/>
              <w:spacing w:before="10"/>
              <w:rPr>
                <w:sz w:val="17"/>
              </w:rPr>
            </w:pPr>
          </w:p>
          <w:p>
            <w:pPr>
              <w:pStyle w:val="TableParagraph"/>
              <w:spacing w:line="207" w:lineRule="exact"/>
              <w:ind w:left="224" w:right="226"/>
              <w:jc w:val="center"/>
              <w:rPr>
                <w:sz w:val="18"/>
              </w:rPr>
            </w:pPr>
            <w:r>
              <w:rPr>
                <w:sz w:val="18"/>
              </w:rPr>
              <w:t>58.3</w:t>
            </w:r>
          </w:p>
          <w:p>
            <w:pPr>
              <w:pStyle w:val="TableParagraph"/>
              <w:spacing w:line="207" w:lineRule="exact"/>
              <w:ind w:left="224" w:right="226"/>
              <w:jc w:val="center"/>
              <w:rPr>
                <w:sz w:val="18"/>
              </w:rPr>
            </w:pPr>
            <w:r>
              <w:rPr>
                <w:sz w:val="18"/>
              </w:rPr>
              <w:t>66.6</w:t>
            </w:r>
          </w:p>
          <w:p>
            <w:pPr>
              <w:pStyle w:val="TableParagraph"/>
              <w:spacing w:line="207" w:lineRule="exact" w:before="2"/>
              <w:ind w:left="224" w:right="226"/>
              <w:jc w:val="center"/>
              <w:rPr>
                <w:sz w:val="18"/>
              </w:rPr>
            </w:pPr>
            <w:r>
              <w:rPr>
                <w:sz w:val="18"/>
              </w:rPr>
              <w:t>16.6</w:t>
            </w:r>
          </w:p>
          <w:p>
            <w:pPr>
              <w:pStyle w:val="TableParagraph"/>
              <w:spacing w:line="206" w:lineRule="exact"/>
              <w:ind w:left="224" w:right="226"/>
              <w:jc w:val="center"/>
              <w:rPr>
                <w:sz w:val="18"/>
              </w:rPr>
            </w:pPr>
            <w:r>
              <w:rPr>
                <w:sz w:val="18"/>
              </w:rPr>
              <w:t>62.5</w:t>
            </w:r>
          </w:p>
          <w:p>
            <w:pPr>
              <w:pStyle w:val="TableParagraph"/>
              <w:spacing w:line="206" w:lineRule="exact"/>
              <w:ind w:left="224" w:right="226"/>
              <w:jc w:val="center"/>
              <w:rPr>
                <w:sz w:val="18"/>
              </w:rPr>
            </w:pPr>
            <w:r>
              <w:rPr>
                <w:sz w:val="18"/>
              </w:rPr>
              <w:t>4.2</w:t>
            </w:r>
          </w:p>
          <w:p>
            <w:pPr>
              <w:pStyle w:val="TableParagraph"/>
              <w:spacing w:line="207" w:lineRule="exact"/>
              <w:ind w:left="224" w:right="224"/>
              <w:jc w:val="center"/>
              <w:rPr>
                <w:sz w:val="18"/>
              </w:rPr>
            </w:pPr>
            <w:r>
              <w:rPr>
                <w:sz w:val="18"/>
              </w:rPr>
              <w:t>50</w:t>
            </w:r>
          </w:p>
          <w:p>
            <w:pPr>
              <w:pStyle w:val="TableParagraph"/>
              <w:spacing w:before="1"/>
              <w:rPr>
                <w:sz w:val="18"/>
              </w:rPr>
            </w:pPr>
          </w:p>
          <w:p>
            <w:pPr>
              <w:pStyle w:val="TableParagraph"/>
              <w:spacing w:line="207" w:lineRule="exact" w:before="1"/>
              <w:ind w:left="224" w:right="226"/>
              <w:jc w:val="center"/>
              <w:rPr>
                <w:sz w:val="18"/>
              </w:rPr>
            </w:pPr>
            <w:r>
              <w:rPr>
                <w:sz w:val="18"/>
              </w:rPr>
              <w:t>41.6</w:t>
            </w:r>
          </w:p>
          <w:p>
            <w:pPr>
              <w:pStyle w:val="TableParagraph"/>
              <w:spacing w:line="206" w:lineRule="exact"/>
              <w:ind w:left="224" w:right="226"/>
              <w:jc w:val="center"/>
              <w:rPr>
                <w:sz w:val="18"/>
              </w:rPr>
            </w:pPr>
            <w:r>
              <w:rPr>
                <w:sz w:val="18"/>
              </w:rPr>
              <w:t>8.4</w:t>
            </w:r>
          </w:p>
          <w:p>
            <w:pPr>
              <w:pStyle w:val="TableParagraph"/>
              <w:spacing w:line="207" w:lineRule="exact"/>
              <w:ind w:left="224" w:right="226"/>
              <w:jc w:val="center"/>
              <w:rPr>
                <w:sz w:val="18"/>
              </w:rPr>
            </w:pPr>
            <w:r>
              <w:rPr>
                <w:sz w:val="18"/>
              </w:rPr>
              <w:t>16.6</w:t>
            </w:r>
          </w:p>
          <w:p>
            <w:pPr>
              <w:pStyle w:val="TableParagraph"/>
              <w:spacing w:before="1"/>
              <w:rPr>
                <w:sz w:val="18"/>
              </w:rPr>
            </w:pPr>
          </w:p>
          <w:p>
            <w:pPr>
              <w:pStyle w:val="TableParagraph"/>
              <w:ind w:left="224" w:right="226"/>
              <w:jc w:val="center"/>
              <w:rPr>
                <w:sz w:val="18"/>
              </w:rPr>
            </w:pPr>
            <w:r>
              <w:rPr>
                <w:sz w:val="18"/>
              </w:rPr>
              <w:t>8.4</w:t>
            </w:r>
          </w:p>
          <w:p>
            <w:pPr>
              <w:pStyle w:val="TableParagraph"/>
              <w:spacing w:before="10"/>
              <w:rPr>
                <w:sz w:val="17"/>
              </w:rPr>
            </w:pPr>
          </w:p>
          <w:p>
            <w:pPr>
              <w:pStyle w:val="TableParagraph"/>
              <w:ind w:left="224" w:right="226"/>
              <w:jc w:val="center"/>
              <w:rPr>
                <w:sz w:val="18"/>
              </w:rPr>
            </w:pPr>
            <w:r>
              <w:rPr>
                <w:sz w:val="18"/>
              </w:rPr>
              <w:t>29.1</w:t>
            </w:r>
          </w:p>
        </w:tc>
        <w:tc>
          <w:tcPr>
            <w:tcW w:w="566" w:type="dxa"/>
          </w:tcPr>
          <w:p>
            <w:pPr>
              <w:pStyle w:val="TableParagraph"/>
              <w:spacing w:before="10"/>
              <w:rPr>
                <w:sz w:val="17"/>
              </w:rPr>
            </w:pPr>
          </w:p>
          <w:p>
            <w:pPr>
              <w:pStyle w:val="TableParagraph"/>
              <w:spacing w:line="207" w:lineRule="exact"/>
              <w:ind w:left="158" w:right="158"/>
              <w:jc w:val="center"/>
              <w:rPr>
                <w:sz w:val="18"/>
              </w:rPr>
            </w:pPr>
            <w:r>
              <w:rPr>
                <w:sz w:val="18"/>
              </w:rPr>
              <w:t>10</w:t>
            </w:r>
          </w:p>
          <w:p>
            <w:pPr>
              <w:pStyle w:val="TableParagraph"/>
              <w:spacing w:line="207" w:lineRule="exact"/>
              <w:jc w:val="center"/>
              <w:rPr>
                <w:sz w:val="18"/>
              </w:rPr>
            </w:pPr>
            <w:r>
              <w:rPr>
                <w:w w:val="99"/>
                <w:sz w:val="18"/>
              </w:rPr>
              <w:t>8</w:t>
            </w:r>
          </w:p>
          <w:p>
            <w:pPr>
              <w:pStyle w:val="TableParagraph"/>
              <w:spacing w:line="207" w:lineRule="exact" w:before="2"/>
              <w:ind w:left="158" w:right="158"/>
              <w:jc w:val="center"/>
              <w:rPr>
                <w:sz w:val="18"/>
              </w:rPr>
            </w:pPr>
            <w:r>
              <w:rPr>
                <w:sz w:val="18"/>
              </w:rPr>
              <w:t>20</w:t>
            </w:r>
          </w:p>
          <w:p>
            <w:pPr>
              <w:pStyle w:val="TableParagraph"/>
              <w:spacing w:line="206" w:lineRule="exact"/>
              <w:jc w:val="center"/>
              <w:rPr>
                <w:sz w:val="18"/>
              </w:rPr>
            </w:pPr>
            <w:r>
              <w:rPr>
                <w:w w:val="99"/>
                <w:sz w:val="18"/>
              </w:rPr>
              <w:t>9</w:t>
            </w:r>
          </w:p>
          <w:p>
            <w:pPr>
              <w:pStyle w:val="TableParagraph"/>
              <w:spacing w:line="206" w:lineRule="exact"/>
              <w:ind w:left="158" w:right="158"/>
              <w:jc w:val="center"/>
              <w:rPr>
                <w:sz w:val="18"/>
              </w:rPr>
            </w:pPr>
            <w:r>
              <w:rPr>
                <w:sz w:val="18"/>
              </w:rPr>
              <w:t>23</w:t>
            </w:r>
          </w:p>
          <w:p>
            <w:pPr>
              <w:pStyle w:val="TableParagraph"/>
              <w:spacing w:line="207" w:lineRule="exact"/>
              <w:jc w:val="center"/>
              <w:rPr>
                <w:sz w:val="18"/>
              </w:rPr>
            </w:pPr>
            <w:r>
              <w:rPr>
                <w:w w:val="99"/>
                <w:sz w:val="18"/>
              </w:rPr>
              <w:t>2</w:t>
            </w:r>
          </w:p>
          <w:p>
            <w:pPr>
              <w:pStyle w:val="TableParagraph"/>
              <w:spacing w:before="1"/>
              <w:rPr>
                <w:sz w:val="18"/>
              </w:rPr>
            </w:pPr>
          </w:p>
          <w:p>
            <w:pPr>
              <w:pStyle w:val="TableParagraph"/>
              <w:spacing w:line="207" w:lineRule="exact" w:before="1"/>
              <w:ind w:left="158" w:right="158"/>
              <w:jc w:val="center"/>
              <w:rPr>
                <w:sz w:val="18"/>
              </w:rPr>
            </w:pPr>
            <w:r>
              <w:rPr>
                <w:sz w:val="18"/>
              </w:rPr>
              <w:t>14</w:t>
            </w:r>
          </w:p>
          <w:p>
            <w:pPr>
              <w:pStyle w:val="TableParagraph"/>
              <w:spacing w:line="206" w:lineRule="exact"/>
              <w:ind w:left="158" w:right="158"/>
              <w:jc w:val="center"/>
              <w:rPr>
                <w:sz w:val="18"/>
              </w:rPr>
            </w:pPr>
            <w:r>
              <w:rPr>
                <w:sz w:val="18"/>
              </w:rPr>
              <w:t>22</w:t>
            </w:r>
          </w:p>
          <w:p>
            <w:pPr>
              <w:pStyle w:val="TableParagraph"/>
              <w:spacing w:line="207" w:lineRule="exact"/>
              <w:ind w:left="158" w:right="158"/>
              <w:jc w:val="center"/>
              <w:rPr>
                <w:sz w:val="18"/>
              </w:rPr>
            </w:pPr>
            <w:r>
              <w:rPr>
                <w:sz w:val="18"/>
              </w:rPr>
              <w:t>20</w:t>
            </w:r>
          </w:p>
          <w:p>
            <w:pPr>
              <w:pStyle w:val="TableParagraph"/>
              <w:spacing w:before="1"/>
              <w:rPr>
                <w:sz w:val="18"/>
              </w:rPr>
            </w:pPr>
          </w:p>
          <w:p>
            <w:pPr>
              <w:pStyle w:val="TableParagraph"/>
              <w:ind w:left="158" w:right="158"/>
              <w:jc w:val="center"/>
              <w:rPr>
                <w:sz w:val="18"/>
              </w:rPr>
            </w:pPr>
            <w:r>
              <w:rPr>
                <w:sz w:val="18"/>
              </w:rPr>
              <w:t>22</w:t>
            </w:r>
          </w:p>
          <w:p>
            <w:pPr>
              <w:pStyle w:val="TableParagraph"/>
              <w:spacing w:before="10"/>
              <w:rPr>
                <w:sz w:val="17"/>
              </w:rPr>
            </w:pPr>
          </w:p>
          <w:p>
            <w:pPr>
              <w:pStyle w:val="TableParagraph"/>
              <w:ind w:left="158" w:right="158"/>
              <w:jc w:val="center"/>
              <w:rPr>
                <w:sz w:val="18"/>
              </w:rPr>
            </w:pPr>
            <w:r>
              <w:rPr>
                <w:sz w:val="18"/>
              </w:rPr>
              <w:t>17</w:t>
            </w:r>
          </w:p>
        </w:tc>
        <w:tc>
          <w:tcPr>
            <w:tcW w:w="710" w:type="dxa"/>
          </w:tcPr>
          <w:p>
            <w:pPr>
              <w:pStyle w:val="TableParagraph"/>
              <w:spacing w:before="10"/>
              <w:rPr>
                <w:sz w:val="17"/>
              </w:rPr>
            </w:pPr>
          </w:p>
          <w:p>
            <w:pPr>
              <w:pStyle w:val="TableParagraph"/>
              <w:spacing w:line="207" w:lineRule="exact"/>
              <w:ind w:left="154" w:right="155"/>
              <w:jc w:val="center"/>
              <w:rPr>
                <w:sz w:val="18"/>
              </w:rPr>
            </w:pPr>
            <w:r>
              <w:rPr>
                <w:sz w:val="18"/>
              </w:rPr>
              <w:t>41.7</w:t>
            </w:r>
          </w:p>
          <w:p>
            <w:pPr>
              <w:pStyle w:val="TableParagraph"/>
              <w:spacing w:line="207" w:lineRule="exact"/>
              <w:ind w:left="154" w:right="155"/>
              <w:jc w:val="center"/>
              <w:rPr>
                <w:sz w:val="18"/>
              </w:rPr>
            </w:pPr>
            <w:r>
              <w:rPr>
                <w:sz w:val="18"/>
              </w:rPr>
              <w:t>33.4</w:t>
            </w:r>
          </w:p>
          <w:p>
            <w:pPr>
              <w:pStyle w:val="TableParagraph"/>
              <w:spacing w:line="207" w:lineRule="exact" w:before="2"/>
              <w:ind w:left="154" w:right="155"/>
              <w:jc w:val="center"/>
              <w:rPr>
                <w:sz w:val="18"/>
              </w:rPr>
            </w:pPr>
            <w:r>
              <w:rPr>
                <w:sz w:val="18"/>
              </w:rPr>
              <w:t>83.4</w:t>
            </w:r>
          </w:p>
          <w:p>
            <w:pPr>
              <w:pStyle w:val="TableParagraph"/>
              <w:spacing w:line="206" w:lineRule="exact"/>
              <w:ind w:left="154" w:right="155"/>
              <w:jc w:val="center"/>
              <w:rPr>
                <w:sz w:val="18"/>
              </w:rPr>
            </w:pPr>
            <w:r>
              <w:rPr>
                <w:sz w:val="18"/>
              </w:rPr>
              <w:t>37.5</w:t>
            </w:r>
          </w:p>
          <w:p>
            <w:pPr>
              <w:pStyle w:val="TableParagraph"/>
              <w:spacing w:line="206" w:lineRule="exact"/>
              <w:ind w:left="154" w:right="155"/>
              <w:jc w:val="center"/>
              <w:rPr>
                <w:sz w:val="18"/>
              </w:rPr>
            </w:pPr>
            <w:r>
              <w:rPr>
                <w:sz w:val="18"/>
              </w:rPr>
              <w:t>95.8</w:t>
            </w:r>
          </w:p>
          <w:p>
            <w:pPr>
              <w:pStyle w:val="TableParagraph"/>
              <w:spacing w:line="207" w:lineRule="exact"/>
              <w:ind w:left="154" w:right="154"/>
              <w:jc w:val="center"/>
              <w:rPr>
                <w:sz w:val="18"/>
              </w:rPr>
            </w:pPr>
            <w:r>
              <w:rPr>
                <w:sz w:val="18"/>
              </w:rPr>
              <w:t>50</w:t>
            </w:r>
          </w:p>
          <w:p>
            <w:pPr>
              <w:pStyle w:val="TableParagraph"/>
              <w:spacing w:before="1"/>
              <w:rPr>
                <w:sz w:val="18"/>
              </w:rPr>
            </w:pPr>
          </w:p>
          <w:p>
            <w:pPr>
              <w:pStyle w:val="TableParagraph"/>
              <w:spacing w:line="207" w:lineRule="exact" w:before="1"/>
              <w:ind w:left="154" w:right="155"/>
              <w:jc w:val="center"/>
              <w:rPr>
                <w:sz w:val="18"/>
              </w:rPr>
            </w:pPr>
            <w:r>
              <w:rPr>
                <w:sz w:val="18"/>
              </w:rPr>
              <w:t>58.4</w:t>
            </w:r>
          </w:p>
          <w:p>
            <w:pPr>
              <w:pStyle w:val="TableParagraph"/>
              <w:spacing w:line="206" w:lineRule="exact"/>
              <w:ind w:left="154" w:right="155"/>
              <w:jc w:val="center"/>
              <w:rPr>
                <w:sz w:val="18"/>
              </w:rPr>
            </w:pPr>
            <w:r>
              <w:rPr>
                <w:sz w:val="18"/>
              </w:rPr>
              <w:t>91.6</w:t>
            </w:r>
          </w:p>
          <w:p>
            <w:pPr>
              <w:pStyle w:val="TableParagraph"/>
              <w:spacing w:line="207" w:lineRule="exact"/>
              <w:ind w:left="154" w:right="155"/>
              <w:jc w:val="center"/>
              <w:rPr>
                <w:sz w:val="18"/>
              </w:rPr>
            </w:pPr>
            <w:r>
              <w:rPr>
                <w:sz w:val="18"/>
              </w:rPr>
              <w:t>83.4</w:t>
            </w:r>
          </w:p>
          <w:p>
            <w:pPr>
              <w:pStyle w:val="TableParagraph"/>
              <w:spacing w:before="1"/>
              <w:rPr>
                <w:sz w:val="18"/>
              </w:rPr>
            </w:pPr>
          </w:p>
          <w:p>
            <w:pPr>
              <w:pStyle w:val="TableParagraph"/>
              <w:ind w:left="154" w:right="155"/>
              <w:jc w:val="center"/>
              <w:rPr>
                <w:sz w:val="18"/>
              </w:rPr>
            </w:pPr>
            <w:r>
              <w:rPr>
                <w:sz w:val="18"/>
              </w:rPr>
              <w:t>91.6</w:t>
            </w:r>
          </w:p>
          <w:p>
            <w:pPr>
              <w:pStyle w:val="TableParagraph"/>
              <w:spacing w:before="10"/>
              <w:rPr>
                <w:sz w:val="17"/>
              </w:rPr>
            </w:pPr>
          </w:p>
          <w:p>
            <w:pPr>
              <w:pStyle w:val="TableParagraph"/>
              <w:ind w:left="154" w:right="155"/>
              <w:jc w:val="center"/>
              <w:rPr>
                <w:sz w:val="18"/>
              </w:rPr>
            </w:pPr>
            <w:r>
              <w:rPr>
                <w:sz w:val="18"/>
              </w:rPr>
              <w:t>70.9</w:t>
            </w:r>
          </w:p>
        </w:tc>
        <w:tc>
          <w:tcPr>
            <w:tcW w:w="708" w:type="dxa"/>
          </w:tcPr>
          <w:p>
            <w:pPr>
              <w:pStyle w:val="TableParagraph"/>
              <w:spacing w:before="10"/>
              <w:rPr>
                <w:sz w:val="17"/>
              </w:rPr>
            </w:pPr>
          </w:p>
          <w:p>
            <w:pPr>
              <w:pStyle w:val="TableParagraph"/>
              <w:spacing w:line="207" w:lineRule="exact"/>
              <w:ind w:left="152" w:right="150"/>
              <w:jc w:val="center"/>
              <w:rPr>
                <w:sz w:val="18"/>
              </w:rPr>
            </w:pPr>
            <w:r>
              <w:rPr>
                <w:sz w:val="18"/>
              </w:rPr>
              <w:t>24</w:t>
            </w:r>
          </w:p>
          <w:p>
            <w:pPr>
              <w:pStyle w:val="TableParagraph"/>
              <w:spacing w:line="207" w:lineRule="exact"/>
              <w:ind w:left="152" w:right="150"/>
              <w:jc w:val="center"/>
              <w:rPr>
                <w:sz w:val="18"/>
              </w:rPr>
            </w:pPr>
            <w:r>
              <w:rPr>
                <w:sz w:val="18"/>
              </w:rPr>
              <w:t>25</w:t>
            </w:r>
          </w:p>
          <w:p>
            <w:pPr>
              <w:pStyle w:val="TableParagraph"/>
              <w:spacing w:line="207" w:lineRule="exact" w:before="2"/>
              <w:ind w:right="1"/>
              <w:jc w:val="center"/>
              <w:rPr>
                <w:sz w:val="18"/>
              </w:rPr>
            </w:pPr>
            <w:r>
              <w:rPr>
                <w:w w:val="99"/>
                <w:sz w:val="18"/>
              </w:rPr>
              <w:t>8</w:t>
            </w:r>
          </w:p>
          <w:p>
            <w:pPr>
              <w:pStyle w:val="TableParagraph"/>
              <w:spacing w:line="206" w:lineRule="exact"/>
              <w:ind w:left="152" w:right="150"/>
              <w:jc w:val="center"/>
              <w:rPr>
                <w:sz w:val="18"/>
              </w:rPr>
            </w:pPr>
            <w:r>
              <w:rPr>
                <w:sz w:val="18"/>
              </w:rPr>
              <w:t>24</w:t>
            </w:r>
          </w:p>
          <w:p>
            <w:pPr>
              <w:pStyle w:val="TableParagraph"/>
              <w:spacing w:line="206" w:lineRule="exact"/>
              <w:ind w:right="1"/>
              <w:jc w:val="center"/>
              <w:rPr>
                <w:sz w:val="18"/>
              </w:rPr>
            </w:pPr>
            <w:r>
              <w:rPr>
                <w:w w:val="99"/>
                <w:sz w:val="18"/>
              </w:rPr>
              <w:t>0</w:t>
            </w:r>
          </w:p>
          <w:p>
            <w:pPr>
              <w:pStyle w:val="TableParagraph"/>
              <w:spacing w:line="207" w:lineRule="exact"/>
              <w:ind w:left="152" w:right="150"/>
              <w:jc w:val="center"/>
              <w:rPr>
                <w:sz w:val="18"/>
              </w:rPr>
            </w:pPr>
            <w:r>
              <w:rPr>
                <w:sz w:val="18"/>
              </w:rPr>
              <w:t>18</w:t>
            </w:r>
          </w:p>
          <w:p>
            <w:pPr>
              <w:pStyle w:val="TableParagraph"/>
              <w:spacing w:before="1"/>
              <w:rPr>
                <w:sz w:val="18"/>
              </w:rPr>
            </w:pPr>
          </w:p>
          <w:p>
            <w:pPr>
              <w:pStyle w:val="TableParagraph"/>
              <w:spacing w:line="207" w:lineRule="exact" w:before="1"/>
              <w:ind w:left="152" w:right="150"/>
              <w:jc w:val="center"/>
              <w:rPr>
                <w:sz w:val="18"/>
              </w:rPr>
            </w:pPr>
            <w:r>
              <w:rPr>
                <w:sz w:val="18"/>
              </w:rPr>
              <w:t>13</w:t>
            </w:r>
          </w:p>
          <w:p>
            <w:pPr>
              <w:pStyle w:val="TableParagraph"/>
              <w:spacing w:line="206" w:lineRule="exact"/>
              <w:ind w:right="1"/>
              <w:jc w:val="center"/>
              <w:rPr>
                <w:sz w:val="18"/>
              </w:rPr>
            </w:pPr>
            <w:r>
              <w:rPr>
                <w:w w:val="99"/>
                <w:sz w:val="18"/>
              </w:rPr>
              <w:t>2</w:t>
            </w:r>
          </w:p>
          <w:p>
            <w:pPr>
              <w:pStyle w:val="TableParagraph"/>
              <w:spacing w:line="207" w:lineRule="exact"/>
              <w:ind w:left="152" w:right="150"/>
              <w:jc w:val="center"/>
              <w:rPr>
                <w:sz w:val="18"/>
              </w:rPr>
            </w:pPr>
            <w:r>
              <w:rPr>
                <w:sz w:val="18"/>
              </w:rPr>
              <w:t>12</w:t>
            </w:r>
          </w:p>
          <w:p>
            <w:pPr>
              <w:pStyle w:val="TableParagraph"/>
              <w:spacing w:before="1"/>
              <w:rPr>
                <w:sz w:val="18"/>
              </w:rPr>
            </w:pPr>
          </w:p>
          <w:p>
            <w:pPr>
              <w:pStyle w:val="TableParagraph"/>
              <w:ind w:right="1"/>
              <w:jc w:val="center"/>
              <w:rPr>
                <w:sz w:val="18"/>
              </w:rPr>
            </w:pPr>
            <w:r>
              <w:rPr>
                <w:w w:val="99"/>
                <w:sz w:val="18"/>
              </w:rPr>
              <w:t>9</w:t>
            </w:r>
          </w:p>
          <w:p>
            <w:pPr>
              <w:pStyle w:val="TableParagraph"/>
              <w:spacing w:before="10"/>
              <w:rPr>
                <w:sz w:val="17"/>
              </w:rPr>
            </w:pPr>
          </w:p>
          <w:p>
            <w:pPr>
              <w:pStyle w:val="TableParagraph"/>
              <w:ind w:left="152" w:right="150"/>
              <w:jc w:val="center"/>
              <w:rPr>
                <w:sz w:val="18"/>
              </w:rPr>
            </w:pPr>
            <w:r>
              <w:rPr>
                <w:sz w:val="18"/>
              </w:rPr>
              <w:t>29</w:t>
            </w:r>
          </w:p>
        </w:tc>
        <w:tc>
          <w:tcPr>
            <w:tcW w:w="567" w:type="dxa"/>
          </w:tcPr>
          <w:p>
            <w:pPr>
              <w:pStyle w:val="TableParagraph"/>
              <w:spacing w:before="10"/>
              <w:rPr>
                <w:sz w:val="17"/>
              </w:rPr>
            </w:pPr>
          </w:p>
          <w:p>
            <w:pPr>
              <w:pStyle w:val="TableParagraph"/>
              <w:spacing w:line="207" w:lineRule="exact"/>
              <w:ind w:left="83" w:right="83"/>
              <w:jc w:val="center"/>
              <w:rPr>
                <w:sz w:val="18"/>
              </w:rPr>
            </w:pPr>
            <w:r>
              <w:rPr>
                <w:sz w:val="18"/>
              </w:rPr>
              <w:t>41.3</w:t>
            </w:r>
          </w:p>
          <w:p>
            <w:pPr>
              <w:pStyle w:val="TableParagraph"/>
              <w:spacing w:line="207" w:lineRule="exact"/>
              <w:ind w:left="83" w:right="83"/>
              <w:jc w:val="center"/>
              <w:rPr>
                <w:sz w:val="18"/>
              </w:rPr>
            </w:pPr>
            <w:r>
              <w:rPr>
                <w:sz w:val="18"/>
              </w:rPr>
              <w:t>43.1</w:t>
            </w:r>
          </w:p>
          <w:p>
            <w:pPr>
              <w:pStyle w:val="TableParagraph"/>
              <w:spacing w:line="207" w:lineRule="exact" w:before="2"/>
              <w:ind w:left="83" w:right="83"/>
              <w:jc w:val="center"/>
              <w:rPr>
                <w:sz w:val="18"/>
              </w:rPr>
            </w:pPr>
            <w:r>
              <w:rPr>
                <w:sz w:val="18"/>
              </w:rPr>
              <w:t>13.7</w:t>
            </w:r>
          </w:p>
          <w:p>
            <w:pPr>
              <w:pStyle w:val="TableParagraph"/>
              <w:spacing w:line="206" w:lineRule="exact"/>
              <w:ind w:left="83" w:right="83"/>
              <w:jc w:val="center"/>
              <w:rPr>
                <w:sz w:val="18"/>
              </w:rPr>
            </w:pPr>
            <w:r>
              <w:rPr>
                <w:sz w:val="18"/>
              </w:rPr>
              <w:t>41.3</w:t>
            </w:r>
          </w:p>
          <w:p>
            <w:pPr>
              <w:pStyle w:val="TableParagraph"/>
              <w:spacing w:line="206" w:lineRule="exact"/>
              <w:jc w:val="center"/>
              <w:rPr>
                <w:sz w:val="18"/>
              </w:rPr>
            </w:pPr>
            <w:r>
              <w:rPr>
                <w:w w:val="99"/>
                <w:sz w:val="18"/>
              </w:rPr>
              <w:t>0</w:t>
            </w:r>
          </w:p>
          <w:p>
            <w:pPr>
              <w:pStyle w:val="TableParagraph"/>
              <w:spacing w:line="207" w:lineRule="exact"/>
              <w:ind w:left="83" w:right="83"/>
              <w:jc w:val="center"/>
              <w:rPr>
                <w:sz w:val="18"/>
              </w:rPr>
            </w:pPr>
            <w:r>
              <w:rPr>
                <w:sz w:val="18"/>
              </w:rPr>
              <w:t>31</w:t>
            </w:r>
          </w:p>
          <w:p>
            <w:pPr>
              <w:pStyle w:val="TableParagraph"/>
              <w:spacing w:before="1"/>
              <w:rPr>
                <w:sz w:val="18"/>
              </w:rPr>
            </w:pPr>
          </w:p>
          <w:p>
            <w:pPr>
              <w:pStyle w:val="TableParagraph"/>
              <w:spacing w:line="207" w:lineRule="exact" w:before="1"/>
              <w:ind w:left="83" w:right="83"/>
              <w:jc w:val="center"/>
              <w:rPr>
                <w:sz w:val="18"/>
              </w:rPr>
            </w:pPr>
            <w:r>
              <w:rPr>
                <w:sz w:val="18"/>
              </w:rPr>
              <w:t>22.4</w:t>
            </w:r>
          </w:p>
          <w:p>
            <w:pPr>
              <w:pStyle w:val="TableParagraph"/>
              <w:spacing w:line="206" w:lineRule="exact"/>
              <w:ind w:left="83" w:right="82"/>
              <w:jc w:val="center"/>
              <w:rPr>
                <w:sz w:val="18"/>
              </w:rPr>
            </w:pPr>
            <w:r>
              <w:rPr>
                <w:sz w:val="18"/>
              </w:rPr>
              <w:t>3.4</w:t>
            </w:r>
          </w:p>
          <w:p>
            <w:pPr>
              <w:pStyle w:val="TableParagraph"/>
              <w:spacing w:line="207" w:lineRule="exact"/>
              <w:ind w:left="83" w:right="83"/>
              <w:jc w:val="center"/>
              <w:rPr>
                <w:sz w:val="18"/>
              </w:rPr>
            </w:pPr>
            <w:r>
              <w:rPr>
                <w:sz w:val="18"/>
              </w:rPr>
              <w:t>20.6</w:t>
            </w:r>
          </w:p>
          <w:p>
            <w:pPr>
              <w:pStyle w:val="TableParagraph"/>
              <w:spacing w:before="1"/>
              <w:rPr>
                <w:sz w:val="18"/>
              </w:rPr>
            </w:pPr>
          </w:p>
          <w:p>
            <w:pPr>
              <w:pStyle w:val="TableParagraph"/>
              <w:ind w:left="83" w:right="83"/>
              <w:jc w:val="center"/>
              <w:rPr>
                <w:sz w:val="18"/>
              </w:rPr>
            </w:pPr>
            <w:r>
              <w:rPr>
                <w:sz w:val="18"/>
              </w:rPr>
              <w:t>15.5</w:t>
            </w:r>
          </w:p>
          <w:p>
            <w:pPr>
              <w:pStyle w:val="TableParagraph"/>
              <w:spacing w:before="10"/>
              <w:rPr>
                <w:sz w:val="17"/>
              </w:rPr>
            </w:pPr>
          </w:p>
          <w:p>
            <w:pPr>
              <w:pStyle w:val="TableParagraph"/>
              <w:ind w:left="83" w:right="83"/>
              <w:jc w:val="center"/>
              <w:rPr>
                <w:sz w:val="18"/>
              </w:rPr>
            </w:pPr>
            <w:r>
              <w:rPr>
                <w:sz w:val="18"/>
              </w:rPr>
              <w:t>50</w:t>
            </w:r>
          </w:p>
        </w:tc>
        <w:tc>
          <w:tcPr>
            <w:tcW w:w="710" w:type="dxa"/>
          </w:tcPr>
          <w:p>
            <w:pPr>
              <w:pStyle w:val="TableParagraph"/>
              <w:spacing w:before="10"/>
              <w:rPr>
                <w:sz w:val="17"/>
              </w:rPr>
            </w:pPr>
          </w:p>
          <w:p>
            <w:pPr>
              <w:pStyle w:val="TableParagraph"/>
              <w:spacing w:line="207" w:lineRule="exact"/>
              <w:ind w:left="154" w:right="154"/>
              <w:jc w:val="center"/>
              <w:rPr>
                <w:sz w:val="18"/>
              </w:rPr>
            </w:pPr>
            <w:r>
              <w:rPr>
                <w:sz w:val="18"/>
              </w:rPr>
              <w:t>34</w:t>
            </w:r>
          </w:p>
          <w:p>
            <w:pPr>
              <w:pStyle w:val="TableParagraph"/>
              <w:spacing w:line="207" w:lineRule="exact"/>
              <w:ind w:left="154" w:right="154"/>
              <w:jc w:val="center"/>
              <w:rPr>
                <w:sz w:val="18"/>
              </w:rPr>
            </w:pPr>
            <w:r>
              <w:rPr>
                <w:sz w:val="18"/>
              </w:rPr>
              <w:t>33</w:t>
            </w:r>
          </w:p>
          <w:p>
            <w:pPr>
              <w:pStyle w:val="TableParagraph"/>
              <w:spacing w:line="207" w:lineRule="exact" w:before="2"/>
              <w:ind w:left="154" w:right="154"/>
              <w:jc w:val="center"/>
              <w:rPr>
                <w:sz w:val="18"/>
              </w:rPr>
            </w:pPr>
            <w:r>
              <w:rPr>
                <w:sz w:val="18"/>
              </w:rPr>
              <w:t>50</w:t>
            </w:r>
          </w:p>
          <w:p>
            <w:pPr>
              <w:pStyle w:val="TableParagraph"/>
              <w:spacing w:line="206" w:lineRule="exact"/>
              <w:ind w:left="154" w:right="154"/>
              <w:jc w:val="center"/>
              <w:rPr>
                <w:sz w:val="18"/>
              </w:rPr>
            </w:pPr>
            <w:r>
              <w:rPr>
                <w:sz w:val="18"/>
              </w:rPr>
              <w:t>64</w:t>
            </w:r>
          </w:p>
          <w:p>
            <w:pPr>
              <w:pStyle w:val="TableParagraph"/>
              <w:spacing w:line="206" w:lineRule="exact"/>
              <w:ind w:left="154" w:right="154"/>
              <w:jc w:val="center"/>
              <w:rPr>
                <w:sz w:val="18"/>
              </w:rPr>
            </w:pPr>
            <w:r>
              <w:rPr>
                <w:sz w:val="18"/>
              </w:rPr>
              <w:t>58</w:t>
            </w:r>
          </w:p>
          <w:p>
            <w:pPr>
              <w:pStyle w:val="TableParagraph"/>
              <w:spacing w:line="207" w:lineRule="exact"/>
              <w:ind w:left="154" w:right="154"/>
              <w:jc w:val="center"/>
              <w:rPr>
                <w:sz w:val="18"/>
              </w:rPr>
            </w:pPr>
            <w:r>
              <w:rPr>
                <w:sz w:val="18"/>
              </w:rPr>
              <w:t>40</w:t>
            </w:r>
          </w:p>
          <w:p>
            <w:pPr>
              <w:pStyle w:val="TableParagraph"/>
              <w:spacing w:before="1"/>
              <w:rPr>
                <w:sz w:val="18"/>
              </w:rPr>
            </w:pPr>
          </w:p>
          <w:p>
            <w:pPr>
              <w:pStyle w:val="TableParagraph"/>
              <w:spacing w:line="207" w:lineRule="exact" w:before="1"/>
              <w:ind w:left="154" w:right="154"/>
              <w:jc w:val="center"/>
              <w:rPr>
                <w:sz w:val="18"/>
              </w:rPr>
            </w:pPr>
            <w:r>
              <w:rPr>
                <w:sz w:val="18"/>
              </w:rPr>
              <w:t>45</w:t>
            </w:r>
          </w:p>
          <w:p>
            <w:pPr>
              <w:pStyle w:val="TableParagraph"/>
              <w:spacing w:line="206" w:lineRule="exact"/>
              <w:ind w:left="154" w:right="154"/>
              <w:jc w:val="center"/>
              <w:rPr>
                <w:sz w:val="18"/>
              </w:rPr>
            </w:pPr>
            <w:r>
              <w:rPr>
                <w:sz w:val="18"/>
              </w:rPr>
              <w:t>56</w:t>
            </w:r>
          </w:p>
          <w:p>
            <w:pPr>
              <w:pStyle w:val="TableParagraph"/>
              <w:spacing w:line="207" w:lineRule="exact"/>
              <w:ind w:left="154" w:right="154"/>
              <w:jc w:val="center"/>
              <w:rPr>
                <w:sz w:val="18"/>
              </w:rPr>
            </w:pPr>
            <w:r>
              <w:rPr>
                <w:sz w:val="18"/>
              </w:rPr>
              <w:t>46</w:t>
            </w:r>
          </w:p>
          <w:p>
            <w:pPr>
              <w:pStyle w:val="TableParagraph"/>
              <w:spacing w:before="1"/>
              <w:rPr>
                <w:sz w:val="18"/>
              </w:rPr>
            </w:pPr>
          </w:p>
          <w:p>
            <w:pPr>
              <w:pStyle w:val="TableParagraph"/>
              <w:ind w:left="154" w:right="154"/>
              <w:jc w:val="center"/>
              <w:rPr>
                <w:sz w:val="18"/>
              </w:rPr>
            </w:pPr>
            <w:r>
              <w:rPr>
                <w:sz w:val="18"/>
              </w:rPr>
              <w:t>49</w:t>
            </w:r>
          </w:p>
          <w:p>
            <w:pPr>
              <w:pStyle w:val="TableParagraph"/>
              <w:spacing w:before="10"/>
              <w:rPr>
                <w:sz w:val="17"/>
              </w:rPr>
            </w:pPr>
          </w:p>
          <w:p>
            <w:pPr>
              <w:pStyle w:val="TableParagraph"/>
              <w:ind w:left="154" w:right="154"/>
              <w:jc w:val="center"/>
              <w:rPr>
                <w:sz w:val="18"/>
              </w:rPr>
            </w:pPr>
            <w:r>
              <w:rPr>
                <w:sz w:val="18"/>
              </w:rPr>
              <w:t>29</w:t>
            </w:r>
          </w:p>
        </w:tc>
        <w:tc>
          <w:tcPr>
            <w:tcW w:w="708" w:type="dxa"/>
          </w:tcPr>
          <w:p>
            <w:pPr>
              <w:pStyle w:val="TableParagraph"/>
              <w:spacing w:before="10"/>
              <w:rPr>
                <w:sz w:val="17"/>
              </w:rPr>
            </w:pPr>
          </w:p>
          <w:p>
            <w:pPr>
              <w:pStyle w:val="TableParagraph"/>
              <w:spacing w:line="207" w:lineRule="exact"/>
              <w:ind w:left="150" w:right="154"/>
              <w:jc w:val="center"/>
              <w:rPr>
                <w:sz w:val="18"/>
              </w:rPr>
            </w:pPr>
            <w:r>
              <w:rPr>
                <w:sz w:val="18"/>
              </w:rPr>
              <w:t>58.7</w:t>
            </w:r>
          </w:p>
          <w:p>
            <w:pPr>
              <w:pStyle w:val="TableParagraph"/>
              <w:spacing w:line="207" w:lineRule="exact"/>
              <w:ind w:left="150" w:right="154"/>
              <w:jc w:val="center"/>
              <w:rPr>
                <w:sz w:val="18"/>
              </w:rPr>
            </w:pPr>
            <w:r>
              <w:rPr>
                <w:sz w:val="18"/>
              </w:rPr>
              <w:t>56.9</w:t>
            </w:r>
          </w:p>
          <w:p>
            <w:pPr>
              <w:pStyle w:val="TableParagraph"/>
              <w:spacing w:line="207" w:lineRule="exact" w:before="2"/>
              <w:ind w:left="150" w:right="154"/>
              <w:jc w:val="center"/>
              <w:rPr>
                <w:sz w:val="18"/>
              </w:rPr>
            </w:pPr>
            <w:r>
              <w:rPr>
                <w:sz w:val="18"/>
              </w:rPr>
              <w:t>86.3</w:t>
            </w:r>
          </w:p>
          <w:p>
            <w:pPr>
              <w:pStyle w:val="TableParagraph"/>
              <w:spacing w:line="206" w:lineRule="exact"/>
              <w:ind w:left="150" w:right="154"/>
              <w:jc w:val="center"/>
              <w:rPr>
                <w:sz w:val="18"/>
              </w:rPr>
            </w:pPr>
            <w:r>
              <w:rPr>
                <w:sz w:val="18"/>
              </w:rPr>
              <w:t>58.7</w:t>
            </w:r>
          </w:p>
          <w:p>
            <w:pPr>
              <w:pStyle w:val="TableParagraph"/>
              <w:spacing w:line="206" w:lineRule="exact"/>
              <w:ind w:left="152" w:right="152"/>
              <w:jc w:val="center"/>
              <w:rPr>
                <w:sz w:val="18"/>
              </w:rPr>
            </w:pPr>
            <w:r>
              <w:rPr>
                <w:sz w:val="18"/>
              </w:rPr>
              <w:t>100</w:t>
            </w:r>
          </w:p>
          <w:p>
            <w:pPr>
              <w:pStyle w:val="TableParagraph"/>
              <w:spacing w:line="207" w:lineRule="exact"/>
              <w:ind w:left="152" w:right="152"/>
              <w:jc w:val="center"/>
              <w:rPr>
                <w:sz w:val="18"/>
              </w:rPr>
            </w:pPr>
            <w:r>
              <w:rPr>
                <w:sz w:val="18"/>
              </w:rPr>
              <w:t>69</w:t>
            </w:r>
          </w:p>
          <w:p>
            <w:pPr>
              <w:pStyle w:val="TableParagraph"/>
              <w:spacing w:before="1"/>
              <w:rPr>
                <w:sz w:val="18"/>
              </w:rPr>
            </w:pPr>
          </w:p>
          <w:p>
            <w:pPr>
              <w:pStyle w:val="TableParagraph"/>
              <w:spacing w:line="207" w:lineRule="exact" w:before="1"/>
              <w:ind w:left="150" w:right="154"/>
              <w:jc w:val="center"/>
              <w:rPr>
                <w:sz w:val="18"/>
              </w:rPr>
            </w:pPr>
            <w:r>
              <w:rPr>
                <w:sz w:val="18"/>
              </w:rPr>
              <w:t>77.6</w:t>
            </w:r>
          </w:p>
          <w:p>
            <w:pPr>
              <w:pStyle w:val="TableParagraph"/>
              <w:spacing w:line="206" w:lineRule="exact"/>
              <w:ind w:left="150" w:right="154"/>
              <w:jc w:val="center"/>
              <w:rPr>
                <w:sz w:val="18"/>
              </w:rPr>
            </w:pPr>
            <w:r>
              <w:rPr>
                <w:sz w:val="18"/>
              </w:rPr>
              <w:t>96.6</w:t>
            </w:r>
          </w:p>
          <w:p>
            <w:pPr>
              <w:pStyle w:val="TableParagraph"/>
              <w:spacing w:line="207" w:lineRule="exact"/>
              <w:ind w:left="150" w:right="154"/>
              <w:jc w:val="center"/>
              <w:rPr>
                <w:sz w:val="18"/>
              </w:rPr>
            </w:pPr>
            <w:r>
              <w:rPr>
                <w:sz w:val="18"/>
              </w:rPr>
              <w:t>79.4</w:t>
            </w:r>
          </w:p>
          <w:p>
            <w:pPr>
              <w:pStyle w:val="TableParagraph"/>
              <w:spacing w:before="1"/>
              <w:rPr>
                <w:sz w:val="18"/>
              </w:rPr>
            </w:pPr>
          </w:p>
          <w:p>
            <w:pPr>
              <w:pStyle w:val="TableParagraph"/>
              <w:ind w:left="150" w:right="154"/>
              <w:jc w:val="center"/>
              <w:rPr>
                <w:sz w:val="18"/>
              </w:rPr>
            </w:pPr>
            <w:r>
              <w:rPr>
                <w:sz w:val="18"/>
              </w:rPr>
              <w:t>84.5</w:t>
            </w:r>
          </w:p>
          <w:p>
            <w:pPr>
              <w:pStyle w:val="TableParagraph"/>
              <w:spacing w:before="10"/>
              <w:rPr>
                <w:sz w:val="17"/>
              </w:rPr>
            </w:pPr>
          </w:p>
          <w:p>
            <w:pPr>
              <w:pStyle w:val="TableParagraph"/>
              <w:ind w:left="152" w:right="152"/>
              <w:jc w:val="center"/>
              <w:rPr>
                <w:sz w:val="18"/>
              </w:rPr>
            </w:pPr>
            <w:r>
              <w:rPr>
                <w:sz w:val="18"/>
              </w:rPr>
              <w:t>50</w:t>
            </w:r>
          </w:p>
        </w:tc>
      </w:tr>
    </w:tbl>
    <w:p>
      <w:pPr>
        <w:pStyle w:val="BodyText"/>
        <w:rPr>
          <w:sz w:val="20"/>
        </w:rPr>
      </w:pPr>
    </w:p>
    <w:p>
      <w:pPr>
        <w:pStyle w:val="BodyText"/>
        <w:spacing w:before="6"/>
        <w:rPr>
          <w:sz w:val="17"/>
        </w:rPr>
      </w:pPr>
    </w:p>
    <w:p>
      <w:pPr>
        <w:spacing w:before="74"/>
        <w:ind w:left="3886" w:right="3906" w:firstLine="0"/>
        <w:jc w:val="center"/>
        <w:rPr>
          <w:sz w:val="20"/>
        </w:rPr>
      </w:pPr>
      <w:r>
        <w:rPr>
          <w:sz w:val="20"/>
        </w:rPr>
        <w:t>(Miranda, 2014).</w:t>
      </w:r>
    </w:p>
    <w:p>
      <w:pPr>
        <w:spacing w:after="0"/>
        <w:jc w:val="center"/>
        <w:rPr>
          <w:sz w:val="20"/>
        </w:rPr>
        <w:sectPr>
          <w:pgSz w:w="12240" w:h="15840"/>
          <w:pgMar w:header="0" w:footer="1032" w:top="1360" w:bottom="1220" w:left="1280" w:right="1260"/>
        </w:sectPr>
      </w:pPr>
    </w:p>
    <w:p>
      <w:pPr>
        <w:pStyle w:val="BodyText"/>
        <w:spacing w:before="57"/>
        <w:ind w:left="102" w:right="133"/>
      </w:pPr>
      <w:r>
        <w:rPr>
          <w:u w:val="single"/>
        </w:rPr>
        <w:t>Gráfica 5.1. </w:t>
      </w:r>
      <w:r>
        <w:rPr/>
        <w:t>Tipos de violencia contra las mujeres conocidos por el estudiantado.</w:t>
      </w:r>
    </w:p>
    <w:p>
      <w:pPr>
        <w:pStyle w:val="BodyText"/>
        <w:spacing w:before="5"/>
        <w:rPr>
          <w:sz w:val="25"/>
        </w:rPr>
      </w:pPr>
      <w:r>
        <w:rPr/>
        <w:pict>
          <v:group style="position:absolute;margin-left:89.627998pt;margin-top:16.582056pt;width:432.1pt;height:408.4pt;mso-position-horizontal-relative:page;mso-position-vertical-relative:paragraph;z-index:2632;mso-wrap-distance-left:0;mso-wrap-distance-right:0" coordorigin="1793,332" coordsize="8642,8168">
            <v:line style="position:absolute" from="3910,561" to="3910,671" stroked="true" strokeweight=".72pt" strokecolor="#858585"/>
            <v:line style="position:absolute" from="3910,2306" to="3910,2529" stroked="true" strokeweight=".72pt" strokecolor="#858585"/>
            <v:line style="position:absolute" from="4560,2306" to="4560,2529" stroked="true" strokeweight=".72pt" strokecolor="#858585"/>
            <v:line style="position:absolute" from="5210,2010" to="5210,4386" stroked="true" strokeweight=".72pt" strokecolor="#858585"/>
            <v:rect style="position:absolute;left:3262;top:2157;width:1906;height:149" filled="true" fillcolor="#4571a7" stroked="false">
              <v:fill type="solid"/>
            </v:rect>
            <v:line style="position:absolute" from="3910,3719" to="3910,3868" stroked="true" strokeweight=".72pt" strokecolor="#858585"/>
            <v:line style="position:absolute" from="3910,4166" to="3910,4386" stroked="true" strokeweight=".72pt" strokecolor="#858585"/>
            <v:line style="position:absolute" from="4560,4166" to="4560,4386" stroked="true" strokeweight=".72pt" strokecolor="#858585"/>
            <v:rect style="position:absolute;left:3262;top:4017;width:1342;height:149" filled="true" fillcolor="#4571a7" stroked="false">
              <v:fill type="solid"/>
            </v:rect>
            <v:line style="position:absolute" from="4560,3719" to="4560,3868" stroked="true" strokeweight=".72pt" strokecolor="#858585"/>
            <v:rect style="position:absolute;left:3262;top:3868;width:1399;height:149" filled="true" fillcolor="#aa4643" stroked="false">
              <v:fill type="solid"/>
            </v:rect>
            <v:rect style="position:absolute;left:3262;top:2010;width:1848;height:146" filled="true" fillcolor="#aa4643" stroked="false">
              <v:fill type="solid"/>
            </v:rect>
            <v:rect style="position:absolute;left:3262;top:3719;width:444;height:149" filled="true" fillcolor="#88a44e" stroked="false">
              <v:fill type="solid"/>
            </v:rect>
            <v:line style="position:absolute" from="5210,1713" to="5210,1862" stroked="true" strokeweight=".72pt" strokecolor="#858585"/>
            <v:line style="position:absolute" from="5858,1713" to="5858,1862" stroked="true" strokeweight=".72pt" strokecolor="#858585"/>
            <v:line style="position:absolute" from="5858,2010" to="5858,4535" stroked="true" strokeweight=".72pt" strokecolor="#858585"/>
            <v:rect style="position:absolute;left:3262;top:1862;width:2801;height:149" filled="true" fillcolor="#88a44e" stroked="false">
              <v:fill type="solid"/>
            </v:rect>
            <v:line style="position:absolute" from="3910,3422" to="3910,3570" stroked="true" strokeweight=".72pt" strokecolor="#858585"/>
            <v:line style="position:absolute" from="4560,2678" to="4560,3570" stroked="true" strokeweight=".72pt" strokecolor="#858585"/>
            <v:rect style="position:absolute;left:3262;top:3570;width:1342;height:149" filled="true" fillcolor="#70578f" stroked="false">
              <v:fill type="solid"/>
            </v:rect>
            <v:rect style="position:absolute;left:3262;top:1713;width:1906;height:149" filled="true" fillcolor="#70578f" stroked="false">
              <v:fill type="solid"/>
            </v:rect>
            <v:line style="position:absolute" from="5858,1266" to="5858,1564" stroked="true" strokeweight=".72pt" strokecolor="#858585"/>
            <v:line style="position:absolute" from="6509,561" to="6509,7991" stroked="true" strokeweight=".72pt" strokecolor="#858585"/>
            <v:rect style="position:absolute;left:3262;top:1564;width:3247;height:149" filled="true" fillcolor="#4197ae" stroked="false">
              <v:fill type="solid"/>
            </v:rect>
            <v:line style="position:absolute" from="3910,6023" to="3910,6246" stroked="true" strokeweight=".72pt" strokecolor="#858585"/>
            <v:line style="position:absolute" from="4560,5726" to="4560,5874" stroked="true" strokeweight=".72pt" strokecolor="#858585"/>
            <v:line style="position:absolute" from="4560,6023" to="4560,6839" stroked="true" strokeweight=".72pt" strokecolor="#858585"/>
            <v:rect style="position:absolute;left:3262;top:5874;width:1354;height:149" filled="true" fillcolor="#4571a7" stroked="false">
              <v:fill type="solid"/>
            </v:rect>
            <v:rect style="position:absolute;left:3262;top:5726;width:1085;height:149" filled="true" fillcolor="#aa4643" stroked="false">
              <v:fill type="solid"/>
            </v:rect>
            <v:line style="position:absolute" from="4560,5428" to="4560,5577" stroked="true" strokeweight=".72pt" strokecolor="#858585"/>
            <v:line style="position:absolute" from="5210,5428" to="5210,5577" stroked="true" strokeweight=".72pt" strokecolor="#858585"/>
            <v:line style="position:absolute" from="5210,5726" to="5210,7286" stroked="true" strokeweight=".72pt" strokecolor="#858585"/>
            <v:line style="position:absolute" from="5858,5428" to="5858,5577" stroked="true" strokeweight=".72pt" strokecolor="#858585"/>
            <v:line style="position:absolute" from="5858,5726" to="5858,7991" stroked="true" strokeweight=".72pt" strokecolor="#858585"/>
            <v:rect style="position:absolute;left:3262;top:5577;width:2707;height:149" filled="true" fillcolor="#88a44e" stroked="false">
              <v:fill type="solid"/>
            </v:rect>
            <v:line style="position:absolute" from="3910,7137" to="3910,7286" stroked="true" strokeweight=".72pt" strokecolor="#858585"/>
            <v:line style="position:absolute" from="3910,7434" to="3910,7583" stroked="true" strokeweight=".72pt" strokecolor="#858585"/>
            <v:line style="position:absolute" from="3910,7881" to="3910,7991" stroked="true" strokeweight=".72pt" strokecolor="#858585"/>
            <v:line style="position:absolute" from="4560,7881" to="4560,7991" stroked="true" strokeweight=".72pt" strokecolor="#858585"/>
            <v:line style="position:absolute" from="5210,7732" to="5210,7991" stroked="true" strokeweight=".72pt" strokecolor="#858585"/>
            <v:rect style="position:absolute;left:3262;top:7732;width:1894;height:149" filled="true" fillcolor="#4571a7" stroked="false">
              <v:fill type="solid"/>
            </v:rect>
            <v:line style="position:absolute" from="4560,7434" to="4560,7583" stroked="true" strokeweight=".72pt" strokecolor="#858585"/>
            <v:line style="position:absolute" from="5210,7434" to="5210,7583" stroked="true" strokeweight=".72pt" strokecolor="#858585"/>
            <v:rect style="position:absolute;left:3262;top:7583;width:2162;height:149" filled="true" fillcolor="#aa4643" stroked="false">
              <v:fill type="solid"/>
            </v:rect>
            <v:rect style="position:absolute;left:3262;top:7434;width:538;height:149" filled="true" fillcolor="#88a44e" stroked="false">
              <v:fill type="solid"/>
            </v:rect>
            <v:line style="position:absolute" from="4560,7137" to="4560,7286" stroked="true" strokeweight=".72pt" strokecolor="#858585"/>
            <v:rect style="position:absolute;left:3262;top:7286;width:2028;height:149" filled="true" fillcolor="#70578f" stroked="false">
              <v:fill type="solid"/>
            </v:rect>
            <v:rect style="position:absolute;left:3262;top:5428;width:1217;height:149" filled="true" fillcolor="#70578f" stroked="false">
              <v:fill type="solid"/>
            </v:rect>
            <v:rect style="position:absolute;left:3262;top:7137;width:137;height:149" filled="true" fillcolor="#4197ae" stroked="false">
              <v:fill type="solid"/>
            </v:rect>
            <v:line style="position:absolute" from="5210,4982" to="5210,5279" stroked="true" strokeweight=".72pt" strokecolor="#858585"/>
            <v:line style="position:absolute" from="5858,4982" to="5858,5279" stroked="true" strokeweight=".72pt" strokecolor="#858585"/>
            <v:rect style="position:absolute;left:3262;top:5279;width:3110;height:149" filled="true" fillcolor="#4197ae" stroked="false">
              <v:fill type="solid"/>
            </v:rect>
            <v:rect style="position:absolute;left:3262;top:6988;width:1622;height:149" filled="true" fillcolor="#db843c" stroked="false">
              <v:fill type="solid"/>
            </v:rect>
            <v:rect style="position:absolute;left:3262;top:5130;width:1622;height:149" filled="true" fillcolor="#db843c" stroked="false">
              <v:fill type="solid"/>
            </v:rect>
            <v:rect style="position:absolute;left:3262;top:3273;width:1006;height:149" filled="true" fillcolor="#db843c" stroked="false">
              <v:fill type="solid"/>
            </v:rect>
            <v:rect style="position:absolute;left:3262;top:1415;width:2239;height:149" filled="true" fillcolor="#db843c" stroked="false">
              <v:fill type="solid"/>
            </v:rect>
            <v:line style="position:absolute" from="3910,6395" to="3910,6839" stroked="true" strokeweight=".72pt" strokecolor="#858585"/>
            <v:rect style="position:absolute;left:3262;top:6839;width:1351;height:149" filled="true" fillcolor="#92a9cf" stroked="false">
              <v:fill type="solid"/>
            </v:rect>
            <v:rect style="position:absolute;left:3262;top:4982;width:1896;height:149" filled="true" fillcolor="#92a9cf" stroked="false">
              <v:fill type="solid"/>
            </v:rect>
            <v:line style="position:absolute" from="3910,2678" to="3910,3124" stroked="true" strokeweight=".72pt" strokecolor="#858585"/>
            <v:rect style="position:absolute;left:3262;top:3124;width:727;height:149" filled="true" fillcolor="#92a9cf" stroked="false">
              <v:fill type="solid"/>
            </v:rect>
            <v:rect style="position:absolute;left:3262;top:1266;width:2520;height:149" filled="true" fillcolor="#92a9cf" stroked="false">
              <v:fill type="solid"/>
            </v:rect>
            <v:rect style="position:absolute;left:3262;top:6690;width:274;height:149" filled="true" fillcolor="#d19292" stroked="false">
              <v:fill type="solid"/>
            </v:rect>
            <v:rect style="position:absolute;left:3262;top:4833;width:2974;height:149" filled="true" fillcolor="#d19292" stroked="false">
              <v:fill type="solid"/>
            </v:rect>
            <v:rect style="position:absolute;left:3262;top:2975;width:110;height:149" filled="true" fillcolor="#d19292" stroked="false">
              <v:fill type="solid"/>
            </v:rect>
            <v:line style="position:absolute" from="5858,969" to="5858,1118" stroked="true" strokeweight=".72pt" strokecolor="#858585"/>
            <v:rect style="position:absolute;left:3262;top:1118;width:3137;height:149" filled="true" fillcolor="#d19292" stroked="false">
              <v:fill type="solid"/>
            </v:rect>
            <v:rect style="position:absolute;left:3262;top:6542;width:538;height:149" filled="true" fillcolor="#b8cd95" stroked="false">
              <v:fill type="solid"/>
            </v:rect>
            <v:rect style="position:absolute;left:3262;top:4684;width:2707;height:149" filled="true" fillcolor="#b8cd95" stroked="false">
              <v:fill type="solid"/>
            </v:rect>
            <v:rect style="position:absolute;left:3262;top:2826;width:670;height:149" filled="true" fillcolor="#b8cd95" stroked="false">
              <v:fill type="solid"/>
            </v:rect>
            <v:rect style="position:absolute;left:3262;top:969;width:2578;height:149" filled="true" fillcolor="#b8cd95" stroked="false">
              <v:fill type="solid"/>
            </v:rect>
            <v:rect style="position:absolute;left:3262;top:6395;width:274;height:146" filled="true" fillcolor="#a99bbc" stroked="false">
              <v:fill type="solid"/>
            </v:rect>
            <v:rect style="position:absolute;left:3262;top:4535;width:2974;height:149" filled="true" fillcolor="#a99bbc" stroked="false">
              <v:fill type="solid"/>
            </v:rect>
            <v:rect style="position:absolute;left:3262;top:2678;width:504;height:149" filled="true" fillcolor="#a99bbc" stroked="false">
              <v:fill type="solid"/>
            </v:rect>
            <v:line style="position:absolute" from="5210,561" to="5210,820" stroked="true" strokeweight=".72pt" strokecolor="#858585"/>
            <v:line style="position:absolute" from="5858,561" to="5858,820" stroked="true" strokeweight=".72pt" strokecolor="#858585"/>
            <v:rect style="position:absolute;left:3262;top:820;width:2743;height:149" filled="true" fillcolor="#a99bbc" stroked="false">
              <v:fill type="solid"/>
            </v:rect>
            <v:rect style="position:absolute;left:3262;top:6246;width:946;height:149" filled="true" fillcolor="#91c3d4" stroked="false">
              <v:fill type="solid"/>
            </v:rect>
            <v:rect style="position:absolute;left:3262;top:4386;width:2302;height:149" filled="true" fillcolor="#91c3d4" stroked="false">
              <v:fill type="solid"/>
            </v:rect>
            <v:rect style="position:absolute;left:3262;top:2529;width:1622;height:149" filled="true" fillcolor="#91c3d4" stroked="false">
              <v:fill type="solid"/>
            </v:rect>
            <v:line style="position:absolute" from="4560,561" to="4560,671" stroked="true" strokeweight=".72pt" strokecolor="#858585"/>
            <v:rect style="position:absolute;left:3262;top:671;width:1622;height:149" filled="true" fillcolor="#91c3d4" stroked="false">
              <v:fill type="solid"/>
            </v:rect>
            <v:line style="position:absolute" from="3262,7991" to="3262,561" stroked="true" strokeweight=".72pt" strokecolor="#858585"/>
            <v:line style="position:absolute" from="3197,7991" to="3262,7991" stroked="true" strokeweight=".72pt" strokecolor="#858585"/>
            <v:line style="position:absolute" from="3197,6134" to="3262,6134" stroked="true" strokeweight=".72pt" strokecolor="#858585"/>
            <v:line style="position:absolute" from="3197,4276" to="3262,4276" stroked="true" strokeweight=".72pt" strokecolor="#858585"/>
            <v:line style="position:absolute" from="3197,2418" to="3262,2418" stroked="true" strokeweight=".72pt" strokecolor="#858585"/>
            <v:line style="position:absolute" from="3197,561" to="3262,561" stroked="true" strokeweight=".72pt" strokecolor="#858585"/>
            <v:line style="position:absolute" from="7157,561" to="7157,7991" stroked="true" strokeweight=".72pt" strokecolor="#858585"/>
            <v:line style="position:absolute" from="3262,7991" to="7157,7991" stroked="true" strokeweight=".72pt" strokecolor="#858585"/>
            <v:line style="position:absolute" from="3262,7991" to="3262,8056" stroked="true" strokeweight=".72pt" strokecolor="#858585"/>
            <v:line style="position:absolute" from="3910,7991" to="3910,8056" stroked="true" strokeweight=".72pt" strokecolor="#858585"/>
            <v:line style="position:absolute" from="4560,7991" to="4560,8056" stroked="true" strokeweight=".72pt" strokecolor="#858585"/>
            <v:line style="position:absolute" from="5210,7991" to="5210,8056" stroked="true" strokeweight=".72pt" strokecolor="#858585"/>
            <v:line style="position:absolute" from="5858,7991" to="5858,8056" stroked="true" strokeweight=".72pt" strokecolor="#858585"/>
            <v:line style="position:absolute" from="6509,7991" to="6509,8056" stroked="true" strokeweight=".72pt" strokecolor="#858585"/>
            <v:line style="position:absolute" from="7157,7991" to="7157,8056" stroked="true" strokeweight=".72pt" strokecolor="#858585"/>
            <v:rect style="position:absolute;left:7630;top:1223;width:110;height:110" filled="true" fillcolor="#91c3d4" stroked="false">
              <v:fill type="solid"/>
            </v:rect>
            <v:rect style="position:absolute;left:7630;top:1828;width:110;height:110" filled="true" fillcolor="#a99bbc" stroked="false">
              <v:fill type="solid"/>
            </v:rect>
            <v:rect style="position:absolute;left:7630;top:2430;width:110;height:110" filled="true" fillcolor="#b8cd95" stroked="false">
              <v:fill type="solid"/>
            </v:rect>
            <v:rect style="position:absolute;left:7630;top:3035;width:110;height:108" filled="true" fillcolor="#d19292" stroked="false">
              <v:fill type="solid"/>
            </v:rect>
            <v:rect style="position:absolute;left:7630;top:3638;width:110;height:110" filled="true" fillcolor="#92a9cf" stroked="false">
              <v:fill type="solid"/>
            </v:rect>
            <v:rect style="position:absolute;left:7630;top:4240;width:110;height:110" filled="true" fillcolor="#db843c" stroked="false">
              <v:fill type="solid"/>
            </v:rect>
            <v:rect style="position:absolute;left:7630;top:4845;width:110;height:108" filled="true" fillcolor="#4197ae" stroked="false">
              <v:fill type="solid"/>
            </v:rect>
            <v:rect style="position:absolute;left:7630;top:5447;width:110;height:110" filled="true" fillcolor="#70578f" stroked="false">
              <v:fill type="solid"/>
            </v:rect>
            <v:rect style="position:absolute;left:7630;top:6050;width:110;height:110" filled="true" fillcolor="#88a44e" stroked="false">
              <v:fill type="solid"/>
            </v:rect>
            <v:rect style="position:absolute;left:7630;top:6654;width:110;height:110" filled="true" fillcolor="#aa4643" stroked="false">
              <v:fill type="solid"/>
            </v:rect>
            <v:rect style="position:absolute;left:7630;top:7257;width:110;height:110" filled="true" fillcolor="#4571a7" stroked="false">
              <v:fill type="solid"/>
            </v:rect>
            <v:rect style="position:absolute;left:1800;top:339;width:8627;height:8153" filled="false" stroked="true" strokeweight=".75pt" strokecolor="#858585"/>
            <v:shape style="position:absolute;left:7786;top:1186;width:1677;height:200" type="#_x0000_t202" filled="false" stroked="false">
              <v:textbox inset="0,0,0,0">
                <w:txbxContent>
                  <w:p>
                    <w:pPr>
                      <w:spacing w:line="199" w:lineRule="exact" w:before="0"/>
                      <w:ind w:left="0" w:right="-14" w:firstLine="0"/>
                      <w:jc w:val="left"/>
                      <w:rPr>
                        <w:rFonts w:ascii="Calibri"/>
                        <w:sz w:val="20"/>
                      </w:rPr>
                    </w:pPr>
                    <w:r>
                      <w:rPr>
                        <w:rFonts w:ascii="Calibri"/>
                        <w:sz w:val="20"/>
                      </w:rPr>
                      <w:t>Todas las</w:t>
                    </w:r>
                    <w:r>
                      <w:rPr>
                        <w:rFonts w:ascii="Calibri"/>
                        <w:spacing w:val="-8"/>
                        <w:sz w:val="20"/>
                      </w:rPr>
                      <w:t> </w:t>
                    </w:r>
                    <w:r>
                      <w:rPr>
                        <w:rFonts w:ascii="Calibri"/>
                        <w:sz w:val="20"/>
                      </w:rPr>
                      <w:t>anteriores.</w:t>
                    </w:r>
                  </w:p>
                </w:txbxContent>
              </v:textbox>
              <w10:wrap type="none"/>
            </v:shape>
            <v:shape style="position:absolute;left:2002;top:1396;width:1071;height:200" type="#_x0000_t202" filled="false" stroked="false">
              <v:textbox inset="0,0,0,0">
                <w:txbxContent>
                  <w:p>
                    <w:pPr>
                      <w:spacing w:line="199" w:lineRule="exact" w:before="0"/>
                      <w:ind w:left="0" w:right="-12" w:firstLine="0"/>
                      <w:jc w:val="left"/>
                      <w:rPr>
                        <w:rFonts w:ascii="Calibri"/>
                        <w:sz w:val="20"/>
                      </w:rPr>
                    </w:pPr>
                    <w:r>
                      <w:rPr>
                        <w:rFonts w:ascii="Calibri"/>
                        <w:sz w:val="20"/>
                      </w:rPr>
                      <w:t>No</w:t>
                    </w:r>
                    <w:r>
                      <w:rPr>
                        <w:rFonts w:ascii="Calibri"/>
                        <w:spacing w:val="-9"/>
                        <w:sz w:val="20"/>
                      </w:rPr>
                      <w:t> </w:t>
                    </w:r>
                    <w:r>
                      <w:rPr>
                        <w:rFonts w:ascii="Calibri"/>
                        <w:sz w:val="20"/>
                      </w:rPr>
                      <w:t>(Mujeres)</w:t>
                    </w:r>
                  </w:p>
                </w:txbxContent>
              </v:textbox>
              <w10:wrap type="none"/>
            </v:shape>
            <v:shape style="position:absolute;left:7786;top:1789;width:2438;height:1407" type="#_x0000_t202" filled="false" stroked="false">
              <v:textbox inset="0,0,0,0">
                <w:txbxContent>
                  <w:p>
                    <w:pPr>
                      <w:spacing w:line="203" w:lineRule="exact" w:before="0"/>
                      <w:ind w:left="0" w:right="-11" w:firstLine="0"/>
                      <w:jc w:val="left"/>
                      <w:rPr>
                        <w:rFonts w:ascii="Calibri"/>
                        <w:sz w:val="20"/>
                      </w:rPr>
                    </w:pPr>
                    <w:r>
                      <w:rPr>
                        <w:rFonts w:ascii="Calibri"/>
                        <w:sz w:val="20"/>
                      </w:rPr>
                      <w:t>Trato abusivo en una</w:t>
                    </w:r>
                    <w:r>
                      <w:rPr>
                        <w:rFonts w:ascii="Calibri"/>
                        <w:spacing w:val="-11"/>
                        <w:sz w:val="20"/>
                      </w:rPr>
                      <w:t> </w:t>
                    </w:r>
                    <w:r>
                      <w:rPr>
                        <w:rFonts w:ascii="Calibri"/>
                        <w:sz w:val="20"/>
                      </w:rPr>
                      <w:t>consulta</w:t>
                    </w:r>
                  </w:p>
                  <w:p>
                    <w:pPr>
                      <w:spacing w:before="1"/>
                      <w:ind w:left="0" w:right="-11" w:firstLine="0"/>
                      <w:jc w:val="left"/>
                      <w:rPr>
                        <w:rFonts w:ascii="Calibri" w:hAnsi="Calibri"/>
                        <w:sz w:val="20"/>
                      </w:rPr>
                    </w:pPr>
                    <w:r>
                      <w:rPr>
                        <w:rFonts w:ascii="Calibri" w:hAnsi="Calibri"/>
                        <w:sz w:val="20"/>
                      </w:rPr>
                      <w:t>ginecológica.</w:t>
                    </w:r>
                  </w:p>
                  <w:p>
                    <w:pPr>
                      <w:spacing w:before="114"/>
                      <w:ind w:left="0" w:right="21" w:firstLine="0"/>
                      <w:jc w:val="left"/>
                      <w:rPr>
                        <w:rFonts w:ascii="Calibri" w:hAnsi="Calibri"/>
                        <w:sz w:val="20"/>
                      </w:rPr>
                    </w:pPr>
                    <w:r>
                      <w:rPr>
                        <w:rFonts w:ascii="Calibri" w:hAnsi="Calibri"/>
                        <w:sz w:val="20"/>
                      </w:rPr>
                      <w:t>Trato ofensivo por no encajar con el estereotipo estético.</w:t>
                    </w:r>
                  </w:p>
                  <w:p>
                    <w:pPr>
                      <w:spacing w:line="240" w:lineRule="exact" w:before="114"/>
                      <w:ind w:left="0" w:right="-11" w:firstLine="0"/>
                      <w:jc w:val="left"/>
                      <w:rPr>
                        <w:rFonts w:ascii="Calibri"/>
                        <w:sz w:val="20"/>
                      </w:rPr>
                    </w:pPr>
                    <w:r>
                      <w:rPr>
                        <w:rFonts w:ascii="Calibri"/>
                        <w:sz w:val="20"/>
                      </w:rPr>
                      <w:t>Control sobre sus gastos.</w:t>
                    </w:r>
                  </w:p>
                </w:txbxContent>
              </v:textbox>
              <w10:wrap type="none"/>
            </v:shape>
            <v:shape style="position:absolute;left:2099;top:3254;width:975;height:200" type="#_x0000_t202" filled="false" stroked="false">
              <v:textbox inset="0,0,0,0">
                <w:txbxContent>
                  <w:p>
                    <w:pPr>
                      <w:spacing w:line="199" w:lineRule="exact" w:before="0"/>
                      <w:ind w:left="0" w:right="-14" w:firstLine="0"/>
                      <w:jc w:val="left"/>
                      <w:rPr>
                        <w:rFonts w:ascii="Calibri" w:hAnsi="Calibri"/>
                        <w:sz w:val="20"/>
                      </w:rPr>
                    </w:pPr>
                    <w:r>
                      <w:rPr>
                        <w:rFonts w:ascii="Calibri" w:hAnsi="Calibri"/>
                        <w:sz w:val="20"/>
                      </w:rPr>
                      <w:t>Sí</w:t>
                    </w:r>
                    <w:r>
                      <w:rPr>
                        <w:rFonts w:ascii="Calibri" w:hAnsi="Calibri"/>
                        <w:spacing w:val="-7"/>
                        <w:sz w:val="20"/>
                      </w:rPr>
                      <w:t> </w:t>
                    </w:r>
                    <w:r>
                      <w:rPr>
                        <w:rFonts w:ascii="Calibri" w:hAnsi="Calibri"/>
                        <w:sz w:val="20"/>
                      </w:rPr>
                      <w:t>(Mujeres)</w:t>
                    </w:r>
                  </w:p>
                </w:txbxContent>
              </v:textbox>
              <w10:wrap type="none"/>
            </v:shape>
            <v:shape style="position:absolute;left:7786;top:3600;width:1993;height:1406" type="#_x0000_t202" filled="false" stroked="false">
              <v:textbox inset="0,0,0,0">
                <w:txbxContent>
                  <w:p>
                    <w:pPr>
                      <w:spacing w:line="203" w:lineRule="exact" w:before="0"/>
                      <w:ind w:left="0" w:right="-12" w:firstLine="0"/>
                      <w:jc w:val="left"/>
                      <w:rPr>
                        <w:rFonts w:ascii="Calibri"/>
                        <w:sz w:val="20"/>
                      </w:rPr>
                    </w:pPr>
                    <w:r>
                      <w:rPr>
                        <w:rFonts w:ascii="Calibri"/>
                        <w:sz w:val="20"/>
                      </w:rPr>
                      <w:t>Insinuaciones sexuales</w:t>
                    </w:r>
                  </w:p>
                  <w:p>
                    <w:pPr>
                      <w:spacing w:before="0"/>
                      <w:ind w:left="0" w:right="-12" w:firstLine="0"/>
                      <w:jc w:val="left"/>
                      <w:rPr>
                        <w:rFonts w:ascii="Calibri"/>
                        <w:sz w:val="20"/>
                      </w:rPr>
                    </w:pPr>
                    <w:r>
                      <w:rPr>
                        <w:rFonts w:ascii="Calibri"/>
                        <w:sz w:val="20"/>
                      </w:rPr>
                      <w:t>indeseadas.</w:t>
                    </w:r>
                  </w:p>
                  <w:p>
                    <w:pPr>
                      <w:spacing w:before="114"/>
                      <w:ind w:left="0" w:right="-12" w:firstLine="0"/>
                      <w:jc w:val="left"/>
                      <w:rPr>
                        <w:rFonts w:ascii="Calibri"/>
                        <w:sz w:val="20"/>
                      </w:rPr>
                    </w:pPr>
                    <w:r>
                      <w:rPr>
                        <w:rFonts w:ascii="Calibri"/>
                        <w:sz w:val="20"/>
                      </w:rPr>
                      <w:t>Acoso callejero</w:t>
                    </w:r>
                    <w:r>
                      <w:rPr>
                        <w:rFonts w:ascii="Calibri"/>
                        <w:spacing w:val="-10"/>
                        <w:sz w:val="20"/>
                      </w:rPr>
                      <w:t> </w:t>
                    </w:r>
                    <w:r>
                      <w:rPr>
                        <w:rFonts w:ascii="Calibri"/>
                        <w:sz w:val="20"/>
                      </w:rPr>
                      <w:t>(silbidos, albures,</w:t>
                    </w:r>
                    <w:r>
                      <w:rPr>
                        <w:rFonts w:ascii="Calibri"/>
                        <w:spacing w:val="-5"/>
                        <w:sz w:val="20"/>
                      </w:rPr>
                      <w:t> </w:t>
                    </w:r>
                    <w:r>
                      <w:rPr>
                        <w:rFonts w:ascii="Calibri"/>
                        <w:sz w:val="20"/>
                      </w:rPr>
                      <w:t>etc.).</w:t>
                    </w:r>
                  </w:p>
                  <w:p>
                    <w:pPr>
                      <w:spacing w:line="240" w:lineRule="exact" w:before="114"/>
                      <w:ind w:left="0" w:right="-12" w:firstLine="0"/>
                      <w:jc w:val="left"/>
                      <w:rPr>
                        <w:rFonts w:ascii="Calibri" w:hAnsi="Calibri"/>
                        <w:sz w:val="20"/>
                      </w:rPr>
                    </w:pPr>
                    <w:r>
                      <w:rPr>
                        <w:rFonts w:ascii="Calibri" w:hAnsi="Calibri"/>
                        <w:sz w:val="20"/>
                      </w:rPr>
                      <w:t>Obstétrica.</w:t>
                    </w:r>
                  </w:p>
                </w:txbxContent>
              </v:textbox>
              <w10:wrap type="none"/>
            </v:shape>
            <v:shape style="position:absolute;left:1931;top:5112;width:1142;height:200" type="#_x0000_t202" filled="false" stroked="false">
              <v:textbox inset="0,0,0,0">
                <w:txbxContent>
                  <w:p>
                    <w:pPr>
                      <w:spacing w:line="199" w:lineRule="exact" w:before="0"/>
                      <w:ind w:left="0" w:right="-15" w:firstLine="0"/>
                      <w:jc w:val="left"/>
                      <w:rPr>
                        <w:rFonts w:ascii="Calibri"/>
                        <w:sz w:val="20"/>
                      </w:rPr>
                    </w:pPr>
                    <w:r>
                      <w:rPr>
                        <w:rFonts w:ascii="Calibri"/>
                        <w:sz w:val="20"/>
                      </w:rPr>
                      <w:t>No</w:t>
                    </w:r>
                    <w:r>
                      <w:rPr>
                        <w:rFonts w:ascii="Calibri"/>
                        <w:spacing w:val="-7"/>
                        <w:sz w:val="20"/>
                      </w:rPr>
                      <w:t> </w:t>
                    </w:r>
                    <w:r>
                      <w:rPr>
                        <w:rFonts w:ascii="Calibri"/>
                        <w:sz w:val="20"/>
                      </w:rPr>
                      <w:t>(Hombres)</w:t>
                    </w:r>
                  </w:p>
                </w:txbxContent>
              </v:textbox>
              <w10:wrap type="none"/>
            </v:shape>
            <v:shape style="position:absolute;left:7786;top:5410;width:57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Sexual.</w:t>
                    </w:r>
                  </w:p>
                </w:txbxContent>
              </v:textbox>
              <w10:wrap type="none"/>
            </v:shape>
            <v:shape style="position:absolute;left:7786;top:6013;width:935;height:200" type="#_x0000_t202" filled="false" stroked="false">
              <v:textbox inset="0,0,0,0">
                <w:txbxContent>
                  <w:p>
                    <w:pPr>
                      <w:spacing w:line="199" w:lineRule="exact" w:before="0"/>
                      <w:ind w:left="0" w:right="0" w:firstLine="0"/>
                      <w:jc w:val="left"/>
                      <w:rPr>
                        <w:rFonts w:ascii="Calibri" w:hAnsi="Calibri"/>
                        <w:sz w:val="20"/>
                      </w:rPr>
                    </w:pPr>
                    <w:r>
                      <w:rPr>
                        <w:rFonts w:ascii="Calibri" w:hAnsi="Calibri"/>
                        <w:w w:val="95"/>
                        <w:sz w:val="20"/>
                      </w:rPr>
                      <w:t>Económica.</w:t>
                    </w:r>
                  </w:p>
                </w:txbxContent>
              </v:textbox>
              <w10:wrap type="none"/>
            </v:shape>
            <v:shape style="position:absolute;left:7786;top:6616;width:492;height:200" type="#_x0000_t202" filled="false" stroked="false">
              <v:textbox inset="0,0,0,0">
                <w:txbxContent>
                  <w:p>
                    <w:pPr>
                      <w:spacing w:line="199" w:lineRule="exact" w:before="0"/>
                      <w:ind w:left="0" w:right="0" w:firstLine="0"/>
                      <w:jc w:val="left"/>
                      <w:rPr>
                        <w:rFonts w:ascii="Calibri" w:hAnsi="Calibri"/>
                        <w:sz w:val="20"/>
                      </w:rPr>
                    </w:pPr>
                    <w:r>
                      <w:rPr>
                        <w:rFonts w:ascii="Calibri" w:hAnsi="Calibri"/>
                        <w:w w:val="95"/>
                        <w:sz w:val="20"/>
                      </w:rPr>
                      <w:t>Física.</w:t>
                    </w:r>
                  </w:p>
                </w:txbxContent>
              </v:textbox>
              <w10:wrap type="none"/>
            </v:shape>
            <v:shape style="position:absolute;left:2027;top:6971;width:1046;height:200" type="#_x0000_t202" filled="false" stroked="false">
              <v:textbox inset="0,0,0,0">
                <w:txbxContent>
                  <w:p>
                    <w:pPr>
                      <w:spacing w:line="199" w:lineRule="exact" w:before="0"/>
                      <w:ind w:left="0" w:right="-16" w:firstLine="0"/>
                      <w:jc w:val="left"/>
                      <w:rPr>
                        <w:rFonts w:ascii="Calibri" w:hAnsi="Calibri"/>
                        <w:sz w:val="20"/>
                      </w:rPr>
                    </w:pPr>
                    <w:r>
                      <w:rPr>
                        <w:rFonts w:ascii="Calibri" w:hAnsi="Calibri"/>
                        <w:sz w:val="20"/>
                      </w:rPr>
                      <w:t>Sí</w:t>
                    </w:r>
                    <w:r>
                      <w:rPr>
                        <w:rFonts w:ascii="Calibri" w:hAnsi="Calibri"/>
                        <w:spacing w:val="-5"/>
                        <w:sz w:val="20"/>
                      </w:rPr>
                      <w:t> </w:t>
                    </w:r>
                    <w:r>
                      <w:rPr>
                        <w:rFonts w:ascii="Calibri" w:hAnsi="Calibri"/>
                        <w:sz w:val="20"/>
                      </w:rPr>
                      <w:t>(Hombres)</w:t>
                    </w:r>
                  </w:p>
                </w:txbxContent>
              </v:textbox>
              <w10:wrap type="none"/>
            </v:shape>
            <v:shape style="position:absolute;left:7786;top:7220;width:940;height:200" type="#_x0000_t202" filled="false" stroked="false">
              <v:textbox inset="0,0,0,0">
                <w:txbxContent>
                  <w:p>
                    <w:pPr>
                      <w:spacing w:line="199" w:lineRule="exact" w:before="0"/>
                      <w:ind w:left="0" w:right="0" w:firstLine="0"/>
                      <w:jc w:val="left"/>
                      <w:rPr>
                        <w:rFonts w:ascii="Calibri" w:hAnsi="Calibri"/>
                        <w:sz w:val="20"/>
                      </w:rPr>
                    </w:pPr>
                    <w:r>
                      <w:rPr>
                        <w:rFonts w:ascii="Calibri" w:hAnsi="Calibri"/>
                        <w:w w:val="95"/>
                        <w:sz w:val="20"/>
                      </w:rPr>
                      <w:t>Psicológica.</w:t>
                    </w:r>
                  </w:p>
                </w:txbxContent>
              </v:textbox>
              <w10:wrap type="none"/>
            </v:shape>
            <v:shape style="position:absolute;left:3209;top:816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3808;top:816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4457;top:816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5107;top:816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5756;top:8160;width:1554;height:200" type="#_x0000_t202" filled="false" stroked="false">
              <v:textbox inset="0,0,0,0">
                <w:txbxContent>
                  <w:p>
                    <w:pPr>
                      <w:tabs>
                        <w:tab w:pos="598" w:val="left" w:leader="none"/>
                        <w:tab w:pos="1248" w:val="left" w:leader="none"/>
                      </w:tabs>
                      <w:spacing w:line="199" w:lineRule="exact" w:before="0"/>
                      <w:ind w:left="0" w:right="0" w:firstLine="0"/>
                      <w:jc w:val="left"/>
                      <w:rPr>
                        <w:rFonts w:ascii="Calibri"/>
                        <w:sz w:val="20"/>
                      </w:rPr>
                    </w:pPr>
                    <w:r>
                      <w:rPr>
                        <w:rFonts w:ascii="Calibri"/>
                        <w:sz w:val="20"/>
                      </w:rPr>
                      <w:t>80</w:t>
                      <w:tab/>
                      <w:t>100</w:t>
                      <w:tab/>
                      <w:t>120</w:t>
                    </w:r>
                  </w:p>
                </w:txbxContent>
              </v:textbox>
              <w10:wrap type="none"/>
            </v:shape>
            <w10:wrap type="topAndBottom"/>
          </v:group>
        </w:pict>
      </w:r>
    </w:p>
    <w:p>
      <w:pPr>
        <w:pStyle w:val="BodyText"/>
        <w:spacing w:before="9"/>
        <w:rPr>
          <w:sz w:val="10"/>
        </w:rPr>
      </w:pPr>
    </w:p>
    <w:p>
      <w:pPr>
        <w:spacing w:before="74"/>
        <w:ind w:left="134" w:right="154" w:firstLine="0"/>
        <w:jc w:val="center"/>
        <w:rPr>
          <w:sz w:val="20"/>
        </w:rPr>
      </w:pPr>
      <w:r>
        <w:rPr>
          <w:sz w:val="20"/>
        </w:rPr>
        <w:t>(Miranda, 2014).</w:t>
      </w:r>
    </w:p>
    <w:p>
      <w:pPr>
        <w:pStyle w:val="BodyText"/>
        <w:rPr>
          <w:sz w:val="20"/>
        </w:rPr>
      </w:pPr>
    </w:p>
    <w:p>
      <w:pPr>
        <w:pStyle w:val="BodyText"/>
        <w:rPr>
          <w:sz w:val="20"/>
        </w:rPr>
      </w:pPr>
    </w:p>
    <w:p>
      <w:pPr>
        <w:pStyle w:val="BodyText"/>
        <w:spacing w:before="1"/>
        <w:rPr>
          <w:sz w:val="18"/>
        </w:rPr>
      </w:pPr>
    </w:p>
    <w:p>
      <w:pPr>
        <w:pStyle w:val="BodyText"/>
        <w:spacing w:line="360" w:lineRule="auto"/>
        <w:ind w:left="102" w:right="123"/>
        <w:jc w:val="both"/>
      </w:pPr>
      <w:r>
        <w:rPr/>
        <w:t>Los hombres de la muestra presentaron un mínimo conocimiento de la violencia obstétrica (4.2%), de un trato abusivo en una consulta ginecológica (8.4%) y del control sobre los gastos (8.4%) como formas de violencia contra las mujeres. Por otra parte la violencia física fue la respuesta más popular con un 66.6%, mientras que el 29.1% de este grupo optó por todas las respuestas posibles.</w:t>
      </w:r>
    </w:p>
    <w:p>
      <w:pPr>
        <w:pStyle w:val="BodyText"/>
        <w:spacing w:line="360" w:lineRule="auto" w:before="204"/>
        <w:ind w:left="102" w:right="119"/>
        <w:jc w:val="both"/>
      </w:pPr>
      <w:r>
        <w:rPr/>
        <w:t>Por otro lado, las participantes no señalaron la violencia obstétrica como forma de violencia contra las mujeres (resultando con cero votos hacia esta respuesta),   sin</w:t>
      </w:r>
    </w:p>
    <w:p>
      <w:pPr>
        <w:spacing w:after="0" w:line="360" w:lineRule="auto"/>
        <w:jc w:val="both"/>
        <w:sectPr>
          <w:pgSz w:w="12240" w:h="15840"/>
          <w:pgMar w:header="0" w:footer="1032" w:top="1360" w:bottom="1220" w:left="1600" w:right="1580"/>
        </w:sectPr>
      </w:pPr>
    </w:p>
    <w:p>
      <w:pPr>
        <w:pStyle w:val="BodyText"/>
        <w:spacing w:line="360" w:lineRule="auto" w:before="57"/>
        <w:ind w:left="102" w:right="116"/>
        <w:jc w:val="both"/>
      </w:pPr>
      <w:r>
        <w:rPr/>
        <w:t>embargo, en el enunciado que replantea dicha respuesta: “Trato abusivo en una consulta ginecológica”, sí hubo un reconocimiento del mismo, aunque en un porcentaje mínimo (15.5%) y con una tendencia al desconocimiento de formas de violencia en el aspecto económico (86.3%). En este contexto, la mitad de este grupo consideró que todas las respuestas posibles forman parte de la violencia hacia la mujer.</w:t>
      </w:r>
    </w:p>
    <w:p>
      <w:pPr>
        <w:pStyle w:val="BodyText"/>
        <w:spacing w:line="360" w:lineRule="auto" w:before="204"/>
        <w:ind w:left="102" w:right="121"/>
        <w:jc w:val="both"/>
      </w:pPr>
      <w:r>
        <w:rPr/>
        <w:t>La información anterior permite reflexionar sobre la postura de Marcela Lagarde (2007) con respecto a la manera en que opera la violencia de género en el sentido de la violencia estructural, pues afirma que lo hace mediante prácticas y actitudes que día a día reproducen y refuerzan los mecanismos de control ejercidos de hombres sobre mujeres y que, por lo general, no son percibidos de tal manera por éstas, sino como actitudes normales a las cuales, ellas están obligadas a someterse.</w:t>
      </w:r>
    </w:p>
    <w:p>
      <w:pPr>
        <w:pStyle w:val="BodyText"/>
        <w:spacing w:line="360" w:lineRule="auto" w:before="204"/>
        <w:ind w:left="102" w:right="116"/>
        <w:jc w:val="both"/>
      </w:pPr>
      <w:r>
        <w:rPr/>
        <w:t>Así pues, dichas respuestas evidencian que la gran mayoría de las variantes de la violencia contra las mujeres se encuentran completamente normalizadas o mínimamente reflexionadas o comprendidas tanto por hombres (en el rol de los dominantes) como por mujeres (en el rol de las dominadas) y, como bien lo menciona Lagarde, se ven notablemente reproducidas y reforzadas de manera cotidiana.</w:t>
      </w:r>
    </w:p>
    <w:p>
      <w:pPr>
        <w:spacing w:after="0" w:line="360" w:lineRule="auto"/>
        <w:jc w:val="both"/>
        <w:sectPr>
          <w:pgSz w:w="12240" w:h="15840"/>
          <w:pgMar w:header="0" w:footer="1032" w:top="1360" w:bottom="1220" w:left="1600" w:right="1580"/>
        </w:sectPr>
      </w:pPr>
    </w:p>
    <w:p>
      <w:pPr>
        <w:spacing w:before="54"/>
        <w:ind w:left="102" w:right="601" w:firstLine="0"/>
        <w:jc w:val="left"/>
        <w:rPr>
          <w:sz w:val="22"/>
        </w:rPr>
      </w:pPr>
      <w:r>
        <w:rPr>
          <w:b/>
          <w:sz w:val="24"/>
        </w:rPr>
        <w:t>Pregunta 6. </w:t>
      </w:r>
      <w:r>
        <w:rPr>
          <w:sz w:val="22"/>
        </w:rPr>
        <w:t>(Ver Anexo 1)</w:t>
      </w:r>
    </w:p>
    <w:p>
      <w:pPr>
        <w:pStyle w:val="BodyText"/>
        <w:spacing w:before="2"/>
      </w:pPr>
    </w:p>
    <w:p>
      <w:pPr>
        <w:pStyle w:val="BodyText"/>
        <w:ind w:left="102" w:right="601"/>
      </w:pPr>
      <w:r>
        <w:rPr>
          <w:u w:val="single"/>
        </w:rPr>
        <w:t>Tabla 6.1. </w:t>
      </w:r>
      <w:r>
        <w:rPr/>
        <w:t>Idea que tiene el estudiantado acerca de la Perspectiva de Género.</w:t>
      </w:r>
    </w:p>
    <w:p>
      <w:pPr>
        <w:pStyle w:val="BodyText"/>
        <w:rPr>
          <w:sz w:val="20"/>
        </w:rPr>
      </w:pPr>
    </w:p>
    <w:p>
      <w:pPr>
        <w:pStyle w:val="BodyText"/>
        <w:spacing w:before="2"/>
        <w:rPr>
          <w:sz w:val="10"/>
        </w:rPr>
      </w:pPr>
    </w:p>
    <w:tbl>
      <w:tblPr>
        <w:tblW w:w="0" w:type="auto"/>
        <w:jc w:val="left"/>
        <w:tblInd w:w="34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327"/>
        <w:gridCol w:w="2447"/>
        <w:gridCol w:w="1080"/>
        <w:gridCol w:w="1210"/>
        <w:gridCol w:w="1081"/>
        <w:gridCol w:w="1210"/>
      </w:tblGrid>
      <w:tr>
        <w:trPr>
          <w:trHeight w:val="361" w:hRule="exact"/>
        </w:trPr>
        <w:tc>
          <w:tcPr>
            <w:tcW w:w="3773" w:type="dxa"/>
            <w:gridSpan w:val="2"/>
            <w:vMerge w:val="restart"/>
            <w:shd w:val="clear" w:color="auto" w:fill="F1F1F1"/>
          </w:tcPr>
          <w:p>
            <w:pPr/>
          </w:p>
        </w:tc>
        <w:tc>
          <w:tcPr>
            <w:tcW w:w="4580" w:type="dxa"/>
            <w:gridSpan w:val="4"/>
            <w:shd w:val="clear" w:color="auto" w:fill="F1F1F1"/>
          </w:tcPr>
          <w:p>
            <w:pPr>
              <w:pStyle w:val="TableParagraph"/>
              <w:spacing w:before="66"/>
              <w:ind w:left="2010" w:right="2018"/>
              <w:jc w:val="center"/>
              <w:rPr>
                <w:sz w:val="18"/>
              </w:rPr>
            </w:pPr>
            <w:r>
              <w:rPr>
                <w:sz w:val="18"/>
              </w:rPr>
              <w:t>Sexo</w:t>
            </w:r>
          </w:p>
        </w:tc>
      </w:tr>
      <w:tr>
        <w:trPr>
          <w:trHeight w:val="364" w:hRule="exact"/>
        </w:trPr>
        <w:tc>
          <w:tcPr>
            <w:tcW w:w="3773" w:type="dxa"/>
            <w:gridSpan w:val="2"/>
            <w:vMerge/>
            <w:shd w:val="clear" w:color="auto" w:fill="F1F1F1"/>
          </w:tcPr>
          <w:p>
            <w:pPr/>
          </w:p>
        </w:tc>
        <w:tc>
          <w:tcPr>
            <w:tcW w:w="2290" w:type="dxa"/>
            <w:gridSpan w:val="2"/>
            <w:shd w:val="clear" w:color="auto" w:fill="F1F1F1"/>
          </w:tcPr>
          <w:p>
            <w:pPr>
              <w:pStyle w:val="TableParagraph"/>
              <w:spacing w:before="82"/>
              <w:ind w:left="756" w:right="757"/>
              <w:jc w:val="center"/>
              <w:rPr>
                <w:sz w:val="18"/>
              </w:rPr>
            </w:pPr>
            <w:r>
              <w:rPr>
                <w:sz w:val="18"/>
              </w:rPr>
              <w:t>Hombres</w:t>
            </w:r>
          </w:p>
        </w:tc>
        <w:tc>
          <w:tcPr>
            <w:tcW w:w="2290" w:type="dxa"/>
            <w:gridSpan w:val="2"/>
            <w:shd w:val="clear" w:color="auto" w:fill="F1F1F1"/>
          </w:tcPr>
          <w:p>
            <w:pPr>
              <w:pStyle w:val="TableParagraph"/>
              <w:spacing w:before="82"/>
              <w:ind w:left="800" w:right="802"/>
              <w:jc w:val="center"/>
              <w:rPr>
                <w:sz w:val="18"/>
              </w:rPr>
            </w:pPr>
            <w:r>
              <w:rPr>
                <w:sz w:val="18"/>
              </w:rPr>
              <w:t>Mujeres</w:t>
            </w:r>
          </w:p>
        </w:tc>
      </w:tr>
      <w:tr>
        <w:trPr>
          <w:trHeight w:val="348" w:hRule="exact"/>
        </w:trPr>
        <w:tc>
          <w:tcPr>
            <w:tcW w:w="3773" w:type="dxa"/>
            <w:gridSpan w:val="2"/>
            <w:vMerge/>
            <w:shd w:val="clear" w:color="auto" w:fill="F1F1F1"/>
          </w:tcPr>
          <w:p>
            <w:pPr/>
          </w:p>
        </w:tc>
        <w:tc>
          <w:tcPr>
            <w:tcW w:w="1080" w:type="dxa"/>
            <w:shd w:val="clear" w:color="auto" w:fill="F1F1F1"/>
          </w:tcPr>
          <w:p>
            <w:pPr>
              <w:pStyle w:val="TableParagraph"/>
              <w:spacing w:before="66"/>
              <w:ind w:left="69" w:right="73"/>
              <w:jc w:val="center"/>
              <w:rPr>
                <w:sz w:val="18"/>
              </w:rPr>
            </w:pPr>
            <w:r>
              <w:rPr>
                <w:sz w:val="18"/>
              </w:rPr>
              <w:t>Frecuencia</w:t>
            </w:r>
          </w:p>
        </w:tc>
        <w:tc>
          <w:tcPr>
            <w:tcW w:w="1210" w:type="dxa"/>
            <w:shd w:val="clear" w:color="auto" w:fill="F1F1F1"/>
          </w:tcPr>
          <w:p>
            <w:pPr>
              <w:pStyle w:val="TableParagraph"/>
              <w:spacing w:before="66"/>
              <w:ind w:right="7"/>
              <w:jc w:val="center"/>
              <w:rPr>
                <w:sz w:val="18"/>
              </w:rPr>
            </w:pPr>
            <w:r>
              <w:rPr>
                <w:w w:val="99"/>
                <w:sz w:val="18"/>
              </w:rPr>
              <w:t>%</w:t>
            </w:r>
          </w:p>
        </w:tc>
        <w:tc>
          <w:tcPr>
            <w:tcW w:w="1081" w:type="dxa"/>
            <w:shd w:val="clear" w:color="auto" w:fill="F1F1F1"/>
          </w:tcPr>
          <w:p>
            <w:pPr>
              <w:pStyle w:val="TableParagraph"/>
              <w:spacing w:before="66"/>
              <w:ind w:left="70" w:right="74"/>
              <w:jc w:val="center"/>
              <w:rPr>
                <w:sz w:val="18"/>
              </w:rPr>
            </w:pPr>
            <w:r>
              <w:rPr>
                <w:sz w:val="18"/>
              </w:rPr>
              <w:t>Frecuencia</w:t>
            </w:r>
          </w:p>
        </w:tc>
        <w:tc>
          <w:tcPr>
            <w:tcW w:w="1210" w:type="dxa"/>
            <w:shd w:val="clear" w:color="auto" w:fill="F1F1F1"/>
          </w:tcPr>
          <w:p>
            <w:pPr>
              <w:pStyle w:val="TableParagraph"/>
              <w:spacing w:before="66"/>
              <w:ind w:right="1"/>
              <w:jc w:val="center"/>
              <w:rPr>
                <w:sz w:val="18"/>
              </w:rPr>
            </w:pPr>
            <w:r>
              <w:rPr>
                <w:w w:val="99"/>
                <w:sz w:val="18"/>
              </w:rPr>
              <w:t>%</w:t>
            </w:r>
          </w:p>
        </w:tc>
      </w:tr>
      <w:tr>
        <w:trPr>
          <w:trHeight w:val="268" w:hRule="exact"/>
        </w:trPr>
        <w:tc>
          <w:tcPr>
            <w:tcW w:w="1327" w:type="dxa"/>
            <w:tcBorders>
              <w:bottom w:val="nil"/>
              <w:right w:val="nil"/>
            </w:tcBorders>
            <w:shd w:val="clear" w:color="auto" w:fill="F1F1F1"/>
          </w:tcPr>
          <w:p>
            <w:pPr/>
          </w:p>
        </w:tc>
        <w:tc>
          <w:tcPr>
            <w:tcW w:w="2447" w:type="dxa"/>
            <w:tcBorders>
              <w:left w:val="nil"/>
              <w:bottom w:val="nil"/>
            </w:tcBorders>
            <w:shd w:val="clear" w:color="auto" w:fill="F1F1F1"/>
          </w:tcPr>
          <w:p>
            <w:pPr>
              <w:pStyle w:val="TableParagraph"/>
              <w:spacing w:before="1"/>
              <w:ind w:left="134" w:right="418"/>
              <w:rPr>
                <w:sz w:val="18"/>
              </w:rPr>
            </w:pPr>
            <w:r>
              <w:rPr>
                <w:sz w:val="18"/>
              </w:rPr>
              <w:t>Desconoce el tema</w:t>
            </w:r>
          </w:p>
        </w:tc>
        <w:tc>
          <w:tcPr>
            <w:tcW w:w="1080" w:type="dxa"/>
            <w:tcBorders>
              <w:bottom w:val="nil"/>
            </w:tcBorders>
          </w:tcPr>
          <w:p>
            <w:pPr>
              <w:pStyle w:val="TableParagraph"/>
              <w:spacing w:before="32"/>
              <w:ind w:right="3"/>
              <w:jc w:val="center"/>
              <w:rPr>
                <w:sz w:val="18"/>
              </w:rPr>
            </w:pPr>
            <w:r>
              <w:rPr>
                <w:w w:val="99"/>
                <w:sz w:val="18"/>
              </w:rPr>
              <w:t>4</w:t>
            </w:r>
          </w:p>
        </w:tc>
        <w:tc>
          <w:tcPr>
            <w:tcW w:w="1210" w:type="dxa"/>
            <w:tcBorders>
              <w:bottom w:val="nil"/>
            </w:tcBorders>
          </w:tcPr>
          <w:p>
            <w:pPr>
              <w:pStyle w:val="TableParagraph"/>
              <w:spacing w:before="32"/>
              <w:ind w:right="426"/>
              <w:jc w:val="right"/>
              <w:rPr>
                <w:sz w:val="18"/>
              </w:rPr>
            </w:pPr>
            <w:r>
              <w:rPr>
                <w:w w:val="95"/>
                <w:sz w:val="18"/>
              </w:rPr>
              <w:t>16.7</w:t>
            </w:r>
          </w:p>
        </w:tc>
        <w:tc>
          <w:tcPr>
            <w:tcW w:w="1081" w:type="dxa"/>
            <w:tcBorders>
              <w:bottom w:val="nil"/>
            </w:tcBorders>
          </w:tcPr>
          <w:p>
            <w:pPr>
              <w:pStyle w:val="TableParagraph"/>
              <w:spacing w:before="32"/>
              <w:ind w:left="70" w:right="73"/>
              <w:jc w:val="center"/>
              <w:rPr>
                <w:sz w:val="18"/>
              </w:rPr>
            </w:pPr>
            <w:r>
              <w:rPr>
                <w:sz w:val="18"/>
              </w:rPr>
              <w:t>11</w:t>
            </w:r>
          </w:p>
        </w:tc>
        <w:tc>
          <w:tcPr>
            <w:tcW w:w="1210" w:type="dxa"/>
            <w:tcBorders>
              <w:bottom w:val="nil"/>
            </w:tcBorders>
          </w:tcPr>
          <w:p>
            <w:pPr>
              <w:pStyle w:val="TableParagraph"/>
              <w:spacing w:before="32"/>
              <w:ind w:left="406" w:right="406"/>
              <w:jc w:val="center"/>
              <w:rPr>
                <w:sz w:val="18"/>
              </w:rPr>
            </w:pPr>
            <w:r>
              <w:rPr>
                <w:sz w:val="18"/>
              </w:rPr>
              <w:t>19</w:t>
            </w:r>
          </w:p>
        </w:tc>
      </w:tr>
      <w:tr>
        <w:trPr>
          <w:trHeight w:val="274" w:hRule="exact"/>
        </w:trPr>
        <w:tc>
          <w:tcPr>
            <w:tcW w:w="1327" w:type="dxa"/>
            <w:tcBorders>
              <w:top w:val="nil"/>
              <w:bottom w:val="nil"/>
              <w:right w:val="nil"/>
            </w:tcBorders>
            <w:shd w:val="clear" w:color="auto" w:fill="F1F1F1"/>
          </w:tcPr>
          <w:p>
            <w:pPr/>
          </w:p>
        </w:tc>
        <w:tc>
          <w:tcPr>
            <w:tcW w:w="2447" w:type="dxa"/>
            <w:tcBorders>
              <w:top w:val="nil"/>
              <w:left w:val="nil"/>
              <w:bottom w:val="nil"/>
            </w:tcBorders>
            <w:shd w:val="clear" w:color="auto" w:fill="F1F1F1"/>
          </w:tcPr>
          <w:p>
            <w:pPr>
              <w:pStyle w:val="TableParagraph"/>
              <w:spacing w:before="7"/>
              <w:ind w:left="134" w:right="418"/>
              <w:rPr>
                <w:sz w:val="18"/>
              </w:rPr>
            </w:pPr>
            <w:r>
              <w:rPr>
                <w:sz w:val="18"/>
              </w:rPr>
              <w:t>Relativo a las mujeres</w:t>
            </w:r>
          </w:p>
        </w:tc>
        <w:tc>
          <w:tcPr>
            <w:tcW w:w="1080" w:type="dxa"/>
            <w:tcBorders>
              <w:top w:val="nil"/>
              <w:bottom w:val="nil"/>
            </w:tcBorders>
          </w:tcPr>
          <w:p>
            <w:pPr>
              <w:pStyle w:val="TableParagraph"/>
              <w:spacing w:before="40"/>
              <w:ind w:right="3"/>
              <w:jc w:val="center"/>
              <w:rPr>
                <w:sz w:val="18"/>
              </w:rPr>
            </w:pPr>
            <w:r>
              <w:rPr>
                <w:w w:val="99"/>
                <w:sz w:val="18"/>
              </w:rPr>
              <w:t>2</w:t>
            </w:r>
          </w:p>
        </w:tc>
        <w:tc>
          <w:tcPr>
            <w:tcW w:w="1210" w:type="dxa"/>
            <w:tcBorders>
              <w:top w:val="nil"/>
              <w:bottom w:val="nil"/>
            </w:tcBorders>
          </w:tcPr>
          <w:p>
            <w:pPr>
              <w:pStyle w:val="TableParagraph"/>
              <w:spacing w:before="40"/>
              <w:ind w:right="476"/>
              <w:jc w:val="right"/>
              <w:rPr>
                <w:sz w:val="18"/>
              </w:rPr>
            </w:pPr>
            <w:r>
              <w:rPr>
                <w:w w:val="95"/>
                <w:sz w:val="18"/>
              </w:rPr>
              <w:t>8.3</w:t>
            </w:r>
          </w:p>
        </w:tc>
        <w:tc>
          <w:tcPr>
            <w:tcW w:w="1081" w:type="dxa"/>
            <w:tcBorders>
              <w:top w:val="nil"/>
              <w:bottom w:val="nil"/>
            </w:tcBorders>
          </w:tcPr>
          <w:p>
            <w:pPr>
              <w:pStyle w:val="TableParagraph"/>
              <w:spacing w:before="40"/>
              <w:ind w:right="4"/>
              <w:jc w:val="center"/>
              <w:rPr>
                <w:sz w:val="18"/>
              </w:rPr>
            </w:pPr>
            <w:r>
              <w:rPr>
                <w:w w:val="99"/>
                <w:sz w:val="18"/>
              </w:rPr>
              <w:t>1</w:t>
            </w:r>
          </w:p>
        </w:tc>
        <w:tc>
          <w:tcPr>
            <w:tcW w:w="1210" w:type="dxa"/>
            <w:tcBorders>
              <w:top w:val="nil"/>
              <w:bottom w:val="nil"/>
            </w:tcBorders>
          </w:tcPr>
          <w:p>
            <w:pPr>
              <w:pStyle w:val="TableParagraph"/>
              <w:spacing w:before="40"/>
              <w:ind w:right="476"/>
              <w:jc w:val="right"/>
              <w:rPr>
                <w:sz w:val="18"/>
              </w:rPr>
            </w:pPr>
            <w:r>
              <w:rPr>
                <w:w w:val="95"/>
                <w:sz w:val="18"/>
              </w:rPr>
              <w:t>1.7</w:t>
            </w:r>
          </w:p>
        </w:tc>
      </w:tr>
      <w:tr>
        <w:trPr>
          <w:trHeight w:val="475" w:hRule="exact"/>
        </w:trPr>
        <w:tc>
          <w:tcPr>
            <w:tcW w:w="1327" w:type="dxa"/>
            <w:tcBorders>
              <w:top w:val="nil"/>
              <w:bottom w:val="nil"/>
              <w:right w:val="nil"/>
            </w:tcBorders>
            <w:shd w:val="clear" w:color="auto" w:fill="F1F1F1"/>
          </w:tcPr>
          <w:p>
            <w:pPr/>
          </w:p>
        </w:tc>
        <w:tc>
          <w:tcPr>
            <w:tcW w:w="2447" w:type="dxa"/>
            <w:tcBorders>
              <w:top w:val="nil"/>
              <w:left w:val="nil"/>
              <w:bottom w:val="nil"/>
            </w:tcBorders>
            <w:shd w:val="clear" w:color="auto" w:fill="F1F1F1"/>
          </w:tcPr>
          <w:p>
            <w:pPr>
              <w:pStyle w:val="TableParagraph"/>
              <w:spacing w:before="7"/>
              <w:ind w:left="134" w:right="418"/>
              <w:rPr>
                <w:sz w:val="18"/>
              </w:rPr>
            </w:pPr>
            <w:r>
              <w:rPr>
                <w:sz w:val="18"/>
              </w:rPr>
              <w:t>Relativo a la igualdad o equidad</w:t>
            </w:r>
          </w:p>
        </w:tc>
        <w:tc>
          <w:tcPr>
            <w:tcW w:w="1080" w:type="dxa"/>
            <w:tcBorders>
              <w:top w:val="nil"/>
              <w:bottom w:val="nil"/>
            </w:tcBorders>
          </w:tcPr>
          <w:p>
            <w:pPr>
              <w:pStyle w:val="TableParagraph"/>
              <w:spacing w:before="156"/>
              <w:ind w:right="3"/>
              <w:jc w:val="center"/>
              <w:rPr>
                <w:sz w:val="18"/>
              </w:rPr>
            </w:pPr>
            <w:r>
              <w:rPr>
                <w:w w:val="99"/>
                <w:sz w:val="18"/>
              </w:rPr>
              <w:t>2</w:t>
            </w:r>
          </w:p>
        </w:tc>
        <w:tc>
          <w:tcPr>
            <w:tcW w:w="1210" w:type="dxa"/>
            <w:tcBorders>
              <w:top w:val="nil"/>
              <w:bottom w:val="nil"/>
            </w:tcBorders>
          </w:tcPr>
          <w:p>
            <w:pPr>
              <w:pStyle w:val="TableParagraph"/>
              <w:spacing w:before="156"/>
              <w:ind w:right="476"/>
              <w:jc w:val="right"/>
              <w:rPr>
                <w:sz w:val="18"/>
              </w:rPr>
            </w:pPr>
            <w:r>
              <w:rPr>
                <w:w w:val="95"/>
                <w:sz w:val="18"/>
              </w:rPr>
              <w:t>8.3</w:t>
            </w:r>
          </w:p>
        </w:tc>
        <w:tc>
          <w:tcPr>
            <w:tcW w:w="1081" w:type="dxa"/>
            <w:tcBorders>
              <w:top w:val="nil"/>
              <w:bottom w:val="nil"/>
            </w:tcBorders>
          </w:tcPr>
          <w:p>
            <w:pPr>
              <w:pStyle w:val="TableParagraph"/>
              <w:spacing w:before="156"/>
              <w:ind w:right="4"/>
              <w:jc w:val="center"/>
              <w:rPr>
                <w:sz w:val="18"/>
              </w:rPr>
            </w:pPr>
            <w:r>
              <w:rPr>
                <w:w w:val="99"/>
                <w:sz w:val="18"/>
              </w:rPr>
              <w:t>7</w:t>
            </w:r>
          </w:p>
        </w:tc>
        <w:tc>
          <w:tcPr>
            <w:tcW w:w="1210" w:type="dxa"/>
            <w:tcBorders>
              <w:top w:val="nil"/>
              <w:bottom w:val="nil"/>
            </w:tcBorders>
          </w:tcPr>
          <w:p>
            <w:pPr>
              <w:pStyle w:val="TableParagraph"/>
              <w:spacing w:before="156"/>
              <w:ind w:right="426"/>
              <w:jc w:val="right"/>
              <w:rPr>
                <w:sz w:val="18"/>
              </w:rPr>
            </w:pPr>
            <w:r>
              <w:rPr>
                <w:w w:val="95"/>
                <w:sz w:val="18"/>
              </w:rPr>
              <w:t>12.1</w:t>
            </w:r>
          </w:p>
        </w:tc>
      </w:tr>
      <w:tr>
        <w:trPr>
          <w:trHeight w:val="505" w:hRule="exact"/>
        </w:trPr>
        <w:tc>
          <w:tcPr>
            <w:tcW w:w="1327" w:type="dxa"/>
            <w:tcBorders>
              <w:top w:val="nil"/>
              <w:bottom w:val="nil"/>
              <w:right w:val="nil"/>
            </w:tcBorders>
            <w:shd w:val="clear" w:color="auto" w:fill="F1F1F1"/>
          </w:tcPr>
          <w:p>
            <w:pPr/>
          </w:p>
        </w:tc>
        <w:tc>
          <w:tcPr>
            <w:tcW w:w="2447" w:type="dxa"/>
            <w:tcBorders>
              <w:top w:val="nil"/>
              <w:left w:val="nil"/>
              <w:bottom w:val="nil"/>
            </w:tcBorders>
            <w:shd w:val="clear" w:color="auto" w:fill="F1F1F1"/>
          </w:tcPr>
          <w:p>
            <w:pPr>
              <w:pStyle w:val="TableParagraph"/>
              <w:spacing w:before="36"/>
              <w:ind w:left="134" w:right="128"/>
              <w:rPr>
                <w:sz w:val="18"/>
              </w:rPr>
            </w:pPr>
            <w:r>
              <w:rPr>
                <w:sz w:val="18"/>
              </w:rPr>
              <w:t>Relativo a la desigualdad o discriminación</w:t>
            </w:r>
          </w:p>
        </w:tc>
        <w:tc>
          <w:tcPr>
            <w:tcW w:w="1080" w:type="dxa"/>
            <w:tcBorders>
              <w:top w:val="nil"/>
              <w:bottom w:val="nil"/>
            </w:tcBorders>
          </w:tcPr>
          <w:p>
            <w:pPr>
              <w:pStyle w:val="TableParagraph"/>
              <w:spacing w:before="1"/>
              <w:rPr>
                <w:sz w:val="16"/>
              </w:rPr>
            </w:pPr>
          </w:p>
          <w:p>
            <w:pPr>
              <w:pStyle w:val="TableParagraph"/>
              <w:ind w:right="3"/>
              <w:jc w:val="center"/>
              <w:rPr>
                <w:sz w:val="18"/>
              </w:rPr>
            </w:pPr>
            <w:r>
              <w:rPr>
                <w:w w:val="99"/>
                <w:sz w:val="18"/>
              </w:rPr>
              <w:t>2</w:t>
            </w:r>
          </w:p>
        </w:tc>
        <w:tc>
          <w:tcPr>
            <w:tcW w:w="1210" w:type="dxa"/>
            <w:tcBorders>
              <w:top w:val="nil"/>
              <w:bottom w:val="nil"/>
            </w:tcBorders>
          </w:tcPr>
          <w:p>
            <w:pPr>
              <w:pStyle w:val="TableParagraph"/>
              <w:spacing w:before="1"/>
              <w:rPr>
                <w:sz w:val="16"/>
              </w:rPr>
            </w:pPr>
          </w:p>
          <w:p>
            <w:pPr>
              <w:pStyle w:val="TableParagraph"/>
              <w:ind w:right="476"/>
              <w:jc w:val="right"/>
              <w:rPr>
                <w:sz w:val="18"/>
              </w:rPr>
            </w:pPr>
            <w:r>
              <w:rPr>
                <w:w w:val="95"/>
                <w:sz w:val="18"/>
              </w:rPr>
              <w:t>8.3</w:t>
            </w:r>
          </w:p>
        </w:tc>
        <w:tc>
          <w:tcPr>
            <w:tcW w:w="1081" w:type="dxa"/>
            <w:tcBorders>
              <w:top w:val="nil"/>
              <w:bottom w:val="nil"/>
            </w:tcBorders>
          </w:tcPr>
          <w:p>
            <w:pPr>
              <w:pStyle w:val="TableParagraph"/>
              <w:spacing w:before="1"/>
              <w:rPr>
                <w:sz w:val="16"/>
              </w:rPr>
            </w:pPr>
          </w:p>
          <w:p>
            <w:pPr>
              <w:pStyle w:val="TableParagraph"/>
              <w:ind w:left="70" w:right="73"/>
              <w:jc w:val="center"/>
              <w:rPr>
                <w:sz w:val="18"/>
              </w:rPr>
            </w:pPr>
            <w:r>
              <w:rPr>
                <w:sz w:val="18"/>
              </w:rPr>
              <w:t>11</w:t>
            </w:r>
          </w:p>
        </w:tc>
        <w:tc>
          <w:tcPr>
            <w:tcW w:w="1210" w:type="dxa"/>
            <w:tcBorders>
              <w:top w:val="nil"/>
              <w:bottom w:val="nil"/>
            </w:tcBorders>
          </w:tcPr>
          <w:p>
            <w:pPr>
              <w:pStyle w:val="TableParagraph"/>
              <w:spacing w:before="1"/>
              <w:rPr>
                <w:sz w:val="16"/>
              </w:rPr>
            </w:pPr>
          </w:p>
          <w:p>
            <w:pPr>
              <w:pStyle w:val="TableParagraph"/>
              <w:ind w:left="406" w:right="406"/>
              <w:jc w:val="center"/>
              <w:rPr>
                <w:sz w:val="18"/>
              </w:rPr>
            </w:pPr>
            <w:r>
              <w:rPr>
                <w:sz w:val="18"/>
              </w:rPr>
              <w:t>19</w:t>
            </w:r>
          </w:p>
        </w:tc>
      </w:tr>
      <w:tr>
        <w:trPr>
          <w:trHeight w:val="504" w:hRule="exact"/>
        </w:trPr>
        <w:tc>
          <w:tcPr>
            <w:tcW w:w="1327" w:type="dxa"/>
            <w:tcBorders>
              <w:top w:val="nil"/>
              <w:bottom w:val="nil"/>
              <w:right w:val="nil"/>
            </w:tcBorders>
            <w:shd w:val="clear" w:color="auto" w:fill="F1F1F1"/>
          </w:tcPr>
          <w:p>
            <w:pPr/>
          </w:p>
        </w:tc>
        <w:tc>
          <w:tcPr>
            <w:tcW w:w="2447" w:type="dxa"/>
            <w:tcBorders>
              <w:top w:val="nil"/>
              <w:left w:val="nil"/>
              <w:bottom w:val="nil"/>
            </w:tcBorders>
            <w:shd w:val="clear" w:color="auto" w:fill="F1F1F1"/>
          </w:tcPr>
          <w:p>
            <w:pPr>
              <w:pStyle w:val="TableParagraph"/>
              <w:spacing w:before="36"/>
              <w:ind w:left="134" w:right="299"/>
              <w:rPr>
                <w:sz w:val="18"/>
              </w:rPr>
            </w:pPr>
            <w:r>
              <w:rPr>
                <w:sz w:val="18"/>
              </w:rPr>
              <w:t>Relativo a lo masculino y femenino</w:t>
            </w:r>
          </w:p>
        </w:tc>
        <w:tc>
          <w:tcPr>
            <w:tcW w:w="1080" w:type="dxa"/>
            <w:tcBorders>
              <w:top w:val="nil"/>
              <w:bottom w:val="nil"/>
            </w:tcBorders>
          </w:tcPr>
          <w:p>
            <w:pPr>
              <w:pStyle w:val="TableParagraph"/>
              <w:rPr>
                <w:sz w:val="16"/>
              </w:rPr>
            </w:pPr>
          </w:p>
          <w:p>
            <w:pPr>
              <w:pStyle w:val="TableParagraph"/>
              <w:ind w:right="3"/>
              <w:jc w:val="center"/>
              <w:rPr>
                <w:sz w:val="18"/>
              </w:rPr>
            </w:pPr>
            <w:r>
              <w:rPr>
                <w:w w:val="99"/>
                <w:sz w:val="18"/>
              </w:rPr>
              <w:t>1</w:t>
            </w:r>
          </w:p>
        </w:tc>
        <w:tc>
          <w:tcPr>
            <w:tcW w:w="1210" w:type="dxa"/>
            <w:tcBorders>
              <w:top w:val="nil"/>
              <w:bottom w:val="nil"/>
            </w:tcBorders>
          </w:tcPr>
          <w:p>
            <w:pPr>
              <w:pStyle w:val="TableParagraph"/>
              <w:rPr>
                <w:sz w:val="16"/>
              </w:rPr>
            </w:pPr>
          </w:p>
          <w:p>
            <w:pPr>
              <w:pStyle w:val="TableParagraph"/>
              <w:ind w:right="476"/>
              <w:jc w:val="right"/>
              <w:rPr>
                <w:sz w:val="18"/>
              </w:rPr>
            </w:pPr>
            <w:r>
              <w:rPr>
                <w:w w:val="95"/>
                <w:sz w:val="18"/>
              </w:rPr>
              <w:t>4.2</w:t>
            </w:r>
          </w:p>
        </w:tc>
        <w:tc>
          <w:tcPr>
            <w:tcW w:w="1081" w:type="dxa"/>
            <w:tcBorders>
              <w:top w:val="nil"/>
              <w:bottom w:val="nil"/>
            </w:tcBorders>
          </w:tcPr>
          <w:p>
            <w:pPr>
              <w:pStyle w:val="TableParagraph"/>
              <w:rPr>
                <w:sz w:val="16"/>
              </w:rPr>
            </w:pPr>
          </w:p>
          <w:p>
            <w:pPr>
              <w:pStyle w:val="TableParagraph"/>
              <w:ind w:right="4"/>
              <w:jc w:val="center"/>
              <w:rPr>
                <w:sz w:val="18"/>
              </w:rPr>
            </w:pPr>
            <w:r>
              <w:rPr>
                <w:w w:val="99"/>
                <w:sz w:val="18"/>
              </w:rPr>
              <w:t>6</w:t>
            </w:r>
          </w:p>
        </w:tc>
        <w:tc>
          <w:tcPr>
            <w:tcW w:w="1210" w:type="dxa"/>
            <w:tcBorders>
              <w:top w:val="nil"/>
              <w:bottom w:val="nil"/>
            </w:tcBorders>
          </w:tcPr>
          <w:p>
            <w:pPr>
              <w:pStyle w:val="TableParagraph"/>
              <w:rPr>
                <w:sz w:val="16"/>
              </w:rPr>
            </w:pPr>
          </w:p>
          <w:p>
            <w:pPr>
              <w:pStyle w:val="TableParagraph"/>
              <w:ind w:right="426"/>
              <w:jc w:val="right"/>
              <w:rPr>
                <w:sz w:val="18"/>
              </w:rPr>
            </w:pPr>
            <w:r>
              <w:rPr>
                <w:w w:val="95"/>
                <w:sz w:val="18"/>
              </w:rPr>
              <w:t>10.3</w:t>
            </w:r>
          </w:p>
        </w:tc>
      </w:tr>
      <w:tr>
        <w:trPr>
          <w:trHeight w:val="504" w:hRule="exact"/>
        </w:trPr>
        <w:tc>
          <w:tcPr>
            <w:tcW w:w="1327" w:type="dxa"/>
            <w:tcBorders>
              <w:top w:val="nil"/>
              <w:bottom w:val="nil"/>
              <w:right w:val="nil"/>
            </w:tcBorders>
            <w:shd w:val="clear" w:color="auto" w:fill="F1F1F1"/>
          </w:tcPr>
          <w:p>
            <w:pPr/>
          </w:p>
        </w:tc>
        <w:tc>
          <w:tcPr>
            <w:tcW w:w="2447" w:type="dxa"/>
            <w:tcBorders>
              <w:top w:val="nil"/>
              <w:left w:val="nil"/>
              <w:bottom w:val="nil"/>
            </w:tcBorders>
            <w:shd w:val="clear" w:color="auto" w:fill="F1F1F1"/>
          </w:tcPr>
          <w:p>
            <w:pPr>
              <w:pStyle w:val="TableParagraph"/>
              <w:spacing w:before="36"/>
              <w:ind w:left="134" w:right="499"/>
              <w:rPr>
                <w:sz w:val="18"/>
              </w:rPr>
            </w:pPr>
            <w:r>
              <w:rPr>
                <w:sz w:val="18"/>
              </w:rPr>
              <w:t>Relativo a la distinción mujer/hombre</w:t>
            </w:r>
          </w:p>
        </w:tc>
        <w:tc>
          <w:tcPr>
            <w:tcW w:w="1080" w:type="dxa"/>
            <w:tcBorders>
              <w:top w:val="nil"/>
              <w:bottom w:val="nil"/>
            </w:tcBorders>
          </w:tcPr>
          <w:p>
            <w:pPr>
              <w:pStyle w:val="TableParagraph"/>
              <w:rPr>
                <w:sz w:val="16"/>
              </w:rPr>
            </w:pPr>
          </w:p>
          <w:p>
            <w:pPr>
              <w:pStyle w:val="TableParagraph"/>
              <w:ind w:right="3"/>
              <w:jc w:val="center"/>
              <w:rPr>
                <w:sz w:val="18"/>
              </w:rPr>
            </w:pPr>
            <w:r>
              <w:rPr>
                <w:w w:val="99"/>
                <w:sz w:val="18"/>
              </w:rPr>
              <w:t>6</w:t>
            </w:r>
          </w:p>
        </w:tc>
        <w:tc>
          <w:tcPr>
            <w:tcW w:w="1210" w:type="dxa"/>
            <w:tcBorders>
              <w:top w:val="nil"/>
              <w:bottom w:val="nil"/>
            </w:tcBorders>
          </w:tcPr>
          <w:p>
            <w:pPr>
              <w:pStyle w:val="TableParagraph"/>
              <w:rPr>
                <w:sz w:val="16"/>
              </w:rPr>
            </w:pPr>
          </w:p>
          <w:p>
            <w:pPr>
              <w:pStyle w:val="TableParagraph"/>
              <w:ind w:right="503"/>
              <w:jc w:val="right"/>
              <w:rPr>
                <w:sz w:val="18"/>
              </w:rPr>
            </w:pPr>
            <w:r>
              <w:rPr>
                <w:sz w:val="18"/>
              </w:rPr>
              <w:t>25</w:t>
            </w:r>
          </w:p>
        </w:tc>
        <w:tc>
          <w:tcPr>
            <w:tcW w:w="1081" w:type="dxa"/>
            <w:tcBorders>
              <w:top w:val="nil"/>
              <w:bottom w:val="nil"/>
            </w:tcBorders>
          </w:tcPr>
          <w:p>
            <w:pPr>
              <w:pStyle w:val="TableParagraph"/>
              <w:rPr>
                <w:sz w:val="16"/>
              </w:rPr>
            </w:pPr>
          </w:p>
          <w:p>
            <w:pPr>
              <w:pStyle w:val="TableParagraph"/>
              <w:ind w:right="4"/>
              <w:jc w:val="center"/>
              <w:rPr>
                <w:sz w:val="18"/>
              </w:rPr>
            </w:pPr>
            <w:r>
              <w:rPr>
                <w:w w:val="99"/>
                <w:sz w:val="18"/>
              </w:rPr>
              <w:t>1</w:t>
            </w:r>
          </w:p>
        </w:tc>
        <w:tc>
          <w:tcPr>
            <w:tcW w:w="1210" w:type="dxa"/>
            <w:tcBorders>
              <w:top w:val="nil"/>
              <w:bottom w:val="nil"/>
            </w:tcBorders>
          </w:tcPr>
          <w:p>
            <w:pPr>
              <w:pStyle w:val="TableParagraph"/>
              <w:rPr>
                <w:sz w:val="16"/>
              </w:rPr>
            </w:pPr>
          </w:p>
          <w:p>
            <w:pPr>
              <w:pStyle w:val="TableParagraph"/>
              <w:ind w:right="476"/>
              <w:jc w:val="right"/>
              <w:rPr>
                <w:sz w:val="18"/>
              </w:rPr>
            </w:pPr>
            <w:r>
              <w:rPr>
                <w:w w:val="95"/>
                <w:sz w:val="18"/>
              </w:rPr>
              <w:t>1.7</w:t>
            </w:r>
          </w:p>
        </w:tc>
      </w:tr>
      <w:tr>
        <w:trPr>
          <w:trHeight w:val="504" w:hRule="exact"/>
        </w:trPr>
        <w:tc>
          <w:tcPr>
            <w:tcW w:w="1327" w:type="dxa"/>
            <w:tcBorders>
              <w:top w:val="nil"/>
              <w:bottom w:val="nil"/>
              <w:right w:val="nil"/>
            </w:tcBorders>
            <w:shd w:val="clear" w:color="auto" w:fill="F1F1F1"/>
          </w:tcPr>
          <w:p>
            <w:pPr/>
          </w:p>
        </w:tc>
        <w:tc>
          <w:tcPr>
            <w:tcW w:w="2447" w:type="dxa"/>
            <w:tcBorders>
              <w:top w:val="nil"/>
              <w:left w:val="nil"/>
              <w:bottom w:val="nil"/>
            </w:tcBorders>
            <w:shd w:val="clear" w:color="auto" w:fill="F1F1F1"/>
          </w:tcPr>
          <w:p>
            <w:pPr>
              <w:pStyle w:val="TableParagraph"/>
              <w:spacing w:before="36"/>
              <w:ind w:left="134" w:right="429"/>
              <w:rPr>
                <w:sz w:val="18"/>
              </w:rPr>
            </w:pPr>
            <w:r>
              <w:rPr>
                <w:sz w:val="18"/>
              </w:rPr>
              <w:t>Relativo a la diversidad sexual</w:t>
            </w:r>
          </w:p>
        </w:tc>
        <w:tc>
          <w:tcPr>
            <w:tcW w:w="1080" w:type="dxa"/>
            <w:tcBorders>
              <w:top w:val="nil"/>
              <w:bottom w:val="nil"/>
            </w:tcBorders>
          </w:tcPr>
          <w:p>
            <w:pPr>
              <w:pStyle w:val="TableParagraph"/>
              <w:rPr>
                <w:sz w:val="16"/>
              </w:rPr>
            </w:pPr>
          </w:p>
          <w:p>
            <w:pPr>
              <w:pStyle w:val="TableParagraph"/>
              <w:ind w:right="3"/>
              <w:jc w:val="center"/>
              <w:rPr>
                <w:sz w:val="18"/>
              </w:rPr>
            </w:pPr>
            <w:r>
              <w:rPr>
                <w:w w:val="99"/>
                <w:sz w:val="18"/>
              </w:rPr>
              <w:t>3</w:t>
            </w:r>
          </w:p>
        </w:tc>
        <w:tc>
          <w:tcPr>
            <w:tcW w:w="1210" w:type="dxa"/>
            <w:tcBorders>
              <w:top w:val="nil"/>
              <w:bottom w:val="nil"/>
            </w:tcBorders>
          </w:tcPr>
          <w:p>
            <w:pPr>
              <w:pStyle w:val="TableParagraph"/>
              <w:rPr>
                <w:sz w:val="16"/>
              </w:rPr>
            </w:pPr>
          </w:p>
          <w:p>
            <w:pPr>
              <w:pStyle w:val="TableParagraph"/>
              <w:ind w:right="426"/>
              <w:jc w:val="right"/>
              <w:rPr>
                <w:sz w:val="18"/>
              </w:rPr>
            </w:pPr>
            <w:r>
              <w:rPr>
                <w:w w:val="95"/>
                <w:sz w:val="18"/>
              </w:rPr>
              <w:t>12.5</w:t>
            </w:r>
          </w:p>
        </w:tc>
        <w:tc>
          <w:tcPr>
            <w:tcW w:w="1081" w:type="dxa"/>
            <w:tcBorders>
              <w:top w:val="nil"/>
              <w:bottom w:val="nil"/>
            </w:tcBorders>
          </w:tcPr>
          <w:p>
            <w:pPr>
              <w:pStyle w:val="TableParagraph"/>
              <w:rPr>
                <w:sz w:val="16"/>
              </w:rPr>
            </w:pPr>
          </w:p>
          <w:p>
            <w:pPr>
              <w:pStyle w:val="TableParagraph"/>
              <w:ind w:right="4"/>
              <w:jc w:val="center"/>
              <w:rPr>
                <w:sz w:val="18"/>
              </w:rPr>
            </w:pPr>
            <w:r>
              <w:rPr>
                <w:w w:val="99"/>
                <w:sz w:val="18"/>
              </w:rPr>
              <w:t>5</w:t>
            </w:r>
          </w:p>
        </w:tc>
        <w:tc>
          <w:tcPr>
            <w:tcW w:w="1210" w:type="dxa"/>
            <w:tcBorders>
              <w:top w:val="nil"/>
              <w:bottom w:val="nil"/>
            </w:tcBorders>
          </w:tcPr>
          <w:p>
            <w:pPr>
              <w:pStyle w:val="TableParagraph"/>
              <w:rPr>
                <w:sz w:val="16"/>
              </w:rPr>
            </w:pPr>
          </w:p>
          <w:p>
            <w:pPr>
              <w:pStyle w:val="TableParagraph"/>
              <w:ind w:right="476"/>
              <w:jc w:val="right"/>
              <w:rPr>
                <w:sz w:val="18"/>
              </w:rPr>
            </w:pPr>
            <w:r>
              <w:rPr>
                <w:w w:val="95"/>
                <w:sz w:val="18"/>
              </w:rPr>
              <w:t>8.6</w:t>
            </w:r>
          </w:p>
        </w:tc>
      </w:tr>
      <w:tr>
        <w:trPr>
          <w:trHeight w:val="313" w:hRule="exact"/>
        </w:trPr>
        <w:tc>
          <w:tcPr>
            <w:tcW w:w="1327" w:type="dxa"/>
            <w:tcBorders>
              <w:top w:val="nil"/>
              <w:right w:val="nil"/>
            </w:tcBorders>
            <w:shd w:val="clear" w:color="auto" w:fill="F1F1F1"/>
          </w:tcPr>
          <w:p>
            <w:pPr/>
          </w:p>
        </w:tc>
        <w:tc>
          <w:tcPr>
            <w:tcW w:w="2447" w:type="dxa"/>
            <w:tcBorders>
              <w:top w:val="nil"/>
              <w:left w:val="nil"/>
            </w:tcBorders>
            <w:shd w:val="clear" w:color="auto" w:fill="F1F1F1"/>
          </w:tcPr>
          <w:p>
            <w:pPr>
              <w:pStyle w:val="TableParagraph"/>
              <w:spacing w:before="36"/>
              <w:ind w:left="134" w:right="418"/>
              <w:rPr>
                <w:sz w:val="18"/>
              </w:rPr>
            </w:pPr>
            <w:r>
              <w:rPr>
                <w:sz w:val="18"/>
              </w:rPr>
              <w:t>Otros</w:t>
            </w:r>
          </w:p>
        </w:tc>
        <w:tc>
          <w:tcPr>
            <w:tcW w:w="1080" w:type="dxa"/>
            <w:tcBorders>
              <w:top w:val="nil"/>
            </w:tcBorders>
          </w:tcPr>
          <w:p>
            <w:pPr>
              <w:pStyle w:val="TableParagraph"/>
              <w:spacing w:before="69"/>
              <w:ind w:right="3"/>
              <w:jc w:val="center"/>
              <w:rPr>
                <w:sz w:val="18"/>
              </w:rPr>
            </w:pPr>
            <w:r>
              <w:rPr>
                <w:w w:val="99"/>
                <w:sz w:val="18"/>
              </w:rPr>
              <w:t>4</w:t>
            </w:r>
          </w:p>
        </w:tc>
        <w:tc>
          <w:tcPr>
            <w:tcW w:w="1210" w:type="dxa"/>
            <w:tcBorders>
              <w:top w:val="nil"/>
            </w:tcBorders>
          </w:tcPr>
          <w:p>
            <w:pPr>
              <w:pStyle w:val="TableParagraph"/>
              <w:spacing w:before="69"/>
              <w:ind w:right="426"/>
              <w:jc w:val="right"/>
              <w:rPr>
                <w:sz w:val="18"/>
              </w:rPr>
            </w:pPr>
            <w:r>
              <w:rPr>
                <w:w w:val="95"/>
                <w:sz w:val="18"/>
              </w:rPr>
              <w:t>16.7</w:t>
            </w:r>
          </w:p>
        </w:tc>
        <w:tc>
          <w:tcPr>
            <w:tcW w:w="1081" w:type="dxa"/>
            <w:tcBorders>
              <w:top w:val="nil"/>
            </w:tcBorders>
          </w:tcPr>
          <w:p>
            <w:pPr>
              <w:pStyle w:val="TableParagraph"/>
              <w:spacing w:before="69"/>
              <w:ind w:left="70" w:right="73"/>
              <w:jc w:val="center"/>
              <w:rPr>
                <w:sz w:val="18"/>
              </w:rPr>
            </w:pPr>
            <w:r>
              <w:rPr>
                <w:sz w:val="18"/>
              </w:rPr>
              <w:t>16</w:t>
            </w:r>
          </w:p>
        </w:tc>
        <w:tc>
          <w:tcPr>
            <w:tcW w:w="1210" w:type="dxa"/>
            <w:tcBorders>
              <w:top w:val="nil"/>
            </w:tcBorders>
          </w:tcPr>
          <w:p>
            <w:pPr>
              <w:pStyle w:val="TableParagraph"/>
              <w:spacing w:before="69"/>
              <w:ind w:right="426"/>
              <w:jc w:val="right"/>
              <w:rPr>
                <w:sz w:val="18"/>
              </w:rPr>
            </w:pPr>
            <w:r>
              <w:rPr>
                <w:w w:val="95"/>
                <w:sz w:val="18"/>
              </w:rPr>
              <w:t>27.6</w:t>
            </w:r>
          </w:p>
        </w:tc>
      </w:tr>
    </w:tbl>
    <w:p>
      <w:pPr>
        <w:pStyle w:val="BodyText"/>
        <w:spacing w:before="4"/>
        <w:rPr>
          <w:sz w:val="23"/>
        </w:rPr>
      </w:pPr>
    </w:p>
    <w:p>
      <w:pPr>
        <w:spacing w:before="74"/>
        <w:ind w:left="134" w:right="154" w:firstLine="0"/>
        <w:jc w:val="center"/>
        <w:rPr>
          <w:sz w:val="20"/>
        </w:rPr>
      </w:pPr>
      <w:r>
        <w:rPr>
          <w:sz w:val="20"/>
        </w:rPr>
        <w:t>(Miranda, 2014).</w:t>
      </w:r>
    </w:p>
    <w:p>
      <w:pPr>
        <w:pStyle w:val="BodyText"/>
        <w:rPr>
          <w:sz w:val="20"/>
        </w:rPr>
      </w:pPr>
    </w:p>
    <w:p>
      <w:pPr>
        <w:pStyle w:val="BodyText"/>
        <w:rPr>
          <w:sz w:val="20"/>
        </w:rPr>
      </w:pPr>
    </w:p>
    <w:p>
      <w:pPr>
        <w:pStyle w:val="BodyText"/>
        <w:rPr>
          <w:sz w:val="20"/>
        </w:rPr>
      </w:pPr>
    </w:p>
    <w:p>
      <w:pPr>
        <w:pStyle w:val="BodyText"/>
        <w:spacing w:before="115"/>
        <w:ind w:left="102" w:right="133"/>
      </w:pPr>
      <w:r>
        <w:rPr>
          <w:u w:val="single"/>
        </w:rPr>
        <w:t>Gráfica 6.1. </w:t>
      </w:r>
      <w:r>
        <w:rPr/>
        <w:t>Idea que tiene el estudiantado acerca de la Perspectiva de Género.</w:t>
      </w:r>
    </w:p>
    <w:p>
      <w:pPr>
        <w:pStyle w:val="BodyText"/>
        <w:spacing w:before="11"/>
        <w:rPr>
          <w:sz w:val="25"/>
        </w:rPr>
      </w:pPr>
      <w:r>
        <w:rPr/>
        <w:pict>
          <v:group style="position:absolute;margin-left:97.134003pt;margin-top:16.882042pt;width:417pt;height:236pt;mso-position-horizontal-relative:page;mso-position-vertical-relative:paragraph;z-index:2824;mso-wrap-distance-left:0;mso-wrap-distance-right:0" coordorigin="1943,338" coordsize="8340,4720">
            <v:line style="position:absolute" from="6934,3886" to="7118,3886" stroked="true" strokeweight=".72pt" strokecolor="#858585"/>
            <v:line style="position:absolute" from="6199,3886" to="6444,3886" stroked="true" strokeweight=".72pt" strokecolor="#858585"/>
            <v:line style="position:absolute" from="5222,3886" to="5467,3886" stroked="true" strokeweight=".72pt" strokecolor="#858585"/>
            <v:line style="position:absolute" from="4610,3886" to="4978,3886" stroked="true" strokeweight=".72pt" strokecolor="#858585"/>
            <v:line style="position:absolute" from="5222,3224" to="5467,3224" stroked="true" strokeweight=".72pt" strokecolor="#858585"/>
            <v:line style="position:absolute" from="4610,3224" to="4978,3224" stroked="true" strokeweight=".72pt" strokecolor="#858585"/>
            <v:line style="position:absolute" from="5222,2559" to="5712,2559" stroked="true" strokeweight=".72pt" strokecolor="#858585"/>
            <v:line style="position:absolute" from="4610,2559" to="4978,2559" stroked="true" strokeweight=".72pt" strokecolor="#858585"/>
            <v:rect style="position:absolute;left:4978;top:2029;width:245;height:2522" filled="true" fillcolor="#4571a7" stroked="false">
              <v:fill type="solid"/>
            </v:rect>
            <v:rect style="position:absolute;left:5222;top:4325;width:245;height:226" filled="true" fillcolor="#aa4643" stroked="false">
              <v:fill type="solid"/>
            </v:rect>
            <v:rect style="position:absolute;left:5467;top:2943;width:245;height:1608" filled="true" fillcolor="#88a44e" stroked="false">
              <v:fill type="solid"/>
            </v:rect>
            <v:line style="position:absolute" from="5954,2559" to="6689,2559" stroked="true" strokeweight=".72pt" strokecolor="#858585"/>
            <v:rect style="position:absolute;left:5712;top:2029;width:242;height:2522" filled="true" fillcolor="#70578f" stroked="false">
              <v:fill type="solid"/>
            </v:rect>
            <v:line style="position:absolute" from="6199,3224" to="6689,3224" stroked="true" strokeweight=".72pt" strokecolor="#858585"/>
            <v:rect style="position:absolute;left:5954;top:3183;width:245;height:1368" filled="true" fillcolor="#4197ae" stroked="false">
              <v:fill type="solid"/>
            </v:rect>
            <v:line style="position:absolute" from="3631,3886" to="3876,3886" stroked="true" strokeweight=".72pt" strokecolor="#858585"/>
            <v:line style="position:absolute" from="2470,3886" to="2652,3886" stroked="true" strokeweight=".72pt" strokecolor="#858585"/>
            <v:line style="position:absolute" from="2897,3224" to="3876,3224" stroked="true" strokeweight=".72pt" strokecolor="#858585"/>
            <v:line style="position:absolute" from="2470,3224" to="2652,3224" stroked="true" strokeweight=".72pt" strokecolor="#858585"/>
            <v:line style="position:absolute" from="2897,2559" to="3876,2559" stroked="true" strokeweight=".72pt" strokecolor="#858585"/>
            <v:line style="position:absolute" from="2470,2559" to="2652,2559" stroked="true" strokeweight=".72pt" strokecolor="#858585"/>
            <v:rect style="position:absolute;left:2652;top:2333;width:245;height:2218" filled="true" fillcolor="#4571a7" stroked="false">
              <v:fill type="solid"/>
            </v:rect>
            <v:rect style="position:absolute;left:2897;top:3449;width:245;height:1102" filled="true" fillcolor="#aa4643" stroked="false">
              <v:fill type="solid"/>
            </v:rect>
            <v:rect style="position:absolute;left:3142;top:3449;width:245;height:1102" filled="true" fillcolor="#88a44e" stroked="false">
              <v:fill type="solid"/>
            </v:rect>
            <v:rect style="position:absolute;left:3386;top:3449;width:245;height:1102" filled="true" fillcolor="#70578f" stroked="false">
              <v:fill type="solid"/>
            </v:rect>
            <v:rect style="position:absolute;left:3631;top:3992;width:245;height:559" filled="true" fillcolor="#4197ae" stroked="false">
              <v:fill type="solid"/>
            </v:rect>
            <v:line style="position:absolute" from="4121,2559" to="4366,2559" stroked="true" strokeweight=".72pt" strokecolor="#858585"/>
            <v:line style="position:absolute" from="4121,1897" to="6689,1897" stroked="true" strokeweight=".72pt" strokecolor="#858585"/>
            <v:line style="position:absolute" from="2470,1897" to="3876,1897" stroked="true" strokeweight=".72pt" strokecolor="#858585"/>
            <v:line style="position:absolute" from="2470,1232" to="6689,1232" stroked="true" strokeweight=".72pt" strokecolor="#858585"/>
            <v:rect style="position:absolute;left:3876;top:1232;width:245;height:3319" filled="true" fillcolor="#db843c" stroked="false">
              <v:fill type="solid"/>
            </v:rect>
            <v:rect style="position:absolute;left:6199;top:4325;width:245;height:226" filled="true" fillcolor="#db843c" stroked="false">
              <v:fill type="solid"/>
            </v:rect>
            <v:rect style="position:absolute;left:4121;top:2890;width:245;height:1661" filled="true" fillcolor="#92a9cf" stroked="false">
              <v:fill type="solid"/>
            </v:rect>
            <v:rect style="position:absolute;left:6444;top:3409;width:245;height:1142" filled="true" fillcolor="#92a9cf" stroked="false">
              <v:fill type="solid"/>
            </v:rect>
            <v:rect style="position:absolute;left:4366;top:2333;width:245;height:2218" filled="true" fillcolor="#d19292" stroked="false">
              <v:fill type="solid"/>
            </v:rect>
            <v:line style="position:absolute" from="6934,3224" to="7118,3224" stroked="true" strokeweight=".72pt" strokecolor="#858585"/>
            <v:line style="position:absolute" from="6934,2559" to="7118,2559" stroked="true" strokeweight=".72pt" strokecolor="#858585"/>
            <v:line style="position:absolute" from="6934,1897" to="7118,1897" stroked="true" strokeweight=".72pt" strokecolor="#858585"/>
            <v:line style="position:absolute" from="6934,1232" to="7118,1232" stroked="true" strokeweight=".72pt" strokecolor="#858585"/>
            <v:rect style="position:absolute;left:6689;top:886;width:245;height:3665" filled="true" fillcolor="#d19292" stroked="false">
              <v:fill type="solid"/>
            </v:rect>
            <v:line style="position:absolute" from="2470,569" to="7118,569" stroked="true" strokeweight=".72pt" strokecolor="#858585"/>
            <v:line style="position:absolute" from="2470,4551" to="2470,569" stroked="true" strokeweight=".72pt" strokecolor="#858585"/>
            <v:line style="position:absolute" from="2407,4551" to="2470,4551" stroked="true" strokeweight=".72pt" strokecolor="#858585"/>
            <v:line style="position:absolute" from="2407,3886" to="2470,3886" stroked="true" strokeweight=".72pt" strokecolor="#858585"/>
            <v:line style="position:absolute" from="2407,3224" to="2470,3224" stroked="true" strokeweight=".72pt" strokecolor="#858585"/>
            <v:line style="position:absolute" from="2407,2559" to="2470,2559" stroked="true" strokeweight=".72pt" strokecolor="#858585"/>
            <v:line style="position:absolute" from="2407,1897" to="2470,1897" stroked="true" strokeweight=".72pt" strokecolor="#858585"/>
            <v:line style="position:absolute" from="2407,1232" to="2470,1232" stroked="true" strokeweight=".72pt" strokecolor="#858585"/>
            <v:line style="position:absolute" from="2407,569" to="2470,569" stroked="true" strokeweight=".72pt" strokecolor="#858585"/>
            <v:line style="position:absolute" from="2470,4551" to="7118,4551" stroked="true" strokeweight=".72pt" strokecolor="#858585"/>
            <v:line style="position:absolute" from="2470,4551" to="2470,4613" stroked="true" strokeweight=".72pt" strokecolor="#858585"/>
            <v:line style="position:absolute" from="4793,4551" to="4793,4613" stroked="true" strokeweight=".72pt" strokecolor="#858585"/>
            <v:line style="position:absolute" from="7118,4551" to="7118,4613" stroked="true" strokeweight=".72pt" strokecolor="#858585"/>
            <v:rect style="position:absolute;left:7889;top:697;width:110;height:110" filled="true" fillcolor="#4571a7" stroked="false">
              <v:fill type="solid"/>
            </v:rect>
            <v:rect style="position:absolute;left:7889;top:1220;width:110;height:108" filled="true" fillcolor="#aa4643" stroked="false">
              <v:fill type="solid"/>
            </v:rect>
            <v:rect style="position:absolute;left:7889;top:1741;width:110;height:110" filled="true" fillcolor="#88a44e" stroked="false">
              <v:fill type="solid"/>
            </v:rect>
            <v:rect style="position:absolute;left:7889;top:2261;width:110;height:110" filled="true" fillcolor="#70578f" stroked="false">
              <v:fill type="solid"/>
            </v:rect>
            <v:rect style="position:absolute;left:7889;top:2785;width:110;height:108" filled="true" fillcolor="#4197ae" stroked="false">
              <v:fill type="solid"/>
            </v:rect>
            <v:rect style="position:absolute;left:7889;top:3305;width:110;height:110" filled="true" fillcolor="#db843c" stroked="false">
              <v:fill type="solid"/>
            </v:rect>
            <v:rect style="position:absolute;left:7889;top:3826;width:110;height:110" filled="true" fillcolor="#92a9cf" stroked="false">
              <v:fill type="solid"/>
            </v:rect>
            <v:rect style="position:absolute;left:7889;top:4349;width:110;height:108" filled="true" fillcolor="#d19292" stroked="false">
              <v:fill type="solid"/>
            </v:rect>
            <v:rect style="position:absolute;left:1950;top:345;width:8325;height:4705" filled="false" stroked="true" strokeweight=".75pt" strokecolor="#858585"/>
            <v:shape style="position:absolute;left:2081;top:47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8047;top:660;width:1592;height:200" type="#_x0000_t202" filled="false" stroked="false">
              <v:textbox inset="0,0,0,0">
                <w:txbxContent>
                  <w:p>
                    <w:pPr>
                      <w:spacing w:line="199" w:lineRule="exact" w:before="0"/>
                      <w:ind w:left="0" w:right="-15" w:firstLine="0"/>
                      <w:jc w:val="left"/>
                      <w:rPr>
                        <w:rFonts w:ascii="Calibri"/>
                        <w:sz w:val="20"/>
                      </w:rPr>
                    </w:pPr>
                    <w:r>
                      <w:rPr>
                        <w:rFonts w:ascii="Calibri"/>
                        <w:sz w:val="20"/>
                      </w:rPr>
                      <w:t>Desconoce el</w:t>
                    </w:r>
                    <w:r>
                      <w:rPr>
                        <w:rFonts w:ascii="Calibri"/>
                        <w:spacing w:val="-7"/>
                        <w:sz w:val="20"/>
                      </w:rPr>
                      <w:t> </w:t>
                    </w:r>
                    <w:r>
                      <w:rPr>
                        <w:rFonts w:ascii="Calibri"/>
                        <w:sz w:val="20"/>
                      </w:rPr>
                      <w:t>tema.</w:t>
                    </w:r>
                  </w:p>
                </w:txbxContent>
              </v:textbox>
              <w10:wrap type="none"/>
            </v:shape>
            <v:shape style="position:absolute;left:2081;top:114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8047;top:1181;width:1818;height:200" type="#_x0000_t202" filled="false" stroked="false">
              <v:textbox inset="0,0,0,0">
                <w:txbxContent>
                  <w:p>
                    <w:pPr>
                      <w:spacing w:line="199" w:lineRule="exact" w:before="0"/>
                      <w:ind w:left="0" w:right="-12" w:firstLine="0"/>
                      <w:jc w:val="left"/>
                      <w:rPr>
                        <w:rFonts w:ascii="Calibri"/>
                        <w:sz w:val="20"/>
                      </w:rPr>
                    </w:pPr>
                    <w:r>
                      <w:rPr>
                        <w:rFonts w:ascii="Calibri"/>
                        <w:sz w:val="20"/>
                      </w:rPr>
                      <w:t>Relativo a las</w:t>
                    </w:r>
                    <w:r>
                      <w:rPr>
                        <w:rFonts w:ascii="Calibri"/>
                        <w:spacing w:val="-11"/>
                        <w:sz w:val="20"/>
                      </w:rPr>
                      <w:t> </w:t>
                    </w:r>
                    <w:r>
                      <w:rPr>
                        <w:rFonts w:ascii="Calibri"/>
                        <w:sz w:val="20"/>
                      </w:rPr>
                      <w:t>mujeres.</w:t>
                    </w:r>
                  </w:p>
                </w:txbxContent>
              </v:textbox>
              <w10:wrap type="none"/>
            </v:shape>
            <v:shape style="position:absolute;left:2081;top:1803;width:203;height:2855" type="#_x0000_t202" filled="false" stroked="false">
              <v:textbox inset="0,0,0,0">
                <w:txbxContent>
                  <w:p>
                    <w:pPr>
                      <w:spacing w:line="203" w:lineRule="exact" w:before="0"/>
                      <w:ind w:left="0" w:right="0" w:firstLine="0"/>
                      <w:jc w:val="center"/>
                      <w:rPr>
                        <w:rFonts w:ascii="Calibri"/>
                        <w:sz w:val="20"/>
                      </w:rPr>
                    </w:pPr>
                    <w:r>
                      <w:rPr>
                        <w:rFonts w:ascii="Calibri"/>
                        <w:sz w:val="20"/>
                      </w:rPr>
                      <w:t>20</w:t>
                    </w:r>
                  </w:p>
                  <w:p>
                    <w:pPr>
                      <w:spacing w:line="240" w:lineRule="auto" w:before="0"/>
                      <w:rPr>
                        <w:sz w:val="20"/>
                      </w:rPr>
                    </w:pPr>
                  </w:p>
                  <w:p>
                    <w:pPr>
                      <w:spacing w:line="240" w:lineRule="auto" w:before="5"/>
                      <w:rPr>
                        <w:sz w:val="16"/>
                      </w:rPr>
                    </w:pPr>
                  </w:p>
                  <w:p>
                    <w:pPr>
                      <w:spacing w:before="0"/>
                      <w:ind w:left="-1" w:right="0" w:firstLine="0"/>
                      <w:jc w:val="center"/>
                      <w:rPr>
                        <w:rFonts w:ascii="Calibri"/>
                        <w:sz w:val="20"/>
                      </w:rPr>
                    </w:pPr>
                    <w:r>
                      <w:rPr>
                        <w:rFonts w:ascii="Calibri"/>
                        <w:spacing w:val="-1"/>
                        <w:sz w:val="20"/>
                      </w:rPr>
                      <w:t>15</w:t>
                    </w:r>
                  </w:p>
                  <w:p>
                    <w:pPr>
                      <w:spacing w:line="240" w:lineRule="auto" w:before="0"/>
                      <w:rPr>
                        <w:sz w:val="20"/>
                      </w:rPr>
                    </w:pPr>
                  </w:p>
                  <w:p>
                    <w:pPr>
                      <w:spacing w:line="240" w:lineRule="auto" w:before="5"/>
                      <w:rPr>
                        <w:sz w:val="16"/>
                      </w:rPr>
                    </w:pPr>
                  </w:p>
                  <w:p>
                    <w:pPr>
                      <w:spacing w:before="0"/>
                      <w:ind w:left="-1" w:right="0" w:firstLine="0"/>
                      <w:jc w:val="center"/>
                      <w:rPr>
                        <w:rFonts w:ascii="Calibri"/>
                        <w:sz w:val="20"/>
                      </w:rPr>
                    </w:pPr>
                    <w:r>
                      <w:rPr>
                        <w:rFonts w:ascii="Calibri"/>
                        <w:spacing w:val="-1"/>
                        <w:sz w:val="20"/>
                      </w:rPr>
                      <w:t>10</w:t>
                    </w:r>
                  </w:p>
                  <w:p>
                    <w:pPr>
                      <w:spacing w:line="240" w:lineRule="auto" w:before="0"/>
                      <w:rPr>
                        <w:sz w:val="20"/>
                      </w:rPr>
                    </w:pPr>
                  </w:p>
                  <w:p>
                    <w:pPr>
                      <w:spacing w:line="240" w:lineRule="auto" w:before="5"/>
                      <w:rPr>
                        <w:sz w:val="16"/>
                      </w:rPr>
                    </w:pPr>
                  </w:p>
                  <w:p>
                    <w:pPr>
                      <w:spacing w:before="0"/>
                      <w:ind w:left="101" w:right="0" w:firstLine="0"/>
                      <w:jc w:val="center"/>
                      <w:rPr>
                        <w:rFonts w:ascii="Calibri"/>
                        <w:sz w:val="20"/>
                      </w:rPr>
                    </w:pPr>
                    <w:r>
                      <w:rPr>
                        <w:rFonts w:ascii="Calibri"/>
                        <w:w w:val="99"/>
                        <w:sz w:val="20"/>
                      </w:rPr>
                      <w:t>5</w:t>
                    </w:r>
                  </w:p>
                  <w:p>
                    <w:pPr>
                      <w:spacing w:line="240" w:lineRule="auto" w:before="0"/>
                      <w:rPr>
                        <w:sz w:val="20"/>
                      </w:rPr>
                    </w:pPr>
                  </w:p>
                  <w:p>
                    <w:pPr>
                      <w:spacing w:line="240" w:lineRule="auto" w:before="5"/>
                      <w:rPr>
                        <w:sz w:val="16"/>
                      </w:rPr>
                    </w:pPr>
                  </w:p>
                  <w:p>
                    <w:pPr>
                      <w:spacing w:line="240" w:lineRule="exact" w:before="0"/>
                      <w:ind w:left="101" w:right="0" w:firstLine="0"/>
                      <w:jc w:val="center"/>
                      <w:rPr>
                        <w:rFonts w:ascii="Calibri"/>
                        <w:sz w:val="20"/>
                      </w:rPr>
                    </w:pPr>
                    <w:r>
                      <w:rPr>
                        <w:rFonts w:ascii="Calibri"/>
                        <w:w w:val="99"/>
                        <w:sz w:val="20"/>
                      </w:rPr>
                      <w:t>0</w:t>
                    </w:r>
                  </w:p>
                </w:txbxContent>
              </v:textbox>
              <w10:wrap type="none"/>
            </v:shape>
            <v:shape style="position:absolute;left:8047;top:1703;width:2041;height:2808" type="#_x0000_t202" filled="false" stroked="false">
              <v:textbox inset="0,0,0,0">
                <w:txbxContent>
                  <w:p>
                    <w:pPr>
                      <w:spacing w:line="203" w:lineRule="exact" w:before="0"/>
                      <w:ind w:left="0" w:right="-11" w:firstLine="0"/>
                      <w:jc w:val="left"/>
                      <w:rPr>
                        <w:rFonts w:ascii="Calibri"/>
                        <w:sz w:val="20"/>
                      </w:rPr>
                    </w:pPr>
                    <w:r>
                      <w:rPr>
                        <w:rFonts w:ascii="Calibri"/>
                        <w:sz w:val="20"/>
                      </w:rPr>
                      <w:t>Relativo a la igualdad</w:t>
                    </w:r>
                    <w:r>
                      <w:rPr>
                        <w:rFonts w:ascii="Calibri"/>
                        <w:spacing w:val="-11"/>
                        <w:sz w:val="20"/>
                      </w:rPr>
                      <w:t> </w:t>
                    </w:r>
                    <w:r>
                      <w:rPr>
                        <w:rFonts w:ascii="Calibri"/>
                        <w:sz w:val="20"/>
                      </w:rPr>
                      <w:t>y/o</w:t>
                    </w:r>
                  </w:p>
                  <w:p>
                    <w:pPr>
                      <w:spacing w:before="0"/>
                      <w:ind w:left="0" w:right="-11" w:firstLine="0"/>
                      <w:jc w:val="left"/>
                      <w:rPr>
                        <w:rFonts w:ascii="Calibri"/>
                        <w:sz w:val="20"/>
                      </w:rPr>
                    </w:pPr>
                    <w:r>
                      <w:rPr>
                        <w:rFonts w:ascii="Calibri"/>
                        <w:sz w:val="20"/>
                      </w:rPr>
                      <w:t>equidad.</w:t>
                    </w:r>
                  </w:p>
                  <w:p>
                    <w:pPr>
                      <w:spacing w:before="33"/>
                      <w:ind w:left="0" w:right="13" w:firstLine="0"/>
                      <w:jc w:val="left"/>
                      <w:rPr>
                        <w:rFonts w:ascii="Calibri" w:hAnsi="Calibri"/>
                        <w:sz w:val="20"/>
                      </w:rPr>
                    </w:pPr>
                    <w:r>
                      <w:rPr>
                        <w:rFonts w:ascii="Calibri" w:hAnsi="Calibri"/>
                        <w:sz w:val="20"/>
                      </w:rPr>
                      <w:t>Relativo a la desigualdad o discriminación.</w:t>
                    </w:r>
                  </w:p>
                  <w:p>
                    <w:pPr>
                      <w:spacing w:before="33"/>
                      <w:ind w:left="0" w:right="18" w:firstLine="0"/>
                      <w:jc w:val="left"/>
                      <w:rPr>
                        <w:rFonts w:ascii="Calibri"/>
                        <w:sz w:val="20"/>
                      </w:rPr>
                    </w:pPr>
                    <w:r>
                      <w:rPr>
                        <w:rFonts w:ascii="Calibri"/>
                        <w:sz w:val="20"/>
                      </w:rPr>
                      <w:t>Relativo a lo masculino y femenino.</w:t>
                    </w:r>
                  </w:p>
                  <w:p>
                    <w:pPr>
                      <w:spacing w:before="32"/>
                      <w:ind w:left="0" w:right="201" w:firstLine="0"/>
                      <w:jc w:val="left"/>
                      <w:rPr>
                        <w:rFonts w:ascii="Calibri" w:hAnsi="Calibri"/>
                        <w:sz w:val="20"/>
                      </w:rPr>
                    </w:pPr>
                    <w:r>
                      <w:rPr>
                        <w:rFonts w:ascii="Calibri" w:hAnsi="Calibri"/>
                        <w:sz w:val="20"/>
                      </w:rPr>
                      <w:t>Relativo a la distinción mujer/hombre.</w:t>
                    </w:r>
                  </w:p>
                  <w:p>
                    <w:pPr>
                      <w:spacing w:before="32"/>
                      <w:ind w:left="0" w:right="-11" w:firstLine="0"/>
                      <w:jc w:val="left"/>
                      <w:rPr>
                        <w:rFonts w:ascii="Calibri"/>
                        <w:sz w:val="20"/>
                      </w:rPr>
                    </w:pPr>
                    <w:r>
                      <w:rPr>
                        <w:rFonts w:ascii="Calibri"/>
                        <w:sz w:val="20"/>
                      </w:rPr>
                      <w:t>Relativo a la diversidad sexual.</w:t>
                    </w:r>
                  </w:p>
                  <w:p>
                    <w:pPr>
                      <w:spacing w:line="240" w:lineRule="exact" w:before="33"/>
                      <w:ind w:left="0" w:right="-11" w:firstLine="0"/>
                      <w:jc w:val="left"/>
                      <w:rPr>
                        <w:rFonts w:ascii="Calibri"/>
                        <w:sz w:val="20"/>
                      </w:rPr>
                    </w:pPr>
                    <w:r>
                      <w:rPr>
                        <w:rFonts w:ascii="Calibri"/>
                        <w:sz w:val="20"/>
                      </w:rPr>
                      <w:t>Otros.</w:t>
                    </w:r>
                  </w:p>
                </w:txbxContent>
              </v:textbox>
              <w10:wrap type="none"/>
            </v:shape>
            <v:shape style="position:absolute;left:3260;top:4718;width:3032;height:200" type="#_x0000_t202" filled="false" stroked="false">
              <v:textbox inset="0,0,0,0">
                <w:txbxContent>
                  <w:p>
                    <w:pPr>
                      <w:tabs>
                        <w:tab w:pos="2360" w:val="left" w:leader="none"/>
                      </w:tabs>
                      <w:spacing w:line="200" w:lineRule="exact" w:before="0"/>
                      <w:ind w:left="0" w:right="0" w:firstLine="0"/>
                      <w:jc w:val="left"/>
                      <w:rPr>
                        <w:rFonts w:ascii="Calibri"/>
                        <w:sz w:val="20"/>
                      </w:rPr>
                    </w:pPr>
                    <w:r>
                      <w:rPr>
                        <w:rFonts w:ascii="Calibri"/>
                        <w:sz w:val="20"/>
                      </w:rPr>
                      <w:t>Hombres</w:t>
                      <w:tab/>
                      <w:t>Mujeres</w:t>
                    </w:r>
                  </w:p>
                </w:txbxContent>
              </v:textbox>
              <w10:wrap type="none"/>
            </v:shape>
            <w10:wrap type="topAndBottom"/>
          </v:group>
        </w:pict>
      </w:r>
    </w:p>
    <w:p>
      <w:pPr>
        <w:pStyle w:val="BodyText"/>
        <w:spacing w:before="9"/>
        <w:rPr>
          <w:sz w:val="10"/>
        </w:rPr>
      </w:pPr>
    </w:p>
    <w:p>
      <w:pPr>
        <w:spacing w:before="74"/>
        <w:ind w:left="134" w:right="154" w:firstLine="0"/>
        <w:jc w:val="center"/>
        <w:rPr>
          <w:sz w:val="20"/>
        </w:rPr>
      </w:pPr>
      <w:r>
        <w:rPr>
          <w:sz w:val="20"/>
        </w:rPr>
        <w:t>(Miranda, 2014).</w:t>
      </w:r>
    </w:p>
    <w:p>
      <w:pPr>
        <w:spacing w:after="0"/>
        <w:jc w:val="center"/>
        <w:rPr>
          <w:sz w:val="20"/>
        </w:rPr>
        <w:sectPr>
          <w:pgSz w:w="12240" w:h="15840"/>
          <w:pgMar w:header="0" w:footer="1032" w:top="1360" w:bottom="1220" w:left="1600" w:right="1580"/>
        </w:sectPr>
      </w:pPr>
    </w:p>
    <w:p>
      <w:pPr>
        <w:pStyle w:val="BodyText"/>
        <w:spacing w:line="360" w:lineRule="auto" w:before="57"/>
        <w:ind w:left="102" w:right="117"/>
        <w:jc w:val="both"/>
      </w:pPr>
      <w:r>
        <w:rPr/>
        <w:t>La mayoría de las y los estudiantes (24.3%, de los cuales 4 fueron hombres y 16 mujeres) mencionaron que el término “perspectiva de género” hace mención a su opinión sobre el género y lo cual fue incluido en la categoría “Otros” la cual fue la más frecuente en esta ocasión.</w:t>
      </w:r>
    </w:p>
    <w:p>
      <w:pPr>
        <w:pStyle w:val="BodyText"/>
        <w:spacing w:line="360" w:lineRule="auto" w:before="204"/>
        <w:ind w:left="102" w:right="118"/>
        <w:jc w:val="both"/>
      </w:pPr>
      <w:r>
        <w:rPr/>
        <w:t>Por otra parte, 25% de los hombres mencionaron tener ideas acerca de lo relativo a la distinción hombre/mujer al escuchar este término y el 19% de las mujeres desconocen sobre este tema.</w:t>
      </w:r>
    </w:p>
    <w:p>
      <w:pPr>
        <w:pStyle w:val="BodyText"/>
        <w:spacing w:line="360" w:lineRule="auto" w:before="205"/>
        <w:ind w:left="102" w:right="121"/>
        <w:jc w:val="both"/>
      </w:pPr>
      <w:r>
        <w:rPr/>
        <w:t>Los datos anteriores evidencian la confusión y el nulo conocimiento que existe con respecto del término “Perspectiva de Género” y sus aportaciones y aplicaciones, por parte del estudiantado, pues, como puede observarse, un 35.7% (16.7% de hombres y 19% de mujeres) ignoran completamente sus planteamientos, mientras que un 44.3% (16.7% de hombres y 27.6% de mujeres) asocian el término con aspectos netamente ajenos a lo que realmente estipula.</w:t>
      </w:r>
    </w:p>
    <w:p>
      <w:pPr>
        <w:pStyle w:val="BodyText"/>
        <w:spacing w:line="360" w:lineRule="auto" w:before="204"/>
        <w:ind w:left="102" w:right="120"/>
        <w:jc w:val="both"/>
      </w:pPr>
      <w:r>
        <w:rPr/>
        <w:t>No obstante, también fue posible caer en cuenta de la relación que el estudiantado hace entre el concepto de Perspectiva de Género y la igualdad y/o la equidad  entre hombres y mujeres con un 20.4% (8.3% de hombres y 12.1% de</w:t>
      </w:r>
      <w:r>
        <w:rPr>
          <w:spacing w:val="-27"/>
        </w:rPr>
        <w:t> </w:t>
      </w:r>
      <w:r>
        <w:rPr/>
        <w:t>mujeres).</w:t>
      </w:r>
    </w:p>
    <w:p>
      <w:pPr>
        <w:pStyle w:val="BodyText"/>
        <w:spacing w:line="360" w:lineRule="auto" w:before="204"/>
        <w:ind w:left="102" w:right="117"/>
        <w:jc w:val="both"/>
      </w:pPr>
      <w:r>
        <w:rPr/>
        <w:t>En este respecto, es menester recordar lo planteado por Estela Serret (2008) en lo que refiere la a Perspectiva de Género como mecanismo fortalecedor de la visibilización de las mujeres, sus logros y aportaciones dentro de la vida en sociedad.</w:t>
      </w:r>
    </w:p>
    <w:p>
      <w:pPr>
        <w:pStyle w:val="BodyText"/>
        <w:spacing w:line="360" w:lineRule="auto" w:before="204"/>
        <w:ind w:left="102" w:right="126"/>
        <w:jc w:val="both"/>
      </w:pPr>
      <w:r>
        <w:rPr/>
        <w:t>Desde este punto de vista, y, contrariando las opiniones de la mayoría de las y los estudiantes, la Perspectiva de Género exhorta a contribuir con un enfoque de equidad en la distribución de las actividades públicas y privadas que daría pie a una igualdad de oportunidades, así como a un reconocimiento individual de las mujeres.</w:t>
      </w:r>
    </w:p>
    <w:p>
      <w:pPr>
        <w:spacing w:after="0" w:line="360" w:lineRule="auto"/>
        <w:jc w:val="both"/>
        <w:sectPr>
          <w:pgSz w:w="12240" w:h="15840"/>
          <w:pgMar w:header="0" w:footer="1032" w:top="1360" w:bottom="1220" w:left="1600" w:right="1580"/>
        </w:sectPr>
      </w:pPr>
    </w:p>
    <w:p>
      <w:pPr>
        <w:spacing w:before="57"/>
        <w:ind w:left="422" w:right="0" w:firstLine="0"/>
        <w:jc w:val="left"/>
        <w:rPr>
          <w:sz w:val="22"/>
        </w:rPr>
      </w:pPr>
      <w:r>
        <w:rPr>
          <w:b/>
          <w:sz w:val="24"/>
        </w:rPr>
        <w:t>Pregunta 7. </w:t>
      </w:r>
      <w:r>
        <w:rPr>
          <w:sz w:val="22"/>
        </w:rPr>
        <w:t>(Ver Anexo 1)</w:t>
      </w:r>
    </w:p>
    <w:p>
      <w:pPr>
        <w:pStyle w:val="BodyText"/>
        <w:spacing w:before="4"/>
        <w:rPr>
          <w:sz w:val="29"/>
        </w:rPr>
      </w:pPr>
    </w:p>
    <w:p>
      <w:pPr>
        <w:pStyle w:val="BodyText"/>
        <w:spacing w:line="360" w:lineRule="auto" w:before="1"/>
        <w:ind w:left="422"/>
      </w:pPr>
      <w:r>
        <w:rPr>
          <w:u w:val="single"/>
        </w:rPr>
        <w:t>Tabla 7.1. </w:t>
      </w:r>
      <w:r>
        <w:rPr/>
        <w:t>Problemas sociales a los cuales el estudiantado considera que la Perspectiva de Género puede aportar una solución.</w:t>
      </w:r>
    </w:p>
    <w:p>
      <w:pPr>
        <w:pStyle w:val="BodyText"/>
        <w:spacing w:before="10"/>
        <w:rPr>
          <w:sz w:val="17"/>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35"/>
        <w:gridCol w:w="709"/>
        <w:gridCol w:w="850"/>
        <w:gridCol w:w="566"/>
        <w:gridCol w:w="710"/>
        <w:gridCol w:w="708"/>
        <w:gridCol w:w="567"/>
        <w:gridCol w:w="710"/>
        <w:gridCol w:w="708"/>
      </w:tblGrid>
      <w:tr>
        <w:trPr>
          <w:trHeight w:val="217" w:hRule="exact"/>
        </w:trPr>
        <w:tc>
          <w:tcPr>
            <w:tcW w:w="3935" w:type="dxa"/>
            <w:vMerge w:val="restart"/>
            <w:shd w:val="clear" w:color="auto" w:fill="F1F1F1"/>
          </w:tcPr>
          <w:p>
            <w:pPr/>
          </w:p>
        </w:tc>
        <w:tc>
          <w:tcPr>
            <w:tcW w:w="5529" w:type="dxa"/>
            <w:gridSpan w:val="8"/>
            <w:shd w:val="clear" w:color="auto" w:fill="F1F1F1"/>
          </w:tcPr>
          <w:p>
            <w:pPr>
              <w:pStyle w:val="TableParagraph"/>
              <w:spacing w:line="206" w:lineRule="exact"/>
              <w:ind w:left="2531" w:right="2536"/>
              <w:jc w:val="center"/>
              <w:rPr>
                <w:sz w:val="18"/>
              </w:rPr>
            </w:pPr>
            <w:r>
              <w:rPr>
                <w:sz w:val="18"/>
              </w:rPr>
              <w:t>Sexo</w:t>
            </w:r>
          </w:p>
        </w:tc>
      </w:tr>
      <w:tr>
        <w:trPr>
          <w:trHeight w:val="217" w:hRule="exact"/>
        </w:trPr>
        <w:tc>
          <w:tcPr>
            <w:tcW w:w="3935" w:type="dxa"/>
            <w:vMerge/>
            <w:shd w:val="clear" w:color="auto" w:fill="F1F1F1"/>
          </w:tcPr>
          <w:p>
            <w:pPr/>
          </w:p>
        </w:tc>
        <w:tc>
          <w:tcPr>
            <w:tcW w:w="2836" w:type="dxa"/>
            <w:gridSpan w:val="4"/>
            <w:shd w:val="clear" w:color="auto" w:fill="F1F1F1"/>
          </w:tcPr>
          <w:p>
            <w:pPr>
              <w:pStyle w:val="TableParagraph"/>
              <w:ind w:left="1026" w:right="1029"/>
              <w:jc w:val="center"/>
              <w:rPr>
                <w:sz w:val="18"/>
              </w:rPr>
            </w:pPr>
            <w:r>
              <w:rPr>
                <w:sz w:val="18"/>
              </w:rPr>
              <w:t>Hombres</w:t>
            </w:r>
          </w:p>
        </w:tc>
        <w:tc>
          <w:tcPr>
            <w:tcW w:w="2693" w:type="dxa"/>
            <w:gridSpan w:val="4"/>
            <w:shd w:val="clear" w:color="auto" w:fill="F1F1F1"/>
          </w:tcPr>
          <w:p>
            <w:pPr>
              <w:pStyle w:val="TableParagraph"/>
              <w:ind w:left="999" w:right="1000"/>
              <w:jc w:val="center"/>
              <w:rPr>
                <w:sz w:val="18"/>
              </w:rPr>
            </w:pPr>
            <w:r>
              <w:rPr>
                <w:sz w:val="18"/>
              </w:rPr>
              <w:t>Mujeres</w:t>
            </w:r>
          </w:p>
        </w:tc>
      </w:tr>
      <w:tr>
        <w:trPr>
          <w:trHeight w:val="216" w:hRule="exact"/>
        </w:trPr>
        <w:tc>
          <w:tcPr>
            <w:tcW w:w="3935" w:type="dxa"/>
            <w:vMerge/>
            <w:shd w:val="clear" w:color="auto" w:fill="F1F1F1"/>
          </w:tcPr>
          <w:p>
            <w:pPr/>
          </w:p>
        </w:tc>
        <w:tc>
          <w:tcPr>
            <w:tcW w:w="709" w:type="dxa"/>
            <w:shd w:val="clear" w:color="auto" w:fill="F1F1F1"/>
          </w:tcPr>
          <w:p>
            <w:pPr>
              <w:pStyle w:val="TableParagraph"/>
              <w:spacing w:line="206" w:lineRule="exact"/>
              <w:ind w:left="217"/>
              <w:rPr>
                <w:sz w:val="18"/>
              </w:rPr>
            </w:pPr>
            <w:r>
              <w:rPr>
                <w:sz w:val="18"/>
              </w:rPr>
              <w:t>#Si</w:t>
            </w:r>
          </w:p>
        </w:tc>
        <w:tc>
          <w:tcPr>
            <w:tcW w:w="850" w:type="dxa"/>
            <w:shd w:val="clear" w:color="auto" w:fill="F1F1F1"/>
          </w:tcPr>
          <w:p>
            <w:pPr>
              <w:pStyle w:val="TableParagraph"/>
              <w:spacing w:line="206" w:lineRule="exact"/>
              <w:ind w:left="259"/>
              <w:rPr>
                <w:sz w:val="18"/>
              </w:rPr>
            </w:pPr>
            <w:r>
              <w:rPr>
                <w:sz w:val="18"/>
              </w:rPr>
              <w:t>%Si</w:t>
            </w:r>
          </w:p>
        </w:tc>
        <w:tc>
          <w:tcPr>
            <w:tcW w:w="566" w:type="dxa"/>
            <w:shd w:val="clear" w:color="auto" w:fill="F1F1F1"/>
          </w:tcPr>
          <w:p>
            <w:pPr>
              <w:pStyle w:val="TableParagraph"/>
              <w:spacing w:line="206" w:lineRule="exact"/>
              <w:ind w:left="112"/>
              <w:rPr>
                <w:sz w:val="18"/>
              </w:rPr>
            </w:pPr>
            <w:r>
              <w:rPr>
                <w:sz w:val="18"/>
              </w:rPr>
              <w:t>#No</w:t>
            </w:r>
          </w:p>
        </w:tc>
        <w:tc>
          <w:tcPr>
            <w:tcW w:w="710" w:type="dxa"/>
            <w:shd w:val="clear" w:color="auto" w:fill="F1F1F1"/>
          </w:tcPr>
          <w:p>
            <w:pPr>
              <w:pStyle w:val="TableParagraph"/>
              <w:spacing w:line="206" w:lineRule="exact"/>
              <w:ind w:left="153"/>
              <w:rPr>
                <w:sz w:val="18"/>
              </w:rPr>
            </w:pPr>
            <w:r>
              <w:rPr>
                <w:sz w:val="18"/>
              </w:rPr>
              <w:t>%No</w:t>
            </w:r>
          </w:p>
        </w:tc>
        <w:tc>
          <w:tcPr>
            <w:tcW w:w="708" w:type="dxa"/>
            <w:shd w:val="clear" w:color="auto" w:fill="F1F1F1"/>
          </w:tcPr>
          <w:p>
            <w:pPr>
              <w:pStyle w:val="TableParagraph"/>
              <w:spacing w:line="206" w:lineRule="exact"/>
              <w:ind w:left="218"/>
              <w:rPr>
                <w:sz w:val="18"/>
              </w:rPr>
            </w:pPr>
            <w:r>
              <w:rPr>
                <w:sz w:val="18"/>
              </w:rPr>
              <w:t>#Si</w:t>
            </w:r>
          </w:p>
        </w:tc>
        <w:tc>
          <w:tcPr>
            <w:tcW w:w="567" w:type="dxa"/>
            <w:shd w:val="clear" w:color="auto" w:fill="F1F1F1"/>
          </w:tcPr>
          <w:p>
            <w:pPr>
              <w:pStyle w:val="TableParagraph"/>
              <w:spacing w:line="206" w:lineRule="exact"/>
              <w:ind w:left="118"/>
              <w:rPr>
                <w:sz w:val="18"/>
              </w:rPr>
            </w:pPr>
            <w:r>
              <w:rPr>
                <w:sz w:val="18"/>
              </w:rPr>
              <w:t>%Si</w:t>
            </w:r>
          </w:p>
        </w:tc>
        <w:tc>
          <w:tcPr>
            <w:tcW w:w="710" w:type="dxa"/>
            <w:shd w:val="clear" w:color="auto" w:fill="F1F1F1"/>
          </w:tcPr>
          <w:p>
            <w:pPr>
              <w:pStyle w:val="TableParagraph"/>
              <w:spacing w:line="206" w:lineRule="exact"/>
              <w:ind w:left="182"/>
              <w:rPr>
                <w:sz w:val="18"/>
              </w:rPr>
            </w:pPr>
            <w:r>
              <w:rPr>
                <w:sz w:val="18"/>
              </w:rPr>
              <w:t>#No</w:t>
            </w:r>
          </w:p>
        </w:tc>
        <w:tc>
          <w:tcPr>
            <w:tcW w:w="708" w:type="dxa"/>
            <w:shd w:val="clear" w:color="auto" w:fill="F1F1F1"/>
          </w:tcPr>
          <w:p>
            <w:pPr>
              <w:pStyle w:val="TableParagraph"/>
              <w:spacing w:line="206" w:lineRule="exact"/>
              <w:ind w:left="151"/>
              <w:rPr>
                <w:sz w:val="18"/>
              </w:rPr>
            </w:pPr>
            <w:r>
              <w:rPr>
                <w:sz w:val="18"/>
              </w:rPr>
              <w:t>%No</w:t>
            </w:r>
          </w:p>
        </w:tc>
      </w:tr>
      <w:tr>
        <w:trPr>
          <w:trHeight w:val="2288" w:hRule="exact"/>
        </w:trPr>
        <w:tc>
          <w:tcPr>
            <w:tcW w:w="3935" w:type="dxa"/>
            <w:shd w:val="clear" w:color="auto" w:fill="F1F1F1"/>
          </w:tcPr>
          <w:p>
            <w:pPr>
              <w:pStyle w:val="TableParagraph"/>
              <w:rPr>
                <w:sz w:val="18"/>
              </w:rPr>
            </w:pPr>
          </w:p>
          <w:p>
            <w:pPr>
              <w:pStyle w:val="TableParagraph"/>
              <w:spacing w:before="1"/>
              <w:ind w:left="952" w:right="572"/>
              <w:rPr>
                <w:sz w:val="18"/>
              </w:rPr>
            </w:pPr>
            <w:r>
              <w:rPr>
                <w:sz w:val="18"/>
              </w:rPr>
              <w:t>La inequidad entre hombres y mujeres</w:t>
            </w:r>
          </w:p>
          <w:p>
            <w:pPr>
              <w:pStyle w:val="TableParagraph"/>
              <w:ind w:left="952" w:right="221"/>
              <w:rPr>
                <w:sz w:val="18"/>
              </w:rPr>
            </w:pPr>
            <w:r>
              <w:rPr>
                <w:sz w:val="18"/>
              </w:rPr>
              <w:t>La dependencia económica de las mujeres</w:t>
            </w:r>
          </w:p>
          <w:p>
            <w:pPr>
              <w:pStyle w:val="TableParagraph"/>
              <w:spacing w:before="2"/>
              <w:ind w:left="952" w:right="552"/>
              <w:rPr>
                <w:sz w:val="18"/>
              </w:rPr>
            </w:pPr>
            <w:r>
              <w:rPr>
                <w:sz w:val="18"/>
              </w:rPr>
              <w:t>La violencia hacia las mujeres El feminicidio</w:t>
            </w:r>
          </w:p>
          <w:p>
            <w:pPr>
              <w:pStyle w:val="TableParagraph"/>
              <w:ind w:left="952" w:right="222"/>
              <w:rPr>
                <w:sz w:val="18"/>
              </w:rPr>
            </w:pPr>
            <w:r>
              <w:rPr>
                <w:sz w:val="18"/>
              </w:rPr>
              <w:t>Diseño de contenidos publicitarios discriminatorios</w:t>
            </w:r>
          </w:p>
          <w:p>
            <w:pPr>
              <w:pStyle w:val="TableParagraph"/>
              <w:spacing w:before="2"/>
              <w:ind w:left="952" w:right="562"/>
              <w:rPr>
                <w:sz w:val="18"/>
              </w:rPr>
            </w:pPr>
            <w:r>
              <w:rPr>
                <w:sz w:val="18"/>
              </w:rPr>
              <w:t>La invisibilidad de las mujeres Todas las anteriores</w:t>
            </w:r>
          </w:p>
        </w:tc>
        <w:tc>
          <w:tcPr>
            <w:tcW w:w="709" w:type="dxa"/>
          </w:tcPr>
          <w:p>
            <w:pPr>
              <w:pStyle w:val="TableParagraph"/>
              <w:rPr>
                <w:sz w:val="18"/>
              </w:rPr>
            </w:pPr>
          </w:p>
          <w:p>
            <w:pPr>
              <w:pStyle w:val="TableParagraph"/>
              <w:spacing w:before="1"/>
              <w:ind w:right="4"/>
              <w:jc w:val="center"/>
              <w:rPr>
                <w:sz w:val="18"/>
              </w:rPr>
            </w:pPr>
            <w:r>
              <w:rPr>
                <w:w w:val="99"/>
                <w:sz w:val="18"/>
              </w:rPr>
              <w:t>6</w:t>
            </w:r>
          </w:p>
          <w:p>
            <w:pPr>
              <w:pStyle w:val="TableParagraph"/>
              <w:spacing w:before="10"/>
              <w:rPr>
                <w:sz w:val="17"/>
              </w:rPr>
            </w:pPr>
          </w:p>
          <w:p>
            <w:pPr>
              <w:pStyle w:val="TableParagraph"/>
              <w:ind w:right="4"/>
              <w:jc w:val="center"/>
              <w:rPr>
                <w:sz w:val="18"/>
              </w:rPr>
            </w:pPr>
            <w:r>
              <w:rPr>
                <w:w w:val="99"/>
                <w:sz w:val="18"/>
              </w:rPr>
              <w:t>2</w:t>
            </w:r>
          </w:p>
          <w:p>
            <w:pPr>
              <w:pStyle w:val="TableParagraph"/>
              <w:spacing w:before="1"/>
              <w:rPr>
                <w:sz w:val="18"/>
              </w:rPr>
            </w:pPr>
          </w:p>
          <w:p>
            <w:pPr>
              <w:pStyle w:val="TableParagraph"/>
              <w:spacing w:line="207" w:lineRule="exact" w:before="1"/>
              <w:ind w:right="4"/>
              <w:jc w:val="center"/>
              <w:rPr>
                <w:sz w:val="18"/>
              </w:rPr>
            </w:pPr>
            <w:r>
              <w:rPr>
                <w:w w:val="99"/>
                <w:sz w:val="18"/>
              </w:rPr>
              <w:t>4</w:t>
            </w:r>
          </w:p>
          <w:p>
            <w:pPr>
              <w:pStyle w:val="TableParagraph"/>
              <w:spacing w:line="206" w:lineRule="exact"/>
              <w:ind w:right="4"/>
              <w:jc w:val="center"/>
              <w:rPr>
                <w:sz w:val="18"/>
              </w:rPr>
            </w:pPr>
            <w:r>
              <w:rPr>
                <w:w w:val="99"/>
                <w:sz w:val="18"/>
              </w:rPr>
              <w:t>3</w:t>
            </w:r>
          </w:p>
          <w:p>
            <w:pPr>
              <w:pStyle w:val="TableParagraph"/>
              <w:spacing w:line="207" w:lineRule="exact"/>
              <w:ind w:right="4"/>
              <w:jc w:val="center"/>
              <w:rPr>
                <w:sz w:val="18"/>
              </w:rPr>
            </w:pPr>
            <w:r>
              <w:rPr>
                <w:w w:val="99"/>
                <w:sz w:val="18"/>
              </w:rPr>
              <w:t>4</w:t>
            </w:r>
          </w:p>
          <w:p>
            <w:pPr>
              <w:pStyle w:val="TableParagraph"/>
              <w:spacing w:before="1"/>
              <w:rPr>
                <w:sz w:val="18"/>
              </w:rPr>
            </w:pPr>
          </w:p>
          <w:p>
            <w:pPr>
              <w:pStyle w:val="TableParagraph"/>
              <w:spacing w:line="207" w:lineRule="exact"/>
              <w:ind w:right="4"/>
              <w:jc w:val="center"/>
              <w:rPr>
                <w:sz w:val="18"/>
              </w:rPr>
            </w:pPr>
            <w:r>
              <w:rPr>
                <w:w w:val="99"/>
                <w:sz w:val="18"/>
              </w:rPr>
              <w:t>4</w:t>
            </w:r>
          </w:p>
          <w:p>
            <w:pPr>
              <w:pStyle w:val="TableParagraph"/>
              <w:spacing w:line="207" w:lineRule="exact"/>
              <w:ind w:left="229" w:right="230"/>
              <w:jc w:val="center"/>
              <w:rPr>
                <w:sz w:val="18"/>
              </w:rPr>
            </w:pPr>
            <w:r>
              <w:rPr>
                <w:sz w:val="18"/>
              </w:rPr>
              <w:t>10</w:t>
            </w:r>
          </w:p>
        </w:tc>
        <w:tc>
          <w:tcPr>
            <w:tcW w:w="850" w:type="dxa"/>
          </w:tcPr>
          <w:p>
            <w:pPr>
              <w:pStyle w:val="TableParagraph"/>
              <w:rPr>
                <w:sz w:val="18"/>
              </w:rPr>
            </w:pPr>
          </w:p>
          <w:p>
            <w:pPr>
              <w:pStyle w:val="TableParagraph"/>
              <w:spacing w:before="1"/>
              <w:ind w:left="224" w:right="224"/>
              <w:jc w:val="center"/>
              <w:rPr>
                <w:sz w:val="18"/>
              </w:rPr>
            </w:pPr>
            <w:r>
              <w:rPr>
                <w:sz w:val="18"/>
              </w:rPr>
              <w:t>25</w:t>
            </w:r>
          </w:p>
          <w:p>
            <w:pPr>
              <w:pStyle w:val="TableParagraph"/>
              <w:spacing w:before="10"/>
              <w:rPr>
                <w:sz w:val="17"/>
              </w:rPr>
            </w:pPr>
          </w:p>
          <w:p>
            <w:pPr>
              <w:pStyle w:val="TableParagraph"/>
              <w:ind w:left="224" w:right="226"/>
              <w:jc w:val="center"/>
              <w:rPr>
                <w:sz w:val="18"/>
              </w:rPr>
            </w:pPr>
            <w:r>
              <w:rPr>
                <w:sz w:val="18"/>
              </w:rPr>
              <w:t>8.4</w:t>
            </w:r>
          </w:p>
          <w:p>
            <w:pPr>
              <w:pStyle w:val="TableParagraph"/>
              <w:spacing w:before="1"/>
              <w:rPr>
                <w:sz w:val="18"/>
              </w:rPr>
            </w:pPr>
          </w:p>
          <w:p>
            <w:pPr>
              <w:pStyle w:val="TableParagraph"/>
              <w:spacing w:line="207" w:lineRule="exact" w:before="1"/>
              <w:ind w:left="224" w:right="226"/>
              <w:jc w:val="center"/>
              <w:rPr>
                <w:sz w:val="18"/>
              </w:rPr>
            </w:pPr>
            <w:r>
              <w:rPr>
                <w:sz w:val="18"/>
              </w:rPr>
              <w:t>16.6</w:t>
            </w:r>
          </w:p>
          <w:p>
            <w:pPr>
              <w:pStyle w:val="TableParagraph"/>
              <w:spacing w:line="206" w:lineRule="exact"/>
              <w:ind w:left="224" w:right="226"/>
              <w:jc w:val="center"/>
              <w:rPr>
                <w:sz w:val="18"/>
              </w:rPr>
            </w:pPr>
            <w:r>
              <w:rPr>
                <w:sz w:val="18"/>
              </w:rPr>
              <w:t>12.5</w:t>
            </w:r>
          </w:p>
          <w:p>
            <w:pPr>
              <w:pStyle w:val="TableParagraph"/>
              <w:spacing w:line="207" w:lineRule="exact"/>
              <w:ind w:left="224" w:right="226"/>
              <w:jc w:val="center"/>
              <w:rPr>
                <w:sz w:val="18"/>
              </w:rPr>
            </w:pPr>
            <w:r>
              <w:rPr>
                <w:sz w:val="18"/>
              </w:rPr>
              <w:t>16.6</w:t>
            </w:r>
          </w:p>
          <w:p>
            <w:pPr>
              <w:pStyle w:val="TableParagraph"/>
              <w:spacing w:before="1"/>
              <w:rPr>
                <w:sz w:val="18"/>
              </w:rPr>
            </w:pPr>
          </w:p>
          <w:p>
            <w:pPr>
              <w:pStyle w:val="TableParagraph"/>
              <w:spacing w:line="207" w:lineRule="exact"/>
              <w:ind w:left="224" w:right="226"/>
              <w:jc w:val="center"/>
              <w:rPr>
                <w:sz w:val="18"/>
              </w:rPr>
            </w:pPr>
            <w:r>
              <w:rPr>
                <w:sz w:val="18"/>
              </w:rPr>
              <w:t>16.6</w:t>
            </w:r>
          </w:p>
          <w:p>
            <w:pPr>
              <w:pStyle w:val="TableParagraph"/>
              <w:spacing w:line="207" w:lineRule="exact"/>
              <w:ind w:left="224" w:right="226"/>
              <w:jc w:val="center"/>
              <w:rPr>
                <w:sz w:val="18"/>
              </w:rPr>
            </w:pPr>
            <w:r>
              <w:rPr>
                <w:sz w:val="18"/>
              </w:rPr>
              <w:t>41.6</w:t>
            </w:r>
          </w:p>
        </w:tc>
        <w:tc>
          <w:tcPr>
            <w:tcW w:w="566" w:type="dxa"/>
          </w:tcPr>
          <w:p>
            <w:pPr>
              <w:pStyle w:val="TableParagraph"/>
              <w:rPr>
                <w:sz w:val="18"/>
              </w:rPr>
            </w:pPr>
          </w:p>
          <w:p>
            <w:pPr>
              <w:pStyle w:val="TableParagraph"/>
              <w:spacing w:before="1"/>
              <w:ind w:left="177"/>
              <w:rPr>
                <w:sz w:val="18"/>
              </w:rPr>
            </w:pPr>
            <w:r>
              <w:rPr>
                <w:sz w:val="18"/>
              </w:rPr>
              <w:t>18</w:t>
            </w:r>
          </w:p>
          <w:p>
            <w:pPr>
              <w:pStyle w:val="TableParagraph"/>
              <w:spacing w:before="10"/>
              <w:rPr>
                <w:sz w:val="17"/>
              </w:rPr>
            </w:pPr>
          </w:p>
          <w:p>
            <w:pPr>
              <w:pStyle w:val="TableParagraph"/>
              <w:ind w:left="177"/>
              <w:rPr>
                <w:sz w:val="18"/>
              </w:rPr>
            </w:pPr>
            <w:r>
              <w:rPr>
                <w:sz w:val="18"/>
              </w:rPr>
              <w:t>22</w:t>
            </w:r>
          </w:p>
          <w:p>
            <w:pPr>
              <w:pStyle w:val="TableParagraph"/>
              <w:spacing w:before="1"/>
              <w:rPr>
                <w:sz w:val="18"/>
              </w:rPr>
            </w:pPr>
          </w:p>
          <w:p>
            <w:pPr>
              <w:pStyle w:val="TableParagraph"/>
              <w:spacing w:line="207" w:lineRule="exact" w:before="1"/>
              <w:ind w:left="177"/>
              <w:rPr>
                <w:sz w:val="18"/>
              </w:rPr>
            </w:pPr>
            <w:r>
              <w:rPr>
                <w:sz w:val="18"/>
              </w:rPr>
              <w:t>20</w:t>
            </w:r>
          </w:p>
          <w:p>
            <w:pPr>
              <w:pStyle w:val="TableParagraph"/>
              <w:spacing w:line="206" w:lineRule="exact"/>
              <w:ind w:left="177"/>
              <w:rPr>
                <w:sz w:val="18"/>
              </w:rPr>
            </w:pPr>
            <w:r>
              <w:rPr>
                <w:sz w:val="18"/>
              </w:rPr>
              <w:t>21</w:t>
            </w:r>
          </w:p>
          <w:p>
            <w:pPr>
              <w:pStyle w:val="TableParagraph"/>
              <w:spacing w:line="207" w:lineRule="exact"/>
              <w:ind w:left="177"/>
              <w:rPr>
                <w:sz w:val="18"/>
              </w:rPr>
            </w:pPr>
            <w:r>
              <w:rPr>
                <w:sz w:val="18"/>
              </w:rPr>
              <w:t>20</w:t>
            </w:r>
          </w:p>
          <w:p>
            <w:pPr>
              <w:pStyle w:val="TableParagraph"/>
              <w:spacing w:before="1"/>
              <w:rPr>
                <w:sz w:val="18"/>
              </w:rPr>
            </w:pPr>
          </w:p>
          <w:p>
            <w:pPr>
              <w:pStyle w:val="TableParagraph"/>
              <w:spacing w:line="207" w:lineRule="exact"/>
              <w:ind w:left="177"/>
              <w:rPr>
                <w:sz w:val="18"/>
              </w:rPr>
            </w:pPr>
            <w:r>
              <w:rPr>
                <w:sz w:val="18"/>
              </w:rPr>
              <w:t>20</w:t>
            </w:r>
          </w:p>
          <w:p>
            <w:pPr>
              <w:pStyle w:val="TableParagraph"/>
              <w:spacing w:line="207" w:lineRule="exact"/>
              <w:ind w:left="177"/>
              <w:rPr>
                <w:sz w:val="18"/>
              </w:rPr>
            </w:pPr>
            <w:r>
              <w:rPr>
                <w:sz w:val="18"/>
              </w:rPr>
              <w:t>14</w:t>
            </w:r>
          </w:p>
        </w:tc>
        <w:tc>
          <w:tcPr>
            <w:tcW w:w="710" w:type="dxa"/>
          </w:tcPr>
          <w:p>
            <w:pPr>
              <w:pStyle w:val="TableParagraph"/>
              <w:rPr>
                <w:sz w:val="18"/>
              </w:rPr>
            </w:pPr>
          </w:p>
          <w:p>
            <w:pPr>
              <w:pStyle w:val="TableParagraph"/>
              <w:spacing w:before="1"/>
              <w:ind w:left="154" w:right="154"/>
              <w:jc w:val="center"/>
              <w:rPr>
                <w:sz w:val="18"/>
              </w:rPr>
            </w:pPr>
            <w:r>
              <w:rPr>
                <w:sz w:val="18"/>
              </w:rPr>
              <w:t>75</w:t>
            </w:r>
          </w:p>
          <w:p>
            <w:pPr>
              <w:pStyle w:val="TableParagraph"/>
              <w:spacing w:before="10"/>
              <w:rPr>
                <w:sz w:val="17"/>
              </w:rPr>
            </w:pPr>
          </w:p>
          <w:p>
            <w:pPr>
              <w:pStyle w:val="TableParagraph"/>
              <w:ind w:left="154" w:right="155"/>
              <w:jc w:val="center"/>
              <w:rPr>
                <w:sz w:val="18"/>
              </w:rPr>
            </w:pPr>
            <w:r>
              <w:rPr>
                <w:sz w:val="18"/>
              </w:rPr>
              <w:t>91.6</w:t>
            </w:r>
          </w:p>
          <w:p>
            <w:pPr>
              <w:pStyle w:val="TableParagraph"/>
              <w:spacing w:before="1"/>
              <w:rPr>
                <w:sz w:val="18"/>
              </w:rPr>
            </w:pPr>
          </w:p>
          <w:p>
            <w:pPr>
              <w:pStyle w:val="TableParagraph"/>
              <w:spacing w:line="207" w:lineRule="exact" w:before="1"/>
              <w:ind w:left="154" w:right="155"/>
              <w:jc w:val="center"/>
              <w:rPr>
                <w:sz w:val="18"/>
              </w:rPr>
            </w:pPr>
            <w:r>
              <w:rPr>
                <w:sz w:val="18"/>
              </w:rPr>
              <w:t>83.4</w:t>
            </w:r>
          </w:p>
          <w:p>
            <w:pPr>
              <w:pStyle w:val="TableParagraph"/>
              <w:spacing w:line="206" w:lineRule="exact"/>
              <w:ind w:left="154" w:right="155"/>
              <w:jc w:val="center"/>
              <w:rPr>
                <w:sz w:val="18"/>
              </w:rPr>
            </w:pPr>
            <w:r>
              <w:rPr>
                <w:sz w:val="18"/>
              </w:rPr>
              <w:t>87.5</w:t>
            </w:r>
          </w:p>
          <w:p>
            <w:pPr>
              <w:pStyle w:val="TableParagraph"/>
              <w:spacing w:line="207" w:lineRule="exact"/>
              <w:ind w:left="154" w:right="155"/>
              <w:jc w:val="center"/>
              <w:rPr>
                <w:sz w:val="18"/>
              </w:rPr>
            </w:pPr>
            <w:r>
              <w:rPr>
                <w:sz w:val="18"/>
              </w:rPr>
              <w:t>83.4</w:t>
            </w:r>
          </w:p>
          <w:p>
            <w:pPr>
              <w:pStyle w:val="TableParagraph"/>
              <w:spacing w:before="1"/>
              <w:rPr>
                <w:sz w:val="18"/>
              </w:rPr>
            </w:pPr>
          </w:p>
          <w:p>
            <w:pPr>
              <w:pStyle w:val="TableParagraph"/>
              <w:spacing w:line="207" w:lineRule="exact"/>
              <w:ind w:left="154" w:right="155"/>
              <w:jc w:val="center"/>
              <w:rPr>
                <w:sz w:val="18"/>
              </w:rPr>
            </w:pPr>
            <w:r>
              <w:rPr>
                <w:sz w:val="18"/>
              </w:rPr>
              <w:t>83.4</w:t>
            </w:r>
          </w:p>
          <w:p>
            <w:pPr>
              <w:pStyle w:val="TableParagraph"/>
              <w:spacing w:line="207" w:lineRule="exact"/>
              <w:ind w:left="154" w:right="155"/>
              <w:jc w:val="center"/>
              <w:rPr>
                <w:sz w:val="18"/>
              </w:rPr>
            </w:pPr>
            <w:r>
              <w:rPr>
                <w:sz w:val="18"/>
              </w:rPr>
              <w:t>58.4</w:t>
            </w:r>
          </w:p>
        </w:tc>
        <w:tc>
          <w:tcPr>
            <w:tcW w:w="708" w:type="dxa"/>
          </w:tcPr>
          <w:p>
            <w:pPr>
              <w:pStyle w:val="TableParagraph"/>
              <w:rPr>
                <w:sz w:val="18"/>
              </w:rPr>
            </w:pPr>
          </w:p>
          <w:p>
            <w:pPr>
              <w:pStyle w:val="TableParagraph"/>
              <w:spacing w:before="1"/>
              <w:ind w:left="152" w:right="150"/>
              <w:jc w:val="center"/>
              <w:rPr>
                <w:sz w:val="18"/>
              </w:rPr>
            </w:pPr>
            <w:r>
              <w:rPr>
                <w:sz w:val="18"/>
              </w:rPr>
              <w:t>14</w:t>
            </w:r>
          </w:p>
          <w:p>
            <w:pPr>
              <w:pStyle w:val="TableParagraph"/>
              <w:spacing w:before="10"/>
              <w:rPr>
                <w:sz w:val="17"/>
              </w:rPr>
            </w:pPr>
          </w:p>
          <w:p>
            <w:pPr>
              <w:pStyle w:val="TableParagraph"/>
              <w:ind w:right="1"/>
              <w:jc w:val="center"/>
              <w:rPr>
                <w:sz w:val="18"/>
              </w:rPr>
            </w:pPr>
            <w:r>
              <w:rPr>
                <w:w w:val="99"/>
                <w:sz w:val="18"/>
              </w:rPr>
              <w:t>5</w:t>
            </w:r>
          </w:p>
          <w:p>
            <w:pPr>
              <w:pStyle w:val="TableParagraph"/>
              <w:spacing w:before="1"/>
              <w:rPr>
                <w:sz w:val="18"/>
              </w:rPr>
            </w:pPr>
          </w:p>
          <w:p>
            <w:pPr>
              <w:pStyle w:val="TableParagraph"/>
              <w:spacing w:line="207" w:lineRule="exact" w:before="1"/>
              <w:ind w:right="1"/>
              <w:jc w:val="center"/>
              <w:rPr>
                <w:sz w:val="18"/>
              </w:rPr>
            </w:pPr>
            <w:r>
              <w:rPr>
                <w:w w:val="99"/>
                <w:sz w:val="18"/>
              </w:rPr>
              <w:t>9</w:t>
            </w:r>
          </w:p>
          <w:p>
            <w:pPr>
              <w:pStyle w:val="TableParagraph"/>
              <w:spacing w:line="206" w:lineRule="exact"/>
              <w:ind w:right="1"/>
              <w:jc w:val="center"/>
              <w:rPr>
                <w:sz w:val="18"/>
              </w:rPr>
            </w:pPr>
            <w:r>
              <w:rPr>
                <w:w w:val="99"/>
                <w:sz w:val="18"/>
              </w:rPr>
              <w:t>7</w:t>
            </w:r>
          </w:p>
          <w:p>
            <w:pPr>
              <w:pStyle w:val="TableParagraph"/>
              <w:spacing w:line="207" w:lineRule="exact"/>
              <w:ind w:left="152" w:right="150"/>
              <w:jc w:val="center"/>
              <w:rPr>
                <w:sz w:val="18"/>
              </w:rPr>
            </w:pPr>
            <w:r>
              <w:rPr>
                <w:sz w:val="18"/>
              </w:rPr>
              <w:t>13</w:t>
            </w:r>
          </w:p>
          <w:p>
            <w:pPr>
              <w:pStyle w:val="TableParagraph"/>
              <w:spacing w:before="1"/>
              <w:rPr>
                <w:sz w:val="18"/>
              </w:rPr>
            </w:pPr>
          </w:p>
          <w:p>
            <w:pPr>
              <w:pStyle w:val="TableParagraph"/>
              <w:spacing w:line="207" w:lineRule="exact"/>
              <w:ind w:right="1"/>
              <w:jc w:val="center"/>
              <w:rPr>
                <w:sz w:val="18"/>
              </w:rPr>
            </w:pPr>
            <w:r>
              <w:rPr>
                <w:w w:val="99"/>
                <w:sz w:val="18"/>
              </w:rPr>
              <w:t>4</w:t>
            </w:r>
          </w:p>
          <w:p>
            <w:pPr>
              <w:pStyle w:val="TableParagraph"/>
              <w:spacing w:line="207" w:lineRule="exact"/>
              <w:ind w:left="152" w:right="150"/>
              <w:jc w:val="center"/>
              <w:rPr>
                <w:sz w:val="18"/>
              </w:rPr>
            </w:pPr>
            <w:r>
              <w:rPr>
                <w:sz w:val="18"/>
              </w:rPr>
              <w:t>28</w:t>
            </w:r>
          </w:p>
        </w:tc>
        <w:tc>
          <w:tcPr>
            <w:tcW w:w="567" w:type="dxa"/>
          </w:tcPr>
          <w:p>
            <w:pPr>
              <w:pStyle w:val="TableParagraph"/>
              <w:rPr>
                <w:sz w:val="18"/>
              </w:rPr>
            </w:pPr>
          </w:p>
          <w:p>
            <w:pPr>
              <w:pStyle w:val="TableParagraph"/>
              <w:spacing w:before="1"/>
              <w:ind w:left="103"/>
              <w:rPr>
                <w:sz w:val="18"/>
              </w:rPr>
            </w:pPr>
            <w:r>
              <w:rPr>
                <w:sz w:val="18"/>
              </w:rPr>
              <w:t>24.1</w:t>
            </w:r>
          </w:p>
          <w:p>
            <w:pPr>
              <w:pStyle w:val="TableParagraph"/>
              <w:spacing w:before="10"/>
              <w:rPr>
                <w:sz w:val="17"/>
              </w:rPr>
            </w:pPr>
          </w:p>
          <w:p>
            <w:pPr>
              <w:pStyle w:val="TableParagraph"/>
              <w:ind w:left="154"/>
              <w:rPr>
                <w:sz w:val="18"/>
              </w:rPr>
            </w:pPr>
            <w:r>
              <w:rPr>
                <w:sz w:val="18"/>
              </w:rPr>
              <w:t>8.6</w:t>
            </w:r>
          </w:p>
          <w:p>
            <w:pPr>
              <w:pStyle w:val="TableParagraph"/>
              <w:spacing w:before="1"/>
              <w:rPr>
                <w:sz w:val="18"/>
              </w:rPr>
            </w:pPr>
          </w:p>
          <w:p>
            <w:pPr>
              <w:pStyle w:val="TableParagraph"/>
              <w:spacing w:line="207" w:lineRule="exact" w:before="1"/>
              <w:ind w:left="103"/>
              <w:rPr>
                <w:sz w:val="18"/>
              </w:rPr>
            </w:pPr>
            <w:r>
              <w:rPr>
                <w:sz w:val="18"/>
              </w:rPr>
              <w:t>15.5</w:t>
            </w:r>
          </w:p>
          <w:p>
            <w:pPr>
              <w:pStyle w:val="TableParagraph"/>
              <w:spacing w:line="206" w:lineRule="exact"/>
              <w:ind w:left="178"/>
              <w:rPr>
                <w:sz w:val="18"/>
              </w:rPr>
            </w:pPr>
            <w:r>
              <w:rPr>
                <w:sz w:val="18"/>
              </w:rPr>
              <w:t>12</w:t>
            </w:r>
          </w:p>
          <w:p>
            <w:pPr>
              <w:pStyle w:val="TableParagraph"/>
              <w:spacing w:line="207" w:lineRule="exact"/>
              <w:ind w:left="103"/>
              <w:rPr>
                <w:sz w:val="18"/>
              </w:rPr>
            </w:pPr>
            <w:r>
              <w:rPr>
                <w:sz w:val="18"/>
              </w:rPr>
              <w:t>22.4</w:t>
            </w:r>
          </w:p>
          <w:p>
            <w:pPr>
              <w:pStyle w:val="TableParagraph"/>
              <w:spacing w:before="1"/>
              <w:rPr>
                <w:sz w:val="18"/>
              </w:rPr>
            </w:pPr>
          </w:p>
          <w:p>
            <w:pPr>
              <w:pStyle w:val="TableParagraph"/>
              <w:spacing w:line="207" w:lineRule="exact"/>
              <w:ind w:left="154"/>
              <w:rPr>
                <w:sz w:val="18"/>
              </w:rPr>
            </w:pPr>
            <w:r>
              <w:rPr>
                <w:sz w:val="18"/>
              </w:rPr>
              <w:t>6.8</w:t>
            </w:r>
          </w:p>
          <w:p>
            <w:pPr>
              <w:pStyle w:val="TableParagraph"/>
              <w:spacing w:line="207" w:lineRule="exact"/>
              <w:ind w:left="103"/>
              <w:rPr>
                <w:sz w:val="18"/>
              </w:rPr>
            </w:pPr>
            <w:r>
              <w:rPr>
                <w:sz w:val="18"/>
              </w:rPr>
              <w:t>48.2</w:t>
            </w:r>
          </w:p>
        </w:tc>
        <w:tc>
          <w:tcPr>
            <w:tcW w:w="710" w:type="dxa"/>
          </w:tcPr>
          <w:p>
            <w:pPr>
              <w:pStyle w:val="TableParagraph"/>
              <w:rPr>
                <w:sz w:val="18"/>
              </w:rPr>
            </w:pPr>
          </w:p>
          <w:p>
            <w:pPr>
              <w:pStyle w:val="TableParagraph"/>
              <w:spacing w:before="1"/>
              <w:ind w:left="154" w:right="154"/>
              <w:jc w:val="center"/>
              <w:rPr>
                <w:sz w:val="18"/>
              </w:rPr>
            </w:pPr>
            <w:r>
              <w:rPr>
                <w:sz w:val="18"/>
              </w:rPr>
              <w:t>44</w:t>
            </w:r>
          </w:p>
          <w:p>
            <w:pPr>
              <w:pStyle w:val="TableParagraph"/>
              <w:spacing w:before="10"/>
              <w:rPr>
                <w:sz w:val="17"/>
              </w:rPr>
            </w:pPr>
          </w:p>
          <w:p>
            <w:pPr>
              <w:pStyle w:val="TableParagraph"/>
              <w:ind w:left="154" w:right="154"/>
              <w:jc w:val="center"/>
              <w:rPr>
                <w:sz w:val="18"/>
              </w:rPr>
            </w:pPr>
            <w:r>
              <w:rPr>
                <w:sz w:val="18"/>
              </w:rPr>
              <w:t>53</w:t>
            </w:r>
          </w:p>
          <w:p>
            <w:pPr>
              <w:pStyle w:val="TableParagraph"/>
              <w:spacing w:before="1"/>
              <w:rPr>
                <w:sz w:val="18"/>
              </w:rPr>
            </w:pPr>
          </w:p>
          <w:p>
            <w:pPr>
              <w:pStyle w:val="TableParagraph"/>
              <w:spacing w:line="207" w:lineRule="exact" w:before="1"/>
              <w:ind w:left="154" w:right="154"/>
              <w:jc w:val="center"/>
              <w:rPr>
                <w:sz w:val="18"/>
              </w:rPr>
            </w:pPr>
            <w:r>
              <w:rPr>
                <w:sz w:val="18"/>
              </w:rPr>
              <w:t>49</w:t>
            </w:r>
          </w:p>
          <w:p>
            <w:pPr>
              <w:pStyle w:val="TableParagraph"/>
              <w:spacing w:line="206" w:lineRule="exact"/>
              <w:ind w:left="154" w:right="154"/>
              <w:jc w:val="center"/>
              <w:rPr>
                <w:sz w:val="18"/>
              </w:rPr>
            </w:pPr>
            <w:r>
              <w:rPr>
                <w:sz w:val="18"/>
              </w:rPr>
              <w:t>51</w:t>
            </w:r>
          </w:p>
          <w:p>
            <w:pPr>
              <w:pStyle w:val="TableParagraph"/>
              <w:spacing w:line="207" w:lineRule="exact"/>
              <w:ind w:left="154" w:right="154"/>
              <w:jc w:val="center"/>
              <w:rPr>
                <w:sz w:val="18"/>
              </w:rPr>
            </w:pPr>
            <w:r>
              <w:rPr>
                <w:sz w:val="18"/>
              </w:rPr>
              <w:t>45</w:t>
            </w:r>
          </w:p>
          <w:p>
            <w:pPr>
              <w:pStyle w:val="TableParagraph"/>
              <w:spacing w:before="1"/>
              <w:rPr>
                <w:sz w:val="18"/>
              </w:rPr>
            </w:pPr>
          </w:p>
          <w:p>
            <w:pPr>
              <w:pStyle w:val="TableParagraph"/>
              <w:spacing w:line="207" w:lineRule="exact"/>
              <w:ind w:left="154" w:right="154"/>
              <w:jc w:val="center"/>
              <w:rPr>
                <w:sz w:val="18"/>
              </w:rPr>
            </w:pPr>
            <w:r>
              <w:rPr>
                <w:sz w:val="18"/>
              </w:rPr>
              <w:t>54</w:t>
            </w:r>
          </w:p>
          <w:p>
            <w:pPr>
              <w:pStyle w:val="TableParagraph"/>
              <w:spacing w:line="207" w:lineRule="exact"/>
              <w:ind w:left="154" w:right="154"/>
              <w:jc w:val="center"/>
              <w:rPr>
                <w:sz w:val="18"/>
              </w:rPr>
            </w:pPr>
            <w:r>
              <w:rPr>
                <w:sz w:val="18"/>
              </w:rPr>
              <w:t>30</w:t>
            </w:r>
          </w:p>
        </w:tc>
        <w:tc>
          <w:tcPr>
            <w:tcW w:w="708" w:type="dxa"/>
          </w:tcPr>
          <w:p>
            <w:pPr>
              <w:pStyle w:val="TableParagraph"/>
              <w:rPr>
                <w:sz w:val="18"/>
              </w:rPr>
            </w:pPr>
          </w:p>
          <w:p>
            <w:pPr>
              <w:pStyle w:val="TableParagraph"/>
              <w:spacing w:before="1"/>
              <w:ind w:left="150" w:right="154"/>
              <w:jc w:val="center"/>
              <w:rPr>
                <w:sz w:val="18"/>
              </w:rPr>
            </w:pPr>
            <w:r>
              <w:rPr>
                <w:sz w:val="18"/>
              </w:rPr>
              <w:t>75.9</w:t>
            </w:r>
          </w:p>
          <w:p>
            <w:pPr>
              <w:pStyle w:val="TableParagraph"/>
              <w:spacing w:before="10"/>
              <w:rPr>
                <w:sz w:val="17"/>
              </w:rPr>
            </w:pPr>
          </w:p>
          <w:p>
            <w:pPr>
              <w:pStyle w:val="TableParagraph"/>
              <w:ind w:left="150" w:right="154"/>
              <w:jc w:val="center"/>
              <w:rPr>
                <w:sz w:val="18"/>
              </w:rPr>
            </w:pPr>
            <w:r>
              <w:rPr>
                <w:sz w:val="18"/>
              </w:rPr>
              <w:t>91.4</w:t>
            </w:r>
          </w:p>
          <w:p>
            <w:pPr>
              <w:pStyle w:val="TableParagraph"/>
              <w:spacing w:before="1"/>
              <w:rPr>
                <w:sz w:val="18"/>
              </w:rPr>
            </w:pPr>
          </w:p>
          <w:p>
            <w:pPr>
              <w:pStyle w:val="TableParagraph"/>
              <w:spacing w:line="207" w:lineRule="exact" w:before="1"/>
              <w:ind w:left="150" w:right="154"/>
              <w:jc w:val="center"/>
              <w:rPr>
                <w:sz w:val="18"/>
              </w:rPr>
            </w:pPr>
            <w:r>
              <w:rPr>
                <w:sz w:val="18"/>
              </w:rPr>
              <w:t>84.5</w:t>
            </w:r>
          </w:p>
          <w:p>
            <w:pPr>
              <w:pStyle w:val="TableParagraph"/>
              <w:spacing w:line="206" w:lineRule="exact"/>
              <w:ind w:left="152" w:right="152"/>
              <w:jc w:val="center"/>
              <w:rPr>
                <w:sz w:val="18"/>
              </w:rPr>
            </w:pPr>
            <w:r>
              <w:rPr>
                <w:sz w:val="18"/>
              </w:rPr>
              <w:t>88</w:t>
            </w:r>
          </w:p>
          <w:p>
            <w:pPr>
              <w:pStyle w:val="TableParagraph"/>
              <w:spacing w:line="207" w:lineRule="exact"/>
              <w:ind w:left="150" w:right="154"/>
              <w:jc w:val="center"/>
              <w:rPr>
                <w:sz w:val="18"/>
              </w:rPr>
            </w:pPr>
            <w:r>
              <w:rPr>
                <w:sz w:val="18"/>
              </w:rPr>
              <w:t>77.6</w:t>
            </w:r>
          </w:p>
          <w:p>
            <w:pPr>
              <w:pStyle w:val="TableParagraph"/>
              <w:spacing w:before="1"/>
              <w:rPr>
                <w:sz w:val="18"/>
              </w:rPr>
            </w:pPr>
          </w:p>
          <w:p>
            <w:pPr>
              <w:pStyle w:val="TableParagraph"/>
              <w:spacing w:line="207" w:lineRule="exact"/>
              <w:ind w:left="150" w:right="154"/>
              <w:jc w:val="center"/>
              <w:rPr>
                <w:sz w:val="18"/>
              </w:rPr>
            </w:pPr>
            <w:r>
              <w:rPr>
                <w:sz w:val="18"/>
              </w:rPr>
              <w:t>93.2</w:t>
            </w:r>
          </w:p>
          <w:p>
            <w:pPr>
              <w:pStyle w:val="TableParagraph"/>
              <w:spacing w:line="207" w:lineRule="exact"/>
              <w:ind w:left="150" w:right="154"/>
              <w:jc w:val="center"/>
              <w:rPr>
                <w:sz w:val="18"/>
              </w:rPr>
            </w:pPr>
            <w:r>
              <w:rPr>
                <w:sz w:val="18"/>
              </w:rPr>
              <w:t>51.8</w:t>
            </w:r>
          </w:p>
        </w:tc>
      </w:tr>
    </w:tbl>
    <w:p>
      <w:pPr>
        <w:pStyle w:val="BodyText"/>
        <w:spacing w:before="3"/>
        <w:rPr>
          <w:sz w:val="11"/>
        </w:rPr>
      </w:pPr>
    </w:p>
    <w:p>
      <w:pPr>
        <w:spacing w:before="74"/>
        <w:ind w:left="3886" w:right="3906" w:firstLine="0"/>
        <w:jc w:val="center"/>
        <w:rPr>
          <w:sz w:val="20"/>
        </w:rPr>
      </w:pPr>
      <w:r>
        <w:rPr>
          <w:sz w:val="20"/>
        </w:rPr>
        <w:t>(Miranda, 2014).</w:t>
      </w:r>
    </w:p>
    <w:p>
      <w:pPr>
        <w:pStyle w:val="BodyText"/>
        <w:rPr>
          <w:sz w:val="20"/>
        </w:rPr>
      </w:pPr>
    </w:p>
    <w:p>
      <w:pPr>
        <w:pStyle w:val="BodyText"/>
        <w:rPr>
          <w:sz w:val="20"/>
        </w:rPr>
      </w:pPr>
    </w:p>
    <w:p>
      <w:pPr>
        <w:pStyle w:val="BodyText"/>
        <w:spacing w:before="6"/>
        <w:rPr>
          <w:sz w:val="23"/>
        </w:rPr>
      </w:pPr>
    </w:p>
    <w:p>
      <w:pPr>
        <w:pStyle w:val="BodyText"/>
        <w:spacing w:line="360" w:lineRule="auto"/>
        <w:ind w:left="422" w:right="1013"/>
      </w:pPr>
      <w:r>
        <w:rPr/>
        <w:pict>
          <v:group style="position:absolute;margin-left:103.144997pt;margin-top:61.410843pt;width:406.05pt;height:256.8pt;mso-position-horizontal-relative:page;mso-position-vertical-relative:paragraph;z-index:-121264" coordorigin="2063,1228" coordsize="8121,5136">
            <v:shape style="position:absolute;left:4231;top:1458;width:2;height:2297" coordorigin="4231,1458" coordsize="0,2297" path="m4231,1458l4231,1554m4231,2461l4231,2653m4231,2783l4231,2912m4231,3042l4231,3431m4231,3560l4231,3755e" filled="false" stroked="true" strokeweight=".72pt" strokecolor="#858585">
              <v:path arrowok="t"/>
            </v:shape>
            <v:rect style="position:absolute;left:3557;top:3431;width:811;height:130" filled="true" fillcolor="#4571a7" stroked="false">
              <v:fill type="solid"/>
            </v:rect>
            <v:rect style="position:absolute;left:3557;top:3301;width:290;height:130" filled="true" fillcolor="#aa4643" stroked="false">
              <v:fill type="solid"/>
            </v:rect>
            <v:rect style="position:absolute;left:3557;top:3171;width:521;height:130" filled="true" fillcolor="#88a44e" stroked="false">
              <v:fill type="solid"/>
            </v:rect>
            <v:rect style="position:absolute;left:3557;top:3042;width:403;height:130" filled="true" fillcolor="#70578f" stroked="false">
              <v:fill type="solid"/>
            </v:rect>
            <v:rect style="position:absolute;left:3557;top:2912;width:754;height:130" filled="true" fillcolor="#4197ae" stroked="false">
              <v:fill type="solid"/>
            </v:rect>
            <v:rect style="position:absolute;left:3557;top:2783;width:228;height:130" filled="true" fillcolor="#db843c" stroked="false">
              <v:fill type="solid"/>
            </v:rect>
            <v:shape style="position:absolute;left:4903;top:2461;width:2;height:1294" coordorigin="4903,2461" coordsize="0,1294" path="m4903,2461l4903,2653m4903,2783l4903,3755e" filled="false" stroked="true" strokeweight=".72pt" strokecolor="#858585">
              <v:path arrowok="t"/>
            </v:shape>
            <v:rect style="position:absolute;left:3557;top:2653;width:1622;height:130" filled="true" fillcolor="#92a9cf" stroked="false">
              <v:fill type="solid"/>
            </v:rect>
            <v:shape style="position:absolute;left:4231;top:4659;width:1347;height:1198" coordorigin="4231,4659" coordsize="1347,1198" path="m4231,4659l4231,4854m4903,4659l4903,4854m5578,4659l5578,5857e" filled="false" stroked="true" strokeweight=".72pt" strokecolor="#858585">
              <v:path arrowok="t"/>
            </v:shape>
            <v:rect style="position:absolute;left:3557;top:4530;width:2525;height:130" filled="true" fillcolor="#4571a7" stroked="false">
              <v:fill type="solid"/>
            </v:rect>
            <v:shape style="position:absolute;left:4231;top:4983;width:2;height:874" coordorigin="4231,4983" coordsize="0,874" path="m4231,4983l4231,5631m4231,5761l4231,5857e" filled="false" stroked="true" strokeweight=".72pt" strokecolor="#858585">
              <v:path arrowok="t"/>
            </v:shape>
            <v:rect style="position:absolute;left:3557;top:5631;width:842;height:130" filled="true" fillcolor="#4571a7" stroked="false">
              <v:fill type="solid"/>
            </v:rect>
            <v:rect style="position:absolute;left:3557;top:5502;width:283;height:130" filled="true" fillcolor="#aa4643" stroked="false">
              <v:fill type="solid"/>
            </v:rect>
            <v:rect style="position:absolute;left:3557;top:5372;width:559;height:130" filled="true" fillcolor="#88a44e" stroked="false">
              <v:fill type="solid"/>
            </v:rect>
            <v:rect style="position:absolute;left:3557;top:5243;width:420;height:130" filled="true" fillcolor="#70578f" stroked="false">
              <v:fill type="solid"/>
            </v:rect>
            <v:rect style="position:absolute;left:3557;top:5113;width:559;height:130" filled="true" fillcolor="#4197ae" stroked="false">
              <v:fill type="solid"/>
            </v:rect>
            <v:rect style="position:absolute;left:3557;top:4983;width:559;height:130" filled="true" fillcolor="#db843c" stroked="false">
              <v:fill type="solid"/>
            </v:rect>
            <v:line style="position:absolute" from="4903,4983" to="4903,5857" stroked="true" strokeweight=".72pt" strokecolor="#858585"/>
            <v:rect style="position:absolute;left:3557;top:4854;width:1402;height:130" filled="true" fillcolor="#92a9cf" stroked="false">
              <v:fill type="solid"/>
            </v:rect>
            <v:shape style="position:absolute;left:3494;top:1458;width:3430;height:4462" coordorigin="3494,1458" coordsize="3430,4462" path="m6250,4530l6250,5857m6924,1458l6924,5857m3557,5857l6924,5857m3557,5857l3557,5919m4231,5857l4231,5919m4903,5857l4903,5919m5578,5857l5578,5919m6250,5857l6250,5919m6924,5857l6924,5919m3557,5857l3557,1458m3494,5857l3557,5857m3494,4758l3557,4758m3494,3656l3557,3656m3494,2557l3557,2557m3494,1458l3557,1458m4903,1458l4903,1554e" filled="false" stroked="true" strokeweight=".72pt" strokecolor="#858585">
              <v:path arrowok="t"/>
            </v:shape>
            <v:rect style="position:absolute;left:7394;top:1811;width:110;height:110" filled="true" fillcolor="#92a9cf" stroked="false">
              <v:fill type="solid"/>
            </v:rect>
            <v:rect style="position:absolute;left:7394;top:2415;width:110;height:110" filled="true" fillcolor="#db843c" stroked="false">
              <v:fill type="solid"/>
            </v:rect>
            <v:rect style="position:absolute;left:7394;top:3018;width:110;height:110" filled="true" fillcolor="#4197ae" stroked="false">
              <v:fill type="solid"/>
            </v:rect>
            <v:rect style="position:absolute;left:7394;top:3623;width:110;height:108" filled="true" fillcolor="#70578f" stroked="false">
              <v:fill type="solid"/>
            </v:rect>
            <v:rect style="position:absolute;left:7394;top:4225;width:110;height:110" filled="true" fillcolor="#88a44e" stroked="false">
              <v:fill type="solid"/>
            </v:rect>
            <v:rect style="position:absolute;left:7394;top:4827;width:110;height:110" filled="true" fillcolor="#aa4643" stroked="false">
              <v:fill type="solid"/>
            </v:rect>
            <v:rect style="position:absolute;left:7394;top:5432;width:110;height:110" filled="true" fillcolor="#4571a7" stroked="false">
              <v:fill type="solid"/>
            </v:rect>
            <v:rect style="position:absolute;left:2070;top:1236;width:8106;height:5121" filled="false" stroked="true" strokeweight=".75pt" strokecolor="#858585"/>
            <v:shape style="position:absolute;left:2272;top:1914;width:1099;height:200" type="#_x0000_t202" filled="false" stroked="false">
              <v:textbox inset="0,0,0,0">
                <w:txbxContent>
                  <w:p>
                    <w:pPr>
                      <w:spacing w:line="199" w:lineRule="exact" w:before="0"/>
                      <w:ind w:left="0" w:right="-20" w:firstLine="0"/>
                      <w:jc w:val="left"/>
                      <w:rPr>
                        <w:rFonts w:ascii="Calibri"/>
                        <w:sz w:val="20"/>
                      </w:rPr>
                    </w:pPr>
                    <w:r>
                      <w:rPr>
                        <w:rFonts w:ascii="Calibri"/>
                        <w:sz w:val="20"/>
                      </w:rPr>
                      <w:t>NO (Mujeres)</w:t>
                    </w:r>
                  </w:p>
                </w:txbxContent>
              </v:textbox>
              <w10:wrap type="none"/>
            </v:shape>
            <v:shape style="position:absolute;left:7553;top:1774;width:1677;height:200" type="#_x0000_t202" filled="false" stroked="false">
              <v:textbox inset="0,0,0,0">
                <w:txbxContent>
                  <w:p>
                    <w:pPr>
                      <w:spacing w:line="199" w:lineRule="exact" w:before="0"/>
                      <w:ind w:left="0" w:right="-14" w:firstLine="0"/>
                      <w:jc w:val="left"/>
                      <w:rPr>
                        <w:rFonts w:ascii="Calibri"/>
                        <w:sz w:val="20"/>
                      </w:rPr>
                    </w:pPr>
                    <w:r>
                      <w:rPr>
                        <w:rFonts w:ascii="Calibri"/>
                        <w:sz w:val="20"/>
                      </w:rPr>
                      <w:t>Todas las</w:t>
                    </w:r>
                    <w:r>
                      <w:rPr>
                        <w:rFonts w:ascii="Calibri"/>
                        <w:spacing w:val="-8"/>
                        <w:sz w:val="20"/>
                      </w:rPr>
                      <w:t> </w:t>
                    </w:r>
                    <w:r>
                      <w:rPr>
                        <w:rFonts w:ascii="Calibri"/>
                        <w:sz w:val="20"/>
                      </w:rPr>
                      <w:t>anteriores.</w:t>
                    </w:r>
                  </w:p>
                </w:txbxContent>
              </v:textbox>
              <w10:wrap type="none"/>
            </v:shape>
            <v:shape style="position:absolute;left:2391;top:3014;width:979;height:200" type="#_x0000_t202" filled="false" stroked="false">
              <v:textbox inset="0,0,0,0">
                <w:txbxContent>
                  <w:p>
                    <w:pPr>
                      <w:spacing w:line="199" w:lineRule="exact" w:before="0"/>
                      <w:ind w:left="0" w:right="-14" w:firstLine="0"/>
                      <w:jc w:val="left"/>
                      <w:rPr>
                        <w:rFonts w:ascii="Calibri" w:hAnsi="Calibri"/>
                        <w:sz w:val="20"/>
                      </w:rPr>
                    </w:pPr>
                    <w:r>
                      <w:rPr>
                        <w:rFonts w:ascii="Calibri" w:hAnsi="Calibri"/>
                        <w:sz w:val="20"/>
                      </w:rPr>
                      <w:t>SÍ</w:t>
                    </w:r>
                    <w:r>
                      <w:rPr>
                        <w:rFonts w:ascii="Calibri" w:hAnsi="Calibri"/>
                        <w:spacing w:val="-7"/>
                        <w:sz w:val="20"/>
                      </w:rPr>
                      <w:t> </w:t>
                    </w:r>
                    <w:r>
                      <w:rPr>
                        <w:rFonts w:ascii="Calibri" w:hAnsi="Calibri"/>
                        <w:sz w:val="20"/>
                      </w:rPr>
                      <w:t>(Mujeres)</w:t>
                    </w:r>
                  </w:p>
                </w:txbxContent>
              </v:textbox>
              <w10:wrap type="none"/>
            </v:shape>
            <v:shape style="position:absolute;left:7553;top:2377;width:2401;height:1406" type="#_x0000_t202" filled="false" stroked="false">
              <v:textbox inset="0,0,0,0">
                <w:txbxContent>
                  <w:p>
                    <w:pPr>
                      <w:spacing w:line="203" w:lineRule="exact" w:before="0"/>
                      <w:ind w:left="0" w:right="-11" w:firstLine="0"/>
                      <w:jc w:val="left"/>
                      <w:rPr>
                        <w:rFonts w:ascii="Calibri"/>
                        <w:sz w:val="20"/>
                      </w:rPr>
                    </w:pPr>
                    <w:r>
                      <w:rPr>
                        <w:rFonts w:ascii="Calibri"/>
                        <w:sz w:val="20"/>
                      </w:rPr>
                      <w:t>La invisibilidad de las</w:t>
                    </w:r>
                  </w:p>
                  <w:p>
                    <w:pPr>
                      <w:spacing w:before="0"/>
                      <w:ind w:left="0" w:right="-11" w:firstLine="0"/>
                      <w:jc w:val="left"/>
                      <w:rPr>
                        <w:rFonts w:ascii="Calibri"/>
                        <w:sz w:val="20"/>
                      </w:rPr>
                    </w:pPr>
                    <w:r>
                      <w:rPr>
                        <w:rFonts w:ascii="Calibri"/>
                        <w:sz w:val="20"/>
                      </w:rPr>
                      <w:t>mujeres.</w:t>
                    </w:r>
                  </w:p>
                  <w:p>
                    <w:pPr>
                      <w:spacing w:before="114"/>
                      <w:ind w:left="0" w:right="-11" w:firstLine="0"/>
                      <w:jc w:val="left"/>
                      <w:rPr>
                        <w:rFonts w:ascii="Calibri" w:hAnsi="Calibri"/>
                        <w:sz w:val="20"/>
                      </w:rPr>
                    </w:pPr>
                    <w:r>
                      <w:rPr>
                        <w:rFonts w:ascii="Calibri" w:hAnsi="Calibri"/>
                        <w:sz w:val="20"/>
                      </w:rPr>
                      <w:t>Diseño de contenidos publicitarios</w:t>
                    </w:r>
                    <w:r>
                      <w:rPr>
                        <w:rFonts w:ascii="Calibri" w:hAnsi="Calibri"/>
                        <w:spacing w:val="-12"/>
                        <w:sz w:val="20"/>
                      </w:rPr>
                      <w:t> </w:t>
                    </w:r>
                    <w:r>
                      <w:rPr>
                        <w:rFonts w:ascii="Calibri" w:hAnsi="Calibri"/>
                        <w:sz w:val="20"/>
                      </w:rPr>
                      <w:t>discriminatorios.</w:t>
                    </w:r>
                  </w:p>
                  <w:p>
                    <w:pPr>
                      <w:spacing w:line="240" w:lineRule="exact" w:before="114"/>
                      <w:ind w:left="0" w:right="-11" w:firstLine="0"/>
                      <w:jc w:val="left"/>
                      <w:rPr>
                        <w:rFonts w:ascii="Calibri"/>
                        <w:sz w:val="20"/>
                      </w:rPr>
                    </w:pPr>
                    <w:r>
                      <w:rPr>
                        <w:rFonts w:ascii="Calibri"/>
                        <w:sz w:val="20"/>
                      </w:rPr>
                      <w:t>El feminicidio.</w:t>
                    </w:r>
                  </w:p>
                </w:txbxContent>
              </v:textbox>
              <w10:wrap type="none"/>
            </v:shape>
            <v:shape style="position:absolute;left:2201;top:4114;width:1169;height:200" type="#_x0000_t202" filled="false" stroked="false">
              <v:textbox inset="0,0,0,0">
                <w:txbxContent>
                  <w:p>
                    <w:pPr>
                      <w:spacing w:line="199" w:lineRule="exact" w:before="0"/>
                      <w:ind w:left="0" w:right="-14" w:firstLine="0"/>
                      <w:jc w:val="left"/>
                      <w:rPr>
                        <w:rFonts w:ascii="Calibri"/>
                        <w:sz w:val="20"/>
                      </w:rPr>
                    </w:pPr>
                    <w:r>
                      <w:rPr>
                        <w:rFonts w:ascii="Calibri"/>
                        <w:sz w:val="20"/>
                      </w:rPr>
                      <w:t>NO</w:t>
                    </w:r>
                    <w:r>
                      <w:rPr>
                        <w:rFonts w:ascii="Calibri"/>
                        <w:spacing w:val="-8"/>
                        <w:sz w:val="20"/>
                      </w:rPr>
                      <w:t> </w:t>
                    </w:r>
                    <w:r>
                      <w:rPr>
                        <w:rFonts w:ascii="Calibri"/>
                        <w:sz w:val="20"/>
                      </w:rPr>
                      <w:t>(Hombres)</w:t>
                    </w:r>
                  </w:p>
                </w:txbxContent>
              </v:textbox>
              <w10:wrap type="none"/>
            </v:shape>
            <v:shape style="position:absolute;left:7553;top:4187;width:2434;height:200" type="#_x0000_t202" filled="false" stroked="false">
              <v:textbox inset="0,0,0,0">
                <w:txbxContent>
                  <w:p>
                    <w:pPr>
                      <w:spacing w:line="199" w:lineRule="exact" w:before="0"/>
                      <w:ind w:left="0" w:right="-10" w:firstLine="0"/>
                      <w:jc w:val="left"/>
                      <w:rPr>
                        <w:rFonts w:ascii="Calibri"/>
                        <w:sz w:val="20"/>
                      </w:rPr>
                    </w:pPr>
                    <w:r>
                      <w:rPr>
                        <w:rFonts w:ascii="Calibri"/>
                        <w:sz w:val="20"/>
                      </w:rPr>
                      <w:t>La violencia hacia las</w:t>
                    </w:r>
                    <w:r>
                      <w:rPr>
                        <w:rFonts w:ascii="Calibri"/>
                        <w:spacing w:val="-13"/>
                        <w:sz w:val="20"/>
                      </w:rPr>
                      <w:t> </w:t>
                    </w:r>
                    <w:r>
                      <w:rPr>
                        <w:rFonts w:ascii="Calibri"/>
                        <w:sz w:val="20"/>
                      </w:rPr>
                      <w:t>mujeres.</w:t>
                    </w:r>
                  </w:p>
                </w:txbxContent>
              </v:textbox>
              <w10:wrap type="none"/>
            </v:shape>
            <v:shape style="position:absolute;left:2320;top:5215;width:1051;height:200" type="#_x0000_t202" filled="false" stroked="false">
              <v:textbox inset="0,0,0,0">
                <w:txbxContent>
                  <w:p>
                    <w:pPr>
                      <w:spacing w:line="199" w:lineRule="exact" w:before="0"/>
                      <w:ind w:left="0" w:right="-15" w:firstLine="0"/>
                      <w:jc w:val="left"/>
                      <w:rPr>
                        <w:rFonts w:ascii="Calibri" w:hAnsi="Calibri"/>
                        <w:sz w:val="20"/>
                      </w:rPr>
                    </w:pPr>
                    <w:r>
                      <w:rPr>
                        <w:rFonts w:ascii="Calibri" w:hAnsi="Calibri"/>
                        <w:sz w:val="20"/>
                      </w:rPr>
                      <w:t>SÍ</w:t>
                    </w:r>
                    <w:r>
                      <w:rPr>
                        <w:rFonts w:ascii="Calibri" w:hAnsi="Calibri"/>
                        <w:spacing w:val="-6"/>
                        <w:sz w:val="20"/>
                      </w:rPr>
                      <w:t> </w:t>
                    </w:r>
                    <w:r>
                      <w:rPr>
                        <w:rFonts w:ascii="Calibri" w:hAnsi="Calibri"/>
                        <w:sz w:val="20"/>
                      </w:rPr>
                      <w:t>(Hombres)</w:t>
                    </w:r>
                  </w:p>
                </w:txbxContent>
              </v:textbox>
              <w10:wrap type="none"/>
            </v:shape>
            <v:shape style="position:absolute;left:7553;top:4791;width:2425;height:1048" type="#_x0000_t202" filled="false" stroked="false">
              <v:textbox inset="0,0,0,0">
                <w:txbxContent>
                  <w:p>
                    <w:pPr>
                      <w:spacing w:line="203" w:lineRule="exact" w:before="0"/>
                      <w:ind w:left="0" w:right="-11" w:firstLine="0"/>
                      <w:jc w:val="left"/>
                      <w:rPr>
                        <w:rFonts w:ascii="Calibri" w:hAnsi="Calibri"/>
                        <w:sz w:val="20"/>
                      </w:rPr>
                    </w:pPr>
                    <w:r>
                      <w:rPr>
                        <w:rFonts w:ascii="Calibri" w:hAnsi="Calibri"/>
                        <w:sz w:val="20"/>
                      </w:rPr>
                      <w:t>La dependencia económica</w:t>
                    </w:r>
                  </w:p>
                  <w:p>
                    <w:pPr>
                      <w:spacing w:before="0"/>
                      <w:ind w:left="0" w:right="-11" w:firstLine="0"/>
                      <w:jc w:val="left"/>
                      <w:rPr>
                        <w:rFonts w:ascii="Calibri"/>
                        <w:sz w:val="20"/>
                      </w:rPr>
                    </w:pPr>
                    <w:r>
                      <w:rPr>
                        <w:rFonts w:ascii="Calibri"/>
                        <w:sz w:val="20"/>
                      </w:rPr>
                      <w:t>de las mujeres.</w:t>
                    </w:r>
                  </w:p>
                  <w:p>
                    <w:pPr>
                      <w:spacing w:before="114"/>
                      <w:ind w:left="0" w:right="-11" w:firstLine="0"/>
                      <w:jc w:val="left"/>
                      <w:rPr>
                        <w:rFonts w:ascii="Calibri"/>
                        <w:sz w:val="20"/>
                      </w:rPr>
                    </w:pPr>
                    <w:r>
                      <w:rPr>
                        <w:rFonts w:ascii="Calibri"/>
                        <w:sz w:val="20"/>
                      </w:rPr>
                      <w:t>La inequidad entre hombres</w:t>
                    </w:r>
                    <w:r>
                      <w:rPr>
                        <w:rFonts w:ascii="Calibri"/>
                        <w:spacing w:val="-12"/>
                        <w:sz w:val="20"/>
                      </w:rPr>
                      <w:t> </w:t>
                    </w:r>
                    <w:r>
                      <w:rPr>
                        <w:rFonts w:ascii="Calibri"/>
                        <w:sz w:val="20"/>
                      </w:rPr>
                      <w:t>y mujeres.</w:t>
                    </w:r>
                  </w:p>
                </w:txbxContent>
              </v:textbox>
              <w10:wrap type="none"/>
            </v:shape>
            <v:shape style="position:absolute;left:3506;top:602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4129;top:602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4802;top:602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5475;top:602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6149;top:602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80</w:t>
                    </w:r>
                  </w:p>
                </w:txbxContent>
              </v:textbox>
              <w10:wrap type="none"/>
            </v:shape>
            <v:shape style="position:absolute;left:6771;top:6025;width:305;height:200" type="#_x0000_t202" filled="false" stroked="false">
              <v:textbox inset="0,0,0,0">
                <w:txbxContent>
                  <w:p>
                    <w:pPr>
                      <w:spacing w:line="199" w:lineRule="exact" w:before="0"/>
                      <w:ind w:left="0" w:right="-20" w:firstLine="0"/>
                      <w:jc w:val="left"/>
                      <w:rPr>
                        <w:rFonts w:ascii="Calibri"/>
                        <w:sz w:val="20"/>
                      </w:rPr>
                    </w:pPr>
                    <w:r>
                      <w:rPr>
                        <w:rFonts w:ascii="Calibri"/>
                        <w:sz w:val="20"/>
                      </w:rPr>
                      <w:t>100</w:t>
                    </w:r>
                  </w:p>
                </w:txbxContent>
              </v:textbox>
              <w10:wrap type="none"/>
            </v:shape>
            <w10:wrap type="none"/>
          </v:group>
        </w:pict>
      </w:r>
      <w:r>
        <w:rPr>
          <w:u w:val="single"/>
        </w:rPr>
        <w:t>Gráfica 7.1. </w:t>
      </w:r>
      <w:r>
        <w:rPr/>
        <w:t>Problemas sociales a los cuales el estudiantado considera que la Perspectiva de Género puede aportar una solución.</w:t>
      </w:r>
    </w:p>
    <w:p>
      <w:pPr>
        <w:pStyle w:val="BodyText"/>
        <w:rPr>
          <w:sz w:val="20"/>
        </w:rPr>
      </w:pPr>
    </w:p>
    <w:p>
      <w:pPr>
        <w:pStyle w:val="BodyText"/>
        <w:rPr>
          <w:sz w:val="20"/>
        </w:rPr>
      </w:pPr>
    </w:p>
    <w:p>
      <w:pPr>
        <w:pStyle w:val="BodyText"/>
        <w:spacing w:before="2"/>
        <w:rPr>
          <w:sz w:val="15"/>
        </w:rPr>
      </w:pPr>
    </w:p>
    <w:tbl>
      <w:tblPr>
        <w:tblW w:w="0" w:type="auto"/>
        <w:jc w:val="left"/>
        <w:tblInd w:w="22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21"/>
        <w:gridCol w:w="672"/>
        <w:gridCol w:w="115"/>
        <w:gridCol w:w="145"/>
        <w:gridCol w:w="146"/>
      </w:tblGrid>
      <w:tr>
        <w:trPr>
          <w:trHeight w:val="226" w:hRule="exact"/>
        </w:trPr>
        <w:tc>
          <w:tcPr>
            <w:tcW w:w="2021" w:type="dxa"/>
            <w:tcBorders>
              <w:bottom w:val="single" w:sz="52" w:space="0" w:color="DB843C"/>
              <w:right w:val="single" w:sz="6" w:space="0" w:color="858585"/>
            </w:tcBorders>
            <w:shd w:val="clear" w:color="auto" w:fill="92A9CF"/>
          </w:tcPr>
          <w:p>
            <w:pPr/>
          </w:p>
        </w:tc>
        <w:tc>
          <w:tcPr>
            <w:tcW w:w="672" w:type="dxa"/>
            <w:tcBorders>
              <w:left w:val="single" w:sz="6" w:space="0" w:color="858585"/>
              <w:bottom w:val="single" w:sz="52" w:space="0" w:color="DB843C"/>
              <w:right w:val="single" w:sz="6" w:space="0" w:color="858585"/>
            </w:tcBorders>
          </w:tcPr>
          <w:p>
            <w:pPr/>
          </w:p>
        </w:tc>
        <w:tc>
          <w:tcPr>
            <w:tcW w:w="406" w:type="dxa"/>
            <w:gridSpan w:val="3"/>
            <w:tcBorders>
              <w:left w:val="single" w:sz="6" w:space="0" w:color="858585"/>
              <w:bottom w:val="single" w:sz="52" w:space="0" w:color="DB843C"/>
            </w:tcBorders>
          </w:tcPr>
          <w:p>
            <w:pPr/>
          </w:p>
        </w:tc>
      </w:tr>
      <w:tr>
        <w:trPr>
          <w:trHeight w:val="259" w:hRule="exact"/>
        </w:trPr>
        <w:tc>
          <w:tcPr>
            <w:tcW w:w="3099" w:type="dxa"/>
            <w:gridSpan w:val="5"/>
            <w:tcBorders>
              <w:bottom w:val="single" w:sz="104" w:space="0" w:color="4197AE"/>
            </w:tcBorders>
            <w:shd w:val="clear" w:color="auto" w:fill="DB843C"/>
          </w:tcPr>
          <w:p>
            <w:pPr/>
          </w:p>
        </w:tc>
      </w:tr>
      <w:tr>
        <w:trPr>
          <w:trHeight w:val="259" w:hRule="exact"/>
        </w:trPr>
        <w:tc>
          <w:tcPr>
            <w:tcW w:w="2953" w:type="dxa"/>
            <w:gridSpan w:val="4"/>
            <w:tcBorders>
              <w:bottom w:val="single" w:sz="104" w:space="0" w:color="88A44E"/>
            </w:tcBorders>
            <w:shd w:val="clear" w:color="auto" w:fill="70578F"/>
          </w:tcPr>
          <w:p>
            <w:pPr/>
          </w:p>
        </w:tc>
        <w:tc>
          <w:tcPr>
            <w:tcW w:w="146" w:type="dxa"/>
            <w:tcBorders>
              <w:bottom w:val="single" w:sz="52" w:space="0" w:color="AA4643"/>
            </w:tcBorders>
          </w:tcPr>
          <w:p>
            <w:pPr/>
          </w:p>
        </w:tc>
      </w:tr>
      <w:tr>
        <w:trPr>
          <w:trHeight w:val="259" w:hRule="exact"/>
        </w:trPr>
        <w:tc>
          <w:tcPr>
            <w:tcW w:w="2693" w:type="dxa"/>
            <w:gridSpan w:val="2"/>
            <w:tcBorders>
              <w:top w:val="single" w:sz="52" w:space="0" w:color="88A44E"/>
              <w:bottom w:val="single" w:sz="52" w:space="0" w:color="4571A7"/>
              <w:right w:val="single" w:sz="6" w:space="0" w:color="858585"/>
            </w:tcBorders>
            <w:shd w:val="clear" w:color="auto" w:fill="AA4643"/>
          </w:tcPr>
          <w:p>
            <w:pPr/>
          </w:p>
        </w:tc>
        <w:tc>
          <w:tcPr>
            <w:tcW w:w="406" w:type="dxa"/>
            <w:gridSpan w:val="3"/>
            <w:tcBorders>
              <w:left w:val="single" w:sz="6" w:space="0" w:color="858585"/>
            </w:tcBorders>
            <w:shd w:val="clear" w:color="auto" w:fill="AA4643"/>
          </w:tcPr>
          <w:p>
            <w:pPr/>
          </w:p>
        </w:tc>
      </w:tr>
      <w:tr>
        <w:trPr>
          <w:trHeight w:val="1294" w:hRule="exact"/>
        </w:trPr>
        <w:tc>
          <w:tcPr>
            <w:tcW w:w="2021" w:type="dxa"/>
            <w:tcBorders>
              <w:top w:val="single" w:sz="52" w:space="0" w:color="4571A7"/>
              <w:bottom w:val="single" w:sz="52" w:space="0" w:color="92A9CF"/>
              <w:right w:val="single" w:sz="6" w:space="0" w:color="858585"/>
            </w:tcBorders>
          </w:tcPr>
          <w:p>
            <w:pPr/>
          </w:p>
        </w:tc>
        <w:tc>
          <w:tcPr>
            <w:tcW w:w="672" w:type="dxa"/>
            <w:tcBorders>
              <w:top w:val="single" w:sz="52" w:space="0" w:color="4571A7"/>
              <w:left w:val="single" w:sz="6" w:space="0" w:color="858585"/>
              <w:right w:val="single" w:sz="6" w:space="0" w:color="858585"/>
            </w:tcBorders>
          </w:tcPr>
          <w:p>
            <w:pPr/>
          </w:p>
        </w:tc>
        <w:tc>
          <w:tcPr>
            <w:tcW w:w="406" w:type="dxa"/>
            <w:gridSpan w:val="3"/>
            <w:tcBorders>
              <w:left w:val="single" w:sz="6" w:space="0" w:color="858585"/>
            </w:tcBorders>
          </w:tcPr>
          <w:p>
            <w:pPr/>
          </w:p>
        </w:tc>
      </w:tr>
      <w:tr>
        <w:trPr>
          <w:trHeight w:val="259" w:hRule="exact"/>
        </w:trPr>
        <w:tc>
          <w:tcPr>
            <w:tcW w:w="2021" w:type="dxa"/>
            <w:tcBorders>
              <w:bottom w:val="single" w:sz="104" w:space="0" w:color="DB843C"/>
              <w:right w:val="single" w:sz="6" w:space="0" w:color="858585"/>
            </w:tcBorders>
            <w:shd w:val="clear" w:color="auto" w:fill="92A9CF"/>
          </w:tcPr>
          <w:p>
            <w:pPr/>
          </w:p>
        </w:tc>
        <w:tc>
          <w:tcPr>
            <w:tcW w:w="672" w:type="dxa"/>
            <w:tcBorders>
              <w:left w:val="single" w:sz="6" w:space="0" w:color="858585"/>
              <w:bottom w:val="single" w:sz="52" w:space="0" w:color="4197AE"/>
              <w:right w:val="single" w:sz="6" w:space="0" w:color="858585"/>
            </w:tcBorders>
            <w:shd w:val="clear" w:color="auto" w:fill="DB843C"/>
          </w:tcPr>
          <w:p>
            <w:pPr/>
          </w:p>
        </w:tc>
        <w:tc>
          <w:tcPr>
            <w:tcW w:w="115" w:type="dxa"/>
            <w:tcBorders>
              <w:left w:val="single" w:sz="6" w:space="0" w:color="858585"/>
              <w:bottom w:val="single" w:sz="52" w:space="0" w:color="4197AE"/>
            </w:tcBorders>
            <w:shd w:val="clear" w:color="auto" w:fill="DB843C"/>
          </w:tcPr>
          <w:p>
            <w:pPr/>
          </w:p>
        </w:tc>
        <w:tc>
          <w:tcPr>
            <w:tcW w:w="291" w:type="dxa"/>
            <w:gridSpan w:val="2"/>
          </w:tcPr>
          <w:p>
            <w:pPr/>
          </w:p>
        </w:tc>
      </w:tr>
      <w:tr>
        <w:trPr>
          <w:trHeight w:val="257" w:hRule="exact"/>
        </w:trPr>
        <w:tc>
          <w:tcPr>
            <w:tcW w:w="2953" w:type="dxa"/>
            <w:gridSpan w:val="4"/>
            <w:tcBorders>
              <w:top w:val="single" w:sz="52" w:space="0" w:color="DB843C"/>
              <w:bottom w:val="single" w:sz="103" w:space="0" w:color="88A44E"/>
            </w:tcBorders>
            <w:shd w:val="clear" w:color="auto" w:fill="4197AE"/>
          </w:tcPr>
          <w:p>
            <w:pPr/>
          </w:p>
        </w:tc>
        <w:tc>
          <w:tcPr>
            <w:tcW w:w="146" w:type="dxa"/>
          </w:tcPr>
          <w:p>
            <w:pPr/>
          </w:p>
        </w:tc>
      </w:tr>
      <w:tr>
        <w:trPr>
          <w:trHeight w:val="259" w:hRule="exact"/>
        </w:trPr>
        <w:tc>
          <w:tcPr>
            <w:tcW w:w="3099" w:type="dxa"/>
            <w:gridSpan w:val="5"/>
            <w:tcBorders>
              <w:top w:val="single" w:sz="51" w:space="0" w:color="70578F"/>
              <w:bottom w:val="single" w:sz="52" w:space="0" w:color="AA4643"/>
            </w:tcBorders>
            <w:shd w:val="clear" w:color="auto" w:fill="88A44E"/>
          </w:tcPr>
          <w:p>
            <w:pPr/>
          </w:p>
        </w:tc>
      </w:tr>
    </w:tbl>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5"/>
        </w:rPr>
      </w:pPr>
    </w:p>
    <w:p>
      <w:pPr>
        <w:spacing w:before="0"/>
        <w:ind w:left="3886" w:right="3906" w:firstLine="0"/>
        <w:jc w:val="center"/>
        <w:rPr>
          <w:sz w:val="20"/>
        </w:rPr>
      </w:pPr>
      <w:r>
        <w:rPr>
          <w:sz w:val="20"/>
        </w:rPr>
        <w:t>(Miranda, 2014).</w:t>
      </w:r>
    </w:p>
    <w:p>
      <w:pPr>
        <w:spacing w:after="0"/>
        <w:jc w:val="center"/>
        <w:rPr>
          <w:sz w:val="20"/>
        </w:rPr>
        <w:sectPr>
          <w:pgSz w:w="12240" w:h="15840"/>
          <w:pgMar w:header="0" w:footer="1032" w:top="1360" w:bottom="1220" w:left="1280" w:right="1260"/>
        </w:sectPr>
      </w:pPr>
    </w:p>
    <w:p>
      <w:pPr>
        <w:pStyle w:val="BodyText"/>
        <w:spacing w:line="360" w:lineRule="auto" w:before="57"/>
        <w:ind w:left="102" w:right="119"/>
        <w:jc w:val="both"/>
      </w:pPr>
      <w:r>
        <w:rPr/>
        <w:t>El 46.3% del total de los participantes (10 hombres y 28 mujeres) mencionaron  que la Perspectiva de Género podría dar solución a todos los problemas sociales planteados.</w:t>
      </w:r>
    </w:p>
    <w:p>
      <w:pPr>
        <w:pStyle w:val="BodyText"/>
        <w:spacing w:line="360" w:lineRule="auto" w:before="204"/>
        <w:ind w:left="102" w:right="116"/>
        <w:jc w:val="both"/>
      </w:pPr>
      <w:r>
        <w:rPr/>
        <w:t>Dentro de las respuestas más populares de los hombres en este rubro aparecen: la inequidad entre hombres y mujeres (25%), la violencia hacia las mujeres (16.6%) y el diseño de contenidos publicitarios discriminatorios (16.6%) como problemas sociales que pudiesen solucionarse mediante la Perspectiva de  Género. La dependencia económica de las mujeres ocupó el último</w:t>
      </w:r>
      <w:r>
        <w:rPr>
          <w:spacing w:val="-29"/>
        </w:rPr>
        <w:t> </w:t>
      </w:r>
      <w:r>
        <w:rPr/>
        <w:t>lugar.</w:t>
      </w:r>
    </w:p>
    <w:p>
      <w:pPr>
        <w:pStyle w:val="BodyText"/>
        <w:spacing w:line="360" w:lineRule="auto" w:before="202"/>
        <w:ind w:left="102" w:right="126"/>
        <w:jc w:val="both"/>
      </w:pPr>
      <w:r>
        <w:rPr/>
        <w:t>Por otra parte, las mujeres mencionaron a la invisibilidad de las mujeres como la ultima problemática a la cual la perspectiva de género pudiese brindar solución, seguida de la dependencia económica de las mujeres para este mismo rubro.</w:t>
      </w:r>
    </w:p>
    <w:p>
      <w:pPr>
        <w:pStyle w:val="BodyText"/>
        <w:spacing w:line="360" w:lineRule="auto" w:before="204"/>
        <w:ind w:left="102" w:right="123"/>
        <w:jc w:val="both"/>
      </w:pPr>
      <w:r>
        <w:rPr/>
        <w:t>Luego de caer en cuenta de los aportes de la Perspectiva de Género como mecanismo de impacto social en favor de la equidad entre hombres y mujeres, y de la igualdad de oportunidades, un 48.2% de las estudiantes, optaron por seleccionar todas las respuestas, frente a un, también importante, 41.6% de los hombres. Ello, seguido de la inequidad entre hombres y mujeres y del diseño de contenidos publicitarios discriminatorios con un 49.1% (25% de mujeres y 24.1% de hombres) y un 39% (16.6% de hombres y 22.4% de mujeres),</w:t>
      </w:r>
      <w:r>
        <w:rPr>
          <w:spacing w:val="-23"/>
        </w:rPr>
        <w:t> </w:t>
      </w:r>
      <w:r>
        <w:rPr/>
        <w:t>respectivamente.</w:t>
      </w:r>
    </w:p>
    <w:p>
      <w:pPr>
        <w:pStyle w:val="BodyText"/>
        <w:spacing w:line="360" w:lineRule="auto" w:before="204"/>
        <w:ind w:left="102" w:right="122"/>
        <w:jc w:val="both"/>
      </w:pPr>
      <w:r>
        <w:rPr/>
        <w:t>Serret (2008) insiste en la idea de que a partir de una mirada analítica de cada una de las problemáticas sociales con base en el criterio de la Perspectiva de Género, es posible concientizar sobre la desigualdad, la inequidad y la violencia que se genera de hombres hacia mujeres en razón de las relaciones de poder  que supone el género.</w:t>
      </w:r>
    </w:p>
    <w:p>
      <w:pPr>
        <w:pStyle w:val="BodyText"/>
        <w:spacing w:line="360" w:lineRule="auto" w:before="205"/>
        <w:ind w:left="102" w:right="122"/>
        <w:jc w:val="both"/>
      </w:pPr>
      <w:r>
        <w:rPr/>
        <w:t>Así, con base en lo dicho por Serret, y hasta este punto del cuestionario, las y los estudiantes, comienzan a reflexionar sobre el verdadero significado y las múltiples aplicaciones de la Perspectiva de Género y generan algunos comentarios de soporte.</w:t>
      </w:r>
    </w:p>
    <w:p>
      <w:pPr>
        <w:spacing w:after="0" w:line="360" w:lineRule="auto"/>
        <w:jc w:val="both"/>
        <w:sectPr>
          <w:pgSz w:w="12240" w:h="15840"/>
          <w:pgMar w:header="0" w:footer="1032" w:top="1360" w:bottom="1220" w:left="1600" w:right="1580"/>
        </w:sectPr>
      </w:pPr>
    </w:p>
    <w:p>
      <w:pPr>
        <w:spacing w:before="57"/>
        <w:ind w:left="102" w:right="0" w:firstLine="0"/>
        <w:jc w:val="both"/>
        <w:rPr>
          <w:sz w:val="22"/>
        </w:rPr>
      </w:pPr>
      <w:r>
        <w:rPr>
          <w:b/>
          <w:sz w:val="24"/>
        </w:rPr>
        <w:t>Pregunta 8. </w:t>
      </w:r>
      <w:r>
        <w:rPr>
          <w:sz w:val="22"/>
        </w:rPr>
        <w:t>(Ver Anexo 1)</w:t>
      </w:r>
    </w:p>
    <w:p>
      <w:pPr>
        <w:pStyle w:val="BodyText"/>
        <w:spacing w:before="4"/>
        <w:rPr>
          <w:sz w:val="29"/>
        </w:rPr>
      </w:pPr>
    </w:p>
    <w:p>
      <w:pPr>
        <w:pStyle w:val="BodyText"/>
        <w:spacing w:line="360" w:lineRule="auto" w:before="1"/>
        <w:ind w:left="102" w:right="120"/>
        <w:jc w:val="both"/>
      </w:pPr>
      <w:r>
        <w:rPr>
          <w:u w:val="single"/>
        </w:rPr>
        <w:t>Tabla 8.1. </w:t>
      </w:r>
      <w:r>
        <w:rPr/>
        <w:t>Respuestas del estudiantado al cuestionárseles si consideran o no que los medios de comunicación masiva funcionan como reforzadores del estereotipo de género.</w:t>
      </w:r>
    </w:p>
    <w:p>
      <w:pPr>
        <w:pStyle w:val="BodyText"/>
        <w:rPr>
          <w:sz w:val="20"/>
        </w:rPr>
      </w:pPr>
    </w:p>
    <w:p>
      <w:pPr>
        <w:pStyle w:val="BodyText"/>
        <w:spacing w:before="4"/>
        <w:rPr>
          <w:sz w:val="22"/>
        </w:rPr>
      </w:pPr>
    </w:p>
    <w:tbl>
      <w:tblPr>
        <w:tblW w:w="0" w:type="auto"/>
        <w:jc w:val="left"/>
        <w:tblInd w:w="118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327"/>
        <w:gridCol w:w="762"/>
        <w:gridCol w:w="1080"/>
        <w:gridCol w:w="1210"/>
        <w:gridCol w:w="1080"/>
        <w:gridCol w:w="1210"/>
      </w:tblGrid>
      <w:tr>
        <w:trPr>
          <w:trHeight w:val="364" w:hRule="exact"/>
        </w:trPr>
        <w:tc>
          <w:tcPr>
            <w:tcW w:w="2089" w:type="dxa"/>
            <w:gridSpan w:val="2"/>
            <w:vMerge w:val="restart"/>
            <w:shd w:val="clear" w:color="auto" w:fill="F1F1F1"/>
          </w:tcPr>
          <w:p>
            <w:pPr/>
          </w:p>
        </w:tc>
        <w:tc>
          <w:tcPr>
            <w:tcW w:w="4580" w:type="dxa"/>
            <w:gridSpan w:val="4"/>
            <w:shd w:val="clear" w:color="auto" w:fill="F1F1F1"/>
          </w:tcPr>
          <w:p>
            <w:pPr>
              <w:pStyle w:val="TableParagraph"/>
              <w:spacing w:before="68"/>
              <w:ind w:left="2017" w:right="2018"/>
              <w:jc w:val="center"/>
              <w:rPr>
                <w:sz w:val="18"/>
              </w:rPr>
            </w:pPr>
            <w:r>
              <w:rPr>
                <w:sz w:val="18"/>
              </w:rPr>
              <w:t>SEXO</w:t>
            </w:r>
          </w:p>
        </w:tc>
      </w:tr>
      <w:tr>
        <w:trPr>
          <w:trHeight w:val="361" w:hRule="exact"/>
        </w:trPr>
        <w:tc>
          <w:tcPr>
            <w:tcW w:w="2089" w:type="dxa"/>
            <w:gridSpan w:val="2"/>
            <w:vMerge/>
            <w:shd w:val="clear" w:color="auto" w:fill="F1F1F1"/>
          </w:tcPr>
          <w:p>
            <w:pPr/>
          </w:p>
        </w:tc>
        <w:tc>
          <w:tcPr>
            <w:tcW w:w="2290" w:type="dxa"/>
            <w:gridSpan w:val="2"/>
            <w:shd w:val="clear" w:color="auto" w:fill="F1F1F1"/>
          </w:tcPr>
          <w:p>
            <w:pPr>
              <w:pStyle w:val="TableParagraph"/>
              <w:spacing w:before="79"/>
              <w:ind w:left="757" w:right="757"/>
              <w:jc w:val="center"/>
              <w:rPr>
                <w:sz w:val="18"/>
              </w:rPr>
            </w:pPr>
            <w:r>
              <w:rPr>
                <w:sz w:val="18"/>
              </w:rPr>
              <w:t>Hombres</w:t>
            </w:r>
          </w:p>
        </w:tc>
        <w:tc>
          <w:tcPr>
            <w:tcW w:w="2290" w:type="dxa"/>
            <w:gridSpan w:val="2"/>
            <w:shd w:val="clear" w:color="auto" w:fill="F1F1F1"/>
          </w:tcPr>
          <w:p>
            <w:pPr>
              <w:pStyle w:val="TableParagraph"/>
              <w:spacing w:before="79"/>
              <w:ind w:left="800" w:right="802"/>
              <w:jc w:val="center"/>
              <w:rPr>
                <w:sz w:val="18"/>
              </w:rPr>
            </w:pPr>
            <w:r>
              <w:rPr>
                <w:sz w:val="18"/>
              </w:rPr>
              <w:t>Mujeres</w:t>
            </w:r>
          </w:p>
        </w:tc>
      </w:tr>
      <w:tr>
        <w:trPr>
          <w:trHeight w:val="350" w:hRule="exact"/>
        </w:trPr>
        <w:tc>
          <w:tcPr>
            <w:tcW w:w="2089" w:type="dxa"/>
            <w:gridSpan w:val="2"/>
            <w:vMerge/>
            <w:shd w:val="clear" w:color="auto" w:fill="F1F1F1"/>
          </w:tcPr>
          <w:p>
            <w:pPr/>
          </w:p>
        </w:tc>
        <w:tc>
          <w:tcPr>
            <w:tcW w:w="1080" w:type="dxa"/>
            <w:shd w:val="clear" w:color="auto" w:fill="F1F1F1"/>
          </w:tcPr>
          <w:p>
            <w:pPr>
              <w:pStyle w:val="TableParagraph"/>
              <w:spacing w:before="68"/>
              <w:ind w:left="70" w:right="71"/>
              <w:jc w:val="center"/>
              <w:rPr>
                <w:sz w:val="18"/>
              </w:rPr>
            </w:pPr>
            <w:r>
              <w:rPr>
                <w:sz w:val="18"/>
              </w:rPr>
              <w:t>Frecuencia</w:t>
            </w:r>
          </w:p>
        </w:tc>
        <w:tc>
          <w:tcPr>
            <w:tcW w:w="1210" w:type="dxa"/>
            <w:shd w:val="clear" w:color="auto" w:fill="F1F1F1"/>
          </w:tcPr>
          <w:p>
            <w:pPr>
              <w:pStyle w:val="TableParagraph"/>
              <w:spacing w:before="68"/>
              <w:jc w:val="center"/>
              <w:rPr>
                <w:sz w:val="18"/>
              </w:rPr>
            </w:pPr>
            <w:r>
              <w:rPr>
                <w:w w:val="99"/>
                <w:sz w:val="18"/>
              </w:rPr>
              <w:t>%</w:t>
            </w:r>
          </w:p>
        </w:tc>
        <w:tc>
          <w:tcPr>
            <w:tcW w:w="1080" w:type="dxa"/>
            <w:shd w:val="clear" w:color="auto" w:fill="F1F1F1"/>
          </w:tcPr>
          <w:p>
            <w:pPr>
              <w:pStyle w:val="TableParagraph"/>
              <w:spacing w:before="68"/>
              <w:ind w:left="68" w:right="72"/>
              <w:jc w:val="center"/>
              <w:rPr>
                <w:sz w:val="18"/>
              </w:rPr>
            </w:pPr>
            <w:r>
              <w:rPr>
                <w:sz w:val="18"/>
              </w:rPr>
              <w:t>Frecuencia</w:t>
            </w:r>
          </w:p>
        </w:tc>
        <w:tc>
          <w:tcPr>
            <w:tcW w:w="1210" w:type="dxa"/>
            <w:shd w:val="clear" w:color="auto" w:fill="F1F1F1"/>
          </w:tcPr>
          <w:p>
            <w:pPr>
              <w:pStyle w:val="TableParagraph"/>
              <w:spacing w:before="68"/>
              <w:ind w:right="522"/>
              <w:jc w:val="right"/>
              <w:rPr>
                <w:sz w:val="18"/>
              </w:rPr>
            </w:pPr>
            <w:r>
              <w:rPr>
                <w:w w:val="99"/>
                <w:sz w:val="18"/>
              </w:rPr>
              <w:t>%</w:t>
            </w:r>
          </w:p>
        </w:tc>
      </w:tr>
      <w:tr>
        <w:trPr>
          <w:trHeight w:val="269" w:hRule="exact"/>
        </w:trPr>
        <w:tc>
          <w:tcPr>
            <w:tcW w:w="1327" w:type="dxa"/>
            <w:tcBorders>
              <w:bottom w:val="nil"/>
              <w:right w:val="nil"/>
            </w:tcBorders>
            <w:shd w:val="clear" w:color="auto" w:fill="F1F1F1"/>
          </w:tcPr>
          <w:p>
            <w:pPr/>
          </w:p>
        </w:tc>
        <w:tc>
          <w:tcPr>
            <w:tcW w:w="762" w:type="dxa"/>
            <w:tcBorders>
              <w:left w:val="nil"/>
              <w:bottom w:val="nil"/>
            </w:tcBorders>
            <w:shd w:val="clear" w:color="auto" w:fill="F1F1F1"/>
          </w:tcPr>
          <w:p>
            <w:pPr>
              <w:pStyle w:val="TableParagraph"/>
              <w:spacing w:line="207" w:lineRule="exact"/>
              <w:ind w:left="135"/>
              <w:rPr>
                <w:sz w:val="18"/>
              </w:rPr>
            </w:pPr>
            <w:r>
              <w:rPr>
                <w:sz w:val="18"/>
              </w:rPr>
              <w:t>No</w:t>
            </w:r>
          </w:p>
        </w:tc>
        <w:tc>
          <w:tcPr>
            <w:tcW w:w="1080" w:type="dxa"/>
            <w:tcBorders>
              <w:bottom w:val="nil"/>
            </w:tcBorders>
          </w:tcPr>
          <w:p>
            <w:pPr>
              <w:pStyle w:val="TableParagraph"/>
              <w:spacing w:before="33"/>
              <w:jc w:val="center"/>
              <w:rPr>
                <w:sz w:val="18"/>
              </w:rPr>
            </w:pPr>
            <w:r>
              <w:rPr>
                <w:w w:val="99"/>
                <w:sz w:val="18"/>
              </w:rPr>
              <w:t>4</w:t>
            </w:r>
          </w:p>
        </w:tc>
        <w:tc>
          <w:tcPr>
            <w:tcW w:w="1210" w:type="dxa"/>
            <w:tcBorders>
              <w:bottom w:val="nil"/>
            </w:tcBorders>
          </w:tcPr>
          <w:p>
            <w:pPr>
              <w:pStyle w:val="TableParagraph"/>
              <w:spacing w:before="33"/>
              <w:ind w:left="406" w:right="406"/>
              <w:jc w:val="center"/>
              <w:rPr>
                <w:sz w:val="18"/>
              </w:rPr>
            </w:pPr>
            <w:r>
              <w:rPr>
                <w:sz w:val="18"/>
              </w:rPr>
              <w:t>16.7</w:t>
            </w:r>
          </w:p>
        </w:tc>
        <w:tc>
          <w:tcPr>
            <w:tcW w:w="1080" w:type="dxa"/>
            <w:tcBorders>
              <w:bottom w:val="nil"/>
            </w:tcBorders>
          </w:tcPr>
          <w:p>
            <w:pPr>
              <w:pStyle w:val="TableParagraph"/>
              <w:spacing w:before="33"/>
              <w:ind w:right="3"/>
              <w:jc w:val="center"/>
              <w:rPr>
                <w:sz w:val="18"/>
              </w:rPr>
            </w:pPr>
            <w:r>
              <w:rPr>
                <w:w w:val="99"/>
                <w:sz w:val="18"/>
              </w:rPr>
              <w:t>5</w:t>
            </w:r>
          </w:p>
        </w:tc>
        <w:tc>
          <w:tcPr>
            <w:tcW w:w="1210" w:type="dxa"/>
            <w:tcBorders>
              <w:bottom w:val="nil"/>
            </w:tcBorders>
          </w:tcPr>
          <w:p>
            <w:pPr>
              <w:pStyle w:val="TableParagraph"/>
              <w:spacing w:before="33"/>
              <w:ind w:right="477"/>
              <w:jc w:val="right"/>
              <w:rPr>
                <w:sz w:val="18"/>
              </w:rPr>
            </w:pPr>
            <w:r>
              <w:rPr>
                <w:w w:val="95"/>
                <w:sz w:val="18"/>
              </w:rPr>
              <w:t>8.6</w:t>
            </w:r>
          </w:p>
        </w:tc>
      </w:tr>
      <w:tr>
        <w:trPr>
          <w:trHeight w:val="284" w:hRule="exact"/>
        </w:trPr>
        <w:tc>
          <w:tcPr>
            <w:tcW w:w="1327" w:type="dxa"/>
            <w:tcBorders>
              <w:top w:val="nil"/>
              <w:right w:val="nil"/>
            </w:tcBorders>
            <w:shd w:val="clear" w:color="auto" w:fill="F1F1F1"/>
          </w:tcPr>
          <w:p>
            <w:pPr/>
          </w:p>
        </w:tc>
        <w:tc>
          <w:tcPr>
            <w:tcW w:w="762" w:type="dxa"/>
            <w:tcBorders>
              <w:top w:val="nil"/>
              <w:left w:val="nil"/>
            </w:tcBorders>
            <w:shd w:val="clear" w:color="auto" w:fill="F1F1F1"/>
          </w:tcPr>
          <w:p>
            <w:pPr>
              <w:pStyle w:val="TableParagraph"/>
              <w:spacing w:before="7"/>
              <w:ind w:left="135"/>
              <w:rPr>
                <w:sz w:val="18"/>
              </w:rPr>
            </w:pPr>
            <w:r>
              <w:rPr>
                <w:sz w:val="18"/>
              </w:rPr>
              <w:t>Si</w:t>
            </w:r>
          </w:p>
        </w:tc>
        <w:tc>
          <w:tcPr>
            <w:tcW w:w="1080" w:type="dxa"/>
            <w:tcBorders>
              <w:top w:val="nil"/>
            </w:tcBorders>
          </w:tcPr>
          <w:p>
            <w:pPr>
              <w:pStyle w:val="TableParagraph"/>
              <w:spacing w:before="40"/>
              <w:ind w:left="70" w:right="70"/>
              <w:jc w:val="center"/>
              <w:rPr>
                <w:sz w:val="18"/>
              </w:rPr>
            </w:pPr>
            <w:r>
              <w:rPr>
                <w:sz w:val="18"/>
              </w:rPr>
              <w:t>20</w:t>
            </w:r>
          </w:p>
        </w:tc>
        <w:tc>
          <w:tcPr>
            <w:tcW w:w="1210" w:type="dxa"/>
            <w:tcBorders>
              <w:top w:val="nil"/>
            </w:tcBorders>
          </w:tcPr>
          <w:p>
            <w:pPr>
              <w:pStyle w:val="TableParagraph"/>
              <w:spacing w:before="40"/>
              <w:ind w:left="406" w:right="406"/>
              <w:jc w:val="center"/>
              <w:rPr>
                <w:sz w:val="18"/>
              </w:rPr>
            </w:pPr>
            <w:r>
              <w:rPr>
                <w:sz w:val="18"/>
              </w:rPr>
              <w:t>83.3</w:t>
            </w:r>
          </w:p>
        </w:tc>
        <w:tc>
          <w:tcPr>
            <w:tcW w:w="1080" w:type="dxa"/>
            <w:tcBorders>
              <w:top w:val="nil"/>
            </w:tcBorders>
          </w:tcPr>
          <w:p>
            <w:pPr>
              <w:pStyle w:val="TableParagraph"/>
              <w:spacing w:before="40"/>
              <w:ind w:left="70" w:right="72"/>
              <w:jc w:val="center"/>
              <w:rPr>
                <w:sz w:val="18"/>
              </w:rPr>
            </w:pPr>
            <w:r>
              <w:rPr>
                <w:sz w:val="18"/>
              </w:rPr>
              <w:t>53</w:t>
            </w:r>
          </w:p>
        </w:tc>
        <w:tc>
          <w:tcPr>
            <w:tcW w:w="1210" w:type="dxa"/>
            <w:tcBorders>
              <w:top w:val="nil"/>
            </w:tcBorders>
          </w:tcPr>
          <w:p>
            <w:pPr>
              <w:pStyle w:val="TableParagraph"/>
              <w:spacing w:before="40"/>
              <w:ind w:right="427"/>
              <w:jc w:val="right"/>
              <w:rPr>
                <w:sz w:val="18"/>
              </w:rPr>
            </w:pPr>
            <w:r>
              <w:rPr>
                <w:w w:val="95"/>
                <w:sz w:val="18"/>
              </w:rPr>
              <w:t>91.4</w:t>
            </w:r>
          </w:p>
        </w:tc>
      </w:tr>
    </w:tbl>
    <w:p>
      <w:pPr>
        <w:pStyle w:val="BodyText"/>
        <w:spacing w:before="3"/>
        <w:rPr>
          <w:sz w:val="11"/>
        </w:rPr>
      </w:pPr>
    </w:p>
    <w:p>
      <w:pPr>
        <w:spacing w:before="74"/>
        <w:ind w:left="134" w:right="154" w:firstLine="0"/>
        <w:jc w:val="center"/>
        <w:rPr>
          <w:sz w:val="20"/>
        </w:rPr>
      </w:pPr>
      <w:r>
        <w:rPr>
          <w:sz w:val="20"/>
        </w:rPr>
        <w:t>(Miranda, 2014).</w:t>
      </w:r>
    </w:p>
    <w:p>
      <w:pPr>
        <w:pStyle w:val="BodyText"/>
        <w:rPr>
          <w:sz w:val="20"/>
        </w:rPr>
      </w:pPr>
    </w:p>
    <w:p>
      <w:pPr>
        <w:pStyle w:val="BodyText"/>
        <w:rPr>
          <w:sz w:val="26"/>
        </w:rPr>
      </w:pPr>
    </w:p>
    <w:p>
      <w:pPr>
        <w:pStyle w:val="BodyText"/>
        <w:spacing w:line="360" w:lineRule="auto"/>
        <w:ind w:left="102" w:right="117"/>
        <w:jc w:val="both"/>
      </w:pPr>
      <w:r>
        <w:rPr>
          <w:u w:val="single"/>
        </w:rPr>
        <w:t>Gráfica 8.1. </w:t>
      </w:r>
      <w:r>
        <w:rPr/>
        <w:t>Respuestas del estudiantado al cuestionárseles si consideran o no  que los medios de comunicación masiva funcionan como reforzadores del estereotipo de</w:t>
      </w:r>
      <w:r>
        <w:rPr>
          <w:spacing w:val="-7"/>
        </w:rPr>
        <w:t> </w:t>
      </w:r>
      <w:r>
        <w:rPr/>
        <w:t>género.</w:t>
      </w:r>
    </w:p>
    <w:p>
      <w:pPr>
        <w:pStyle w:val="BodyText"/>
        <w:rPr>
          <w:sz w:val="20"/>
        </w:rPr>
      </w:pPr>
    </w:p>
    <w:p>
      <w:pPr>
        <w:pStyle w:val="BodyText"/>
        <w:spacing w:before="5"/>
        <w:rPr>
          <w:sz w:val="12"/>
        </w:rPr>
      </w:pPr>
      <w:r>
        <w:rPr/>
        <w:pict>
          <v:group style="position:absolute;margin-left:110.635002pt;margin-top:9.109882pt;width:390.2pt;height:205.85pt;mso-position-horizontal-relative:page;mso-position-vertical-relative:paragraph;z-index:3376;mso-wrap-distance-left:0;mso-wrap-distance-right:0" coordorigin="2213,182" coordsize="7804,4117">
            <v:line style="position:absolute" from="8357,3388" to="9007,3388" stroked="true" strokeweight=".72pt" strokecolor="#858585"/>
            <v:line style="position:absolute" from="5323,3388" to="7490,3388" stroked="true" strokeweight=".72pt" strokecolor="#858585"/>
            <v:line style="position:absolute" from="2940,3388" to="3590,3388" stroked="true" strokeweight=".72pt" strokecolor="#858585"/>
            <v:rect style="position:absolute;left:3590;top:3167;width:866;height:547" filled="true" fillcolor="#4f81bc" stroked="false">
              <v:fill type="solid"/>
            </v:rect>
            <v:line style="position:absolute" from="5323,3059" to="7490,3059" stroked="true" strokeweight=".72pt" strokecolor="#858585"/>
            <v:line style="position:absolute" from="2940,3059" to="4457,3059" stroked="true" strokeweight=".72pt" strokecolor="#858585"/>
            <v:line style="position:absolute" from="5323,2730" to="7490,2730" stroked="true" strokeweight=".72pt" strokecolor="#858585"/>
            <v:line style="position:absolute" from="2940,2730" to="4457,2730" stroked="true" strokeweight=".72pt" strokecolor="#858585"/>
            <v:line style="position:absolute" from="5323,2404" to="7490,2404" stroked="true" strokeweight=".72pt" strokecolor="#858585"/>
            <v:line style="position:absolute" from="2940,2404" to="4457,2404" stroked="true" strokeweight=".72pt" strokecolor="#858585"/>
            <v:line style="position:absolute" from="5323,2075" to="7490,2075" stroked="true" strokeweight=".72pt" strokecolor="#858585"/>
            <v:line style="position:absolute" from="2940,2075" to="4457,2075" stroked="true" strokeweight=".72pt" strokecolor="#858585"/>
            <v:line style="position:absolute" from="5323,1746" to="7490,1746" stroked="true" strokeweight=".72pt" strokecolor="#858585"/>
            <v:line style="position:absolute" from="2940,1746" to="4457,1746" stroked="true" strokeweight=".72pt" strokecolor="#858585"/>
            <v:line style="position:absolute" from="5323,1420" to="7490,1420" stroked="true" strokeweight=".72pt" strokecolor="#858585"/>
            <v:line style="position:absolute" from="2940,1420" to="4457,1420" stroked="true" strokeweight=".72pt" strokecolor="#858585"/>
            <v:line style="position:absolute" from="5323,1091" to="7490,1091" stroked="true" strokeweight=".72pt" strokecolor="#858585"/>
            <v:line style="position:absolute" from="2940,1091" to="4457,1091" stroked="true" strokeweight=".72pt" strokecolor="#858585"/>
            <v:rect style="position:absolute;left:4457;top:983;width:866;height:2731" filled="true" fillcolor="#c0504d" stroked="false">
              <v:fill type="solid"/>
            </v:rect>
            <v:line style="position:absolute" from="8357,3059" to="9007,3059" stroked="true" strokeweight=".72pt" strokecolor="#858585"/>
            <v:line style="position:absolute" from="8357,2730" to="9007,2730" stroked="true" strokeweight=".72pt" strokecolor="#858585"/>
            <v:line style="position:absolute" from="8357,2404" to="9007,2404" stroked="true" strokeweight=".72pt" strokecolor="#858585"/>
            <v:line style="position:absolute" from="8357,2075" to="9007,2075" stroked="true" strokeweight=".72pt" strokecolor="#858585"/>
            <v:line style="position:absolute" from="8357,1746" to="9007,1746" stroked="true" strokeweight=".72pt" strokecolor="#858585"/>
            <v:line style="position:absolute" from="8357,1420" to="9007,1420" stroked="true" strokeweight=".72pt" strokecolor="#858585"/>
            <v:line style="position:absolute" from="8357,1091" to="9007,1091" stroked="true" strokeweight=".72pt" strokecolor="#858585"/>
            <v:line style="position:absolute" from="8357,762" to="9007,762" stroked="true" strokeweight=".72pt" strokecolor="#858585"/>
            <v:line style="position:absolute" from="2940,762" to="7490,762" stroked="true" strokeweight=".72pt" strokecolor="#858585"/>
            <v:rect style="position:absolute;left:7490;top:717;width:866;height:2998" filled="true" fillcolor="#c0504d" stroked="false">
              <v:fill type="solid"/>
            </v:rect>
            <v:line style="position:absolute" from="2940,436" to="9007,436" stroked="true" strokeweight=".72pt" strokecolor="#858585"/>
            <v:line style="position:absolute" from="2940,3714" to="2940,436" stroked="true" strokeweight=".72pt" strokecolor="#858585"/>
            <v:line style="position:absolute" from="2863,3714" to="2940,3714" stroked="true" strokeweight=".72pt" strokecolor="#858585"/>
            <v:line style="position:absolute" from="2863,3388" to="2940,3388" stroked="true" strokeweight=".72pt" strokecolor="#858585"/>
            <v:line style="position:absolute" from="2863,3059" to="2940,3059" stroked="true" strokeweight=".72pt" strokecolor="#858585"/>
            <v:line style="position:absolute" from="2863,2730" to="2940,2730" stroked="true" strokeweight=".72pt" strokecolor="#858585"/>
            <v:line style="position:absolute" from="2863,2404" to="2940,2404" stroked="true" strokeweight=".72pt" strokecolor="#858585"/>
            <v:line style="position:absolute" from="2863,2075" to="2940,2075" stroked="true" strokeweight=".72pt" strokecolor="#858585"/>
            <v:line style="position:absolute" from="2863,1746" to="2940,1746" stroked="true" strokeweight=".72pt" strokecolor="#858585"/>
            <v:line style="position:absolute" from="2863,1420" to="2940,1420" stroked="true" strokeweight=".72pt" strokecolor="#858585"/>
            <v:line style="position:absolute" from="2863,1091" to="2940,1091" stroked="true" strokeweight=".72pt" strokecolor="#858585"/>
            <v:line style="position:absolute" from="2863,762" to="2940,762" stroked="true" strokeweight=".72pt" strokecolor="#858585"/>
            <v:line style="position:absolute" from="2863,436" to="2940,436" stroked="true" strokeweight=".72pt" strokecolor="#858585"/>
            <v:line style="position:absolute" from="2940,3714" to="9007,3714" stroked="true" strokeweight=".72pt" strokecolor="#858585"/>
            <v:line style="position:absolute" from="2940,3714" to="2940,3791" stroked="true" strokeweight=".72pt" strokecolor="#858585"/>
            <v:line style="position:absolute" from="5974,3714" to="5974,3791" stroked="true" strokeweight=".72pt" strokecolor="#858585"/>
            <v:line style="position:absolute" from="9007,3714" to="9007,3791" stroked="true" strokeweight=".72pt" strokecolor="#858585"/>
            <v:rect style="position:absolute;left:9336;top:1970;width:132;height:132" filled="true" fillcolor="#4f81bc" stroked="false">
              <v:fill type="solid"/>
            </v:rect>
            <v:rect style="position:absolute;left:9336;top:2380;width:132;height:130" filled="true" fillcolor="#c0504d" stroked="false">
              <v:fill type="solid"/>
            </v:rect>
            <v:rect style="position:absolute;left:2220;top:190;width:7789;height:4102" filled="false" stroked="true" strokeweight=".75pt" strokecolor="#858585"/>
            <v:shape style="position:absolute;left:2351;top:326;width:367;height:3521" type="#_x0000_t202" filled="false" stroked="false">
              <v:textbox inset="0,0,0,0">
                <w:txbxContent>
                  <w:p>
                    <w:pPr>
                      <w:spacing w:line="244" w:lineRule="exact" w:before="0"/>
                      <w:ind w:left="0" w:right="0" w:firstLine="0"/>
                      <w:jc w:val="center"/>
                      <w:rPr>
                        <w:rFonts w:ascii="Calibri"/>
                        <w:sz w:val="24"/>
                      </w:rPr>
                    </w:pPr>
                    <w:r>
                      <w:rPr>
                        <w:rFonts w:ascii="Calibri"/>
                        <w:sz w:val="24"/>
                      </w:rPr>
                      <w:t>100</w:t>
                    </w:r>
                  </w:p>
                  <w:p>
                    <w:pPr>
                      <w:spacing w:before="35"/>
                      <w:ind w:left="121" w:right="0" w:firstLine="0"/>
                      <w:jc w:val="center"/>
                      <w:rPr>
                        <w:rFonts w:ascii="Calibri"/>
                        <w:sz w:val="24"/>
                      </w:rPr>
                    </w:pPr>
                    <w:r>
                      <w:rPr>
                        <w:rFonts w:ascii="Calibri"/>
                        <w:sz w:val="24"/>
                      </w:rPr>
                      <w:t>90</w:t>
                    </w:r>
                  </w:p>
                  <w:p>
                    <w:pPr>
                      <w:spacing w:before="35"/>
                      <w:ind w:left="121" w:right="0" w:firstLine="0"/>
                      <w:jc w:val="center"/>
                      <w:rPr>
                        <w:rFonts w:ascii="Calibri"/>
                        <w:sz w:val="24"/>
                      </w:rPr>
                    </w:pPr>
                    <w:r>
                      <w:rPr>
                        <w:rFonts w:ascii="Calibri"/>
                        <w:sz w:val="24"/>
                      </w:rPr>
                      <w:t>80</w:t>
                    </w:r>
                  </w:p>
                  <w:p>
                    <w:pPr>
                      <w:spacing w:before="35"/>
                      <w:ind w:left="121" w:right="0" w:firstLine="0"/>
                      <w:jc w:val="center"/>
                      <w:rPr>
                        <w:rFonts w:ascii="Calibri"/>
                        <w:sz w:val="24"/>
                      </w:rPr>
                    </w:pPr>
                    <w:r>
                      <w:rPr>
                        <w:rFonts w:ascii="Calibri"/>
                        <w:sz w:val="24"/>
                      </w:rPr>
                      <w:t>70</w:t>
                    </w:r>
                  </w:p>
                  <w:p>
                    <w:pPr>
                      <w:spacing w:before="35"/>
                      <w:ind w:left="121" w:right="0" w:firstLine="0"/>
                      <w:jc w:val="center"/>
                      <w:rPr>
                        <w:rFonts w:ascii="Calibri"/>
                        <w:sz w:val="24"/>
                      </w:rPr>
                    </w:pPr>
                    <w:r>
                      <w:rPr>
                        <w:rFonts w:ascii="Calibri"/>
                        <w:sz w:val="24"/>
                      </w:rPr>
                      <w:t>60</w:t>
                    </w:r>
                  </w:p>
                  <w:p>
                    <w:pPr>
                      <w:spacing w:before="35"/>
                      <w:ind w:left="121" w:right="0" w:firstLine="0"/>
                      <w:jc w:val="center"/>
                      <w:rPr>
                        <w:rFonts w:ascii="Calibri"/>
                        <w:sz w:val="24"/>
                      </w:rPr>
                    </w:pPr>
                    <w:r>
                      <w:rPr>
                        <w:rFonts w:ascii="Calibri"/>
                        <w:sz w:val="24"/>
                      </w:rPr>
                      <w:t>50</w:t>
                    </w:r>
                  </w:p>
                  <w:p>
                    <w:pPr>
                      <w:spacing w:before="35"/>
                      <w:ind w:left="121" w:right="0" w:firstLine="0"/>
                      <w:jc w:val="center"/>
                      <w:rPr>
                        <w:rFonts w:ascii="Calibri"/>
                        <w:sz w:val="24"/>
                      </w:rPr>
                    </w:pPr>
                    <w:r>
                      <w:rPr>
                        <w:rFonts w:ascii="Calibri"/>
                        <w:sz w:val="24"/>
                      </w:rPr>
                      <w:t>40</w:t>
                    </w:r>
                  </w:p>
                  <w:p>
                    <w:pPr>
                      <w:spacing w:before="35"/>
                      <w:ind w:left="121" w:right="0" w:firstLine="0"/>
                      <w:jc w:val="center"/>
                      <w:rPr>
                        <w:rFonts w:ascii="Calibri"/>
                        <w:sz w:val="24"/>
                      </w:rPr>
                    </w:pPr>
                    <w:r>
                      <w:rPr>
                        <w:rFonts w:ascii="Calibri"/>
                        <w:sz w:val="24"/>
                      </w:rPr>
                      <w:t>30</w:t>
                    </w:r>
                  </w:p>
                  <w:p>
                    <w:pPr>
                      <w:spacing w:before="35"/>
                      <w:ind w:left="121" w:right="0" w:firstLine="0"/>
                      <w:jc w:val="center"/>
                      <w:rPr>
                        <w:rFonts w:ascii="Calibri"/>
                        <w:sz w:val="24"/>
                      </w:rPr>
                    </w:pPr>
                    <w:r>
                      <w:rPr>
                        <w:rFonts w:ascii="Calibri"/>
                        <w:sz w:val="24"/>
                      </w:rPr>
                      <w:t>20</w:t>
                    </w:r>
                  </w:p>
                  <w:p>
                    <w:pPr>
                      <w:spacing w:before="35"/>
                      <w:ind w:left="121" w:right="0" w:firstLine="0"/>
                      <w:jc w:val="center"/>
                      <w:rPr>
                        <w:rFonts w:ascii="Calibri"/>
                        <w:sz w:val="24"/>
                      </w:rPr>
                    </w:pPr>
                    <w:r>
                      <w:rPr>
                        <w:rFonts w:ascii="Calibri"/>
                        <w:sz w:val="24"/>
                      </w:rPr>
                      <w:t>10</w:t>
                    </w:r>
                  </w:p>
                  <w:p>
                    <w:pPr>
                      <w:spacing w:line="289" w:lineRule="exact" w:before="35"/>
                      <w:ind w:left="242" w:right="0" w:firstLine="0"/>
                      <w:jc w:val="center"/>
                      <w:rPr>
                        <w:rFonts w:ascii="Calibri"/>
                        <w:sz w:val="24"/>
                      </w:rPr>
                    </w:pPr>
                    <w:r>
                      <w:rPr>
                        <w:rFonts w:ascii="Calibri"/>
                        <w:w w:val="100"/>
                        <w:sz w:val="24"/>
                      </w:rPr>
                      <w:t>0</w:t>
                    </w:r>
                  </w:p>
                </w:txbxContent>
              </v:textbox>
              <w10:wrap type="none"/>
            </v:shape>
            <v:shape style="position:absolute;left:4674;top:2253;width:427;height:241" type="#_x0000_t202" filled="false" stroked="false">
              <v:textbox inset="0,0,0,0">
                <w:txbxContent>
                  <w:p>
                    <w:pPr>
                      <w:spacing w:line="240" w:lineRule="exact" w:before="0"/>
                      <w:ind w:left="0" w:right="-19" w:firstLine="0"/>
                      <w:jc w:val="left"/>
                      <w:rPr>
                        <w:rFonts w:ascii="Calibri"/>
                        <w:sz w:val="24"/>
                      </w:rPr>
                    </w:pPr>
                    <w:r>
                      <w:rPr>
                        <w:rFonts w:ascii="Calibri"/>
                        <w:sz w:val="24"/>
                      </w:rPr>
                      <w:t>83.3</w:t>
                    </w:r>
                  </w:p>
                </w:txbxContent>
              </v:textbox>
              <w10:wrap type="none"/>
            </v:shape>
            <v:shape style="position:absolute;left:7708;top:2120;width:427;height:240" type="#_x0000_t202" filled="false" stroked="false">
              <v:textbox inset="0,0,0,0">
                <w:txbxContent>
                  <w:p>
                    <w:pPr>
                      <w:spacing w:line="240" w:lineRule="exact" w:before="0"/>
                      <w:ind w:left="0" w:right="-19" w:firstLine="0"/>
                      <w:jc w:val="left"/>
                      <w:rPr>
                        <w:rFonts w:ascii="Calibri"/>
                        <w:sz w:val="24"/>
                      </w:rPr>
                    </w:pPr>
                    <w:r>
                      <w:rPr>
                        <w:rFonts w:ascii="Calibri"/>
                        <w:sz w:val="24"/>
                      </w:rPr>
                      <w:t>91.4</w:t>
                    </w:r>
                  </w:p>
                </w:txbxContent>
              </v:textbox>
              <w10:wrap type="none"/>
            </v:shape>
            <v:shape style="position:absolute;left:9527;top:1925;width:284;height:650" type="#_x0000_t202" filled="false" stroked="false">
              <v:textbox inset="0,0,0,0">
                <w:txbxContent>
                  <w:p>
                    <w:pPr>
                      <w:spacing w:line="244" w:lineRule="exact" w:before="0"/>
                      <w:ind w:left="0" w:right="-18" w:firstLine="0"/>
                      <w:jc w:val="left"/>
                      <w:rPr>
                        <w:rFonts w:ascii="Calibri"/>
                        <w:sz w:val="24"/>
                      </w:rPr>
                    </w:pPr>
                    <w:r>
                      <w:rPr>
                        <w:rFonts w:ascii="Calibri"/>
                        <w:sz w:val="24"/>
                      </w:rPr>
                      <w:t>No</w:t>
                    </w:r>
                  </w:p>
                  <w:p>
                    <w:pPr>
                      <w:spacing w:line="289" w:lineRule="exact" w:before="117"/>
                      <w:ind w:left="0" w:right="-18" w:firstLine="0"/>
                      <w:jc w:val="left"/>
                      <w:rPr>
                        <w:rFonts w:ascii="Calibri" w:hAnsi="Calibri"/>
                        <w:sz w:val="24"/>
                      </w:rPr>
                    </w:pPr>
                    <w:r>
                      <w:rPr>
                        <w:rFonts w:ascii="Calibri" w:hAnsi="Calibri"/>
                        <w:sz w:val="24"/>
                      </w:rPr>
                      <w:t>Sí</w:t>
                    </w:r>
                  </w:p>
                </w:txbxContent>
              </v:textbox>
              <w10:wrap type="none"/>
            </v:shape>
            <v:shape style="position:absolute;left:3823;top:3325;width:427;height:240" type="#_x0000_t202" filled="false" stroked="false">
              <v:textbox inset="0,0,0,0">
                <w:txbxContent>
                  <w:p>
                    <w:pPr>
                      <w:spacing w:line="240" w:lineRule="exact" w:before="0"/>
                      <w:ind w:left="0" w:right="-19" w:firstLine="0"/>
                      <w:jc w:val="left"/>
                      <w:rPr>
                        <w:rFonts w:ascii="Calibri"/>
                        <w:sz w:val="24"/>
                      </w:rPr>
                    </w:pPr>
                    <w:r>
                      <w:rPr>
                        <w:rFonts w:ascii="Calibri"/>
                        <w:sz w:val="24"/>
                      </w:rPr>
                      <w:t>16.7</w:t>
                    </w:r>
                  </w:p>
                </w:txbxContent>
              </v:textbox>
              <w10:wrap type="none"/>
            </v:shape>
            <v:shape style="position:absolute;left:4009;top:3918;width:891;height:240" type="#_x0000_t202" filled="false" stroked="false">
              <v:textbox inset="0,0,0,0">
                <w:txbxContent>
                  <w:p>
                    <w:pPr>
                      <w:spacing w:line="240" w:lineRule="exact" w:before="0"/>
                      <w:ind w:left="0" w:right="-20" w:firstLine="0"/>
                      <w:jc w:val="left"/>
                      <w:rPr>
                        <w:rFonts w:ascii="Calibri"/>
                        <w:sz w:val="24"/>
                      </w:rPr>
                    </w:pPr>
                    <w:r>
                      <w:rPr>
                        <w:rFonts w:ascii="Calibri"/>
                        <w:sz w:val="24"/>
                      </w:rPr>
                      <w:t>Hombres</w:t>
                    </w:r>
                  </w:p>
                </w:txbxContent>
              </v:textbox>
              <w10:wrap type="none"/>
            </v:shape>
            <v:shape style="position:absolute;left:6624;top:3452;width:1266;height:706" type="#_x0000_t202" filled="false" stroked="false">
              <v:textbox inset="0,0,0,0">
                <w:txbxContent>
                  <w:p>
                    <w:pPr>
                      <w:tabs>
                        <w:tab w:pos="866" w:val="left" w:leader="none"/>
                      </w:tabs>
                      <w:spacing w:line="244" w:lineRule="exact" w:before="0"/>
                      <w:ind w:left="0" w:right="0" w:firstLine="0"/>
                      <w:jc w:val="left"/>
                      <w:rPr>
                        <w:rFonts w:ascii="Calibri"/>
                        <w:sz w:val="24"/>
                      </w:rPr>
                    </w:pPr>
                    <w:r>
                      <w:rPr>
                        <w:rFonts w:ascii="Calibri"/>
                        <w:sz w:val="24"/>
                        <w:shd w:fill="4F81BC" w:color="auto" w:val="clear"/>
                      </w:rPr>
                      <w:t>    </w:t>
                    </w:r>
                    <w:r>
                      <w:rPr>
                        <w:rFonts w:ascii="Calibri"/>
                        <w:spacing w:val="-19"/>
                        <w:sz w:val="24"/>
                        <w:shd w:fill="4F81BC" w:color="auto" w:val="clear"/>
                      </w:rPr>
                      <w:t> </w:t>
                    </w:r>
                    <w:r>
                      <w:rPr>
                        <w:rFonts w:ascii="Calibri"/>
                        <w:sz w:val="24"/>
                        <w:shd w:fill="4F81BC" w:color="auto" w:val="clear"/>
                      </w:rPr>
                      <w:t>8.6</w:t>
                      <w:tab/>
                    </w:r>
                  </w:p>
                  <w:p>
                    <w:pPr>
                      <w:spacing w:line="289" w:lineRule="exact" w:before="173"/>
                      <w:ind w:left="462" w:right="-15" w:firstLine="0"/>
                      <w:jc w:val="left"/>
                      <w:rPr>
                        <w:rFonts w:ascii="Calibri"/>
                        <w:sz w:val="24"/>
                      </w:rPr>
                    </w:pPr>
                    <w:r>
                      <w:rPr>
                        <w:rFonts w:ascii="Calibri"/>
                        <w:spacing w:val="-1"/>
                        <w:sz w:val="24"/>
                      </w:rPr>
                      <w:t>Mujeres</w:t>
                    </w:r>
                  </w:p>
                </w:txbxContent>
              </v:textbox>
              <w10:wrap type="none"/>
            </v:shape>
            <w10:wrap type="topAndBottom"/>
          </v:group>
        </w:pict>
      </w:r>
    </w:p>
    <w:p>
      <w:pPr>
        <w:spacing w:before="177"/>
        <w:ind w:left="134" w:right="154" w:firstLine="0"/>
        <w:jc w:val="center"/>
        <w:rPr>
          <w:sz w:val="20"/>
        </w:rPr>
      </w:pPr>
      <w:r>
        <w:rPr>
          <w:sz w:val="20"/>
        </w:rPr>
        <w:t>(Miranda, 2014).</w:t>
      </w:r>
    </w:p>
    <w:p>
      <w:pPr>
        <w:spacing w:after="0"/>
        <w:jc w:val="center"/>
        <w:rPr>
          <w:sz w:val="20"/>
        </w:rPr>
        <w:sectPr>
          <w:footerReference w:type="default" r:id="rId18"/>
          <w:pgSz w:w="12240" w:h="15840"/>
          <w:pgMar w:footer="1032" w:header="0" w:top="1360" w:bottom="1220" w:left="1600" w:right="1580"/>
        </w:sectPr>
      </w:pPr>
    </w:p>
    <w:p>
      <w:pPr>
        <w:pStyle w:val="BodyText"/>
        <w:spacing w:line="360" w:lineRule="auto" w:before="57"/>
        <w:ind w:left="102" w:right="118"/>
        <w:jc w:val="both"/>
      </w:pPr>
      <w:r>
        <w:rPr/>
        <w:t>Una importante mayoría de hombres y de mujeres (83.3% y 91.4%, respectivamente), se mostró a favor de que el estereotipo de género utilizado por las campañas publicitarias en los medios de comunicación masiva, es un factor determinante para el origen y/o refuerzo de las desigualdades entre ambos sexos.</w:t>
      </w:r>
    </w:p>
    <w:p>
      <w:pPr>
        <w:pStyle w:val="BodyText"/>
        <w:spacing w:line="360" w:lineRule="auto" w:before="204"/>
        <w:ind w:left="102" w:right="118"/>
        <w:jc w:val="both"/>
      </w:pPr>
      <w:r>
        <w:rPr/>
        <w:t>El estereotipo de género, como ya lo alude Juan Manuel Piña (2007), es un recordatorio de los roles y las actividades que convencionalmente se asignan a cada individuo dependiendo de sus diferencias sexuales con respecto del resto de los sujetos.</w:t>
      </w:r>
    </w:p>
    <w:p>
      <w:pPr>
        <w:pStyle w:val="BodyText"/>
        <w:spacing w:line="360" w:lineRule="auto" w:before="202"/>
        <w:ind w:left="102" w:right="116"/>
        <w:jc w:val="both"/>
      </w:pPr>
      <w:r>
        <w:rPr/>
        <w:t>Entonces, el estereotipo de género irrumpe no sólo socioculturalmente, sino también, y cada vez en mayor medida, de manera mediática por medio del uso de ciertos contenidos publicitarios y de entretenimiento que aventajan al hombre y ponen en desventaja a la mujer.</w:t>
      </w:r>
    </w:p>
    <w:p>
      <w:pPr>
        <w:pStyle w:val="BodyText"/>
        <w:spacing w:line="360" w:lineRule="auto" w:before="204"/>
        <w:ind w:left="102" w:right="118"/>
        <w:jc w:val="both"/>
      </w:pPr>
      <w:r>
        <w:rPr/>
        <w:t>Es claro entonces que, en el caso de que comenzara a fomentarse la Perspectiva de Género como una de las directrices del programa académico de la licenciatura en comunicación del CUSXXI, el uso del estereotipo de género en la práctica del estudiantado sería en mucha menor medida utilizado.</w:t>
      </w:r>
    </w:p>
    <w:p>
      <w:pPr>
        <w:spacing w:after="0" w:line="360" w:lineRule="auto"/>
        <w:jc w:val="both"/>
        <w:sectPr>
          <w:footerReference w:type="default" r:id="rId19"/>
          <w:pgSz w:w="12240" w:h="15840"/>
          <w:pgMar w:footer="1032" w:header="0" w:top="1360" w:bottom="1220" w:left="1600" w:right="1580"/>
          <w:pgNumType w:start="41"/>
        </w:sectPr>
      </w:pPr>
    </w:p>
    <w:p>
      <w:pPr>
        <w:pStyle w:val="Heading1"/>
        <w:spacing w:before="57"/>
        <w:ind w:right="601"/>
      </w:pPr>
      <w:r>
        <w:rPr/>
        <w:t>Pregunta 8.1.</w:t>
      </w:r>
    </w:p>
    <w:p>
      <w:pPr>
        <w:pStyle w:val="BodyText"/>
        <w:spacing w:before="4"/>
        <w:rPr>
          <w:b/>
          <w:sz w:val="29"/>
        </w:rPr>
      </w:pPr>
    </w:p>
    <w:p>
      <w:pPr>
        <w:pStyle w:val="BodyText"/>
        <w:spacing w:line="360" w:lineRule="auto" w:before="1"/>
        <w:ind w:left="102" w:right="601"/>
      </w:pPr>
      <w:r>
        <w:rPr>
          <w:u w:val="single"/>
        </w:rPr>
        <w:t>Tabla 8.1.1 </w:t>
      </w:r>
      <w:r>
        <w:rPr/>
        <w:t>Las formas en que el estudiantado considera que los medios de comunicación masiva utilizan el estereotipo de género.</w:t>
      </w:r>
    </w:p>
    <w:p>
      <w:pPr>
        <w:pStyle w:val="BodyText"/>
        <w:rPr>
          <w:sz w:val="20"/>
        </w:rPr>
      </w:pPr>
    </w:p>
    <w:p>
      <w:pPr>
        <w:pStyle w:val="BodyText"/>
        <w:spacing w:before="10"/>
        <w:rPr>
          <w:sz w:val="15"/>
        </w:rPr>
      </w:pPr>
    </w:p>
    <w:tbl>
      <w:tblPr>
        <w:tblW w:w="0" w:type="auto"/>
        <w:jc w:val="left"/>
        <w:tblInd w:w="35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426"/>
        <w:gridCol w:w="2318"/>
        <w:gridCol w:w="1080"/>
        <w:gridCol w:w="1210"/>
        <w:gridCol w:w="1081"/>
        <w:gridCol w:w="1210"/>
      </w:tblGrid>
      <w:tr>
        <w:trPr>
          <w:trHeight w:val="364" w:hRule="exact"/>
        </w:trPr>
        <w:tc>
          <w:tcPr>
            <w:tcW w:w="3744" w:type="dxa"/>
            <w:gridSpan w:val="2"/>
            <w:vMerge w:val="restart"/>
            <w:shd w:val="clear" w:color="auto" w:fill="F1F1F1"/>
          </w:tcPr>
          <w:p>
            <w:pPr/>
          </w:p>
        </w:tc>
        <w:tc>
          <w:tcPr>
            <w:tcW w:w="4580" w:type="dxa"/>
            <w:gridSpan w:val="4"/>
            <w:shd w:val="clear" w:color="auto" w:fill="F1F1F1"/>
          </w:tcPr>
          <w:p>
            <w:pPr>
              <w:pStyle w:val="TableParagraph"/>
              <w:spacing w:before="68"/>
              <w:ind w:left="2017" w:right="2018"/>
              <w:jc w:val="center"/>
              <w:rPr>
                <w:sz w:val="18"/>
              </w:rPr>
            </w:pPr>
            <w:r>
              <w:rPr>
                <w:sz w:val="18"/>
              </w:rPr>
              <w:t>SEXO</w:t>
            </w:r>
          </w:p>
        </w:tc>
      </w:tr>
      <w:tr>
        <w:trPr>
          <w:trHeight w:val="361" w:hRule="exact"/>
        </w:trPr>
        <w:tc>
          <w:tcPr>
            <w:tcW w:w="3744" w:type="dxa"/>
            <w:gridSpan w:val="2"/>
            <w:vMerge/>
            <w:shd w:val="clear" w:color="auto" w:fill="F1F1F1"/>
          </w:tcPr>
          <w:p>
            <w:pPr/>
          </w:p>
        </w:tc>
        <w:tc>
          <w:tcPr>
            <w:tcW w:w="2290" w:type="dxa"/>
            <w:gridSpan w:val="2"/>
            <w:shd w:val="clear" w:color="auto" w:fill="F1F1F1"/>
          </w:tcPr>
          <w:p>
            <w:pPr>
              <w:pStyle w:val="TableParagraph"/>
              <w:spacing w:before="79"/>
              <w:ind w:left="757" w:right="756"/>
              <w:jc w:val="center"/>
              <w:rPr>
                <w:sz w:val="18"/>
              </w:rPr>
            </w:pPr>
            <w:r>
              <w:rPr>
                <w:sz w:val="18"/>
              </w:rPr>
              <w:t>Hombres</w:t>
            </w:r>
          </w:p>
        </w:tc>
        <w:tc>
          <w:tcPr>
            <w:tcW w:w="2290" w:type="dxa"/>
            <w:gridSpan w:val="2"/>
            <w:shd w:val="clear" w:color="auto" w:fill="F1F1F1"/>
          </w:tcPr>
          <w:p>
            <w:pPr>
              <w:pStyle w:val="TableParagraph"/>
              <w:spacing w:before="79"/>
              <w:ind w:left="800" w:right="802"/>
              <w:jc w:val="center"/>
              <w:rPr>
                <w:sz w:val="18"/>
              </w:rPr>
            </w:pPr>
            <w:r>
              <w:rPr>
                <w:sz w:val="18"/>
              </w:rPr>
              <w:t>Mujeres</w:t>
            </w:r>
          </w:p>
        </w:tc>
      </w:tr>
      <w:tr>
        <w:trPr>
          <w:trHeight w:val="350" w:hRule="exact"/>
        </w:trPr>
        <w:tc>
          <w:tcPr>
            <w:tcW w:w="3744" w:type="dxa"/>
            <w:gridSpan w:val="2"/>
            <w:vMerge/>
            <w:shd w:val="clear" w:color="auto" w:fill="F1F1F1"/>
          </w:tcPr>
          <w:p>
            <w:pPr/>
          </w:p>
        </w:tc>
        <w:tc>
          <w:tcPr>
            <w:tcW w:w="1080" w:type="dxa"/>
            <w:shd w:val="clear" w:color="auto" w:fill="F1F1F1"/>
          </w:tcPr>
          <w:p>
            <w:pPr>
              <w:pStyle w:val="TableParagraph"/>
              <w:spacing w:before="68"/>
              <w:ind w:left="70" w:right="71"/>
              <w:jc w:val="center"/>
              <w:rPr>
                <w:sz w:val="18"/>
              </w:rPr>
            </w:pPr>
            <w:r>
              <w:rPr>
                <w:sz w:val="18"/>
              </w:rPr>
              <w:t>Frecuencia</w:t>
            </w:r>
          </w:p>
        </w:tc>
        <w:tc>
          <w:tcPr>
            <w:tcW w:w="1210" w:type="dxa"/>
            <w:shd w:val="clear" w:color="auto" w:fill="F1F1F1"/>
          </w:tcPr>
          <w:p>
            <w:pPr>
              <w:pStyle w:val="TableParagraph"/>
              <w:spacing w:before="68"/>
              <w:ind w:right="1"/>
              <w:jc w:val="center"/>
              <w:rPr>
                <w:sz w:val="18"/>
              </w:rPr>
            </w:pPr>
            <w:r>
              <w:rPr>
                <w:w w:val="99"/>
                <w:sz w:val="18"/>
              </w:rPr>
              <w:t>%</w:t>
            </w:r>
          </w:p>
        </w:tc>
        <w:tc>
          <w:tcPr>
            <w:tcW w:w="1081" w:type="dxa"/>
            <w:shd w:val="clear" w:color="auto" w:fill="F1F1F1"/>
          </w:tcPr>
          <w:p>
            <w:pPr>
              <w:pStyle w:val="TableParagraph"/>
              <w:spacing w:before="68"/>
              <w:ind w:left="70" w:right="74"/>
              <w:jc w:val="center"/>
              <w:rPr>
                <w:sz w:val="18"/>
              </w:rPr>
            </w:pPr>
            <w:r>
              <w:rPr>
                <w:sz w:val="18"/>
              </w:rPr>
              <w:t>Frecuencia</w:t>
            </w:r>
          </w:p>
        </w:tc>
        <w:tc>
          <w:tcPr>
            <w:tcW w:w="1210" w:type="dxa"/>
            <w:shd w:val="clear" w:color="auto" w:fill="F1F1F1"/>
          </w:tcPr>
          <w:p>
            <w:pPr>
              <w:pStyle w:val="TableParagraph"/>
              <w:spacing w:before="68"/>
              <w:ind w:right="1"/>
              <w:jc w:val="center"/>
              <w:rPr>
                <w:sz w:val="18"/>
              </w:rPr>
            </w:pPr>
            <w:r>
              <w:rPr>
                <w:w w:val="99"/>
                <w:sz w:val="18"/>
              </w:rPr>
              <w:t>%</w:t>
            </w:r>
          </w:p>
        </w:tc>
      </w:tr>
      <w:tr>
        <w:trPr>
          <w:trHeight w:val="690" w:hRule="exact"/>
        </w:trPr>
        <w:tc>
          <w:tcPr>
            <w:tcW w:w="1426" w:type="dxa"/>
            <w:tcBorders>
              <w:bottom w:val="nil"/>
              <w:right w:val="nil"/>
            </w:tcBorders>
            <w:shd w:val="clear" w:color="auto" w:fill="F1F1F1"/>
          </w:tcPr>
          <w:p>
            <w:pPr/>
          </w:p>
        </w:tc>
        <w:tc>
          <w:tcPr>
            <w:tcW w:w="2318" w:type="dxa"/>
            <w:tcBorders>
              <w:left w:val="nil"/>
              <w:bottom w:val="nil"/>
            </w:tcBorders>
            <w:shd w:val="clear" w:color="auto" w:fill="F1F1F1"/>
          </w:tcPr>
          <w:p>
            <w:pPr>
              <w:pStyle w:val="TableParagraph"/>
              <w:ind w:left="133" w:right="81"/>
              <w:rPr>
                <w:sz w:val="18"/>
              </w:rPr>
            </w:pPr>
            <w:r>
              <w:rPr>
                <w:sz w:val="18"/>
              </w:rPr>
              <w:t>Relativo al refuerzo de los roles tradicionales de la mujer y el hombre</w:t>
            </w:r>
          </w:p>
        </w:tc>
        <w:tc>
          <w:tcPr>
            <w:tcW w:w="1080" w:type="dxa"/>
            <w:tcBorders>
              <w:bottom w:val="nil"/>
            </w:tcBorders>
          </w:tcPr>
          <w:p>
            <w:pPr>
              <w:pStyle w:val="TableParagraph"/>
              <w:spacing w:before="10"/>
              <w:rPr>
                <w:sz w:val="22"/>
              </w:rPr>
            </w:pPr>
          </w:p>
          <w:p>
            <w:pPr>
              <w:pStyle w:val="TableParagraph"/>
              <w:ind w:right="1"/>
              <w:jc w:val="center"/>
              <w:rPr>
                <w:sz w:val="18"/>
              </w:rPr>
            </w:pPr>
            <w:r>
              <w:rPr>
                <w:w w:val="99"/>
                <w:sz w:val="18"/>
              </w:rPr>
              <w:t>1</w:t>
            </w:r>
          </w:p>
        </w:tc>
        <w:tc>
          <w:tcPr>
            <w:tcW w:w="1210" w:type="dxa"/>
            <w:tcBorders>
              <w:bottom w:val="nil"/>
            </w:tcBorders>
          </w:tcPr>
          <w:p>
            <w:pPr>
              <w:pStyle w:val="TableParagraph"/>
              <w:spacing w:before="10"/>
              <w:rPr>
                <w:sz w:val="22"/>
              </w:rPr>
            </w:pPr>
          </w:p>
          <w:p>
            <w:pPr>
              <w:pStyle w:val="TableParagraph"/>
              <w:ind w:left="406" w:right="405"/>
              <w:jc w:val="center"/>
              <w:rPr>
                <w:sz w:val="18"/>
              </w:rPr>
            </w:pPr>
            <w:r>
              <w:rPr>
                <w:sz w:val="18"/>
              </w:rPr>
              <w:t>5.3</w:t>
            </w:r>
          </w:p>
        </w:tc>
        <w:tc>
          <w:tcPr>
            <w:tcW w:w="1081" w:type="dxa"/>
            <w:tcBorders>
              <w:bottom w:val="nil"/>
            </w:tcBorders>
          </w:tcPr>
          <w:p>
            <w:pPr>
              <w:pStyle w:val="TableParagraph"/>
              <w:spacing w:before="10"/>
              <w:rPr>
                <w:sz w:val="22"/>
              </w:rPr>
            </w:pPr>
          </w:p>
          <w:p>
            <w:pPr>
              <w:pStyle w:val="TableParagraph"/>
              <w:ind w:right="4"/>
              <w:jc w:val="center"/>
              <w:rPr>
                <w:sz w:val="18"/>
              </w:rPr>
            </w:pPr>
            <w:r>
              <w:rPr>
                <w:w w:val="99"/>
                <w:sz w:val="18"/>
              </w:rPr>
              <w:t>9</w:t>
            </w:r>
          </w:p>
        </w:tc>
        <w:tc>
          <w:tcPr>
            <w:tcW w:w="1210" w:type="dxa"/>
            <w:tcBorders>
              <w:bottom w:val="nil"/>
            </w:tcBorders>
          </w:tcPr>
          <w:p>
            <w:pPr>
              <w:pStyle w:val="TableParagraph"/>
              <w:spacing w:before="10"/>
              <w:rPr>
                <w:sz w:val="22"/>
              </w:rPr>
            </w:pPr>
          </w:p>
          <w:p>
            <w:pPr>
              <w:pStyle w:val="TableParagraph"/>
              <w:ind w:left="406" w:right="407"/>
              <w:jc w:val="center"/>
              <w:rPr>
                <w:sz w:val="18"/>
              </w:rPr>
            </w:pPr>
            <w:r>
              <w:rPr>
                <w:sz w:val="18"/>
              </w:rPr>
              <w:t>17.3</w:t>
            </w:r>
          </w:p>
        </w:tc>
      </w:tr>
      <w:tr>
        <w:trPr>
          <w:trHeight w:val="515" w:hRule="exact"/>
        </w:trPr>
        <w:tc>
          <w:tcPr>
            <w:tcW w:w="1426" w:type="dxa"/>
            <w:tcBorders>
              <w:top w:val="nil"/>
              <w:bottom w:val="nil"/>
              <w:right w:val="nil"/>
            </w:tcBorders>
            <w:shd w:val="clear" w:color="auto" w:fill="F1F1F1"/>
          </w:tcPr>
          <w:p>
            <w:pPr/>
          </w:p>
        </w:tc>
        <w:tc>
          <w:tcPr>
            <w:tcW w:w="2318" w:type="dxa"/>
            <w:tcBorders>
              <w:top w:val="nil"/>
              <w:left w:val="nil"/>
              <w:bottom w:val="nil"/>
            </w:tcBorders>
            <w:shd w:val="clear" w:color="auto" w:fill="F1F1F1"/>
          </w:tcPr>
          <w:p>
            <w:pPr>
              <w:pStyle w:val="TableParagraph"/>
              <w:spacing w:before="46"/>
              <w:ind w:left="133" w:right="271"/>
              <w:rPr>
                <w:sz w:val="18"/>
              </w:rPr>
            </w:pPr>
            <w:r>
              <w:rPr>
                <w:sz w:val="18"/>
              </w:rPr>
              <w:t>Relativo a la imposición de modelos de vida</w:t>
            </w:r>
          </w:p>
        </w:tc>
        <w:tc>
          <w:tcPr>
            <w:tcW w:w="1080" w:type="dxa"/>
            <w:tcBorders>
              <w:top w:val="nil"/>
              <w:bottom w:val="nil"/>
            </w:tcBorders>
          </w:tcPr>
          <w:p>
            <w:pPr>
              <w:pStyle w:val="TableParagraph"/>
              <w:spacing w:before="11"/>
              <w:rPr>
                <w:sz w:val="16"/>
              </w:rPr>
            </w:pPr>
          </w:p>
          <w:p>
            <w:pPr>
              <w:pStyle w:val="TableParagraph"/>
              <w:ind w:right="1"/>
              <w:jc w:val="center"/>
              <w:rPr>
                <w:sz w:val="18"/>
              </w:rPr>
            </w:pPr>
            <w:r>
              <w:rPr>
                <w:w w:val="99"/>
                <w:sz w:val="18"/>
              </w:rPr>
              <w:t>3</w:t>
            </w:r>
          </w:p>
        </w:tc>
        <w:tc>
          <w:tcPr>
            <w:tcW w:w="1210" w:type="dxa"/>
            <w:tcBorders>
              <w:top w:val="nil"/>
              <w:bottom w:val="nil"/>
            </w:tcBorders>
          </w:tcPr>
          <w:p>
            <w:pPr>
              <w:pStyle w:val="TableParagraph"/>
              <w:spacing w:before="11"/>
              <w:rPr>
                <w:sz w:val="16"/>
              </w:rPr>
            </w:pPr>
          </w:p>
          <w:p>
            <w:pPr>
              <w:pStyle w:val="TableParagraph"/>
              <w:ind w:left="406" w:right="406"/>
              <w:jc w:val="center"/>
              <w:rPr>
                <w:sz w:val="18"/>
              </w:rPr>
            </w:pPr>
            <w:r>
              <w:rPr>
                <w:sz w:val="18"/>
              </w:rPr>
              <w:t>15.8</w:t>
            </w:r>
          </w:p>
        </w:tc>
        <w:tc>
          <w:tcPr>
            <w:tcW w:w="1081" w:type="dxa"/>
            <w:tcBorders>
              <w:top w:val="nil"/>
              <w:bottom w:val="nil"/>
            </w:tcBorders>
          </w:tcPr>
          <w:p>
            <w:pPr>
              <w:pStyle w:val="TableParagraph"/>
              <w:spacing w:before="11"/>
              <w:rPr>
                <w:sz w:val="16"/>
              </w:rPr>
            </w:pPr>
          </w:p>
          <w:p>
            <w:pPr>
              <w:pStyle w:val="TableParagraph"/>
              <w:ind w:left="70" w:right="73"/>
              <w:jc w:val="center"/>
              <w:rPr>
                <w:sz w:val="18"/>
              </w:rPr>
            </w:pPr>
            <w:r>
              <w:rPr>
                <w:sz w:val="18"/>
              </w:rPr>
              <w:t>11</w:t>
            </w:r>
          </w:p>
        </w:tc>
        <w:tc>
          <w:tcPr>
            <w:tcW w:w="1210" w:type="dxa"/>
            <w:tcBorders>
              <w:top w:val="nil"/>
              <w:bottom w:val="nil"/>
            </w:tcBorders>
          </w:tcPr>
          <w:p>
            <w:pPr>
              <w:pStyle w:val="TableParagraph"/>
              <w:spacing w:before="11"/>
              <w:rPr>
                <w:sz w:val="16"/>
              </w:rPr>
            </w:pPr>
          </w:p>
          <w:p>
            <w:pPr>
              <w:pStyle w:val="TableParagraph"/>
              <w:ind w:left="406" w:right="407"/>
              <w:jc w:val="center"/>
              <w:rPr>
                <w:sz w:val="18"/>
              </w:rPr>
            </w:pPr>
            <w:r>
              <w:rPr>
                <w:sz w:val="18"/>
              </w:rPr>
              <w:t>21.2</w:t>
            </w:r>
          </w:p>
        </w:tc>
      </w:tr>
      <w:tr>
        <w:trPr>
          <w:trHeight w:val="724" w:hRule="exact"/>
        </w:trPr>
        <w:tc>
          <w:tcPr>
            <w:tcW w:w="1426" w:type="dxa"/>
            <w:tcBorders>
              <w:top w:val="nil"/>
              <w:bottom w:val="nil"/>
              <w:right w:val="nil"/>
            </w:tcBorders>
            <w:shd w:val="clear" w:color="auto" w:fill="F1F1F1"/>
          </w:tcPr>
          <w:p>
            <w:pPr/>
          </w:p>
        </w:tc>
        <w:tc>
          <w:tcPr>
            <w:tcW w:w="2318" w:type="dxa"/>
            <w:tcBorders>
              <w:top w:val="nil"/>
              <w:left w:val="nil"/>
              <w:bottom w:val="nil"/>
            </w:tcBorders>
            <w:shd w:val="clear" w:color="auto" w:fill="F1F1F1"/>
          </w:tcPr>
          <w:p>
            <w:pPr>
              <w:pStyle w:val="TableParagraph"/>
              <w:spacing w:before="36"/>
              <w:ind w:left="133" w:right="401"/>
              <w:rPr>
                <w:sz w:val="18"/>
              </w:rPr>
            </w:pPr>
            <w:r>
              <w:rPr>
                <w:sz w:val="18"/>
              </w:rPr>
              <w:t>Relativo al uso del estereotipo de belleza femenina</w:t>
            </w:r>
          </w:p>
        </w:tc>
        <w:tc>
          <w:tcPr>
            <w:tcW w:w="1080" w:type="dxa"/>
            <w:tcBorders>
              <w:top w:val="nil"/>
              <w:bottom w:val="nil"/>
            </w:tcBorders>
          </w:tcPr>
          <w:p>
            <w:pPr>
              <w:pStyle w:val="TableParagraph"/>
              <w:rPr>
                <w:sz w:val="26"/>
              </w:rPr>
            </w:pPr>
          </w:p>
          <w:p>
            <w:pPr>
              <w:pStyle w:val="TableParagraph"/>
              <w:spacing w:before="1"/>
              <w:ind w:right="1"/>
              <w:jc w:val="center"/>
              <w:rPr>
                <w:sz w:val="18"/>
              </w:rPr>
            </w:pPr>
            <w:r>
              <w:rPr>
                <w:w w:val="99"/>
                <w:sz w:val="18"/>
              </w:rPr>
              <w:t>3</w:t>
            </w:r>
          </w:p>
        </w:tc>
        <w:tc>
          <w:tcPr>
            <w:tcW w:w="1210" w:type="dxa"/>
            <w:tcBorders>
              <w:top w:val="nil"/>
              <w:bottom w:val="nil"/>
            </w:tcBorders>
          </w:tcPr>
          <w:p>
            <w:pPr>
              <w:pStyle w:val="TableParagraph"/>
              <w:rPr>
                <w:sz w:val="26"/>
              </w:rPr>
            </w:pPr>
          </w:p>
          <w:p>
            <w:pPr>
              <w:pStyle w:val="TableParagraph"/>
              <w:spacing w:before="1"/>
              <w:ind w:left="406" w:right="406"/>
              <w:jc w:val="center"/>
              <w:rPr>
                <w:sz w:val="18"/>
              </w:rPr>
            </w:pPr>
            <w:r>
              <w:rPr>
                <w:sz w:val="18"/>
              </w:rPr>
              <w:t>15.8</w:t>
            </w:r>
          </w:p>
        </w:tc>
        <w:tc>
          <w:tcPr>
            <w:tcW w:w="1081" w:type="dxa"/>
            <w:tcBorders>
              <w:top w:val="nil"/>
              <w:bottom w:val="nil"/>
            </w:tcBorders>
          </w:tcPr>
          <w:p>
            <w:pPr>
              <w:pStyle w:val="TableParagraph"/>
              <w:rPr>
                <w:sz w:val="26"/>
              </w:rPr>
            </w:pPr>
          </w:p>
          <w:p>
            <w:pPr>
              <w:pStyle w:val="TableParagraph"/>
              <w:spacing w:before="1"/>
              <w:ind w:right="4"/>
              <w:jc w:val="center"/>
              <w:rPr>
                <w:sz w:val="18"/>
              </w:rPr>
            </w:pPr>
            <w:r>
              <w:rPr>
                <w:w w:val="99"/>
                <w:sz w:val="18"/>
              </w:rPr>
              <w:t>7</w:t>
            </w:r>
          </w:p>
        </w:tc>
        <w:tc>
          <w:tcPr>
            <w:tcW w:w="1210" w:type="dxa"/>
            <w:tcBorders>
              <w:top w:val="nil"/>
              <w:bottom w:val="nil"/>
            </w:tcBorders>
          </w:tcPr>
          <w:p>
            <w:pPr>
              <w:pStyle w:val="TableParagraph"/>
              <w:rPr>
                <w:sz w:val="26"/>
              </w:rPr>
            </w:pPr>
          </w:p>
          <w:p>
            <w:pPr>
              <w:pStyle w:val="TableParagraph"/>
              <w:spacing w:before="1"/>
              <w:ind w:left="406" w:right="407"/>
              <w:jc w:val="center"/>
              <w:rPr>
                <w:sz w:val="18"/>
              </w:rPr>
            </w:pPr>
            <w:r>
              <w:rPr>
                <w:sz w:val="18"/>
              </w:rPr>
              <w:t>13.5</w:t>
            </w:r>
          </w:p>
        </w:tc>
      </w:tr>
      <w:tr>
        <w:trPr>
          <w:trHeight w:val="515" w:hRule="exact"/>
        </w:trPr>
        <w:tc>
          <w:tcPr>
            <w:tcW w:w="1426" w:type="dxa"/>
            <w:tcBorders>
              <w:top w:val="nil"/>
              <w:bottom w:val="nil"/>
              <w:right w:val="nil"/>
            </w:tcBorders>
            <w:shd w:val="clear" w:color="auto" w:fill="F1F1F1"/>
          </w:tcPr>
          <w:p>
            <w:pPr/>
          </w:p>
        </w:tc>
        <w:tc>
          <w:tcPr>
            <w:tcW w:w="2318" w:type="dxa"/>
            <w:tcBorders>
              <w:top w:val="nil"/>
              <w:left w:val="nil"/>
              <w:bottom w:val="nil"/>
            </w:tcBorders>
            <w:shd w:val="clear" w:color="auto" w:fill="F1F1F1"/>
          </w:tcPr>
          <w:p>
            <w:pPr>
              <w:pStyle w:val="TableParagraph"/>
              <w:spacing w:before="46"/>
              <w:ind w:left="133" w:right="182"/>
              <w:rPr>
                <w:sz w:val="18"/>
              </w:rPr>
            </w:pPr>
            <w:r>
              <w:rPr>
                <w:sz w:val="18"/>
              </w:rPr>
              <w:t>Relativo a la mujer como objeto sexual</w:t>
            </w:r>
          </w:p>
        </w:tc>
        <w:tc>
          <w:tcPr>
            <w:tcW w:w="1080" w:type="dxa"/>
            <w:tcBorders>
              <w:top w:val="nil"/>
              <w:bottom w:val="nil"/>
            </w:tcBorders>
          </w:tcPr>
          <w:p>
            <w:pPr>
              <w:pStyle w:val="TableParagraph"/>
              <w:spacing w:before="11"/>
              <w:rPr>
                <w:sz w:val="16"/>
              </w:rPr>
            </w:pPr>
          </w:p>
          <w:p>
            <w:pPr>
              <w:pStyle w:val="TableParagraph"/>
              <w:ind w:right="1"/>
              <w:jc w:val="center"/>
              <w:rPr>
                <w:sz w:val="18"/>
              </w:rPr>
            </w:pPr>
            <w:r>
              <w:rPr>
                <w:w w:val="99"/>
                <w:sz w:val="18"/>
              </w:rPr>
              <w:t>7</w:t>
            </w:r>
          </w:p>
        </w:tc>
        <w:tc>
          <w:tcPr>
            <w:tcW w:w="1210" w:type="dxa"/>
            <w:tcBorders>
              <w:top w:val="nil"/>
              <w:bottom w:val="nil"/>
            </w:tcBorders>
          </w:tcPr>
          <w:p>
            <w:pPr>
              <w:pStyle w:val="TableParagraph"/>
              <w:spacing w:before="11"/>
              <w:rPr>
                <w:sz w:val="16"/>
              </w:rPr>
            </w:pPr>
          </w:p>
          <w:p>
            <w:pPr>
              <w:pStyle w:val="TableParagraph"/>
              <w:ind w:left="406" w:right="406"/>
              <w:jc w:val="center"/>
              <w:rPr>
                <w:sz w:val="18"/>
              </w:rPr>
            </w:pPr>
            <w:r>
              <w:rPr>
                <w:sz w:val="18"/>
              </w:rPr>
              <w:t>36.8</w:t>
            </w:r>
          </w:p>
        </w:tc>
        <w:tc>
          <w:tcPr>
            <w:tcW w:w="1081" w:type="dxa"/>
            <w:tcBorders>
              <w:top w:val="nil"/>
              <w:bottom w:val="nil"/>
            </w:tcBorders>
          </w:tcPr>
          <w:p>
            <w:pPr>
              <w:pStyle w:val="TableParagraph"/>
              <w:spacing w:before="11"/>
              <w:rPr>
                <w:sz w:val="16"/>
              </w:rPr>
            </w:pPr>
          </w:p>
          <w:p>
            <w:pPr>
              <w:pStyle w:val="TableParagraph"/>
              <w:ind w:right="4"/>
              <w:jc w:val="center"/>
              <w:rPr>
                <w:sz w:val="18"/>
              </w:rPr>
            </w:pPr>
            <w:r>
              <w:rPr>
                <w:w w:val="99"/>
                <w:sz w:val="18"/>
              </w:rPr>
              <w:t>8</w:t>
            </w:r>
          </w:p>
        </w:tc>
        <w:tc>
          <w:tcPr>
            <w:tcW w:w="1210" w:type="dxa"/>
            <w:tcBorders>
              <w:top w:val="nil"/>
              <w:bottom w:val="nil"/>
            </w:tcBorders>
          </w:tcPr>
          <w:p>
            <w:pPr>
              <w:pStyle w:val="TableParagraph"/>
              <w:spacing w:before="11"/>
              <w:rPr>
                <w:sz w:val="16"/>
              </w:rPr>
            </w:pPr>
          </w:p>
          <w:p>
            <w:pPr>
              <w:pStyle w:val="TableParagraph"/>
              <w:ind w:left="406" w:right="407"/>
              <w:jc w:val="center"/>
              <w:rPr>
                <w:sz w:val="18"/>
              </w:rPr>
            </w:pPr>
            <w:r>
              <w:rPr>
                <w:sz w:val="18"/>
              </w:rPr>
              <w:t>15.4</w:t>
            </w:r>
          </w:p>
        </w:tc>
      </w:tr>
      <w:tr>
        <w:trPr>
          <w:trHeight w:val="722" w:hRule="exact"/>
        </w:trPr>
        <w:tc>
          <w:tcPr>
            <w:tcW w:w="1426" w:type="dxa"/>
            <w:tcBorders>
              <w:top w:val="nil"/>
              <w:bottom w:val="nil"/>
              <w:right w:val="nil"/>
            </w:tcBorders>
            <w:shd w:val="clear" w:color="auto" w:fill="F1F1F1"/>
          </w:tcPr>
          <w:p>
            <w:pPr/>
          </w:p>
        </w:tc>
        <w:tc>
          <w:tcPr>
            <w:tcW w:w="2318" w:type="dxa"/>
            <w:tcBorders>
              <w:top w:val="nil"/>
              <w:left w:val="nil"/>
              <w:bottom w:val="nil"/>
            </w:tcBorders>
            <w:shd w:val="clear" w:color="auto" w:fill="F1F1F1"/>
          </w:tcPr>
          <w:p>
            <w:pPr>
              <w:pStyle w:val="TableParagraph"/>
              <w:spacing w:before="36"/>
              <w:ind w:left="133" w:right="632"/>
              <w:rPr>
                <w:sz w:val="18"/>
              </w:rPr>
            </w:pPr>
            <w:r>
              <w:rPr>
                <w:sz w:val="18"/>
              </w:rPr>
              <w:t>Relativo a la discriminación de hombres y mujeres</w:t>
            </w:r>
          </w:p>
        </w:tc>
        <w:tc>
          <w:tcPr>
            <w:tcW w:w="1080" w:type="dxa"/>
            <w:tcBorders>
              <w:top w:val="nil"/>
              <w:bottom w:val="nil"/>
            </w:tcBorders>
          </w:tcPr>
          <w:p>
            <w:pPr>
              <w:pStyle w:val="TableParagraph"/>
              <w:rPr>
                <w:sz w:val="26"/>
              </w:rPr>
            </w:pPr>
          </w:p>
          <w:p>
            <w:pPr>
              <w:pStyle w:val="TableParagraph"/>
              <w:spacing w:before="1"/>
              <w:ind w:right="1"/>
              <w:jc w:val="center"/>
              <w:rPr>
                <w:sz w:val="18"/>
              </w:rPr>
            </w:pPr>
            <w:r>
              <w:rPr>
                <w:w w:val="99"/>
                <w:sz w:val="18"/>
              </w:rPr>
              <w:t>3</w:t>
            </w:r>
          </w:p>
        </w:tc>
        <w:tc>
          <w:tcPr>
            <w:tcW w:w="1210" w:type="dxa"/>
            <w:tcBorders>
              <w:top w:val="nil"/>
              <w:bottom w:val="nil"/>
            </w:tcBorders>
          </w:tcPr>
          <w:p>
            <w:pPr>
              <w:pStyle w:val="TableParagraph"/>
              <w:rPr>
                <w:sz w:val="26"/>
              </w:rPr>
            </w:pPr>
          </w:p>
          <w:p>
            <w:pPr>
              <w:pStyle w:val="TableParagraph"/>
              <w:spacing w:before="1"/>
              <w:ind w:left="406" w:right="406"/>
              <w:jc w:val="center"/>
              <w:rPr>
                <w:sz w:val="18"/>
              </w:rPr>
            </w:pPr>
            <w:r>
              <w:rPr>
                <w:sz w:val="18"/>
              </w:rPr>
              <w:t>15.8</w:t>
            </w:r>
          </w:p>
        </w:tc>
        <w:tc>
          <w:tcPr>
            <w:tcW w:w="1081" w:type="dxa"/>
            <w:tcBorders>
              <w:top w:val="nil"/>
              <w:bottom w:val="nil"/>
            </w:tcBorders>
          </w:tcPr>
          <w:p>
            <w:pPr>
              <w:pStyle w:val="TableParagraph"/>
              <w:rPr>
                <w:sz w:val="26"/>
              </w:rPr>
            </w:pPr>
          </w:p>
          <w:p>
            <w:pPr>
              <w:pStyle w:val="TableParagraph"/>
              <w:spacing w:before="1"/>
              <w:ind w:right="4"/>
              <w:jc w:val="center"/>
              <w:rPr>
                <w:sz w:val="18"/>
              </w:rPr>
            </w:pPr>
            <w:r>
              <w:rPr>
                <w:w w:val="99"/>
                <w:sz w:val="18"/>
              </w:rPr>
              <w:t>7</w:t>
            </w:r>
          </w:p>
        </w:tc>
        <w:tc>
          <w:tcPr>
            <w:tcW w:w="1210" w:type="dxa"/>
            <w:tcBorders>
              <w:top w:val="nil"/>
              <w:bottom w:val="nil"/>
            </w:tcBorders>
          </w:tcPr>
          <w:p>
            <w:pPr>
              <w:pStyle w:val="TableParagraph"/>
              <w:rPr>
                <w:sz w:val="26"/>
              </w:rPr>
            </w:pPr>
          </w:p>
          <w:p>
            <w:pPr>
              <w:pStyle w:val="TableParagraph"/>
              <w:spacing w:before="1"/>
              <w:ind w:left="406" w:right="407"/>
              <w:jc w:val="center"/>
              <w:rPr>
                <w:sz w:val="18"/>
              </w:rPr>
            </w:pPr>
            <w:r>
              <w:rPr>
                <w:sz w:val="18"/>
              </w:rPr>
              <w:t>13.5</w:t>
            </w:r>
          </w:p>
        </w:tc>
      </w:tr>
      <w:tr>
        <w:trPr>
          <w:trHeight w:val="516" w:hRule="exact"/>
        </w:trPr>
        <w:tc>
          <w:tcPr>
            <w:tcW w:w="1426" w:type="dxa"/>
            <w:tcBorders>
              <w:top w:val="nil"/>
              <w:bottom w:val="nil"/>
              <w:right w:val="nil"/>
            </w:tcBorders>
            <w:shd w:val="clear" w:color="auto" w:fill="F1F1F1"/>
          </w:tcPr>
          <w:p>
            <w:pPr/>
          </w:p>
        </w:tc>
        <w:tc>
          <w:tcPr>
            <w:tcW w:w="2318" w:type="dxa"/>
            <w:tcBorders>
              <w:top w:val="nil"/>
              <w:left w:val="nil"/>
              <w:bottom w:val="nil"/>
            </w:tcBorders>
            <w:shd w:val="clear" w:color="auto" w:fill="F1F1F1"/>
          </w:tcPr>
          <w:p>
            <w:pPr>
              <w:pStyle w:val="TableParagraph"/>
              <w:spacing w:before="48"/>
              <w:ind w:left="133" w:right="521"/>
              <w:rPr>
                <w:sz w:val="18"/>
              </w:rPr>
            </w:pPr>
            <w:r>
              <w:rPr>
                <w:sz w:val="18"/>
              </w:rPr>
              <w:t>Relativo al poder del hombre</w:t>
            </w:r>
          </w:p>
        </w:tc>
        <w:tc>
          <w:tcPr>
            <w:tcW w:w="1080" w:type="dxa"/>
            <w:tcBorders>
              <w:top w:val="nil"/>
              <w:bottom w:val="nil"/>
            </w:tcBorders>
          </w:tcPr>
          <w:p>
            <w:pPr>
              <w:pStyle w:val="TableParagraph"/>
              <w:spacing w:before="1"/>
              <w:rPr>
                <w:sz w:val="17"/>
              </w:rPr>
            </w:pPr>
          </w:p>
          <w:p>
            <w:pPr>
              <w:pStyle w:val="TableParagraph"/>
              <w:ind w:right="1"/>
              <w:jc w:val="center"/>
              <w:rPr>
                <w:sz w:val="18"/>
              </w:rPr>
            </w:pPr>
            <w:r>
              <w:rPr>
                <w:w w:val="99"/>
                <w:sz w:val="18"/>
              </w:rPr>
              <w:t>0</w:t>
            </w:r>
          </w:p>
        </w:tc>
        <w:tc>
          <w:tcPr>
            <w:tcW w:w="1210" w:type="dxa"/>
            <w:tcBorders>
              <w:top w:val="nil"/>
              <w:bottom w:val="nil"/>
            </w:tcBorders>
          </w:tcPr>
          <w:p>
            <w:pPr>
              <w:pStyle w:val="TableParagraph"/>
              <w:spacing w:before="1"/>
              <w:rPr>
                <w:sz w:val="17"/>
              </w:rPr>
            </w:pPr>
          </w:p>
          <w:p>
            <w:pPr>
              <w:pStyle w:val="TableParagraph"/>
              <w:jc w:val="center"/>
              <w:rPr>
                <w:sz w:val="18"/>
              </w:rPr>
            </w:pPr>
            <w:r>
              <w:rPr>
                <w:w w:val="99"/>
                <w:sz w:val="18"/>
              </w:rPr>
              <w:t>0</w:t>
            </w:r>
          </w:p>
        </w:tc>
        <w:tc>
          <w:tcPr>
            <w:tcW w:w="1081" w:type="dxa"/>
            <w:tcBorders>
              <w:top w:val="nil"/>
              <w:bottom w:val="nil"/>
            </w:tcBorders>
          </w:tcPr>
          <w:p>
            <w:pPr>
              <w:pStyle w:val="TableParagraph"/>
              <w:spacing w:before="1"/>
              <w:rPr>
                <w:sz w:val="17"/>
              </w:rPr>
            </w:pPr>
          </w:p>
          <w:p>
            <w:pPr>
              <w:pStyle w:val="TableParagraph"/>
              <w:ind w:right="4"/>
              <w:jc w:val="center"/>
              <w:rPr>
                <w:sz w:val="18"/>
              </w:rPr>
            </w:pPr>
            <w:r>
              <w:rPr>
                <w:w w:val="99"/>
                <w:sz w:val="18"/>
              </w:rPr>
              <w:t>3</w:t>
            </w:r>
          </w:p>
        </w:tc>
        <w:tc>
          <w:tcPr>
            <w:tcW w:w="1210" w:type="dxa"/>
            <w:tcBorders>
              <w:top w:val="nil"/>
              <w:bottom w:val="nil"/>
            </w:tcBorders>
          </w:tcPr>
          <w:p>
            <w:pPr>
              <w:pStyle w:val="TableParagraph"/>
              <w:spacing w:before="1"/>
              <w:rPr>
                <w:sz w:val="17"/>
              </w:rPr>
            </w:pPr>
          </w:p>
          <w:p>
            <w:pPr>
              <w:pStyle w:val="TableParagraph"/>
              <w:ind w:left="406" w:right="407"/>
              <w:jc w:val="center"/>
              <w:rPr>
                <w:sz w:val="18"/>
              </w:rPr>
            </w:pPr>
            <w:r>
              <w:rPr>
                <w:sz w:val="18"/>
              </w:rPr>
              <w:t>5.8</w:t>
            </w:r>
          </w:p>
        </w:tc>
      </w:tr>
      <w:tr>
        <w:trPr>
          <w:trHeight w:val="313" w:hRule="exact"/>
        </w:trPr>
        <w:tc>
          <w:tcPr>
            <w:tcW w:w="1426" w:type="dxa"/>
            <w:tcBorders>
              <w:top w:val="nil"/>
              <w:right w:val="nil"/>
            </w:tcBorders>
            <w:shd w:val="clear" w:color="auto" w:fill="F1F1F1"/>
          </w:tcPr>
          <w:p>
            <w:pPr/>
          </w:p>
        </w:tc>
        <w:tc>
          <w:tcPr>
            <w:tcW w:w="2318" w:type="dxa"/>
            <w:tcBorders>
              <w:top w:val="nil"/>
              <w:left w:val="nil"/>
            </w:tcBorders>
            <w:shd w:val="clear" w:color="auto" w:fill="F1F1F1"/>
          </w:tcPr>
          <w:p>
            <w:pPr>
              <w:pStyle w:val="TableParagraph"/>
              <w:spacing w:before="36"/>
              <w:ind w:left="133" w:right="81"/>
              <w:rPr>
                <w:sz w:val="18"/>
              </w:rPr>
            </w:pPr>
            <w:r>
              <w:rPr>
                <w:sz w:val="18"/>
              </w:rPr>
              <w:t>Otras</w:t>
            </w:r>
          </w:p>
        </w:tc>
        <w:tc>
          <w:tcPr>
            <w:tcW w:w="1080" w:type="dxa"/>
            <w:tcBorders>
              <w:top w:val="nil"/>
            </w:tcBorders>
          </w:tcPr>
          <w:p>
            <w:pPr>
              <w:pStyle w:val="TableParagraph"/>
              <w:spacing w:before="67"/>
              <w:ind w:right="1"/>
              <w:jc w:val="center"/>
              <w:rPr>
                <w:sz w:val="18"/>
              </w:rPr>
            </w:pPr>
            <w:r>
              <w:rPr>
                <w:w w:val="99"/>
                <w:sz w:val="18"/>
              </w:rPr>
              <w:t>2</w:t>
            </w:r>
          </w:p>
        </w:tc>
        <w:tc>
          <w:tcPr>
            <w:tcW w:w="1210" w:type="dxa"/>
            <w:tcBorders>
              <w:top w:val="nil"/>
            </w:tcBorders>
          </w:tcPr>
          <w:p>
            <w:pPr>
              <w:pStyle w:val="TableParagraph"/>
              <w:spacing w:before="67"/>
              <w:ind w:left="406" w:right="406"/>
              <w:jc w:val="center"/>
              <w:rPr>
                <w:sz w:val="18"/>
              </w:rPr>
            </w:pPr>
            <w:r>
              <w:rPr>
                <w:sz w:val="18"/>
              </w:rPr>
              <w:t>10.5</w:t>
            </w:r>
          </w:p>
        </w:tc>
        <w:tc>
          <w:tcPr>
            <w:tcW w:w="1081" w:type="dxa"/>
            <w:tcBorders>
              <w:top w:val="nil"/>
            </w:tcBorders>
          </w:tcPr>
          <w:p>
            <w:pPr>
              <w:pStyle w:val="TableParagraph"/>
              <w:spacing w:before="67"/>
              <w:ind w:right="4"/>
              <w:jc w:val="center"/>
              <w:rPr>
                <w:sz w:val="18"/>
              </w:rPr>
            </w:pPr>
            <w:r>
              <w:rPr>
                <w:w w:val="99"/>
                <w:sz w:val="18"/>
              </w:rPr>
              <w:t>7</w:t>
            </w:r>
          </w:p>
        </w:tc>
        <w:tc>
          <w:tcPr>
            <w:tcW w:w="1210" w:type="dxa"/>
            <w:tcBorders>
              <w:top w:val="nil"/>
            </w:tcBorders>
          </w:tcPr>
          <w:p>
            <w:pPr>
              <w:pStyle w:val="TableParagraph"/>
              <w:spacing w:before="67"/>
              <w:ind w:left="406" w:right="407"/>
              <w:jc w:val="center"/>
              <w:rPr>
                <w:sz w:val="18"/>
              </w:rPr>
            </w:pPr>
            <w:r>
              <w:rPr>
                <w:sz w:val="18"/>
              </w:rPr>
              <w:t>13.5</w:t>
            </w:r>
          </w:p>
        </w:tc>
      </w:tr>
    </w:tbl>
    <w:p>
      <w:pPr>
        <w:pStyle w:val="BodyText"/>
        <w:spacing w:before="3"/>
        <w:rPr>
          <w:sz w:val="17"/>
        </w:rPr>
      </w:pPr>
    </w:p>
    <w:p>
      <w:pPr>
        <w:spacing w:before="74"/>
        <w:ind w:left="134" w:right="154" w:firstLine="0"/>
        <w:jc w:val="center"/>
        <w:rPr>
          <w:sz w:val="20"/>
        </w:rPr>
      </w:pPr>
      <w:r>
        <w:rPr>
          <w:sz w:val="20"/>
        </w:rPr>
        <w:t>(Miranda, 2014).</w:t>
      </w:r>
    </w:p>
    <w:p>
      <w:pPr>
        <w:spacing w:after="0"/>
        <w:jc w:val="center"/>
        <w:rPr>
          <w:sz w:val="20"/>
        </w:rPr>
        <w:sectPr>
          <w:pgSz w:w="12240" w:h="15840"/>
          <w:pgMar w:header="0" w:footer="1032" w:top="1360" w:bottom="1220" w:left="1600" w:right="1580"/>
        </w:sectPr>
      </w:pPr>
    </w:p>
    <w:p>
      <w:pPr>
        <w:pStyle w:val="BodyText"/>
        <w:spacing w:line="360" w:lineRule="auto" w:before="57"/>
        <w:ind w:left="102" w:right="126"/>
        <w:jc w:val="both"/>
      </w:pPr>
      <w:r>
        <w:rPr/>
        <w:pict>
          <v:group style="position:absolute;margin-left:86.175003pt;margin-top:67.730881pt;width:441.1pt;height:265.3pt;mso-position-horizontal-relative:page;mso-position-vertical-relative:paragraph;z-index:-120712" coordorigin="1724,1355" coordsize="8822,5306">
            <v:shape style="position:absolute;left:3965;top:1523;width:2;height:711" coordorigin="3965,1523" coordsize="0,711" path="m3965,1523l3965,1717m3965,1976l3965,2233e" filled="false" stroked="true" strokeweight=".72pt" strokecolor="#858585">
              <v:path arrowok="t"/>
            </v:shape>
            <v:rect style="position:absolute;left:2971;top:2749;width:1344;height:259" filled="true" fillcolor="#88a44e" stroked="false">
              <v:fill type="solid"/>
            </v:rect>
            <v:rect style="position:absolute;left:2971;top:2492;width:1531;height:257" filled="true" fillcolor="#70578f" stroked="false">
              <v:fill type="solid"/>
            </v:rect>
            <v:rect style="position:absolute;left:2971;top:2233;width:1344;height:259" filled="true" fillcolor="#4197ae" stroked="false">
              <v:fill type="solid"/>
            </v:rect>
            <v:rect style="position:absolute;left:2971;top:1976;width:576;height:257" filled="true" fillcolor="#db843c" stroked="false">
              <v:fill type="solid"/>
            </v:rect>
            <v:rect style="position:absolute;left:2971;top:1717;width:1344;height:259" filled="true" fillcolor="#92a9cf" stroked="false">
              <v:fill type="solid"/>
            </v:rect>
            <v:line style="position:absolute" from="3965,3524" to="3965,3911" stroked="true" strokeweight=".72pt" strokecolor="#858585"/>
            <v:rect style="position:absolute;left:2971;top:3265;width:1721;height:259" filled="true" fillcolor="#4571a7" stroked="false">
              <v:fill type="solid"/>
            </v:rect>
            <v:line style="position:absolute" from="3965,4170" to="3965,4427" stroked="true" strokeweight=".72pt" strokecolor="#858585"/>
            <v:rect style="position:absolute;left:2971;top:4427;width:1572;height:259" filled="true" fillcolor="#4197ae" stroked="false">
              <v:fill type="solid"/>
            </v:rect>
            <v:rect style="position:absolute;left:2971;top:3911;width:1044;height:259" filled="true" fillcolor="#92a9cf" stroked="false">
              <v:fill type="solid"/>
            </v:rect>
            <v:line style="position:absolute" from="3965,5459" to="3965,5910" stroked="true" strokeweight=".72pt" strokecolor="#858585"/>
            <v:rect style="position:absolute;left:2971;top:5459;width:526;height:259" filled="true" fillcolor="#4571a7" stroked="false">
              <v:fill type="solid"/>
            </v:rect>
            <v:rect style="position:absolute;left:2971;top:5202;width:1572;height:257" filled="true" fillcolor="#aa4643" stroked="false">
              <v:fill type="solid"/>
            </v:rect>
            <v:rect style="position:absolute;left:2971;top:4943;width:1572;height:259" filled="true" fillcolor="#88a44e" stroked="false">
              <v:fill type="solid"/>
            </v:rect>
            <v:shape style="position:absolute;left:2894;top:1523;width:4059;height:4469" coordorigin="2894,1523" coordsize="4059,4469" path="m4961,4943l4961,5910m5957,4943l5957,5910m6953,1523l6953,5910m2971,5910l6953,5910m2971,5910l2971,5991m3965,5910l3965,5991m4961,5910l4961,5991m5957,5910l5957,5991m6953,5910l6953,5991m2971,5910l2971,1523m2894,5910l2971,5910m2894,3716l2971,3716m2894,1523l2971,1523e" filled="false" stroked="true" strokeweight=".72pt" strokecolor="#858585">
              <v:path arrowok="t"/>
            </v:shape>
            <v:rect style="position:absolute;left:7951;top:1683;width:110;height:110" filled="true" fillcolor="#92a9cf" stroked="false">
              <v:fill type="solid"/>
            </v:rect>
            <v:rect style="position:absolute;left:7951;top:2324;width:110;height:110" filled="true" fillcolor="#db843c" stroked="false">
              <v:fill type="solid"/>
            </v:rect>
            <v:rect style="position:absolute;left:7951;top:2963;width:110;height:110" filled="true" fillcolor="#4197ae" stroked="false">
              <v:fill type="solid"/>
            </v:rect>
            <v:rect style="position:absolute;left:7951;top:3603;width:110;height:110" filled="true" fillcolor="#70578f" stroked="false">
              <v:fill type="solid"/>
            </v:rect>
            <v:rect style="position:absolute;left:7951;top:4244;width:110;height:108" filled="true" fillcolor="#88a44e" stroked="false">
              <v:fill type="solid"/>
            </v:rect>
            <v:rect style="position:absolute;left:7951;top:4883;width:110;height:110" filled="true" fillcolor="#aa4643" stroked="false">
              <v:fill type="solid"/>
            </v:rect>
            <v:rect style="position:absolute;left:1731;top:1362;width:8807;height:5291" filled="false" stroked="true" strokeweight=".75pt" strokecolor="#858585"/>
            <v:shape style="position:absolute;left:6753;top:4733;width:202;height:200" type="#_x0000_t202" filled="false" stroked="false">
              <v:textbox inset="0,0,0,0">
                <w:txbxContent>
                  <w:p>
                    <w:pPr>
                      <w:spacing w:line="199" w:lineRule="exact" w:before="0"/>
                      <w:ind w:left="0" w:right="-11" w:firstLine="0"/>
                      <w:jc w:val="left"/>
                      <w:rPr>
                        <w:rFonts w:ascii="Calibri"/>
                        <w:sz w:val="20"/>
                      </w:rPr>
                    </w:pPr>
                    <w:r>
                      <w:rPr>
                        <w:rFonts w:ascii="Calibri"/>
                        <w:w w:val="95"/>
                        <w:sz w:val="20"/>
                      </w:rPr>
                      <w:t>36</w:t>
                    </w:r>
                  </w:p>
                </w:txbxContent>
              </v:textbox>
              <w10:wrap type="none"/>
            </v:shape>
            <v:shape style="position:absolute;left:8108;top:1647;width:494;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Otras.</w:t>
                    </w:r>
                  </w:p>
                </w:txbxContent>
              </v:textbox>
              <w10:wrap type="none"/>
            </v:shape>
            <v:shape style="position:absolute;left:1941;top:2509;width:804;height:240" type="#_x0000_t202" filled="false" stroked="false">
              <v:textbox inset="0,0,0,0">
                <w:txbxContent>
                  <w:p>
                    <w:pPr>
                      <w:spacing w:line="240" w:lineRule="exact" w:before="0"/>
                      <w:ind w:left="0" w:right="-15" w:firstLine="0"/>
                      <w:jc w:val="left"/>
                      <w:rPr>
                        <w:rFonts w:ascii="Calibri"/>
                        <w:sz w:val="24"/>
                      </w:rPr>
                    </w:pPr>
                    <w:r>
                      <w:rPr>
                        <w:rFonts w:ascii="Calibri"/>
                        <w:spacing w:val="-1"/>
                        <w:sz w:val="24"/>
                      </w:rPr>
                      <w:t>Mujeres</w:t>
                    </w:r>
                  </w:p>
                </w:txbxContent>
              </v:textbox>
              <w10:wrap type="none"/>
            </v:shape>
            <v:shape style="position:absolute;left:4913;top:3314;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7</w:t>
                    </w:r>
                  </w:p>
                </w:txbxContent>
              </v:textbox>
              <w10:wrap type="none"/>
            </v:shape>
            <v:shape style="position:absolute;left:1855;top:4704;width:891;height:240" type="#_x0000_t202" filled="false" stroked="false">
              <v:textbox inset="0,0,0,0">
                <w:txbxContent>
                  <w:p>
                    <w:pPr>
                      <w:spacing w:line="240" w:lineRule="exact" w:before="0"/>
                      <w:ind w:left="0" w:right="-20" w:firstLine="0"/>
                      <w:jc w:val="left"/>
                      <w:rPr>
                        <w:rFonts w:ascii="Calibri"/>
                        <w:sz w:val="24"/>
                      </w:rPr>
                    </w:pPr>
                    <w:r>
                      <w:rPr>
                        <w:rFonts w:ascii="Calibri"/>
                        <w:sz w:val="24"/>
                      </w:rPr>
                      <w:t>Hombres</w:t>
                    </w:r>
                  </w:p>
                </w:txbxContent>
              </v:textbox>
              <w10:wrap type="none"/>
            </v:shape>
            <v:shape style="position:absolute;left:6955;top:4733;width:152;height:200" type="#_x0000_t202" filled="false" stroked="false">
              <v:textbox inset="0,0,0,0">
                <w:txbxContent>
                  <w:p>
                    <w:pPr>
                      <w:spacing w:line="199" w:lineRule="exact" w:before="0"/>
                      <w:ind w:left="0" w:right="-13" w:firstLine="0"/>
                      <w:jc w:val="left"/>
                      <w:rPr>
                        <w:rFonts w:ascii="Calibri"/>
                        <w:sz w:val="20"/>
                      </w:rPr>
                    </w:pPr>
                    <w:r>
                      <w:rPr>
                        <w:rFonts w:ascii="Calibri"/>
                        <w:w w:val="95"/>
                        <w:sz w:val="20"/>
                      </w:rPr>
                      <w:t>.8</w:t>
                    </w:r>
                  </w:p>
                </w:txbxContent>
              </v:textbox>
              <w10:wrap type="none"/>
            </v:shape>
            <v:shape style="position:absolute;left:4662;top:4991;width:354;height:458" type="#_x0000_t202" filled="false" stroked="false">
              <v:textbox inset="0,0,0,0">
                <w:txbxContent>
                  <w:p>
                    <w:pPr>
                      <w:spacing w:line="203" w:lineRule="exact" w:before="0"/>
                      <w:ind w:left="0" w:right="-3" w:firstLine="0"/>
                      <w:jc w:val="left"/>
                      <w:rPr>
                        <w:rFonts w:ascii="Calibri"/>
                        <w:sz w:val="20"/>
                      </w:rPr>
                    </w:pPr>
                    <w:r>
                      <w:rPr>
                        <w:rFonts w:ascii="Calibri"/>
                        <w:w w:val="95"/>
                        <w:sz w:val="20"/>
                      </w:rPr>
                      <w:t>15.8</w:t>
                    </w:r>
                  </w:p>
                  <w:p>
                    <w:pPr>
                      <w:spacing w:line="240" w:lineRule="exact" w:before="14"/>
                      <w:ind w:left="0" w:right="-3" w:firstLine="0"/>
                      <w:jc w:val="left"/>
                      <w:rPr>
                        <w:rFonts w:ascii="Calibri"/>
                        <w:sz w:val="20"/>
                      </w:rPr>
                    </w:pPr>
                    <w:r>
                      <w:rPr>
                        <w:rFonts w:ascii="Calibri"/>
                        <w:w w:val="95"/>
                        <w:sz w:val="20"/>
                      </w:rPr>
                      <w:t>15.8</w:t>
                    </w:r>
                  </w:p>
                </w:txbxContent>
              </v:textbox>
              <w10:wrap type="none"/>
            </v:shape>
            <v:shape style="position:absolute;left:8108;top:2287;width:2208;height:3003" type="#_x0000_t202" filled="false" stroked="false">
              <v:textbox inset="0,0,0,0">
                <w:txbxContent>
                  <w:p>
                    <w:pPr>
                      <w:spacing w:line="203" w:lineRule="exact" w:before="0"/>
                      <w:ind w:left="0" w:right="-14" w:firstLine="0"/>
                      <w:jc w:val="left"/>
                      <w:rPr>
                        <w:rFonts w:ascii="Calibri"/>
                        <w:sz w:val="20"/>
                      </w:rPr>
                    </w:pPr>
                    <w:r>
                      <w:rPr>
                        <w:rFonts w:ascii="Calibri"/>
                        <w:sz w:val="20"/>
                      </w:rPr>
                      <w:t>Relativo al poder del</w:t>
                    </w:r>
                  </w:p>
                  <w:p>
                    <w:pPr>
                      <w:spacing w:before="0"/>
                      <w:ind w:left="0" w:right="-14" w:firstLine="0"/>
                      <w:jc w:val="left"/>
                      <w:rPr>
                        <w:rFonts w:ascii="Calibri"/>
                        <w:sz w:val="20"/>
                      </w:rPr>
                    </w:pPr>
                    <w:r>
                      <w:rPr>
                        <w:rFonts w:ascii="Calibri"/>
                        <w:sz w:val="20"/>
                      </w:rPr>
                      <w:t>hombre.</w:t>
                    </w:r>
                  </w:p>
                  <w:p>
                    <w:pPr>
                      <w:spacing w:before="151"/>
                      <w:ind w:left="0" w:right="-14" w:firstLine="0"/>
                      <w:jc w:val="left"/>
                      <w:rPr>
                        <w:rFonts w:ascii="Calibri" w:hAnsi="Calibri"/>
                        <w:sz w:val="20"/>
                      </w:rPr>
                    </w:pPr>
                    <w:r>
                      <w:rPr>
                        <w:rFonts w:ascii="Calibri" w:hAnsi="Calibri"/>
                        <w:sz w:val="20"/>
                      </w:rPr>
                      <w:t>Relativo a la</w:t>
                    </w:r>
                    <w:r>
                      <w:rPr>
                        <w:rFonts w:ascii="Calibri" w:hAnsi="Calibri"/>
                        <w:spacing w:val="-7"/>
                        <w:sz w:val="20"/>
                      </w:rPr>
                      <w:t> </w:t>
                    </w:r>
                    <w:r>
                      <w:rPr>
                        <w:rFonts w:ascii="Calibri" w:hAnsi="Calibri"/>
                        <w:sz w:val="20"/>
                      </w:rPr>
                      <w:t>discriminación de hombres y/o</w:t>
                    </w:r>
                    <w:r>
                      <w:rPr>
                        <w:rFonts w:ascii="Calibri" w:hAnsi="Calibri"/>
                        <w:spacing w:val="-11"/>
                        <w:sz w:val="20"/>
                      </w:rPr>
                      <w:t> </w:t>
                    </w:r>
                    <w:r>
                      <w:rPr>
                        <w:rFonts w:ascii="Calibri" w:hAnsi="Calibri"/>
                        <w:sz w:val="20"/>
                      </w:rPr>
                      <w:t>mujeres.</w:t>
                    </w:r>
                  </w:p>
                  <w:p>
                    <w:pPr>
                      <w:spacing w:before="150"/>
                      <w:ind w:left="0" w:right="173" w:firstLine="0"/>
                      <w:jc w:val="left"/>
                      <w:rPr>
                        <w:rFonts w:ascii="Calibri"/>
                        <w:sz w:val="20"/>
                      </w:rPr>
                    </w:pPr>
                    <w:r>
                      <w:rPr>
                        <w:rFonts w:ascii="Calibri"/>
                        <w:sz w:val="20"/>
                      </w:rPr>
                      <w:t>Relativo a la mujer como objeto sexual.</w:t>
                    </w:r>
                  </w:p>
                  <w:p>
                    <w:pPr>
                      <w:spacing w:before="151"/>
                      <w:ind w:left="0" w:right="-14" w:firstLine="0"/>
                      <w:jc w:val="left"/>
                      <w:rPr>
                        <w:rFonts w:ascii="Calibri"/>
                        <w:sz w:val="20"/>
                      </w:rPr>
                    </w:pPr>
                    <w:r>
                      <w:rPr>
                        <w:rFonts w:ascii="Calibri"/>
                        <w:sz w:val="20"/>
                      </w:rPr>
                      <w:t>Relativo al uso del estereotipo de belleza femenina.</w:t>
                    </w:r>
                  </w:p>
                  <w:p>
                    <w:pPr>
                      <w:spacing w:line="153" w:lineRule="exact" w:before="0"/>
                      <w:ind w:left="0" w:right="-14" w:firstLine="0"/>
                      <w:jc w:val="left"/>
                      <w:rPr>
                        <w:rFonts w:ascii="Calibri" w:hAnsi="Calibri"/>
                        <w:sz w:val="20"/>
                      </w:rPr>
                    </w:pPr>
                    <w:r>
                      <w:rPr>
                        <w:rFonts w:ascii="Calibri" w:hAnsi="Calibri"/>
                        <w:sz w:val="20"/>
                      </w:rPr>
                      <w:t>Relativo a la imposición de</w:t>
                    </w:r>
                  </w:p>
                  <w:p>
                    <w:pPr>
                      <w:spacing w:line="240" w:lineRule="exact" w:before="0"/>
                      <w:ind w:left="0" w:right="-14" w:firstLine="0"/>
                      <w:jc w:val="left"/>
                      <w:rPr>
                        <w:rFonts w:ascii="Calibri"/>
                        <w:sz w:val="20"/>
                      </w:rPr>
                    </w:pPr>
                    <w:r>
                      <w:rPr>
                        <w:rFonts w:ascii="Calibri"/>
                        <w:sz w:val="20"/>
                      </w:rPr>
                      <w:t>modelos de vida.</w:t>
                    </w:r>
                  </w:p>
                </w:txbxContent>
              </v:textbox>
              <w10:wrap type="none"/>
            </v:shape>
            <v:shape style="position:absolute;left:3616;top:5508;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5.3</w:t>
                    </w:r>
                  </w:p>
                </w:txbxContent>
              </v:textbox>
              <w10:wrap type="none"/>
            </v:shape>
            <v:shape style="position:absolute;left:2905;top:6121;width:127;height:250" type="#_x0000_t202" filled="false" stroked="false">
              <v:textbox inset="0,0,0,0">
                <w:txbxContent>
                  <w:p>
                    <w:pPr>
                      <w:spacing w:line="250" w:lineRule="exact" w:before="0"/>
                      <w:ind w:left="0" w:right="0" w:firstLine="0"/>
                      <w:jc w:val="left"/>
                      <w:rPr>
                        <w:rFonts w:ascii="Calibri"/>
                        <w:sz w:val="25"/>
                      </w:rPr>
                    </w:pPr>
                    <w:r>
                      <w:rPr>
                        <w:rFonts w:ascii="Calibri"/>
                        <w:w w:val="99"/>
                        <w:sz w:val="25"/>
                      </w:rPr>
                      <w:t>0</w:t>
                    </w:r>
                  </w:p>
                </w:txbxContent>
              </v:textbox>
              <w10:wrap type="none"/>
            </v:shape>
            <v:shape style="position:absolute;left:3838;top:6121;width:255;height:250" type="#_x0000_t202" filled="false" stroked="false">
              <v:textbox inset="0,0,0,0">
                <w:txbxContent>
                  <w:p>
                    <w:pPr>
                      <w:spacing w:line="250" w:lineRule="exact" w:before="0"/>
                      <w:ind w:left="0" w:right="-19" w:firstLine="0"/>
                      <w:jc w:val="left"/>
                      <w:rPr>
                        <w:rFonts w:ascii="Calibri"/>
                        <w:sz w:val="25"/>
                      </w:rPr>
                    </w:pPr>
                    <w:r>
                      <w:rPr>
                        <w:rFonts w:ascii="Calibri"/>
                        <w:sz w:val="25"/>
                      </w:rPr>
                      <w:t>10</w:t>
                    </w:r>
                  </w:p>
                </w:txbxContent>
              </v:textbox>
              <w10:wrap type="none"/>
            </v:shape>
            <v:shape style="position:absolute;left:4834;top:6121;width:255;height:250" type="#_x0000_t202" filled="false" stroked="false">
              <v:textbox inset="0,0,0,0">
                <w:txbxContent>
                  <w:p>
                    <w:pPr>
                      <w:spacing w:line="250" w:lineRule="exact" w:before="0"/>
                      <w:ind w:left="0" w:right="-19" w:firstLine="0"/>
                      <w:jc w:val="left"/>
                      <w:rPr>
                        <w:rFonts w:ascii="Calibri"/>
                        <w:sz w:val="25"/>
                      </w:rPr>
                    </w:pPr>
                    <w:r>
                      <w:rPr>
                        <w:rFonts w:ascii="Calibri"/>
                        <w:sz w:val="25"/>
                      </w:rPr>
                      <w:t>20</w:t>
                    </w:r>
                  </w:p>
                </w:txbxContent>
              </v:textbox>
              <w10:wrap type="none"/>
            </v:shape>
            <v:shape style="position:absolute;left:5829;top:6121;width:255;height:250" type="#_x0000_t202" filled="false" stroked="false">
              <v:textbox inset="0,0,0,0">
                <w:txbxContent>
                  <w:p>
                    <w:pPr>
                      <w:spacing w:line="250" w:lineRule="exact" w:before="0"/>
                      <w:ind w:left="0" w:right="-19" w:firstLine="0"/>
                      <w:jc w:val="left"/>
                      <w:rPr>
                        <w:rFonts w:ascii="Calibri"/>
                        <w:sz w:val="25"/>
                      </w:rPr>
                    </w:pPr>
                    <w:r>
                      <w:rPr>
                        <w:rFonts w:ascii="Calibri"/>
                        <w:sz w:val="25"/>
                      </w:rPr>
                      <w:t>30</w:t>
                    </w:r>
                  </w:p>
                </w:txbxContent>
              </v:textbox>
              <w10:wrap type="none"/>
            </v:shape>
            <v:shape style="position:absolute;left:6825;top:6121;width:255;height:250" type="#_x0000_t202" filled="false" stroked="false">
              <v:textbox inset="0,0,0,0">
                <w:txbxContent>
                  <w:p>
                    <w:pPr>
                      <w:spacing w:line="250" w:lineRule="exact" w:before="0"/>
                      <w:ind w:left="0" w:right="-19" w:firstLine="0"/>
                      <w:jc w:val="left"/>
                      <w:rPr>
                        <w:rFonts w:ascii="Calibri"/>
                        <w:sz w:val="25"/>
                      </w:rPr>
                    </w:pPr>
                    <w:r>
                      <w:rPr>
                        <w:rFonts w:ascii="Calibri"/>
                        <w:sz w:val="25"/>
                      </w:rPr>
                      <w:t>40</w:t>
                    </w:r>
                  </w:p>
                </w:txbxContent>
              </v:textbox>
              <w10:wrap type="none"/>
            </v:shape>
            <w10:wrap type="none"/>
          </v:group>
        </w:pict>
      </w:r>
      <w:r>
        <w:rPr>
          <w:u w:val="single"/>
        </w:rPr>
        <w:t>Gráfica 8.1.1 </w:t>
      </w:r>
      <w:r>
        <w:rPr/>
        <w:t>Las formas en que el estudiantado considera que los medios de comunicación masiva utilizan el estereotipo de género.</w:t>
      </w:r>
    </w:p>
    <w:p>
      <w:pPr>
        <w:pStyle w:val="BodyText"/>
        <w:rPr>
          <w:sz w:val="20"/>
        </w:rPr>
      </w:pPr>
    </w:p>
    <w:p>
      <w:pPr>
        <w:pStyle w:val="BodyText"/>
        <w:rPr>
          <w:sz w:val="20"/>
        </w:rPr>
      </w:pPr>
    </w:p>
    <w:p>
      <w:pPr>
        <w:pStyle w:val="BodyText"/>
        <w:spacing w:before="10"/>
        <w:rPr>
          <w:sz w:val="15"/>
        </w:rPr>
      </w:pPr>
    </w:p>
    <w:tbl>
      <w:tblPr>
        <w:tblW w:w="0" w:type="auto"/>
        <w:jc w:val="left"/>
        <w:tblInd w:w="137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7"/>
        <w:gridCol w:w="598"/>
        <w:gridCol w:w="934"/>
        <w:gridCol w:w="120"/>
        <w:gridCol w:w="876"/>
        <w:gridCol w:w="677"/>
      </w:tblGrid>
      <w:tr>
        <w:trPr>
          <w:trHeight w:val="471" w:hRule="exact"/>
        </w:trPr>
        <w:tc>
          <w:tcPr>
            <w:tcW w:w="457" w:type="dxa"/>
          </w:tcPr>
          <w:p>
            <w:pPr/>
          </w:p>
        </w:tc>
        <w:tc>
          <w:tcPr>
            <w:tcW w:w="598" w:type="dxa"/>
          </w:tcPr>
          <w:p>
            <w:pPr/>
          </w:p>
        </w:tc>
        <w:tc>
          <w:tcPr>
            <w:tcW w:w="934" w:type="dxa"/>
            <w:tcBorders>
              <w:right w:val="single" w:sz="6" w:space="0" w:color="858585"/>
            </w:tcBorders>
          </w:tcPr>
          <w:p>
            <w:pPr>
              <w:pStyle w:val="TableParagraph"/>
              <w:spacing w:before="5"/>
              <w:rPr>
                <w:sz w:val="17"/>
              </w:rPr>
            </w:pPr>
          </w:p>
          <w:p>
            <w:pPr>
              <w:pStyle w:val="TableParagraph"/>
              <w:ind w:left="406"/>
              <w:rPr>
                <w:rFonts w:ascii="Calibri"/>
                <w:sz w:val="20"/>
              </w:rPr>
            </w:pPr>
            <w:r>
              <w:rPr>
                <w:rFonts w:ascii="Calibri"/>
                <w:sz w:val="20"/>
              </w:rPr>
              <w:t>13.5</w:t>
            </w:r>
          </w:p>
        </w:tc>
        <w:tc>
          <w:tcPr>
            <w:tcW w:w="996" w:type="dxa"/>
            <w:gridSpan w:val="2"/>
            <w:vMerge w:val="restart"/>
            <w:tcBorders>
              <w:left w:val="single" w:sz="6" w:space="0" w:color="858585"/>
              <w:right w:val="single" w:sz="6" w:space="0" w:color="858585"/>
            </w:tcBorders>
          </w:tcPr>
          <w:p>
            <w:pPr/>
          </w:p>
        </w:tc>
        <w:tc>
          <w:tcPr>
            <w:tcW w:w="677" w:type="dxa"/>
            <w:vMerge w:val="restart"/>
            <w:tcBorders>
              <w:left w:val="single" w:sz="6" w:space="0" w:color="858585"/>
            </w:tcBorders>
          </w:tcPr>
          <w:p>
            <w:pPr/>
          </w:p>
        </w:tc>
      </w:tr>
      <w:tr>
        <w:trPr>
          <w:trHeight w:val="258" w:hRule="exact"/>
        </w:trPr>
        <w:tc>
          <w:tcPr>
            <w:tcW w:w="457" w:type="dxa"/>
          </w:tcPr>
          <w:p>
            <w:pPr/>
          </w:p>
        </w:tc>
        <w:tc>
          <w:tcPr>
            <w:tcW w:w="598" w:type="dxa"/>
          </w:tcPr>
          <w:p>
            <w:pPr>
              <w:pStyle w:val="TableParagraph"/>
              <w:spacing w:line="233" w:lineRule="exact"/>
              <w:ind w:left="237"/>
              <w:rPr>
                <w:rFonts w:ascii="Calibri"/>
                <w:sz w:val="20"/>
              </w:rPr>
            </w:pPr>
            <w:r>
              <w:rPr>
                <w:rFonts w:ascii="Calibri"/>
                <w:sz w:val="20"/>
              </w:rPr>
              <w:t>5.8</w:t>
            </w:r>
          </w:p>
        </w:tc>
        <w:tc>
          <w:tcPr>
            <w:tcW w:w="934" w:type="dxa"/>
            <w:tcBorders>
              <w:right w:val="single" w:sz="6" w:space="0" w:color="858585"/>
            </w:tcBorders>
          </w:tcPr>
          <w:p>
            <w:pPr/>
          </w:p>
        </w:tc>
        <w:tc>
          <w:tcPr>
            <w:tcW w:w="996" w:type="dxa"/>
            <w:gridSpan w:val="2"/>
            <w:vMerge/>
            <w:tcBorders>
              <w:left w:val="single" w:sz="6" w:space="0" w:color="858585"/>
              <w:right w:val="single" w:sz="6" w:space="0" w:color="858585"/>
            </w:tcBorders>
          </w:tcPr>
          <w:p>
            <w:pPr/>
          </w:p>
        </w:tc>
        <w:tc>
          <w:tcPr>
            <w:tcW w:w="677" w:type="dxa"/>
            <w:vMerge/>
            <w:tcBorders>
              <w:left w:val="single" w:sz="6" w:space="0" w:color="858585"/>
            </w:tcBorders>
          </w:tcPr>
          <w:p>
            <w:pPr/>
          </w:p>
        </w:tc>
      </w:tr>
      <w:tr>
        <w:trPr>
          <w:trHeight w:val="258" w:hRule="exact"/>
        </w:trPr>
        <w:tc>
          <w:tcPr>
            <w:tcW w:w="457" w:type="dxa"/>
          </w:tcPr>
          <w:p>
            <w:pPr/>
          </w:p>
        </w:tc>
        <w:tc>
          <w:tcPr>
            <w:tcW w:w="598" w:type="dxa"/>
          </w:tcPr>
          <w:p>
            <w:pPr/>
          </w:p>
        </w:tc>
        <w:tc>
          <w:tcPr>
            <w:tcW w:w="934" w:type="dxa"/>
            <w:tcBorders>
              <w:right w:val="single" w:sz="6" w:space="0" w:color="858585"/>
            </w:tcBorders>
          </w:tcPr>
          <w:p>
            <w:pPr>
              <w:pStyle w:val="TableParagraph"/>
              <w:spacing w:line="233" w:lineRule="exact"/>
              <w:ind w:left="406"/>
              <w:rPr>
                <w:rFonts w:ascii="Calibri"/>
                <w:sz w:val="20"/>
              </w:rPr>
            </w:pPr>
            <w:r>
              <w:rPr>
                <w:rFonts w:ascii="Calibri"/>
                <w:sz w:val="20"/>
              </w:rPr>
              <w:t>13.5</w:t>
            </w:r>
          </w:p>
        </w:tc>
        <w:tc>
          <w:tcPr>
            <w:tcW w:w="996" w:type="dxa"/>
            <w:gridSpan w:val="2"/>
            <w:vMerge/>
            <w:tcBorders>
              <w:left w:val="single" w:sz="6" w:space="0" w:color="858585"/>
              <w:right w:val="single" w:sz="6" w:space="0" w:color="858585"/>
            </w:tcBorders>
          </w:tcPr>
          <w:p>
            <w:pPr/>
          </w:p>
        </w:tc>
        <w:tc>
          <w:tcPr>
            <w:tcW w:w="677" w:type="dxa"/>
            <w:vMerge/>
            <w:tcBorders>
              <w:left w:val="single" w:sz="6" w:space="0" w:color="858585"/>
            </w:tcBorders>
          </w:tcPr>
          <w:p>
            <w:pPr/>
          </w:p>
        </w:tc>
      </w:tr>
      <w:tr>
        <w:trPr>
          <w:trHeight w:val="258" w:hRule="exact"/>
        </w:trPr>
        <w:tc>
          <w:tcPr>
            <w:tcW w:w="457" w:type="dxa"/>
          </w:tcPr>
          <w:p>
            <w:pPr/>
          </w:p>
        </w:tc>
        <w:tc>
          <w:tcPr>
            <w:tcW w:w="598" w:type="dxa"/>
          </w:tcPr>
          <w:p>
            <w:pPr/>
          </w:p>
        </w:tc>
        <w:tc>
          <w:tcPr>
            <w:tcW w:w="934" w:type="dxa"/>
            <w:tcBorders>
              <w:right w:val="single" w:sz="6" w:space="0" w:color="858585"/>
            </w:tcBorders>
          </w:tcPr>
          <w:p>
            <w:pPr>
              <w:pStyle w:val="TableParagraph"/>
              <w:spacing w:line="233" w:lineRule="exact"/>
              <w:ind w:right="-22"/>
              <w:jc w:val="right"/>
              <w:rPr>
                <w:rFonts w:ascii="Calibri"/>
                <w:sz w:val="20"/>
              </w:rPr>
            </w:pPr>
            <w:r>
              <w:rPr>
                <w:rFonts w:ascii="Calibri"/>
                <w:sz w:val="20"/>
              </w:rPr>
              <w:t>15.4</w:t>
            </w:r>
          </w:p>
        </w:tc>
        <w:tc>
          <w:tcPr>
            <w:tcW w:w="996" w:type="dxa"/>
            <w:gridSpan w:val="2"/>
            <w:vMerge/>
            <w:tcBorders>
              <w:left w:val="single" w:sz="6" w:space="0" w:color="858585"/>
              <w:right w:val="single" w:sz="6" w:space="0" w:color="858585"/>
            </w:tcBorders>
          </w:tcPr>
          <w:p>
            <w:pPr/>
          </w:p>
        </w:tc>
        <w:tc>
          <w:tcPr>
            <w:tcW w:w="677" w:type="dxa"/>
            <w:vMerge/>
            <w:tcBorders>
              <w:left w:val="single" w:sz="6" w:space="0" w:color="858585"/>
            </w:tcBorders>
          </w:tcPr>
          <w:p>
            <w:pPr/>
          </w:p>
        </w:tc>
      </w:tr>
      <w:tr>
        <w:trPr>
          <w:trHeight w:val="240" w:hRule="exact"/>
        </w:trPr>
        <w:tc>
          <w:tcPr>
            <w:tcW w:w="457" w:type="dxa"/>
          </w:tcPr>
          <w:p>
            <w:pPr/>
          </w:p>
        </w:tc>
        <w:tc>
          <w:tcPr>
            <w:tcW w:w="598" w:type="dxa"/>
          </w:tcPr>
          <w:p>
            <w:pPr/>
          </w:p>
        </w:tc>
        <w:tc>
          <w:tcPr>
            <w:tcW w:w="934" w:type="dxa"/>
            <w:tcBorders>
              <w:right w:val="single" w:sz="6" w:space="0" w:color="858585"/>
            </w:tcBorders>
          </w:tcPr>
          <w:p>
            <w:pPr>
              <w:pStyle w:val="TableParagraph"/>
              <w:spacing w:line="232" w:lineRule="exact"/>
              <w:ind w:left="406"/>
              <w:rPr>
                <w:rFonts w:ascii="Calibri"/>
                <w:sz w:val="20"/>
              </w:rPr>
            </w:pPr>
            <w:r>
              <w:rPr>
                <w:rFonts w:ascii="Calibri"/>
                <w:sz w:val="20"/>
              </w:rPr>
              <w:t>13.5</w:t>
            </w:r>
          </w:p>
        </w:tc>
        <w:tc>
          <w:tcPr>
            <w:tcW w:w="996" w:type="dxa"/>
            <w:gridSpan w:val="2"/>
            <w:vMerge/>
            <w:tcBorders>
              <w:left w:val="single" w:sz="6" w:space="0" w:color="858585"/>
              <w:right w:val="single" w:sz="6" w:space="0" w:color="858585"/>
            </w:tcBorders>
          </w:tcPr>
          <w:p>
            <w:pPr/>
          </w:p>
        </w:tc>
        <w:tc>
          <w:tcPr>
            <w:tcW w:w="677" w:type="dxa"/>
            <w:vMerge/>
            <w:tcBorders>
              <w:left w:val="single" w:sz="6" w:space="0" w:color="858585"/>
            </w:tcBorders>
          </w:tcPr>
          <w:p>
            <w:pPr/>
          </w:p>
        </w:tc>
      </w:tr>
      <w:tr>
        <w:trPr>
          <w:trHeight w:val="257" w:hRule="exact"/>
        </w:trPr>
        <w:tc>
          <w:tcPr>
            <w:tcW w:w="2110" w:type="dxa"/>
            <w:gridSpan w:val="4"/>
            <w:shd w:val="clear" w:color="auto" w:fill="AA4643"/>
          </w:tcPr>
          <w:p>
            <w:pPr/>
          </w:p>
        </w:tc>
        <w:tc>
          <w:tcPr>
            <w:tcW w:w="876" w:type="dxa"/>
            <w:tcBorders>
              <w:right w:val="single" w:sz="6" w:space="0" w:color="858585"/>
            </w:tcBorders>
          </w:tcPr>
          <w:p>
            <w:pPr>
              <w:pStyle w:val="TableParagraph"/>
              <w:spacing w:before="6"/>
              <w:ind w:left="119"/>
              <w:rPr>
                <w:rFonts w:ascii="Calibri"/>
                <w:sz w:val="20"/>
              </w:rPr>
            </w:pPr>
            <w:r>
              <w:rPr>
                <w:rFonts w:ascii="Calibri"/>
                <w:sz w:val="20"/>
              </w:rPr>
              <w:t>21.2</w:t>
            </w:r>
          </w:p>
        </w:tc>
        <w:tc>
          <w:tcPr>
            <w:tcW w:w="677" w:type="dxa"/>
            <w:vMerge/>
            <w:tcBorders>
              <w:left w:val="single" w:sz="6" w:space="0" w:color="858585"/>
            </w:tcBorders>
          </w:tcPr>
          <w:p>
            <w:pPr/>
          </w:p>
        </w:tc>
      </w:tr>
      <w:tr>
        <w:trPr>
          <w:trHeight w:val="471" w:hRule="exact"/>
        </w:trPr>
        <w:tc>
          <w:tcPr>
            <w:tcW w:w="457" w:type="dxa"/>
          </w:tcPr>
          <w:p>
            <w:pPr/>
          </w:p>
        </w:tc>
        <w:tc>
          <w:tcPr>
            <w:tcW w:w="598" w:type="dxa"/>
          </w:tcPr>
          <w:p>
            <w:pPr/>
          </w:p>
        </w:tc>
        <w:tc>
          <w:tcPr>
            <w:tcW w:w="934" w:type="dxa"/>
            <w:tcBorders>
              <w:right w:val="single" w:sz="6" w:space="0" w:color="858585"/>
            </w:tcBorders>
          </w:tcPr>
          <w:p>
            <w:pPr>
              <w:pStyle w:val="TableParagraph"/>
              <w:spacing w:before="7"/>
              <w:ind w:right="39"/>
              <w:jc w:val="right"/>
              <w:rPr>
                <w:rFonts w:ascii="Calibri"/>
                <w:sz w:val="20"/>
              </w:rPr>
            </w:pPr>
            <w:r>
              <w:rPr>
                <w:rFonts w:ascii="Calibri"/>
                <w:w w:val="99"/>
                <w:sz w:val="20"/>
              </w:rPr>
              <w:t>1</w:t>
            </w:r>
          </w:p>
        </w:tc>
        <w:tc>
          <w:tcPr>
            <w:tcW w:w="996" w:type="dxa"/>
            <w:gridSpan w:val="2"/>
            <w:tcBorders>
              <w:left w:val="single" w:sz="6" w:space="0" w:color="858585"/>
              <w:right w:val="single" w:sz="6" w:space="0" w:color="858585"/>
            </w:tcBorders>
          </w:tcPr>
          <w:p>
            <w:pPr>
              <w:pStyle w:val="TableParagraph"/>
              <w:spacing w:before="7"/>
              <w:ind w:left="45"/>
              <w:rPr>
                <w:rFonts w:ascii="Calibri"/>
                <w:sz w:val="20"/>
              </w:rPr>
            </w:pPr>
            <w:r>
              <w:rPr>
                <w:rFonts w:ascii="Calibri"/>
                <w:sz w:val="20"/>
              </w:rPr>
              <w:t>.3</w:t>
            </w:r>
          </w:p>
        </w:tc>
        <w:tc>
          <w:tcPr>
            <w:tcW w:w="677" w:type="dxa"/>
            <w:vMerge/>
            <w:tcBorders>
              <w:left w:val="single" w:sz="6" w:space="0" w:color="858585"/>
            </w:tcBorders>
          </w:tcPr>
          <w:p>
            <w:pPr/>
          </w:p>
        </w:tc>
      </w:tr>
      <w:tr>
        <w:trPr>
          <w:trHeight w:val="452" w:hRule="exact"/>
        </w:trPr>
        <w:tc>
          <w:tcPr>
            <w:tcW w:w="457" w:type="dxa"/>
          </w:tcPr>
          <w:p>
            <w:pPr/>
          </w:p>
        </w:tc>
        <w:tc>
          <w:tcPr>
            <w:tcW w:w="598" w:type="dxa"/>
          </w:tcPr>
          <w:p>
            <w:pPr/>
          </w:p>
        </w:tc>
        <w:tc>
          <w:tcPr>
            <w:tcW w:w="934" w:type="dxa"/>
            <w:tcBorders>
              <w:right w:val="single" w:sz="6" w:space="0" w:color="858585"/>
            </w:tcBorders>
          </w:tcPr>
          <w:p>
            <w:pPr>
              <w:pStyle w:val="TableParagraph"/>
              <w:spacing w:before="9"/>
              <w:rPr>
                <w:sz w:val="15"/>
              </w:rPr>
            </w:pPr>
          </w:p>
          <w:p>
            <w:pPr>
              <w:pStyle w:val="TableParagraph"/>
              <w:ind w:left="108"/>
              <w:rPr>
                <w:rFonts w:ascii="Calibri"/>
                <w:sz w:val="20"/>
              </w:rPr>
            </w:pPr>
            <w:r>
              <w:rPr>
                <w:rFonts w:ascii="Calibri"/>
                <w:sz w:val="20"/>
              </w:rPr>
              <w:t>10.5</w:t>
            </w:r>
          </w:p>
        </w:tc>
        <w:tc>
          <w:tcPr>
            <w:tcW w:w="996" w:type="dxa"/>
            <w:gridSpan w:val="2"/>
            <w:tcBorders>
              <w:left w:val="single" w:sz="6" w:space="0" w:color="858585"/>
              <w:right w:val="single" w:sz="6" w:space="0" w:color="858585"/>
            </w:tcBorders>
          </w:tcPr>
          <w:p>
            <w:pPr/>
          </w:p>
        </w:tc>
        <w:tc>
          <w:tcPr>
            <w:tcW w:w="677" w:type="dxa"/>
            <w:vMerge/>
            <w:tcBorders>
              <w:left w:val="single" w:sz="6" w:space="0" w:color="858585"/>
            </w:tcBorders>
          </w:tcPr>
          <w:p>
            <w:pPr/>
          </w:p>
        </w:tc>
      </w:tr>
      <w:tr>
        <w:trPr>
          <w:trHeight w:val="258" w:hRule="exact"/>
        </w:trPr>
        <w:tc>
          <w:tcPr>
            <w:tcW w:w="457" w:type="dxa"/>
          </w:tcPr>
          <w:p>
            <w:pPr>
              <w:pStyle w:val="TableParagraph"/>
              <w:spacing w:line="233" w:lineRule="exact"/>
              <w:ind w:left="118"/>
              <w:rPr>
                <w:rFonts w:ascii="Calibri"/>
                <w:sz w:val="20"/>
              </w:rPr>
            </w:pPr>
            <w:r>
              <w:rPr>
                <w:rFonts w:ascii="Calibri"/>
                <w:w w:val="99"/>
                <w:sz w:val="20"/>
              </w:rPr>
              <w:t>0</w:t>
            </w:r>
          </w:p>
        </w:tc>
        <w:tc>
          <w:tcPr>
            <w:tcW w:w="598" w:type="dxa"/>
          </w:tcPr>
          <w:p>
            <w:pPr/>
          </w:p>
        </w:tc>
        <w:tc>
          <w:tcPr>
            <w:tcW w:w="934" w:type="dxa"/>
            <w:tcBorders>
              <w:right w:val="single" w:sz="6" w:space="0" w:color="858585"/>
            </w:tcBorders>
          </w:tcPr>
          <w:p>
            <w:pPr/>
          </w:p>
        </w:tc>
        <w:tc>
          <w:tcPr>
            <w:tcW w:w="996" w:type="dxa"/>
            <w:gridSpan w:val="2"/>
            <w:tcBorders>
              <w:left w:val="single" w:sz="6" w:space="0" w:color="858585"/>
              <w:right w:val="single" w:sz="6" w:space="0" w:color="858585"/>
            </w:tcBorders>
          </w:tcPr>
          <w:p>
            <w:pPr/>
          </w:p>
        </w:tc>
        <w:tc>
          <w:tcPr>
            <w:tcW w:w="677" w:type="dxa"/>
            <w:vMerge/>
            <w:tcBorders>
              <w:left w:val="single" w:sz="6" w:space="0" w:color="858585"/>
            </w:tcBorders>
          </w:tcPr>
          <w:p>
            <w:pPr/>
          </w:p>
        </w:tc>
      </w:tr>
      <w:tr>
        <w:trPr>
          <w:trHeight w:val="240" w:hRule="exact"/>
        </w:trPr>
        <w:tc>
          <w:tcPr>
            <w:tcW w:w="457" w:type="dxa"/>
          </w:tcPr>
          <w:p>
            <w:pPr/>
          </w:p>
        </w:tc>
        <w:tc>
          <w:tcPr>
            <w:tcW w:w="598" w:type="dxa"/>
          </w:tcPr>
          <w:p>
            <w:pPr/>
          </w:p>
        </w:tc>
        <w:tc>
          <w:tcPr>
            <w:tcW w:w="934" w:type="dxa"/>
            <w:tcBorders>
              <w:right w:val="single" w:sz="6" w:space="0" w:color="858585"/>
            </w:tcBorders>
          </w:tcPr>
          <w:p>
            <w:pPr>
              <w:pStyle w:val="TableParagraph"/>
              <w:spacing w:line="233" w:lineRule="exact"/>
              <w:ind w:right="37"/>
              <w:jc w:val="right"/>
              <w:rPr>
                <w:rFonts w:ascii="Calibri"/>
                <w:sz w:val="20"/>
              </w:rPr>
            </w:pPr>
            <w:r>
              <w:rPr>
                <w:rFonts w:ascii="Calibri"/>
                <w:w w:val="95"/>
                <w:sz w:val="20"/>
              </w:rPr>
              <w:t>15.</w:t>
            </w:r>
          </w:p>
        </w:tc>
        <w:tc>
          <w:tcPr>
            <w:tcW w:w="996" w:type="dxa"/>
            <w:gridSpan w:val="2"/>
            <w:tcBorders>
              <w:left w:val="single" w:sz="6" w:space="0" w:color="858585"/>
              <w:right w:val="single" w:sz="6" w:space="0" w:color="858585"/>
            </w:tcBorders>
          </w:tcPr>
          <w:p>
            <w:pPr>
              <w:pStyle w:val="TableParagraph"/>
              <w:spacing w:line="233" w:lineRule="exact"/>
              <w:ind w:left="-54"/>
              <w:rPr>
                <w:rFonts w:ascii="Calibri"/>
                <w:sz w:val="20"/>
              </w:rPr>
            </w:pPr>
            <w:r>
              <w:rPr>
                <w:rFonts w:ascii="Calibri"/>
                <w:w w:val="99"/>
                <w:sz w:val="20"/>
              </w:rPr>
              <w:t>8</w:t>
            </w:r>
          </w:p>
        </w:tc>
        <w:tc>
          <w:tcPr>
            <w:tcW w:w="677" w:type="dxa"/>
            <w:vMerge/>
            <w:tcBorders>
              <w:left w:val="single" w:sz="6" w:space="0" w:color="858585"/>
            </w:tcBorders>
          </w:tcPr>
          <w:p>
            <w:pPr/>
          </w:p>
        </w:tc>
      </w:tr>
      <w:tr>
        <w:trPr>
          <w:trHeight w:val="257" w:hRule="exact"/>
        </w:trPr>
        <w:tc>
          <w:tcPr>
            <w:tcW w:w="3662" w:type="dxa"/>
            <w:gridSpan w:val="6"/>
            <w:shd w:val="clear" w:color="auto" w:fill="70578F"/>
          </w:tcPr>
          <w:p>
            <w:pPr/>
          </w:p>
        </w:tc>
      </w:tr>
    </w:tbl>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8"/>
        </w:rPr>
      </w:pPr>
    </w:p>
    <w:p>
      <w:pPr>
        <w:spacing w:before="0"/>
        <w:ind w:left="134" w:right="154" w:firstLine="0"/>
        <w:jc w:val="center"/>
        <w:rPr>
          <w:sz w:val="20"/>
        </w:rPr>
      </w:pPr>
      <w:r>
        <w:rPr>
          <w:sz w:val="20"/>
        </w:rPr>
        <w:t>(Miranda, 2014).</w:t>
      </w:r>
    </w:p>
    <w:p>
      <w:pPr>
        <w:pStyle w:val="BodyText"/>
        <w:rPr>
          <w:sz w:val="20"/>
        </w:rPr>
      </w:pPr>
    </w:p>
    <w:p>
      <w:pPr>
        <w:pStyle w:val="BodyText"/>
        <w:rPr>
          <w:sz w:val="20"/>
        </w:rPr>
      </w:pPr>
    </w:p>
    <w:p>
      <w:pPr>
        <w:pStyle w:val="BodyText"/>
        <w:spacing w:before="4"/>
        <w:rPr>
          <w:sz w:val="23"/>
        </w:rPr>
      </w:pPr>
    </w:p>
    <w:p>
      <w:pPr>
        <w:pStyle w:val="BodyText"/>
        <w:spacing w:line="360" w:lineRule="auto"/>
        <w:ind w:left="102" w:right="119"/>
        <w:jc w:val="both"/>
      </w:pPr>
      <w:r>
        <w:rPr/>
        <w:t>La mayoría de los hombres de la muestra (36.8%) señalaron que el estereotipo de género se manifiesta más en el uso del cuerpo de la mujer como objeto sexual, en contraste, no existió referencia alguna sobre el estereotipo de género y lo relativo al poder del hombre.</w:t>
      </w:r>
    </w:p>
    <w:p>
      <w:pPr>
        <w:pStyle w:val="BodyText"/>
        <w:spacing w:line="360" w:lineRule="auto" w:before="204"/>
        <w:ind w:left="102" w:right="123"/>
        <w:jc w:val="both"/>
      </w:pPr>
      <w:r>
        <w:rPr/>
        <w:t>Las mujeres de la muestra, por su parte, asociaron más el estereotipo de género con la imposición de modelos de vida (21.2%) y menos con el poder ejercido por el hombre (5.8%).</w:t>
      </w:r>
    </w:p>
    <w:p>
      <w:pPr>
        <w:pStyle w:val="BodyText"/>
        <w:spacing w:line="360" w:lineRule="auto" w:before="202"/>
        <w:ind w:left="102" w:right="119"/>
        <w:jc w:val="both"/>
      </w:pPr>
      <w:r>
        <w:rPr/>
        <w:t>Aquí, las y los estudiantes, desde el punto de vista de su formación en Comunicación, consideran que el uso del estereotipo de género es no sólo discriminatorio, sino también, funcional para fines lucrativos, pues según sus propios  comentarios,  éste  se  emplea  más  frecuentemente  por  las   campañas</w:t>
      </w:r>
    </w:p>
    <w:p>
      <w:pPr>
        <w:spacing w:after="0" w:line="360" w:lineRule="auto"/>
        <w:jc w:val="both"/>
        <w:sectPr>
          <w:pgSz w:w="12240" w:h="15840"/>
          <w:pgMar w:header="0" w:footer="1032" w:top="1360" w:bottom="1220" w:left="1600" w:right="1580"/>
        </w:sectPr>
      </w:pPr>
    </w:p>
    <w:p>
      <w:pPr>
        <w:pStyle w:val="BodyText"/>
        <w:spacing w:line="360" w:lineRule="auto" w:before="57"/>
        <w:ind w:left="102" w:right="116"/>
        <w:jc w:val="both"/>
      </w:pPr>
      <w:r>
        <w:rPr/>
        <w:t>publicitarias, posicionando a la mujer como un complemento o “un adorno” </w:t>
      </w:r>
      <w:r>
        <w:rPr>
          <w:color w:val="1D1B11"/>
        </w:rPr>
        <w:t>que incita la atracción y el consumo de los hombres </w:t>
      </w:r>
      <w:r>
        <w:rPr/>
        <w:t>tal y como lo menciona </w:t>
      </w:r>
      <w:r>
        <w:rPr>
          <w:color w:val="1D1B11"/>
        </w:rPr>
        <w:t>Sandra Emma Carmona Valdés (2012).</w:t>
      </w:r>
    </w:p>
    <w:p>
      <w:pPr>
        <w:pStyle w:val="BodyText"/>
      </w:pPr>
    </w:p>
    <w:p>
      <w:pPr>
        <w:pStyle w:val="BodyText"/>
      </w:pPr>
    </w:p>
    <w:p>
      <w:pPr>
        <w:pStyle w:val="BodyText"/>
        <w:spacing w:before="11"/>
        <w:rPr>
          <w:sz w:val="22"/>
        </w:rPr>
      </w:pPr>
    </w:p>
    <w:p>
      <w:pPr>
        <w:spacing w:before="0"/>
        <w:ind w:left="102" w:right="0" w:firstLine="0"/>
        <w:jc w:val="both"/>
        <w:rPr>
          <w:sz w:val="22"/>
        </w:rPr>
      </w:pPr>
      <w:r>
        <w:rPr>
          <w:b/>
          <w:sz w:val="24"/>
        </w:rPr>
        <w:t>Pregunta 9. </w:t>
      </w:r>
      <w:r>
        <w:rPr>
          <w:sz w:val="22"/>
        </w:rPr>
        <w:t>(Ver Anexo 1)</w:t>
      </w:r>
    </w:p>
    <w:p>
      <w:pPr>
        <w:pStyle w:val="BodyText"/>
        <w:spacing w:before="4"/>
        <w:rPr>
          <w:sz w:val="29"/>
        </w:rPr>
      </w:pPr>
    </w:p>
    <w:p>
      <w:pPr>
        <w:pStyle w:val="BodyText"/>
        <w:spacing w:line="360" w:lineRule="auto" w:before="1"/>
        <w:ind w:left="102" w:right="117"/>
        <w:jc w:val="both"/>
      </w:pPr>
      <w:r>
        <w:rPr>
          <w:u w:val="single"/>
        </w:rPr>
        <w:t>Tabla 9.1. </w:t>
      </w:r>
      <w:r>
        <w:rPr/>
        <w:t>Respuestas del estudiantado (considerando su actual formación en Comunicación) al cuestionárseles si considerarían que pueden realizar alguna aportación para erradicar la inequidad de género y la violencia contra las mujeres.</w:t>
      </w:r>
    </w:p>
    <w:p>
      <w:pPr>
        <w:pStyle w:val="BodyText"/>
        <w:rPr>
          <w:sz w:val="20"/>
        </w:rPr>
      </w:pPr>
    </w:p>
    <w:p>
      <w:pPr>
        <w:pStyle w:val="BodyText"/>
        <w:spacing w:before="10"/>
        <w:rPr>
          <w:sz w:val="15"/>
        </w:rPr>
      </w:pPr>
    </w:p>
    <w:tbl>
      <w:tblPr>
        <w:tblW w:w="0" w:type="auto"/>
        <w:jc w:val="left"/>
        <w:tblInd w:w="135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291"/>
        <w:gridCol w:w="687"/>
        <w:gridCol w:w="1022"/>
        <w:gridCol w:w="1148"/>
        <w:gridCol w:w="1022"/>
        <w:gridCol w:w="1148"/>
      </w:tblGrid>
      <w:tr>
        <w:trPr>
          <w:trHeight w:val="310" w:hRule="exact"/>
        </w:trPr>
        <w:tc>
          <w:tcPr>
            <w:tcW w:w="1978" w:type="dxa"/>
            <w:gridSpan w:val="2"/>
            <w:vMerge w:val="restart"/>
            <w:shd w:val="clear" w:color="auto" w:fill="F1F1F1"/>
          </w:tcPr>
          <w:p>
            <w:pPr/>
          </w:p>
        </w:tc>
        <w:tc>
          <w:tcPr>
            <w:tcW w:w="4340" w:type="dxa"/>
            <w:gridSpan w:val="4"/>
            <w:shd w:val="clear" w:color="auto" w:fill="F1F1F1"/>
          </w:tcPr>
          <w:p>
            <w:pPr>
              <w:pStyle w:val="TableParagraph"/>
              <w:spacing w:before="42"/>
              <w:ind w:left="1897" w:right="1898"/>
              <w:jc w:val="center"/>
              <w:rPr>
                <w:sz w:val="18"/>
              </w:rPr>
            </w:pPr>
            <w:r>
              <w:rPr>
                <w:sz w:val="18"/>
              </w:rPr>
              <w:t>SEXO</w:t>
            </w:r>
          </w:p>
        </w:tc>
      </w:tr>
      <w:tr>
        <w:trPr>
          <w:trHeight w:val="307" w:hRule="exact"/>
        </w:trPr>
        <w:tc>
          <w:tcPr>
            <w:tcW w:w="1978" w:type="dxa"/>
            <w:gridSpan w:val="2"/>
            <w:vMerge/>
            <w:shd w:val="clear" w:color="auto" w:fill="F1F1F1"/>
          </w:tcPr>
          <w:p>
            <w:pPr/>
          </w:p>
        </w:tc>
        <w:tc>
          <w:tcPr>
            <w:tcW w:w="2170" w:type="dxa"/>
            <w:gridSpan w:val="2"/>
            <w:shd w:val="clear" w:color="auto" w:fill="F1F1F1"/>
          </w:tcPr>
          <w:p>
            <w:pPr>
              <w:pStyle w:val="TableParagraph"/>
              <w:spacing w:before="54"/>
              <w:ind w:left="717"/>
              <w:rPr>
                <w:sz w:val="18"/>
              </w:rPr>
            </w:pPr>
            <w:r>
              <w:rPr>
                <w:sz w:val="18"/>
              </w:rPr>
              <w:t>Hombres</w:t>
            </w:r>
          </w:p>
        </w:tc>
        <w:tc>
          <w:tcPr>
            <w:tcW w:w="2170" w:type="dxa"/>
            <w:gridSpan w:val="2"/>
            <w:shd w:val="clear" w:color="auto" w:fill="F1F1F1"/>
          </w:tcPr>
          <w:p>
            <w:pPr>
              <w:pStyle w:val="TableParagraph"/>
              <w:spacing w:before="54"/>
              <w:ind w:left="741" w:right="743"/>
              <w:jc w:val="center"/>
              <w:rPr>
                <w:sz w:val="18"/>
              </w:rPr>
            </w:pPr>
            <w:r>
              <w:rPr>
                <w:sz w:val="18"/>
              </w:rPr>
              <w:t>Mujeres</w:t>
            </w:r>
          </w:p>
        </w:tc>
      </w:tr>
      <w:tr>
        <w:trPr>
          <w:trHeight w:val="420" w:hRule="exact"/>
        </w:trPr>
        <w:tc>
          <w:tcPr>
            <w:tcW w:w="1978" w:type="dxa"/>
            <w:gridSpan w:val="2"/>
            <w:vMerge/>
            <w:shd w:val="clear" w:color="auto" w:fill="F1F1F1"/>
          </w:tcPr>
          <w:p>
            <w:pPr/>
          </w:p>
        </w:tc>
        <w:tc>
          <w:tcPr>
            <w:tcW w:w="1022" w:type="dxa"/>
            <w:shd w:val="clear" w:color="auto" w:fill="F1F1F1"/>
          </w:tcPr>
          <w:p>
            <w:pPr>
              <w:pStyle w:val="TableParagraph"/>
              <w:ind w:left="458" w:right="93" w:hanging="344"/>
              <w:rPr>
                <w:sz w:val="18"/>
              </w:rPr>
            </w:pPr>
            <w:r>
              <w:rPr>
                <w:sz w:val="18"/>
              </w:rPr>
              <w:t>Frecuenci a</w:t>
            </w:r>
          </w:p>
        </w:tc>
        <w:tc>
          <w:tcPr>
            <w:tcW w:w="1148" w:type="dxa"/>
            <w:shd w:val="clear" w:color="auto" w:fill="F1F1F1"/>
          </w:tcPr>
          <w:p>
            <w:pPr>
              <w:pStyle w:val="TableParagraph"/>
              <w:spacing w:before="104"/>
              <w:jc w:val="center"/>
              <w:rPr>
                <w:sz w:val="18"/>
              </w:rPr>
            </w:pPr>
            <w:r>
              <w:rPr>
                <w:w w:val="99"/>
                <w:sz w:val="18"/>
              </w:rPr>
              <w:t>%</w:t>
            </w:r>
          </w:p>
        </w:tc>
        <w:tc>
          <w:tcPr>
            <w:tcW w:w="1022" w:type="dxa"/>
            <w:shd w:val="clear" w:color="auto" w:fill="F1F1F1"/>
          </w:tcPr>
          <w:p>
            <w:pPr>
              <w:pStyle w:val="TableParagraph"/>
              <w:ind w:left="456" w:right="95" w:hanging="344"/>
              <w:rPr>
                <w:sz w:val="18"/>
              </w:rPr>
            </w:pPr>
            <w:r>
              <w:rPr>
                <w:sz w:val="18"/>
              </w:rPr>
              <w:t>Frecuenci a</w:t>
            </w:r>
          </w:p>
        </w:tc>
        <w:tc>
          <w:tcPr>
            <w:tcW w:w="1148" w:type="dxa"/>
            <w:shd w:val="clear" w:color="auto" w:fill="F1F1F1"/>
          </w:tcPr>
          <w:p>
            <w:pPr>
              <w:pStyle w:val="TableParagraph"/>
              <w:spacing w:before="104"/>
              <w:ind w:right="1"/>
              <w:jc w:val="center"/>
              <w:rPr>
                <w:sz w:val="18"/>
              </w:rPr>
            </w:pPr>
            <w:r>
              <w:rPr>
                <w:w w:val="99"/>
                <w:sz w:val="18"/>
              </w:rPr>
              <w:t>%</w:t>
            </w:r>
          </w:p>
        </w:tc>
      </w:tr>
      <w:tr>
        <w:trPr>
          <w:trHeight w:val="236" w:hRule="exact"/>
        </w:trPr>
        <w:tc>
          <w:tcPr>
            <w:tcW w:w="1291" w:type="dxa"/>
            <w:tcBorders>
              <w:bottom w:val="nil"/>
              <w:right w:val="nil"/>
            </w:tcBorders>
            <w:shd w:val="clear" w:color="auto" w:fill="F1F1F1"/>
          </w:tcPr>
          <w:p>
            <w:pPr/>
          </w:p>
        </w:tc>
        <w:tc>
          <w:tcPr>
            <w:tcW w:w="687" w:type="dxa"/>
            <w:tcBorders>
              <w:left w:val="nil"/>
              <w:bottom w:val="nil"/>
            </w:tcBorders>
            <w:shd w:val="clear" w:color="auto" w:fill="F1F1F1"/>
          </w:tcPr>
          <w:p>
            <w:pPr>
              <w:pStyle w:val="TableParagraph"/>
              <w:spacing w:line="206" w:lineRule="exact"/>
              <w:ind w:left="99"/>
              <w:rPr>
                <w:sz w:val="18"/>
              </w:rPr>
            </w:pPr>
            <w:r>
              <w:rPr>
                <w:sz w:val="18"/>
              </w:rPr>
              <w:t>No</w:t>
            </w:r>
          </w:p>
        </w:tc>
        <w:tc>
          <w:tcPr>
            <w:tcW w:w="1022" w:type="dxa"/>
            <w:tcBorders>
              <w:bottom w:val="nil"/>
            </w:tcBorders>
          </w:tcPr>
          <w:p>
            <w:pPr>
              <w:pStyle w:val="TableParagraph"/>
              <w:spacing w:before="11"/>
              <w:ind w:right="457"/>
              <w:jc w:val="right"/>
              <w:rPr>
                <w:sz w:val="18"/>
              </w:rPr>
            </w:pPr>
            <w:r>
              <w:rPr>
                <w:w w:val="99"/>
                <w:sz w:val="18"/>
              </w:rPr>
              <w:t>8</w:t>
            </w:r>
          </w:p>
        </w:tc>
        <w:tc>
          <w:tcPr>
            <w:tcW w:w="1148" w:type="dxa"/>
            <w:tcBorders>
              <w:bottom w:val="nil"/>
            </w:tcBorders>
          </w:tcPr>
          <w:p>
            <w:pPr>
              <w:pStyle w:val="TableParagraph"/>
              <w:spacing w:before="11"/>
              <w:ind w:left="376" w:right="376"/>
              <w:jc w:val="center"/>
              <w:rPr>
                <w:sz w:val="18"/>
              </w:rPr>
            </w:pPr>
            <w:r>
              <w:rPr>
                <w:sz w:val="18"/>
              </w:rPr>
              <w:t>33.3</w:t>
            </w:r>
          </w:p>
        </w:tc>
        <w:tc>
          <w:tcPr>
            <w:tcW w:w="1022" w:type="dxa"/>
            <w:tcBorders>
              <w:bottom w:val="nil"/>
            </w:tcBorders>
          </w:tcPr>
          <w:p>
            <w:pPr>
              <w:pStyle w:val="TableParagraph"/>
              <w:spacing w:before="11"/>
              <w:ind w:left="388" w:right="388"/>
              <w:jc w:val="center"/>
              <w:rPr>
                <w:sz w:val="18"/>
              </w:rPr>
            </w:pPr>
            <w:r>
              <w:rPr>
                <w:sz w:val="18"/>
              </w:rPr>
              <w:t>19</w:t>
            </w:r>
          </w:p>
        </w:tc>
        <w:tc>
          <w:tcPr>
            <w:tcW w:w="1148" w:type="dxa"/>
            <w:tcBorders>
              <w:bottom w:val="nil"/>
            </w:tcBorders>
          </w:tcPr>
          <w:p>
            <w:pPr>
              <w:pStyle w:val="TableParagraph"/>
              <w:spacing w:before="11"/>
              <w:ind w:left="376" w:right="376"/>
              <w:jc w:val="center"/>
              <w:rPr>
                <w:sz w:val="18"/>
              </w:rPr>
            </w:pPr>
            <w:r>
              <w:rPr>
                <w:sz w:val="18"/>
              </w:rPr>
              <w:t>32.8</w:t>
            </w:r>
          </w:p>
        </w:tc>
      </w:tr>
      <w:tr>
        <w:trPr>
          <w:trHeight w:val="439" w:hRule="exact"/>
        </w:trPr>
        <w:tc>
          <w:tcPr>
            <w:tcW w:w="1291" w:type="dxa"/>
            <w:tcBorders>
              <w:top w:val="nil"/>
              <w:right w:val="nil"/>
            </w:tcBorders>
            <w:shd w:val="clear" w:color="auto" w:fill="F1F1F1"/>
          </w:tcPr>
          <w:p>
            <w:pPr/>
          </w:p>
        </w:tc>
        <w:tc>
          <w:tcPr>
            <w:tcW w:w="687" w:type="dxa"/>
            <w:tcBorders>
              <w:top w:val="nil"/>
              <w:left w:val="nil"/>
            </w:tcBorders>
            <w:shd w:val="clear" w:color="auto" w:fill="F1F1F1"/>
          </w:tcPr>
          <w:p>
            <w:pPr>
              <w:pStyle w:val="TableParagraph"/>
              <w:spacing w:line="203" w:lineRule="exact"/>
              <w:ind w:left="99"/>
              <w:rPr>
                <w:sz w:val="18"/>
              </w:rPr>
            </w:pPr>
            <w:r>
              <w:rPr>
                <w:sz w:val="18"/>
              </w:rPr>
              <w:t>Si</w:t>
            </w:r>
          </w:p>
        </w:tc>
        <w:tc>
          <w:tcPr>
            <w:tcW w:w="1022" w:type="dxa"/>
            <w:tcBorders>
              <w:top w:val="nil"/>
              <w:left w:val="single" w:sz="36" w:space="0" w:color="F1F1F1"/>
            </w:tcBorders>
          </w:tcPr>
          <w:p>
            <w:pPr>
              <w:pStyle w:val="TableParagraph"/>
              <w:spacing w:before="8"/>
              <w:ind w:right="403"/>
              <w:jc w:val="right"/>
              <w:rPr>
                <w:sz w:val="18"/>
              </w:rPr>
            </w:pPr>
            <w:r>
              <w:rPr>
                <w:sz w:val="18"/>
              </w:rPr>
              <w:t>16</w:t>
            </w:r>
          </w:p>
        </w:tc>
        <w:tc>
          <w:tcPr>
            <w:tcW w:w="1148" w:type="dxa"/>
            <w:tcBorders>
              <w:top w:val="nil"/>
            </w:tcBorders>
          </w:tcPr>
          <w:p>
            <w:pPr>
              <w:pStyle w:val="TableParagraph"/>
              <w:spacing w:before="8"/>
              <w:ind w:left="376" w:right="376"/>
              <w:jc w:val="center"/>
              <w:rPr>
                <w:sz w:val="18"/>
              </w:rPr>
            </w:pPr>
            <w:r>
              <w:rPr>
                <w:sz w:val="18"/>
              </w:rPr>
              <w:t>66.7</w:t>
            </w:r>
          </w:p>
        </w:tc>
        <w:tc>
          <w:tcPr>
            <w:tcW w:w="1022" w:type="dxa"/>
            <w:tcBorders>
              <w:top w:val="nil"/>
            </w:tcBorders>
          </w:tcPr>
          <w:p>
            <w:pPr>
              <w:pStyle w:val="TableParagraph"/>
              <w:spacing w:before="8"/>
              <w:ind w:left="388" w:right="388"/>
              <w:jc w:val="center"/>
              <w:rPr>
                <w:sz w:val="18"/>
              </w:rPr>
            </w:pPr>
            <w:r>
              <w:rPr>
                <w:sz w:val="18"/>
              </w:rPr>
              <w:t>39</w:t>
            </w:r>
          </w:p>
        </w:tc>
        <w:tc>
          <w:tcPr>
            <w:tcW w:w="1148" w:type="dxa"/>
            <w:tcBorders>
              <w:top w:val="nil"/>
            </w:tcBorders>
          </w:tcPr>
          <w:p>
            <w:pPr>
              <w:pStyle w:val="TableParagraph"/>
              <w:spacing w:before="8"/>
              <w:ind w:left="376" w:right="376"/>
              <w:jc w:val="center"/>
              <w:rPr>
                <w:sz w:val="18"/>
              </w:rPr>
            </w:pPr>
            <w:r>
              <w:rPr>
                <w:sz w:val="18"/>
              </w:rPr>
              <w:t>67.2</w:t>
            </w:r>
          </w:p>
        </w:tc>
      </w:tr>
    </w:tbl>
    <w:p>
      <w:pPr>
        <w:pStyle w:val="BodyText"/>
        <w:spacing w:before="4"/>
        <w:rPr>
          <w:sz w:val="23"/>
        </w:rPr>
      </w:pPr>
    </w:p>
    <w:p>
      <w:pPr>
        <w:spacing w:before="74"/>
        <w:ind w:left="134" w:right="154" w:firstLine="0"/>
        <w:jc w:val="center"/>
        <w:rPr>
          <w:sz w:val="20"/>
        </w:rPr>
      </w:pPr>
      <w:r>
        <w:rPr>
          <w:sz w:val="20"/>
        </w:rPr>
        <w:t>(Miranda, 2014).</w:t>
      </w:r>
    </w:p>
    <w:p>
      <w:pPr>
        <w:pStyle w:val="BodyText"/>
        <w:rPr>
          <w:sz w:val="20"/>
        </w:rPr>
      </w:pPr>
    </w:p>
    <w:p>
      <w:pPr>
        <w:pStyle w:val="BodyText"/>
        <w:rPr>
          <w:sz w:val="20"/>
        </w:rPr>
      </w:pPr>
    </w:p>
    <w:p>
      <w:pPr>
        <w:pStyle w:val="BodyText"/>
        <w:spacing w:line="360" w:lineRule="auto" w:before="165"/>
        <w:ind w:left="140" w:right="154"/>
        <w:jc w:val="center"/>
      </w:pPr>
      <w:r>
        <w:rPr>
          <w:u w:val="single"/>
        </w:rPr>
        <w:t>Gráfica 9.1. </w:t>
      </w:r>
      <w:r>
        <w:rPr/>
        <w:t>Respuestas del estudiantado (considerando su actual formación en Comunicación) al cuestionárseles si considerarían que pueden realizar alguna aportación para erradicar la inequidad de género y la violencia contra las mujeres.</w:t>
      </w:r>
    </w:p>
    <w:p>
      <w:pPr>
        <w:pStyle w:val="BodyText"/>
        <w:spacing w:before="8"/>
        <w:rPr>
          <w:sz w:val="13"/>
        </w:rPr>
      </w:pPr>
      <w:r>
        <w:rPr/>
        <w:pict>
          <v:group style="position:absolute;margin-left:136.145004pt;margin-top:9.848895pt;width:339.95pt;height:185.75pt;mso-position-horizontal-relative:page;mso-position-vertical-relative:paragraph;z-index:3952;mso-wrap-distance-left:0;mso-wrap-distance-right:0" coordorigin="2723,197" coordsize="6799,3715">
            <v:line style="position:absolute" from="8028,3032" to="8602,3032" stroked="true" strokeweight=".72pt" strokecolor="#858585"/>
            <v:line style="position:absolute" from="5352,3032" to="6499,3032" stroked="true" strokeweight=".72pt" strokecolor="#858585"/>
            <v:line style="position:absolute" from="5352,2660" to="6499,2660" stroked="true" strokeweight=".72pt" strokecolor="#858585"/>
            <v:line style="position:absolute" from="5352,2288" to="6499,2288" stroked="true" strokeweight=".72pt" strokecolor="#858585"/>
            <v:rect style="position:absolute;left:6499;top:2182;width:763;height:1222" filled="true" fillcolor="#88a44e" stroked="false">
              <v:fill type="solid"/>
            </v:rect>
            <v:line style="position:absolute" from="3250,3032" to="3823,3032" stroked="true" strokeweight=".72pt" strokecolor="#858585"/>
            <v:line style="position:absolute" from="3250,2660" to="3823,2660" stroked="true" strokeweight=".72pt" strokecolor="#858585"/>
            <v:line style="position:absolute" from="3250,2288" to="3823,2288" stroked="true" strokeweight=".72pt" strokecolor="#858585"/>
            <v:rect style="position:absolute;left:3823;top:2166;width:763;height:1238" filled="true" fillcolor="#88a44e" stroked="false">
              <v:fill type="solid"/>
            </v:rect>
            <v:line style="position:absolute" from="5352,1916" to="7262,1916" stroked="true" strokeweight=".72pt" strokecolor="#858585"/>
            <v:line style="position:absolute" from="3250,1916" to="4586,1916" stroked="true" strokeweight=".72pt" strokecolor="#858585"/>
            <v:line style="position:absolute" from="5352,1544" to="7262,1544" stroked="true" strokeweight=".72pt" strokecolor="#858585"/>
            <v:line style="position:absolute" from="3250,1544" to="4586,1544" stroked="true" strokeweight=".72pt" strokecolor="#858585"/>
            <v:line style="position:absolute" from="5352,1172" to="7262,1172" stroked="true" strokeweight=".72pt" strokecolor="#858585"/>
            <v:line style="position:absolute" from="3250,1172" to="4586,1172" stroked="true" strokeweight=".72pt" strokecolor="#858585"/>
            <v:rect style="position:absolute;left:4586;top:922;width:766;height:2482" filled="true" fillcolor="#b8cd95" stroked="false">
              <v:fill type="solid"/>
            </v:rect>
            <v:line style="position:absolute" from="8028,2660" to="8602,2660" stroked="true" strokeweight=".72pt" strokecolor="#858585"/>
            <v:line style="position:absolute" from="8028,2288" to="8602,2288" stroked="true" strokeweight=".72pt" strokecolor="#858585"/>
            <v:line style="position:absolute" from="8028,1916" to="8602,1916" stroked="true" strokeweight=".72pt" strokecolor="#858585"/>
            <v:line style="position:absolute" from="8028,1544" to="8602,1544" stroked="true" strokeweight=".72pt" strokecolor="#858585"/>
            <v:line style="position:absolute" from="8028,1172" to="8602,1172" stroked="true" strokeweight=".72pt" strokecolor="#858585"/>
            <v:rect style="position:absolute;left:7262;top:903;width:766;height:2501" filled="true" fillcolor="#b8cd95" stroked="false">
              <v:fill type="solid"/>
            </v:rect>
            <v:line style="position:absolute" from="3250,800" to="8602,800" stroked="true" strokeweight=".72pt" strokecolor="#858585"/>
            <v:line style="position:absolute" from="3250,428" to="8602,428" stroked="true" strokeweight=".72pt" strokecolor="#858585"/>
            <v:line style="position:absolute" from="3250,3404" to="3250,428" stroked="true" strokeweight=".72pt" strokecolor="#858585"/>
            <v:line style="position:absolute" from="3187,3404" to="3250,3404" stroked="true" strokeweight=".72pt" strokecolor="#858585"/>
            <v:line style="position:absolute" from="3187,3032" to="3250,3032" stroked="true" strokeweight=".72pt" strokecolor="#858585"/>
            <v:line style="position:absolute" from="3187,2660" to="3250,2660" stroked="true" strokeweight=".72pt" strokecolor="#858585"/>
            <v:line style="position:absolute" from="3187,2288" to="3250,2288" stroked="true" strokeweight=".72pt" strokecolor="#858585"/>
            <v:line style="position:absolute" from="3187,1916" to="3250,1916" stroked="true" strokeweight=".72pt" strokecolor="#858585"/>
            <v:line style="position:absolute" from="3187,1544" to="3250,1544" stroked="true" strokeweight=".72pt" strokecolor="#858585"/>
            <v:line style="position:absolute" from="3187,1172" to="3250,1172" stroked="true" strokeweight=".72pt" strokecolor="#858585"/>
            <v:line style="position:absolute" from="3187,800" to="3250,800" stroked="true" strokeweight=".72pt" strokecolor="#858585"/>
            <v:line style="position:absolute" from="3187,428" to="3250,428" stroked="true" strokeweight=".72pt" strokecolor="#858585"/>
            <v:line style="position:absolute" from="3250,3404" to="8602,3404" stroked="true" strokeweight=".72pt" strokecolor="#858585"/>
            <v:line style="position:absolute" from="3250,3404" to="3250,3466" stroked="true" strokeweight=".72pt" strokecolor="#858585"/>
            <v:line style="position:absolute" from="5926,3404" to="5926,3466" stroked="true" strokeweight=".72pt" strokecolor="#858585"/>
            <v:line style="position:absolute" from="8602,3404" to="8602,3466" stroked="true" strokeweight=".72pt" strokecolor="#858585"/>
            <v:rect style="position:absolute;left:8921;top:1820;width:110;height:108" filled="true" fillcolor="#88a44e" stroked="false">
              <v:fill type="solid"/>
            </v:rect>
            <v:rect style="position:absolute;left:8921;top:2180;width:110;height:110" filled="true" fillcolor="#b8cd95" stroked="false">
              <v:fill type="solid"/>
            </v:rect>
            <v:rect style="position:absolute;left:2730;top:204;width:6784;height:3700" filled="false" stroked="true" strokeweight=".75pt" strokecolor="#858585"/>
            <v:shape style="position:absolute;left:2861;top:335;width:202;height:2060"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80</w:t>
                    </w:r>
                  </w:p>
                  <w:p>
                    <w:pPr>
                      <w:spacing w:before="128"/>
                      <w:ind w:left="0" w:right="-19" w:firstLine="0"/>
                      <w:jc w:val="left"/>
                      <w:rPr>
                        <w:rFonts w:ascii="Calibri"/>
                        <w:sz w:val="20"/>
                      </w:rPr>
                    </w:pPr>
                    <w:r>
                      <w:rPr>
                        <w:rFonts w:ascii="Calibri"/>
                        <w:spacing w:val="-1"/>
                        <w:sz w:val="20"/>
                      </w:rPr>
                      <w:t>70</w:t>
                    </w:r>
                  </w:p>
                  <w:p>
                    <w:pPr>
                      <w:spacing w:before="128"/>
                      <w:ind w:left="0" w:right="-19" w:firstLine="0"/>
                      <w:jc w:val="left"/>
                      <w:rPr>
                        <w:rFonts w:ascii="Calibri"/>
                        <w:sz w:val="20"/>
                      </w:rPr>
                    </w:pPr>
                    <w:r>
                      <w:rPr>
                        <w:rFonts w:ascii="Calibri"/>
                        <w:spacing w:val="-1"/>
                        <w:sz w:val="20"/>
                      </w:rPr>
                      <w:t>60</w:t>
                    </w:r>
                  </w:p>
                  <w:p>
                    <w:pPr>
                      <w:spacing w:before="128"/>
                      <w:ind w:left="0" w:right="-19" w:firstLine="0"/>
                      <w:jc w:val="left"/>
                      <w:rPr>
                        <w:rFonts w:ascii="Calibri"/>
                        <w:sz w:val="20"/>
                      </w:rPr>
                    </w:pPr>
                    <w:r>
                      <w:rPr>
                        <w:rFonts w:ascii="Calibri"/>
                        <w:spacing w:val="-1"/>
                        <w:sz w:val="20"/>
                      </w:rPr>
                      <w:t>50</w:t>
                    </w:r>
                  </w:p>
                  <w:p>
                    <w:pPr>
                      <w:spacing w:before="128"/>
                      <w:ind w:left="0" w:right="-19" w:firstLine="0"/>
                      <w:jc w:val="left"/>
                      <w:rPr>
                        <w:rFonts w:ascii="Calibri"/>
                        <w:sz w:val="20"/>
                      </w:rPr>
                    </w:pPr>
                    <w:r>
                      <w:rPr>
                        <w:rFonts w:ascii="Calibri"/>
                        <w:spacing w:val="-1"/>
                        <w:sz w:val="20"/>
                      </w:rPr>
                      <w:t>40</w:t>
                    </w:r>
                  </w:p>
                  <w:p>
                    <w:pPr>
                      <w:spacing w:line="240" w:lineRule="exact" w:before="128"/>
                      <w:ind w:left="0" w:right="-19" w:firstLine="0"/>
                      <w:jc w:val="left"/>
                      <w:rPr>
                        <w:rFonts w:ascii="Calibri"/>
                        <w:sz w:val="20"/>
                      </w:rPr>
                    </w:pPr>
                    <w:r>
                      <w:rPr>
                        <w:rFonts w:ascii="Calibri"/>
                        <w:spacing w:val="-1"/>
                        <w:sz w:val="20"/>
                      </w:rPr>
                      <w:t>30</w:t>
                    </w:r>
                  </w:p>
                </w:txbxContent>
              </v:textbox>
              <w10:wrap type="none"/>
            </v:shape>
            <v:shape style="position:absolute;left:4793;top:2082;width:354;height:200" type="#_x0000_t202" filled="false" stroked="false">
              <v:textbox inset="0,0,0,0">
                <w:txbxContent>
                  <w:p>
                    <w:pPr>
                      <w:spacing w:line="200" w:lineRule="exact" w:before="0"/>
                      <w:ind w:left="0" w:right="-17" w:firstLine="0"/>
                      <w:jc w:val="left"/>
                      <w:rPr>
                        <w:rFonts w:ascii="Calibri"/>
                        <w:sz w:val="20"/>
                      </w:rPr>
                    </w:pPr>
                    <w:r>
                      <w:rPr>
                        <w:rFonts w:ascii="Calibri"/>
                        <w:spacing w:val="-1"/>
                        <w:sz w:val="20"/>
                      </w:rPr>
                      <w:t>66.7</w:t>
                    </w:r>
                  </w:p>
                </w:txbxContent>
              </v:textbox>
              <w10:wrap type="none"/>
            </v:shape>
            <v:shape style="position:absolute;left:7470;top:2073;width:35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67.2</w:t>
                    </w:r>
                  </w:p>
                </w:txbxContent>
              </v:textbox>
              <w10:wrap type="none"/>
            </v:shape>
            <v:shape style="position:absolute;left:9079;top:1782;width:236;height:561" type="#_x0000_t202" filled="false" stroked="false">
              <v:textbox inset="0,0,0,0">
                <w:txbxContent>
                  <w:p>
                    <w:pPr>
                      <w:spacing w:line="203" w:lineRule="exact" w:before="0"/>
                      <w:ind w:left="0" w:right="-19" w:firstLine="0"/>
                      <w:jc w:val="left"/>
                      <w:rPr>
                        <w:rFonts w:ascii="Calibri"/>
                        <w:sz w:val="20"/>
                      </w:rPr>
                    </w:pPr>
                    <w:r>
                      <w:rPr>
                        <w:rFonts w:ascii="Calibri"/>
                        <w:sz w:val="20"/>
                      </w:rPr>
                      <w:t>No</w:t>
                    </w:r>
                  </w:p>
                  <w:p>
                    <w:pPr>
                      <w:spacing w:line="240" w:lineRule="exact" w:before="117"/>
                      <w:ind w:left="0" w:right="-19" w:firstLine="0"/>
                      <w:jc w:val="left"/>
                      <w:rPr>
                        <w:rFonts w:ascii="Calibri" w:hAnsi="Calibri"/>
                        <w:sz w:val="20"/>
                      </w:rPr>
                    </w:pPr>
                    <w:r>
                      <w:rPr>
                        <w:rFonts w:ascii="Calibri" w:hAnsi="Calibri"/>
                        <w:sz w:val="20"/>
                      </w:rPr>
                      <w:t>Sí</w:t>
                    </w:r>
                  </w:p>
                </w:txbxContent>
              </v:textbox>
              <w10:wrap type="none"/>
            </v:shape>
            <v:shape style="position:absolute;left:2861;top:2568;width:203;height:944" type="#_x0000_t202" filled="false" stroked="false">
              <v:textbox inset="0,0,0,0">
                <w:txbxContent>
                  <w:p>
                    <w:pPr>
                      <w:spacing w:line="203" w:lineRule="exact" w:before="0"/>
                      <w:ind w:left="0" w:right="1" w:firstLine="0"/>
                      <w:jc w:val="center"/>
                      <w:rPr>
                        <w:rFonts w:ascii="Calibri"/>
                        <w:sz w:val="20"/>
                      </w:rPr>
                    </w:pPr>
                    <w:r>
                      <w:rPr>
                        <w:rFonts w:ascii="Calibri"/>
                        <w:w w:val="95"/>
                        <w:sz w:val="20"/>
                      </w:rPr>
                      <w:t>20</w:t>
                    </w:r>
                  </w:p>
                  <w:p>
                    <w:pPr>
                      <w:spacing w:before="128"/>
                      <w:ind w:left="0" w:right="1" w:firstLine="0"/>
                      <w:jc w:val="center"/>
                      <w:rPr>
                        <w:rFonts w:ascii="Calibri"/>
                        <w:sz w:val="20"/>
                      </w:rPr>
                    </w:pPr>
                    <w:r>
                      <w:rPr>
                        <w:rFonts w:ascii="Calibri"/>
                        <w:w w:val="95"/>
                        <w:sz w:val="20"/>
                      </w:rPr>
                      <w:t>10</w:t>
                    </w:r>
                  </w:p>
                  <w:p>
                    <w:pPr>
                      <w:spacing w:line="240" w:lineRule="exact" w:before="128"/>
                      <w:ind w:left="101" w:right="0" w:firstLine="0"/>
                      <w:jc w:val="center"/>
                      <w:rPr>
                        <w:rFonts w:ascii="Calibri"/>
                        <w:sz w:val="20"/>
                      </w:rPr>
                    </w:pPr>
                    <w:r>
                      <w:rPr>
                        <w:rFonts w:ascii="Calibri"/>
                        <w:w w:val="99"/>
                        <w:sz w:val="20"/>
                      </w:rPr>
                      <w:t>0</w:t>
                    </w:r>
                  </w:p>
                </w:txbxContent>
              </v:textbox>
              <w10:wrap type="none"/>
            </v:shape>
            <v:shape style="position:absolute;left:4029;top:2704;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33.3</w:t>
                    </w:r>
                  </w:p>
                </w:txbxContent>
              </v:textbox>
              <w10:wrap type="none"/>
            </v:shape>
            <v:shape style="position:absolute;left:6705;top:2713;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32.8</w:t>
                    </w:r>
                  </w:p>
                </w:txbxContent>
              </v:textbox>
              <w10:wrap type="none"/>
            </v:shape>
            <v:shape style="position:absolute;left:4216;top:3572;width:3383;height:200" type="#_x0000_t202" filled="false" stroked="false">
              <v:textbox inset="0,0,0,0">
                <w:txbxContent>
                  <w:p>
                    <w:pPr>
                      <w:tabs>
                        <w:tab w:pos="2711" w:val="left" w:leader="none"/>
                      </w:tabs>
                      <w:spacing w:line="199" w:lineRule="exact" w:before="0"/>
                      <w:ind w:left="0" w:right="0" w:firstLine="0"/>
                      <w:jc w:val="left"/>
                      <w:rPr>
                        <w:rFonts w:ascii="Calibri"/>
                        <w:sz w:val="20"/>
                      </w:rPr>
                    </w:pPr>
                    <w:r>
                      <w:rPr>
                        <w:rFonts w:ascii="Calibri"/>
                        <w:sz w:val="20"/>
                      </w:rPr>
                      <w:t>Hombres</w:t>
                      <w:tab/>
                    </w:r>
                    <w:r>
                      <w:rPr>
                        <w:rFonts w:ascii="Calibri"/>
                        <w:w w:val="95"/>
                        <w:sz w:val="20"/>
                      </w:rPr>
                      <w:t>Mujeres</w:t>
                    </w:r>
                  </w:p>
                </w:txbxContent>
              </v:textbox>
              <w10:wrap type="none"/>
            </v:shape>
            <w10:wrap type="topAndBottom"/>
          </v:group>
        </w:pict>
      </w:r>
    </w:p>
    <w:p>
      <w:pPr>
        <w:spacing w:before="192"/>
        <w:ind w:left="134" w:right="154" w:firstLine="0"/>
        <w:jc w:val="center"/>
        <w:rPr>
          <w:sz w:val="20"/>
        </w:rPr>
      </w:pPr>
      <w:r>
        <w:rPr>
          <w:sz w:val="20"/>
        </w:rPr>
        <w:t>(Miranda, 2014).</w:t>
      </w:r>
    </w:p>
    <w:p>
      <w:pPr>
        <w:spacing w:after="0"/>
        <w:jc w:val="center"/>
        <w:rPr>
          <w:sz w:val="20"/>
        </w:rPr>
        <w:sectPr>
          <w:pgSz w:w="12240" w:h="15840"/>
          <w:pgMar w:header="0" w:footer="1032" w:top="1360" w:bottom="1220" w:left="1600" w:right="1580"/>
        </w:sectPr>
      </w:pPr>
    </w:p>
    <w:p>
      <w:pPr>
        <w:pStyle w:val="BodyText"/>
        <w:spacing w:line="360" w:lineRule="auto" w:before="57"/>
        <w:ind w:left="102" w:right="115"/>
        <w:jc w:val="both"/>
      </w:pPr>
      <w:r>
        <w:rPr/>
        <w:t>Una significativa mayoría de hombres y de mujeres (66.7% y 67.2%, respectivamente) expusieron que su actual formación como profesionales de la Comunicación les permitiría realizar alguna aportación para erradicar la inequidad de género y la violencia contra las mujeres.</w:t>
      </w:r>
    </w:p>
    <w:p>
      <w:pPr>
        <w:pStyle w:val="BodyText"/>
        <w:spacing w:line="360" w:lineRule="auto" w:before="204"/>
        <w:ind w:left="102" w:right="116"/>
        <w:jc w:val="both"/>
      </w:pPr>
      <w:r>
        <w:rPr/>
        <w:t>Esto quiere decir que, aún sin contar con un conocimiento amplio acerca de la Perspectiva de Género, más del 50% del estudiantado ha reflexionado en lo relativo a las aportaciones de impacto social que ofrece mediante el uso de los medios de comunicación. No obstante, también es visible un enorme desinterés por parte de un 33.3% de hombres y un 32.8% de mujeres, con respecto a sus posibles acciones con Perspectiva de Género como estudiantes de Comunicación.</w:t>
      </w:r>
    </w:p>
    <w:p>
      <w:pPr>
        <w:pStyle w:val="BodyText"/>
        <w:spacing w:line="360" w:lineRule="auto" w:before="202"/>
        <w:ind w:left="102" w:right="118"/>
        <w:jc w:val="both"/>
      </w:pPr>
      <w:r>
        <w:rPr/>
        <w:t>Lo descrito en el párrafo anterior, coincide con lo que plantea Carmona (2012) con respecto al fomento de la Perspectiva de Género en los medios de comunicación masiva, pues la autora sugiere que el uso cotidiano del estereotipo de género, al reforzar los roles tradicionales femeninos y masculinos, obstaculiza la equidad entre hombres y mujeres, situación que debe ser intervenida por un análisis con Perspectiva de Género que ponga fin a la opresión y a la violencia contra las mujeres</w:t>
      </w:r>
    </w:p>
    <w:p>
      <w:pPr>
        <w:pStyle w:val="BodyText"/>
      </w:pPr>
    </w:p>
    <w:p>
      <w:pPr>
        <w:pStyle w:val="BodyText"/>
      </w:pPr>
    </w:p>
    <w:p>
      <w:pPr>
        <w:pStyle w:val="BodyText"/>
        <w:spacing w:before="2"/>
        <w:rPr>
          <w:sz w:val="23"/>
        </w:rPr>
      </w:pPr>
    </w:p>
    <w:p>
      <w:pPr>
        <w:pStyle w:val="Heading1"/>
        <w:jc w:val="both"/>
      </w:pPr>
      <w:r>
        <w:rPr/>
        <w:t>Pregunta 9.1.</w:t>
      </w:r>
    </w:p>
    <w:p>
      <w:pPr>
        <w:pStyle w:val="BodyText"/>
        <w:spacing w:before="4"/>
        <w:rPr>
          <w:b/>
          <w:sz w:val="29"/>
        </w:rPr>
      </w:pPr>
    </w:p>
    <w:p>
      <w:pPr>
        <w:pStyle w:val="BodyText"/>
        <w:spacing w:line="360" w:lineRule="auto" w:before="1"/>
        <w:ind w:left="102" w:right="123"/>
        <w:jc w:val="both"/>
      </w:pPr>
      <w:r>
        <w:rPr>
          <w:u w:val="single"/>
        </w:rPr>
        <w:t>Tabla 9.1.1. </w:t>
      </w:r>
      <w:r>
        <w:rPr/>
        <w:t>Posibles aportaciones del estudiantado (que respondió afirmativamente la pregunta 9) para erradicar la inequidad de género y la violencia contra las mujeres.</w:t>
      </w:r>
    </w:p>
    <w:p>
      <w:pPr>
        <w:pStyle w:val="BodyText"/>
        <w:rPr>
          <w:sz w:val="20"/>
        </w:rPr>
      </w:pPr>
    </w:p>
    <w:p>
      <w:pPr>
        <w:pStyle w:val="BodyText"/>
        <w:spacing w:before="10" w:after="1"/>
        <w:rPr>
          <w:sz w:val="15"/>
        </w:rPr>
      </w:pPr>
    </w:p>
    <w:tbl>
      <w:tblPr>
        <w:tblW w:w="0" w:type="auto"/>
        <w:jc w:val="left"/>
        <w:tblInd w:w="58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784"/>
        <w:gridCol w:w="2449"/>
        <w:gridCol w:w="1092"/>
        <w:gridCol w:w="1226"/>
        <w:gridCol w:w="1092"/>
        <w:gridCol w:w="1227"/>
      </w:tblGrid>
      <w:tr>
        <w:trPr>
          <w:trHeight w:val="336" w:hRule="exact"/>
        </w:trPr>
        <w:tc>
          <w:tcPr>
            <w:tcW w:w="3233" w:type="dxa"/>
            <w:gridSpan w:val="2"/>
            <w:tcBorders>
              <w:bottom w:val="single" w:sz="12" w:space="0" w:color="000000"/>
            </w:tcBorders>
            <w:shd w:val="clear" w:color="auto" w:fill="F1F1F1"/>
          </w:tcPr>
          <w:p>
            <w:pPr/>
          </w:p>
        </w:tc>
        <w:tc>
          <w:tcPr>
            <w:tcW w:w="4638" w:type="dxa"/>
            <w:gridSpan w:val="4"/>
            <w:shd w:val="clear" w:color="auto" w:fill="F1F1F1"/>
          </w:tcPr>
          <w:p>
            <w:pPr>
              <w:pStyle w:val="TableParagraph"/>
              <w:spacing w:before="54"/>
              <w:ind w:left="2044" w:right="2048"/>
              <w:jc w:val="center"/>
              <w:rPr>
                <w:sz w:val="18"/>
              </w:rPr>
            </w:pPr>
            <w:r>
              <w:rPr>
                <w:sz w:val="18"/>
              </w:rPr>
              <w:t>SEXO</w:t>
            </w:r>
          </w:p>
        </w:tc>
      </w:tr>
      <w:tr>
        <w:trPr>
          <w:trHeight w:val="336" w:hRule="exact"/>
        </w:trPr>
        <w:tc>
          <w:tcPr>
            <w:tcW w:w="3233" w:type="dxa"/>
            <w:gridSpan w:val="2"/>
            <w:vMerge w:val="restart"/>
            <w:tcBorders>
              <w:top w:val="single" w:sz="12" w:space="0" w:color="000000"/>
            </w:tcBorders>
            <w:shd w:val="clear" w:color="auto" w:fill="F1F1F1"/>
          </w:tcPr>
          <w:p>
            <w:pPr/>
          </w:p>
        </w:tc>
        <w:tc>
          <w:tcPr>
            <w:tcW w:w="2319" w:type="dxa"/>
            <w:gridSpan w:val="2"/>
            <w:shd w:val="clear" w:color="auto" w:fill="F1F1F1"/>
          </w:tcPr>
          <w:p>
            <w:pPr>
              <w:pStyle w:val="TableParagraph"/>
              <w:spacing w:before="68"/>
              <w:ind w:left="770" w:right="772"/>
              <w:jc w:val="center"/>
              <w:rPr>
                <w:sz w:val="18"/>
              </w:rPr>
            </w:pPr>
            <w:r>
              <w:rPr>
                <w:sz w:val="18"/>
              </w:rPr>
              <w:t>Hombres</w:t>
            </w:r>
          </w:p>
        </w:tc>
        <w:tc>
          <w:tcPr>
            <w:tcW w:w="2319" w:type="dxa"/>
            <w:gridSpan w:val="2"/>
            <w:shd w:val="clear" w:color="auto" w:fill="F1F1F1"/>
          </w:tcPr>
          <w:p>
            <w:pPr>
              <w:pStyle w:val="TableParagraph"/>
              <w:spacing w:before="68"/>
              <w:ind w:left="816" w:right="818"/>
              <w:jc w:val="center"/>
              <w:rPr>
                <w:sz w:val="18"/>
              </w:rPr>
            </w:pPr>
            <w:r>
              <w:rPr>
                <w:sz w:val="18"/>
              </w:rPr>
              <w:t>Mujeres</w:t>
            </w:r>
          </w:p>
        </w:tc>
      </w:tr>
      <w:tr>
        <w:trPr>
          <w:trHeight w:val="324" w:hRule="exact"/>
        </w:trPr>
        <w:tc>
          <w:tcPr>
            <w:tcW w:w="3233" w:type="dxa"/>
            <w:gridSpan w:val="2"/>
            <w:vMerge/>
            <w:shd w:val="clear" w:color="auto" w:fill="F1F1F1"/>
          </w:tcPr>
          <w:p>
            <w:pPr/>
          </w:p>
        </w:tc>
        <w:tc>
          <w:tcPr>
            <w:tcW w:w="1092" w:type="dxa"/>
            <w:shd w:val="clear" w:color="auto" w:fill="F1F1F1"/>
          </w:tcPr>
          <w:p>
            <w:pPr>
              <w:pStyle w:val="TableParagraph"/>
              <w:spacing w:before="56"/>
              <w:ind w:left="77" w:right="79"/>
              <w:jc w:val="center"/>
              <w:rPr>
                <w:sz w:val="18"/>
              </w:rPr>
            </w:pPr>
            <w:r>
              <w:rPr>
                <w:sz w:val="18"/>
              </w:rPr>
              <w:t>Frecuencia</w:t>
            </w:r>
          </w:p>
        </w:tc>
        <w:tc>
          <w:tcPr>
            <w:tcW w:w="1226" w:type="dxa"/>
            <w:shd w:val="clear" w:color="auto" w:fill="F1F1F1"/>
          </w:tcPr>
          <w:p>
            <w:pPr>
              <w:pStyle w:val="TableParagraph"/>
              <w:spacing w:before="56"/>
              <w:jc w:val="center"/>
              <w:rPr>
                <w:sz w:val="18"/>
              </w:rPr>
            </w:pPr>
            <w:r>
              <w:rPr>
                <w:w w:val="99"/>
                <w:sz w:val="18"/>
              </w:rPr>
              <w:t>%</w:t>
            </w:r>
          </w:p>
        </w:tc>
        <w:tc>
          <w:tcPr>
            <w:tcW w:w="1092" w:type="dxa"/>
            <w:shd w:val="clear" w:color="auto" w:fill="F1F1F1"/>
          </w:tcPr>
          <w:p>
            <w:pPr>
              <w:pStyle w:val="TableParagraph"/>
              <w:spacing w:before="56"/>
              <w:ind w:left="77" w:right="78"/>
              <w:jc w:val="center"/>
              <w:rPr>
                <w:sz w:val="18"/>
              </w:rPr>
            </w:pPr>
            <w:r>
              <w:rPr>
                <w:sz w:val="18"/>
              </w:rPr>
              <w:t>Frecuencia</w:t>
            </w:r>
          </w:p>
        </w:tc>
        <w:tc>
          <w:tcPr>
            <w:tcW w:w="1227" w:type="dxa"/>
            <w:shd w:val="clear" w:color="auto" w:fill="F1F1F1"/>
          </w:tcPr>
          <w:p>
            <w:pPr>
              <w:pStyle w:val="TableParagraph"/>
              <w:spacing w:before="56"/>
              <w:jc w:val="center"/>
              <w:rPr>
                <w:sz w:val="18"/>
              </w:rPr>
            </w:pPr>
            <w:r>
              <w:rPr>
                <w:w w:val="99"/>
                <w:sz w:val="18"/>
              </w:rPr>
              <w:t>%</w:t>
            </w:r>
          </w:p>
        </w:tc>
      </w:tr>
      <w:tr>
        <w:trPr>
          <w:trHeight w:val="895" w:hRule="exact"/>
        </w:trPr>
        <w:tc>
          <w:tcPr>
            <w:tcW w:w="784" w:type="dxa"/>
            <w:tcBorders>
              <w:bottom w:val="nil"/>
              <w:right w:val="nil"/>
            </w:tcBorders>
            <w:shd w:val="clear" w:color="auto" w:fill="F1F1F1"/>
          </w:tcPr>
          <w:p>
            <w:pPr/>
          </w:p>
        </w:tc>
        <w:tc>
          <w:tcPr>
            <w:tcW w:w="2449" w:type="dxa"/>
            <w:tcBorders>
              <w:left w:val="nil"/>
              <w:bottom w:val="nil"/>
            </w:tcBorders>
            <w:shd w:val="clear" w:color="auto" w:fill="F1F1F1"/>
          </w:tcPr>
          <w:p>
            <w:pPr>
              <w:pStyle w:val="TableParagraph"/>
              <w:ind w:left="105" w:right="110"/>
              <w:rPr>
                <w:sz w:val="18"/>
              </w:rPr>
            </w:pPr>
            <w:r>
              <w:rPr>
                <w:sz w:val="18"/>
              </w:rPr>
              <w:t>Relativo a la aplicación de la perspectiva de género en las prácticas cotidianas</w:t>
            </w:r>
          </w:p>
        </w:tc>
        <w:tc>
          <w:tcPr>
            <w:tcW w:w="1092" w:type="dxa"/>
            <w:tcBorders>
              <w:bottom w:val="nil"/>
            </w:tcBorders>
          </w:tcPr>
          <w:p>
            <w:pPr>
              <w:pStyle w:val="TableParagraph"/>
              <w:rPr>
                <w:sz w:val="18"/>
              </w:rPr>
            </w:pPr>
          </w:p>
          <w:p>
            <w:pPr>
              <w:pStyle w:val="TableParagraph"/>
              <w:spacing w:before="135"/>
              <w:ind w:right="1"/>
              <w:jc w:val="center"/>
              <w:rPr>
                <w:sz w:val="18"/>
              </w:rPr>
            </w:pPr>
            <w:r>
              <w:rPr>
                <w:w w:val="99"/>
                <w:sz w:val="18"/>
              </w:rPr>
              <w:t>4</w:t>
            </w:r>
          </w:p>
        </w:tc>
        <w:tc>
          <w:tcPr>
            <w:tcW w:w="1226" w:type="dxa"/>
            <w:tcBorders>
              <w:bottom w:val="nil"/>
            </w:tcBorders>
          </w:tcPr>
          <w:p>
            <w:pPr>
              <w:pStyle w:val="TableParagraph"/>
              <w:rPr>
                <w:sz w:val="18"/>
              </w:rPr>
            </w:pPr>
          </w:p>
          <w:p>
            <w:pPr>
              <w:pStyle w:val="TableParagraph"/>
              <w:spacing w:before="135"/>
              <w:ind w:left="415" w:right="413"/>
              <w:jc w:val="center"/>
              <w:rPr>
                <w:sz w:val="18"/>
              </w:rPr>
            </w:pPr>
            <w:r>
              <w:rPr>
                <w:sz w:val="18"/>
              </w:rPr>
              <w:t>25</w:t>
            </w:r>
          </w:p>
        </w:tc>
        <w:tc>
          <w:tcPr>
            <w:tcW w:w="1092" w:type="dxa"/>
            <w:tcBorders>
              <w:bottom w:val="nil"/>
            </w:tcBorders>
          </w:tcPr>
          <w:p>
            <w:pPr>
              <w:pStyle w:val="TableParagraph"/>
              <w:rPr>
                <w:sz w:val="18"/>
              </w:rPr>
            </w:pPr>
          </w:p>
          <w:p>
            <w:pPr>
              <w:pStyle w:val="TableParagraph"/>
              <w:spacing w:before="135"/>
              <w:ind w:left="77" w:right="77"/>
              <w:jc w:val="center"/>
              <w:rPr>
                <w:sz w:val="18"/>
              </w:rPr>
            </w:pPr>
            <w:r>
              <w:rPr>
                <w:sz w:val="18"/>
              </w:rPr>
              <w:t>15</w:t>
            </w:r>
          </w:p>
        </w:tc>
        <w:tc>
          <w:tcPr>
            <w:tcW w:w="1227" w:type="dxa"/>
            <w:tcBorders>
              <w:bottom w:val="nil"/>
            </w:tcBorders>
          </w:tcPr>
          <w:p>
            <w:pPr>
              <w:pStyle w:val="TableParagraph"/>
              <w:rPr>
                <w:sz w:val="18"/>
              </w:rPr>
            </w:pPr>
          </w:p>
          <w:p>
            <w:pPr>
              <w:pStyle w:val="TableParagraph"/>
              <w:spacing w:before="135"/>
              <w:ind w:left="415" w:right="415"/>
              <w:jc w:val="center"/>
              <w:rPr>
                <w:sz w:val="18"/>
              </w:rPr>
            </w:pPr>
            <w:r>
              <w:rPr>
                <w:sz w:val="18"/>
              </w:rPr>
              <w:t>38.5</w:t>
            </w:r>
          </w:p>
        </w:tc>
      </w:tr>
    </w:tbl>
    <w:p>
      <w:pPr>
        <w:spacing w:after="0"/>
        <w:jc w:val="center"/>
        <w:rPr>
          <w:sz w:val="18"/>
        </w:rPr>
        <w:sectPr>
          <w:pgSz w:w="12240" w:h="15840"/>
          <w:pgMar w:header="0" w:footer="1032" w:top="1360" w:bottom="1220" w:left="1600" w:right="1580"/>
        </w:sectPr>
      </w:pPr>
    </w:p>
    <w:tbl>
      <w:tblPr>
        <w:tblW w:w="0" w:type="auto"/>
        <w:jc w:val="left"/>
        <w:tblInd w:w="58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33"/>
        <w:gridCol w:w="1093"/>
        <w:gridCol w:w="1226"/>
        <w:gridCol w:w="1092"/>
        <w:gridCol w:w="1227"/>
      </w:tblGrid>
      <w:tr>
        <w:trPr>
          <w:trHeight w:val="870" w:hRule="exact"/>
        </w:trPr>
        <w:tc>
          <w:tcPr>
            <w:tcW w:w="3233" w:type="dxa"/>
            <w:tcBorders>
              <w:left w:val="single" w:sz="2" w:space="0" w:color="000000"/>
              <w:right w:val="single" w:sz="2" w:space="0" w:color="000000"/>
            </w:tcBorders>
            <w:shd w:val="clear" w:color="auto" w:fill="F1F1F1"/>
          </w:tcPr>
          <w:p>
            <w:pPr>
              <w:pStyle w:val="TableParagraph"/>
              <w:ind w:left="887" w:right="100"/>
              <w:rPr>
                <w:sz w:val="18"/>
              </w:rPr>
            </w:pPr>
            <w:r>
              <w:rPr>
                <w:sz w:val="18"/>
              </w:rPr>
              <w:t>Relativo a la elaboración de campañas mediáticas de fomento de la perspectiva de género</w:t>
            </w:r>
          </w:p>
        </w:tc>
        <w:tc>
          <w:tcPr>
            <w:tcW w:w="1093" w:type="dxa"/>
            <w:tcBorders>
              <w:left w:val="single" w:sz="2" w:space="0" w:color="000000"/>
              <w:right w:val="single" w:sz="2" w:space="0" w:color="000000"/>
            </w:tcBorders>
          </w:tcPr>
          <w:p>
            <w:pPr>
              <w:pStyle w:val="TableParagraph"/>
              <w:rPr>
                <w:sz w:val="18"/>
              </w:rPr>
            </w:pPr>
          </w:p>
          <w:p>
            <w:pPr>
              <w:pStyle w:val="TableParagraph"/>
              <w:spacing w:before="131"/>
              <w:ind w:right="1"/>
              <w:jc w:val="center"/>
              <w:rPr>
                <w:sz w:val="18"/>
              </w:rPr>
            </w:pPr>
            <w:r>
              <w:rPr>
                <w:w w:val="99"/>
                <w:sz w:val="18"/>
              </w:rPr>
              <w:t>7</w:t>
            </w:r>
          </w:p>
        </w:tc>
        <w:tc>
          <w:tcPr>
            <w:tcW w:w="1226" w:type="dxa"/>
            <w:tcBorders>
              <w:left w:val="single" w:sz="2" w:space="0" w:color="000000"/>
              <w:right w:val="single" w:sz="2" w:space="0" w:color="000000"/>
            </w:tcBorders>
          </w:tcPr>
          <w:p>
            <w:pPr>
              <w:pStyle w:val="TableParagraph"/>
              <w:rPr>
                <w:sz w:val="18"/>
              </w:rPr>
            </w:pPr>
          </w:p>
          <w:p>
            <w:pPr>
              <w:pStyle w:val="TableParagraph"/>
              <w:spacing w:before="131"/>
              <w:ind w:left="415" w:right="416"/>
              <w:jc w:val="center"/>
              <w:rPr>
                <w:sz w:val="18"/>
              </w:rPr>
            </w:pPr>
            <w:r>
              <w:rPr>
                <w:sz w:val="18"/>
              </w:rPr>
              <w:t>43.8</w:t>
            </w:r>
          </w:p>
        </w:tc>
        <w:tc>
          <w:tcPr>
            <w:tcW w:w="1092" w:type="dxa"/>
            <w:tcBorders>
              <w:left w:val="single" w:sz="2" w:space="0" w:color="000000"/>
              <w:right w:val="single" w:sz="2" w:space="0" w:color="000000"/>
            </w:tcBorders>
          </w:tcPr>
          <w:p>
            <w:pPr>
              <w:pStyle w:val="TableParagraph"/>
              <w:rPr>
                <w:sz w:val="18"/>
              </w:rPr>
            </w:pPr>
          </w:p>
          <w:p>
            <w:pPr>
              <w:pStyle w:val="TableParagraph"/>
              <w:spacing w:before="131"/>
              <w:ind w:left="441"/>
              <w:rPr>
                <w:sz w:val="18"/>
              </w:rPr>
            </w:pPr>
            <w:r>
              <w:rPr>
                <w:sz w:val="18"/>
              </w:rPr>
              <w:t>16</w:t>
            </w:r>
          </w:p>
        </w:tc>
        <w:tc>
          <w:tcPr>
            <w:tcW w:w="1227" w:type="dxa"/>
            <w:tcBorders>
              <w:left w:val="single" w:sz="2" w:space="0" w:color="000000"/>
              <w:right w:val="single" w:sz="2" w:space="0" w:color="000000"/>
            </w:tcBorders>
          </w:tcPr>
          <w:p>
            <w:pPr>
              <w:pStyle w:val="TableParagraph"/>
              <w:rPr>
                <w:sz w:val="18"/>
              </w:rPr>
            </w:pPr>
          </w:p>
          <w:p>
            <w:pPr>
              <w:pStyle w:val="TableParagraph"/>
              <w:spacing w:before="131"/>
              <w:ind w:left="415" w:right="415"/>
              <w:jc w:val="center"/>
              <w:rPr>
                <w:sz w:val="18"/>
              </w:rPr>
            </w:pPr>
            <w:r>
              <w:rPr>
                <w:sz w:val="18"/>
              </w:rPr>
              <w:t>41.0</w:t>
            </w:r>
          </w:p>
        </w:tc>
      </w:tr>
      <w:tr>
        <w:trPr>
          <w:trHeight w:val="680" w:hRule="exact"/>
        </w:trPr>
        <w:tc>
          <w:tcPr>
            <w:tcW w:w="3233" w:type="dxa"/>
            <w:tcBorders>
              <w:left w:val="single" w:sz="2" w:space="0" w:color="000000"/>
              <w:right w:val="single" w:sz="2" w:space="0" w:color="000000"/>
            </w:tcBorders>
            <w:shd w:val="clear" w:color="auto" w:fill="F1F1F1"/>
          </w:tcPr>
          <w:p>
            <w:pPr>
              <w:pStyle w:val="TableParagraph"/>
              <w:spacing w:before="18"/>
              <w:ind w:left="887" w:right="170"/>
              <w:rPr>
                <w:sz w:val="18"/>
              </w:rPr>
            </w:pPr>
            <w:r>
              <w:rPr>
                <w:sz w:val="18"/>
              </w:rPr>
              <w:t>Relativo a la realización de talleres, platicas, conferencias, etc.</w:t>
            </w:r>
          </w:p>
        </w:tc>
        <w:tc>
          <w:tcPr>
            <w:tcW w:w="1093" w:type="dxa"/>
            <w:tcBorders>
              <w:left w:val="single" w:sz="2" w:space="0" w:color="000000"/>
              <w:right w:val="single" w:sz="2" w:space="0" w:color="000000"/>
            </w:tcBorders>
          </w:tcPr>
          <w:p>
            <w:pPr>
              <w:pStyle w:val="TableParagraph"/>
              <w:rPr>
                <w:sz w:val="22"/>
              </w:rPr>
            </w:pPr>
          </w:p>
          <w:p>
            <w:pPr>
              <w:pStyle w:val="TableParagraph"/>
              <w:ind w:right="1"/>
              <w:jc w:val="center"/>
              <w:rPr>
                <w:sz w:val="18"/>
              </w:rPr>
            </w:pPr>
            <w:r>
              <w:rPr>
                <w:w w:val="99"/>
                <w:sz w:val="18"/>
              </w:rPr>
              <w:t>3</w:t>
            </w:r>
          </w:p>
        </w:tc>
        <w:tc>
          <w:tcPr>
            <w:tcW w:w="1226" w:type="dxa"/>
            <w:tcBorders>
              <w:left w:val="single" w:sz="2" w:space="0" w:color="000000"/>
              <w:right w:val="single" w:sz="2" w:space="0" w:color="000000"/>
            </w:tcBorders>
          </w:tcPr>
          <w:p>
            <w:pPr>
              <w:pStyle w:val="TableParagraph"/>
              <w:rPr>
                <w:sz w:val="22"/>
              </w:rPr>
            </w:pPr>
          </w:p>
          <w:p>
            <w:pPr>
              <w:pStyle w:val="TableParagraph"/>
              <w:ind w:left="415" w:right="416"/>
              <w:jc w:val="center"/>
              <w:rPr>
                <w:sz w:val="18"/>
              </w:rPr>
            </w:pPr>
            <w:r>
              <w:rPr>
                <w:sz w:val="18"/>
              </w:rPr>
              <w:t>18.8</w:t>
            </w:r>
          </w:p>
        </w:tc>
        <w:tc>
          <w:tcPr>
            <w:tcW w:w="1092" w:type="dxa"/>
            <w:tcBorders>
              <w:left w:val="single" w:sz="2" w:space="0" w:color="000000"/>
              <w:right w:val="single" w:sz="2" w:space="0" w:color="000000"/>
            </w:tcBorders>
          </w:tcPr>
          <w:p>
            <w:pPr>
              <w:pStyle w:val="TableParagraph"/>
              <w:rPr>
                <w:sz w:val="22"/>
              </w:rPr>
            </w:pPr>
          </w:p>
          <w:p>
            <w:pPr>
              <w:pStyle w:val="TableParagraph"/>
              <w:ind w:left="492"/>
              <w:rPr>
                <w:sz w:val="18"/>
              </w:rPr>
            </w:pPr>
            <w:r>
              <w:rPr>
                <w:w w:val="99"/>
                <w:sz w:val="18"/>
              </w:rPr>
              <w:t>4</w:t>
            </w:r>
          </w:p>
        </w:tc>
        <w:tc>
          <w:tcPr>
            <w:tcW w:w="1227" w:type="dxa"/>
            <w:tcBorders>
              <w:left w:val="single" w:sz="2" w:space="0" w:color="000000"/>
              <w:right w:val="single" w:sz="2" w:space="0" w:color="000000"/>
            </w:tcBorders>
          </w:tcPr>
          <w:p>
            <w:pPr>
              <w:pStyle w:val="TableParagraph"/>
              <w:rPr>
                <w:sz w:val="22"/>
              </w:rPr>
            </w:pPr>
          </w:p>
          <w:p>
            <w:pPr>
              <w:pStyle w:val="TableParagraph"/>
              <w:ind w:left="415" w:right="415"/>
              <w:jc w:val="center"/>
              <w:rPr>
                <w:sz w:val="18"/>
              </w:rPr>
            </w:pPr>
            <w:r>
              <w:rPr>
                <w:sz w:val="18"/>
              </w:rPr>
              <w:t>10.3</w:t>
            </w:r>
          </w:p>
        </w:tc>
      </w:tr>
      <w:tr>
        <w:trPr>
          <w:trHeight w:val="277" w:hRule="exact"/>
        </w:trPr>
        <w:tc>
          <w:tcPr>
            <w:tcW w:w="3233" w:type="dxa"/>
            <w:tcBorders>
              <w:left w:val="single" w:sz="2" w:space="0" w:color="000000"/>
              <w:bottom w:val="single" w:sz="2" w:space="0" w:color="000000"/>
              <w:right w:val="single" w:sz="2" w:space="0" w:color="000000"/>
            </w:tcBorders>
            <w:shd w:val="clear" w:color="auto" w:fill="F1F1F1"/>
          </w:tcPr>
          <w:p>
            <w:pPr>
              <w:pStyle w:val="TableParagraph"/>
              <w:spacing w:before="15"/>
              <w:ind w:left="887" w:right="100"/>
              <w:rPr>
                <w:sz w:val="18"/>
              </w:rPr>
            </w:pPr>
            <w:r>
              <w:rPr>
                <w:sz w:val="18"/>
              </w:rPr>
              <w:t>Otras.</w:t>
            </w:r>
          </w:p>
        </w:tc>
        <w:tc>
          <w:tcPr>
            <w:tcW w:w="1093" w:type="dxa"/>
            <w:tcBorders>
              <w:left w:val="single" w:sz="2" w:space="0" w:color="000000"/>
              <w:bottom w:val="single" w:sz="2" w:space="0" w:color="000000"/>
              <w:right w:val="single" w:sz="2" w:space="0" w:color="000000"/>
            </w:tcBorders>
          </w:tcPr>
          <w:p>
            <w:pPr>
              <w:pStyle w:val="TableParagraph"/>
              <w:spacing w:before="39"/>
              <w:ind w:right="1"/>
              <w:jc w:val="center"/>
              <w:rPr>
                <w:sz w:val="18"/>
              </w:rPr>
            </w:pPr>
            <w:r>
              <w:rPr>
                <w:w w:val="99"/>
                <w:sz w:val="18"/>
              </w:rPr>
              <w:t>2</w:t>
            </w:r>
          </w:p>
        </w:tc>
        <w:tc>
          <w:tcPr>
            <w:tcW w:w="1226" w:type="dxa"/>
            <w:tcBorders>
              <w:left w:val="single" w:sz="2" w:space="0" w:color="000000"/>
              <w:bottom w:val="single" w:sz="2" w:space="0" w:color="000000"/>
              <w:right w:val="single" w:sz="2" w:space="0" w:color="000000"/>
            </w:tcBorders>
          </w:tcPr>
          <w:p>
            <w:pPr>
              <w:pStyle w:val="TableParagraph"/>
              <w:spacing w:before="39"/>
              <w:ind w:left="415" w:right="416"/>
              <w:jc w:val="center"/>
              <w:rPr>
                <w:sz w:val="18"/>
              </w:rPr>
            </w:pPr>
            <w:r>
              <w:rPr>
                <w:sz w:val="18"/>
              </w:rPr>
              <w:t>12.5</w:t>
            </w:r>
          </w:p>
        </w:tc>
        <w:tc>
          <w:tcPr>
            <w:tcW w:w="1092" w:type="dxa"/>
            <w:tcBorders>
              <w:left w:val="single" w:sz="2" w:space="0" w:color="000000"/>
              <w:bottom w:val="single" w:sz="2" w:space="0" w:color="000000"/>
              <w:right w:val="single" w:sz="2" w:space="0" w:color="000000"/>
            </w:tcBorders>
          </w:tcPr>
          <w:p>
            <w:pPr>
              <w:pStyle w:val="TableParagraph"/>
              <w:spacing w:before="39"/>
              <w:ind w:left="492"/>
              <w:rPr>
                <w:sz w:val="18"/>
              </w:rPr>
            </w:pPr>
            <w:r>
              <w:rPr>
                <w:w w:val="99"/>
                <w:sz w:val="18"/>
              </w:rPr>
              <w:t>4</w:t>
            </w:r>
          </w:p>
        </w:tc>
        <w:tc>
          <w:tcPr>
            <w:tcW w:w="1227" w:type="dxa"/>
            <w:tcBorders>
              <w:left w:val="single" w:sz="2" w:space="0" w:color="000000"/>
              <w:bottom w:val="single" w:sz="2" w:space="0" w:color="000000"/>
              <w:right w:val="single" w:sz="2" w:space="0" w:color="000000"/>
            </w:tcBorders>
          </w:tcPr>
          <w:p>
            <w:pPr>
              <w:pStyle w:val="TableParagraph"/>
              <w:spacing w:before="39"/>
              <w:ind w:left="415" w:right="415"/>
              <w:jc w:val="center"/>
              <w:rPr>
                <w:sz w:val="18"/>
              </w:rPr>
            </w:pPr>
            <w:r>
              <w:rPr>
                <w:sz w:val="18"/>
              </w:rPr>
              <w:t>10.3</w:t>
            </w:r>
          </w:p>
        </w:tc>
      </w:tr>
    </w:tbl>
    <w:p>
      <w:pPr>
        <w:pStyle w:val="BodyText"/>
        <w:spacing w:before="10"/>
        <w:rPr>
          <w:sz w:val="10"/>
        </w:rPr>
      </w:pPr>
    </w:p>
    <w:p>
      <w:pPr>
        <w:spacing w:before="74"/>
        <w:ind w:left="134" w:right="154" w:firstLine="0"/>
        <w:jc w:val="center"/>
        <w:rPr>
          <w:sz w:val="20"/>
        </w:rPr>
      </w:pPr>
      <w:r>
        <w:rPr>
          <w:sz w:val="20"/>
        </w:rPr>
        <w:t>(Miranda, 2014).</w:t>
      </w:r>
    </w:p>
    <w:p>
      <w:pPr>
        <w:pStyle w:val="BodyText"/>
        <w:rPr>
          <w:sz w:val="20"/>
        </w:rPr>
      </w:pPr>
    </w:p>
    <w:p>
      <w:pPr>
        <w:pStyle w:val="BodyText"/>
        <w:rPr>
          <w:sz w:val="20"/>
        </w:rPr>
      </w:pPr>
    </w:p>
    <w:p>
      <w:pPr>
        <w:pStyle w:val="BodyText"/>
        <w:spacing w:before="10"/>
        <w:rPr>
          <w:sz w:val="17"/>
        </w:rPr>
      </w:pPr>
    </w:p>
    <w:p>
      <w:pPr>
        <w:pStyle w:val="BodyText"/>
        <w:spacing w:line="360" w:lineRule="auto"/>
        <w:ind w:left="102" w:right="116"/>
        <w:jc w:val="both"/>
      </w:pPr>
      <w:r>
        <w:rPr/>
        <w:t>G</w:t>
      </w:r>
      <w:r>
        <w:rPr>
          <w:u w:val="single"/>
        </w:rPr>
        <w:t>ráfica 9.1.1 </w:t>
      </w:r>
      <w:r>
        <w:rPr/>
        <w:t>Posibles aportaciones del estudiantado (que respondió afirmativamente la pregunta 9) para erradicar la inequidad de género y la violencia contra las mujeres.</w:t>
      </w:r>
    </w:p>
    <w:p>
      <w:pPr>
        <w:pStyle w:val="BodyText"/>
        <w:spacing w:before="9"/>
        <w:rPr>
          <w:sz w:val="13"/>
        </w:rPr>
      </w:pPr>
      <w:r>
        <w:rPr/>
        <w:pict>
          <v:group style="position:absolute;margin-left:120.394997pt;margin-top:9.918919pt;width:371.7pt;height:216.75pt;mso-position-horizontal-relative:page;mso-position-vertical-relative:paragraph;z-index:4240;mso-wrap-distance-left:0;mso-wrap-distance-right:0" coordorigin="2408,198" coordsize="7434,4335">
            <v:line style="position:absolute" from="6713,3664" to="6989,3664" stroked="true" strokeweight=".72pt" strokecolor="#858585"/>
            <v:line style="position:absolute" from="4687,3664" to="5239,3664" stroked="true" strokeweight=".72pt" strokecolor="#858585"/>
            <v:line style="position:absolute" from="4687,3304" to="5239,3304" stroked="true" strokeweight=".72pt" strokecolor="#858585"/>
            <v:line style="position:absolute" from="4318,2946" to="5239,2946" stroked="true" strokeweight=".72pt" strokecolor="#858585"/>
            <v:line style="position:absolute" from="3948,2586" to="5239,2586" stroked="true" strokeweight=".72pt" strokecolor="#858585"/>
            <v:line style="position:absolute" from="3948,2226" to="5239,2226" stroked="true" strokeweight=".72pt" strokecolor="#858585"/>
            <v:line style="position:absolute" from="3948,1866" to="5239,1866" stroked="true" strokeweight=".72pt" strokecolor="#858585"/>
            <v:line style="position:absolute" from="3948,1506" to="5239,1506" stroked="true" strokeweight=".72pt" strokecolor="#858585"/>
            <v:rect style="position:absolute;left:5239;top:1254;width:367;height:2770" filled="true" fillcolor="#c27535" stroked="false">
              <v:fill type="solid"/>
            </v:rect>
            <v:line style="position:absolute" from="2935,3664" to="3211,3664" stroked="true" strokeweight=".72pt" strokecolor="#858585"/>
            <v:line style="position:absolute" from="2935,3304" to="3211,3304" stroked="true" strokeweight=".72pt" strokecolor="#858585"/>
            <v:line style="position:absolute" from="2935,2946" to="3211,2946" stroked="true" strokeweight=".72pt" strokecolor="#858585"/>
            <v:line style="position:absolute" from="2935,2586" to="3211,2586" stroked="true" strokeweight=".72pt" strokecolor="#858585"/>
            <v:line style="position:absolute" from="2935,2226" to="3581,2226" stroked="true" strokeweight=".72pt" strokecolor="#858585"/>
            <v:rect style="position:absolute;left:3211;top:2226;width:370;height:1798" filled="true" fillcolor="#c27535" stroked="false">
              <v:fill type="solid"/>
            </v:rect>
            <v:line style="position:absolute" from="2935,1866" to="3581,1866" stroked="true" strokeweight=".72pt" strokecolor="#858585"/>
            <v:line style="position:absolute" from="2935,1506" to="3581,1506" stroked="true" strokeweight=".72pt" strokecolor="#858585"/>
            <v:line style="position:absolute" from="3948,1146" to="5606,1146" stroked="true" strokeweight=".72pt" strokecolor="#858585"/>
            <v:line style="position:absolute" from="2935,1146" to="3581,1146" stroked="true" strokeweight=".72pt" strokecolor="#858585"/>
            <v:rect style="position:absolute;left:3581;top:872;width:367;height:3151" filled="true" fillcolor="#e78b41" stroked="false">
              <v:fill type="solid"/>
            </v:rect>
            <v:line style="position:absolute" from="5976,3304" to="6989,3304" stroked="true" strokeweight=".72pt" strokecolor="#858585"/>
            <v:line style="position:absolute" from="5976,2946" to="6989,2946" stroked="true" strokeweight=".72pt" strokecolor="#858585"/>
            <v:line style="position:absolute" from="5976,2586" to="6989,2586" stroked="true" strokeweight=".72pt" strokecolor="#858585"/>
            <v:line style="position:absolute" from="5976,2226" to="6989,2226" stroked="true" strokeweight=".72pt" strokecolor="#858585"/>
            <v:line style="position:absolute" from="5976,1866" to="6989,1866" stroked="true" strokeweight=".72pt" strokecolor="#858585"/>
            <v:line style="position:absolute" from="5976,1506" to="6989,1506" stroked="true" strokeweight=".72pt" strokecolor="#858585"/>
            <v:line style="position:absolute" from="5976,1146" to="6989,1146" stroked="true" strokeweight=".72pt" strokecolor="#858585"/>
            <v:rect style="position:absolute;left:5606;top:1074;width:370;height:2950" filled="true" fillcolor="#e78b41" stroked="false">
              <v:fill type="solid"/>
            </v:rect>
            <v:rect style="position:absolute;left:3948;top:2672;width:370;height:1351" filled="true" fillcolor="#f8aa79" stroked="false">
              <v:fill type="solid"/>
            </v:rect>
            <v:rect style="position:absolute;left:5976;top:3284;width:370;height:739" filled="true" fillcolor="#f8aa79" stroked="false">
              <v:fill type="solid"/>
            </v:rect>
            <v:rect style="position:absolute;left:4318;top:3126;width:370;height:898" filled="true" fillcolor="#f9cab4" stroked="false">
              <v:fill type="solid"/>
            </v:rect>
            <v:rect style="position:absolute;left:6346;top:3284;width:367;height:739" filled="true" fillcolor="#f9cab4" stroked="false">
              <v:fill type="solid"/>
            </v:rect>
            <v:line style="position:absolute" from="2935,786" to="6989,786" stroked="true" strokeweight=".72pt" strokecolor="#858585"/>
            <v:line style="position:absolute" from="2935,428" to="6989,428" stroked="true" strokeweight=".72pt" strokecolor="#858585"/>
            <v:line style="position:absolute" from="2935,4024" to="2935,428" stroked="true" strokeweight=".72pt" strokecolor="#858585"/>
            <v:line style="position:absolute" from="2873,4024" to="2935,4024" stroked="true" strokeweight=".72pt" strokecolor="#858585"/>
            <v:line style="position:absolute" from="2873,3664" to="2935,3664" stroked="true" strokeweight=".72pt" strokecolor="#858585"/>
            <v:line style="position:absolute" from="2873,3304" to="2935,3304" stroked="true" strokeweight=".72pt" strokecolor="#858585"/>
            <v:line style="position:absolute" from="2873,2946" to="2935,2946" stroked="true" strokeweight=".72pt" strokecolor="#858585"/>
            <v:line style="position:absolute" from="2873,2586" to="2935,2586" stroked="true" strokeweight=".72pt" strokecolor="#858585"/>
            <v:line style="position:absolute" from="2873,2226" to="2935,2226" stroked="true" strokeweight=".72pt" strokecolor="#858585"/>
            <v:line style="position:absolute" from="2873,1866" to="2935,1866" stroked="true" strokeweight=".72pt" strokecolor="#858585"/>
            <v:line style="position:absolute" from="2873,1506" to="2935,1506" stroked="true" strokeweight=".72pt" strokecolor="#858585"/>
            <v:line style="position:absolute" from="2873,1146" to="2935,1146" stroked="true" strokeweight=".72pt" strokecolor="#858585"/>
            <v:line style="position:absolute" from="2873,786" to="2935,786" stroked="true" strokeweight=".72pt" strokecolor="#858585"/>
            <v:line style="position:absolute" from="2873,428" to="2935,428" stroked="true" strokeweight=".72pt" strokecolor="#858585"/>
            <v:line style="position:absolute" from="2935,4024" to="6989,4024" stroked="true" strokeweight=".72pt" strokecolor="#858585"/>
            <v:line style="position:absolute" from="2935,4024" to="2935,4088" stroked="true" strokeweight=".72pt" strokecolor="#858585"/>
            <v:line style="position:absolute" from="4963,4024" to="4963,4088" stroked="true" strokeweight=".72pt" strokecolor="#858585"/>
            <v:line style="position:absolute" from="6989,4024" to="6989,4088" stroked="true" strokeweight=".72pt" strokecolor="#858585"/>
            <v:rect style="position:absolute;left:7572;top:916;width:110;height:110" filled="true" fillcolor="#c27535" stroked="false">
              <v:fill type="solid"/>
            </v:rect>
            <v:rect style="position:absolute;left:7572;top:1986;width:110;height:108" filled="true" fillcolor="#e78b41" stroked="false">
              <v:fill type="solid"/>
            </v:rect>
            <v:rect style="position:absolute;left:7572;top:3054;width:110;height:110" filled="true" fillcolor="#f8aa79" stroked="false">
              <v:fill type="solid"/>
            </v:rect>
            <v:rect style="position:absolute;left:2415;top:206;width:7419;height:4320" filled="false" stroked="true" strokeweight=".75pt" strokecolor="#858585"/>
            <v:shape style="position:absolute;left:2546;top:336;width:202;height:1279"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50</w:t>
                    </w:r>
                  </w:p>
                  <w:p>
                    <w:pPr>
                      <w:spacing w:before="116"/>
                      <w:ind w:left="0" w:right="-19" w:firstLine="0"/>
                      <w:jc w:val="left"/>
                      <w:rPr>
                        <w:rFonts w:ascii="Calibri"/>
                        <w:sz w:val="20"/>
                      </w:rPr>
                    </w:pPr>
                    <w:r>
                      <w:rPr>
                        <w:rFonts w:ascii="Calibri"/>
                        <w:spacing w:val="-1"/>
                        <w:sz w:val="20"/>
                      </w:rPr>
                      <w:t>45</w:t>
                    </w:r>
                  </w:p>
                  <w:p>
                    <w:pPr>
                      <w:spacing w:before="115"/>
                      <w:ind w:left="0" w:right="-19" w:firstLine="0"/>
                      <w:jc w:val="left"/>
                      <w:rPr>
                        <w:rFonts w:ascii="Calibri"/>
                        <w:sz w:val="20"/>
                      </w:rPr>
                    </w:pPr>
                    <w:r>
                      <w:rPr>
                        <w:rFonts w:ascii="Calibri"/>
                        <w:spacing w:val="-1"/>
                        <w:sz w:val="20"/>
                      </w:rPr>
                      <w:t>40</w:t>
                    </w:r>
                  </w:p>
                  <w:p>
                    <w:pPr>
                      <w:spacing w:line="240" w:lineRule="exact" w:before="116"/>
                      <w:ind w:left="0" w:right="-19" w:firstLine="0"/>
                      <w:jc w:val="left"/>
                      <w:rPr>
                        <w:rFonts w:ascii="Calibri"/>
                        <w:sz w:val="20"/>
                      </w:rPr>
                    </w:pPr>
                    <w:r>
                      <w:rPr>
                        <w:rFonts w:ascii="Calibri"/>
                        <w:spacing w:val="-1"/>
                        <w:sz w:val="20"/>
                      </w:rPr>
                      <w:t>35</w:t>
                    </w:r>
                  </w:p>
                </w:txbxContent>
              </v:textbox>
              <w10:wrap type="none"/>
            </v:shape>
            <v:shape style="position:absolute;left:3587;top:581;width:355;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43.8</w:t>
                    </w:r>
                  </w:p>
                </w:txbxContent>
              </v:textbox>
              <w10:wrap type="none"/>
            </v:shape>
            <v:shape style="position:absolute;left:5691;top:78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41</w:t>
                    </w:r>
                  </w:p>
                </w:txbxContent>
              </v:textbox>
              <w10:wrap type="none"/>
            </v:shape>
            <v:shape style="position:absolute;left:5245;top:962;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38.5</w:t>
                    </w:r>
                  </w:p>
                </w:txbxContent>
              </v:textbox>
              <w10:wrap type="none"/>
            </v:shape>
            <v:shape style="position:absolute;left:2546;top:1775;width:203;height:2358" type="#_x0000_t202" filled="false" stroked="false">
              <v:textbox inset="0,0,0,0">
                <w:txbxContent>
                  <w:p>
                    <w:pPr>
                      <w:spacing w:line="203" w:lineRule="exact" w:before="0"/>
                      <w:ind w:left="-1" w:right="0" w:firstLine="0"/>
                      <w:jc w:val="center"/>
                      <w:rPr>
                        <w:rFonts w:ascii="Calibri"/>
                        <w:sz w:val="20"/>
                      </w:rPr>
                    </w:pPr>
                    <w:r>
                      <w:rPr>
                        <w:rFonts w:ascii="Calibri"/>
                        <w:spacing w:val="-1"/>
                        <w:sz w:val="20"/>
                      </w:rPr>
                      <w:t>30</w:t>
                    </w:r>
                  </w:p>
                  <w:p>
                    <w:pPr>
                      <w:spacing w:before="116"/>
                      <w:ind w:left="-1" w:right="0" w:firstLine="0"/>
                      <w:jc w:val="center"/>
                      <w:rPr>
                        <w:rFonts w:ascii="Calibri"/>
                        <w:sz w:val="20"/>
                      </w:rPr>
                    </w:pPr>
                    <w:r>
                      <w:rPr>
                        <w:rFonts w:ascii="Calibri"/>
                        <w:spacing w:val="-1"/>
                        <w:sz w:val="20"/>
                      </w:rPr>
                      <w:t>25</w:t>
                    </w:r>
                  </w:p>
                  <w:p>
                    <w:pPr>
                      <w:spacing w:before="115"/>
                      <w:ind w:left="-1" w:right="0" w:firstLine="0"/>
                      <w:jc w:val="center"/>
                      <w:rPr>
                        <w:rFonts w:ascii="Calibri"/>
                        <w:sz w:val="20"/>
                      </w:rPr>
                    </w:pPr>
                    <w:r>
                      <w:rPr>
                        <w:rFonts w:ascii="Calibri"/>
                        <w:spacing w:val="-1"/>
                        <w:sz w:val="20"/>
                      </w:rPr>
                      <w:t>20</w:t>
                    </w:r>
                  </w:p>
                  <w:p>
                    <w:pPr>
                      <w:spacing w:before="116"/>
                      <w:ind w:left="-1" w:right="0" w:firstLine="0"/>
                      <w:jc w:val="center"/>
                      <w:rPr>
                        <w:rFonts w:ascii="Calibri"/>
                        <w:sz w:val="20"/>
                      </w:rPr>
                    </w:pPr>
                    <w:r>
                      <w:rPr>
                        <w:rFonts w:ascii="Calibri"/>
                        <w:spacing w:val="-1"/>
                        <w:sz w:val="20"/>
                      </w:rPr>
                      <w:t>15</w:t>
                    </w:r>
                  </w:p>
                  <w:p>
                    <w:pPr>
                      <w:spacing w:before="115"/>
                      <w:ind w:left="-1" w:right="0" w:firstLine="0"/>
                      <w:jc w:val="center"/>
                      <w:rPr>
                        <w:rFonts w:ascii="Calibri"/>
                        <w:sz w:val="20"/>
                      </w:rPr>
                    </w:pPr>
                    <w:r>
                      <w:rPr>
                        <w:rFonts w:ascii="Calibri"/>
                        <w:spacing w:val="-1"/>
                        <w:sz w:val="20"/>
                      </w:rPr>
                      <w:t>10</w:t>
                    </w:r>
                  </w:p>
                  <w:p>
                    <w:pPr>
                      <w:spacing w:before="116"/>
                      <w:ind w:left="101" w:right="0" w:firstLine="0"/>
                      <w:jc w:val="center"/>
                      <w:rPr>
                        <w:rFonts w:ascii="Calibri"/>
                        <w:sz w:val="20"/>
                      </w:rPr>
                    </w:pPr>
                    <w:r>
                      <w:rPr>
                        <w:rFonts w:ascii="Calibri"/>
                        <w:w w:val="99"/>
                        <w:sz w:val="20"/>
                      </w:rPr>
                      <w:t>5</w:t>
                    </w:r>
                  </w:p>
                  <w:p>
                    <w:pPr>
                      <w:spacing w:line="240" w:lineRule="exact" w:before="115"/>
                      <w:ind w:left="101" w:right="0" w:firstLine="0"/>
                      <w:jc w:val="center"/>
                      <w:rPr>
                        <w:rFonts w:ascii="Calibri"/>
                        <w:sz w:val="20"/>
                      </w:rPr>
                    </w:pPr>
                    <w:r>
                      <w:rPr>
                        <w:rFonts w:ascii="Calibri"/>
                        <w:w w:val="99"/>
                        <w:sz w:val="20"/>
                      </w:rPr>
                      <w:t>0</w:t>
                    </w:r>
                  </w:p>
                </w:txbxContent>
              </v:textbox>
              <w10:wrap type="none"/>
            </v:shape>
            <v:shape style="position:absolute;left:3294;top:193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3955;top:2379;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18.8</w:t>
                    </w:r>
                  </w:p>
                </w:txbxContent>
              </v:textbox>
              <w10:wrap type="none"/>
            </v:shape>
            <v:shape style="position:absolute;left:4333;top:2843;width:337;height:190" type="#_x0000_t202" filled="false" stroked="false">
              <v:textbox inset="0,0,0,0">
                <w:txbxContent>
                  <w:p>
                    <w:pPr>
                      <w:spacing w:line="190" w:lineRule="exact" w:before="0"/>
                      <w:ind w:left="0" w:right="-3" w:firstLine="0"/>
                      <w:jc w:val="left"/>
                      <w:rPr>
                        <w:rFonts w:ascii="Calibri"/>
                        <w:sz w:val="19"/>
                      </w:rPr>
                    </w:pPr>
                    <w:r>
                      <w:rPr>
                        <w:rFonts w:ascii="Calibri"/>
                        <w:w w:val="95"/>
                        <w:sz w:val="19"/>
                      </w:rPr>
                      <w:t>12.5</w:t>
                    </w:r>
                  </w:p>
                </w:txbxContent>
              </v:textbox>
              <w10:wrap type="none"/>
            </v:shape>
            <v:shape style="position:absolute;left:5983;top:2991;width:715;height:200" type="#_x0000_t202" filled="false" stroked="false">
              <v:textbox inset="0,0,0,0">
                <w:txbxContent>
                  <w:p>
                    <w:pPr>
                      <w:spacing w:line="200" w:lineRule="exact" w:before="0"/>
                      <w:ind w:left="0" w:right="-18" w:firstLine="0"/>
                      <w:jc w:val="left"/>
                      <w:rPr>
                        <w:rFonts w:ascii="Calibri"/>
                        <w:sz w:val="19"/>
                      </w:rPr>
                    </w:pPr>
                    <w:r>
                      <w:rPr>
                        <w:rFonts w:ascii="Calibri"/>
                        <w:sz w:val="20"/>
                      </w:rPr>
                      <w:t>10.3</w:t>
                    </w:r>
                    <w:r>
                      <w:rPr>
                        <w:rFonts w:ascii="Calibri"/>
                        <w:spacing w:val="-24"/>
                        <w:sz w:val="20"/>
                      </w:rPr>
                      <w:t> </w:t>
                    </w:r>
                    <w:r>
                      <w:rPr>
                        <w:rFonts w:ascii="Calibri"/>
                        <w:sz w:val="19"/>
                      </w:rPr>
                      <w:t>10.3</w:t>
                    </w:r>
                  </w:p>
                </w:txbxContent>
              </v:textbox>
              <w10:wrap type="none"/>
            </v:shape>
            <v:shape style="position:absolute;left:7730;top:880;width:1993;height:2824" type="#_x0000_t202" filled="false" stroked="false">
              <v:textbox inset="0,0,0,0">
                <w:txbxContent>
                  <w:p>
                    <w:pPr>
                      <w:spacing w:line="203" w:lineRule="exact" w:before="0"/>
                      <w:ind w:left="0" w:right="-12" w:firstLine="0"/>
                      <w:jc w:val="left"/>
                      <w:rPr>
                        <w:rFonts w:ascii="Calibri" w:hAnsi="Calibri"/>
                        <w:sz w:val="20"/>
                      </w:rPr>
                    </w:pPr>
                    <w:r>
                      <w:rPr>
                        <w:rFonts w:ascii="Calibri" w:hAnsi="Calibri"/>
                        <w:sz w:val="20"/>
                      </w:rPr>
                      <w:t>Relativo a la aplicación</w:t>
                    </w:r>
                  </w:p>
                  <w:p>
                    <w:pPr>
                      <w:spacing w:before="0"/>
                      <w:ind w:left="0" w:right="112" w:firstLine="0"/>
                      <w:jc w:val="left"/>
                      <w:rPr>
                        <w:rFonts w:ascii="Calibri" w:hAnsi="Calibri"/>
                        <w:sz w:val="20"/>
                      </w:rPr>
                    </w:pPr>
                    <w:r>
                      <w:rPr>
                        <w:rFonts w:ascii="Calibri" w:hAnsi="Calibri"/>
                        <w:sz w:val="20"/>
                      </w:rPr>
                      <w:t>de la perspectiva de género en las prácticas cotidianas.</w:t>
                    </w:r>
                  </w:p>
                  <w:p>
                    <w:pPr>
                      <w:spacing w:before="93"/>
                      <w:ind w:left="0" w:right="-20" w:firstLine="0"/>
                      <w:jc w:val="left"/>
                      <w:rPr>
                        <w:rFonts w:ascii="Calibri" w:hAnsi="Calibri"/>
                        <w:sz w:val="20"/>
                      </w:rPr>
                    </w:pPr>
                    <w:r>
                      <w:rPr>
                        <w:rFonts w:ascii="Calibri" w:hAnsi="Calibri"/>
                        <w:sz w:val="20"/>
                      </w:rPr>
                      <w:t>Relativo a la elaboración de campañas mediáticas de fomento de la perspectiva de género.</w:t>
                    </w:r>
                  </w:p>
                  <w:p>
                    <w:pPr>
                      <w:spacing w:before="92"/>
                      <w:ind w:left="0" w:right="68" w:firstLine="0"/>
                      <w:jc w:val="left"/>
                      <w:rPr>
                        <w:rFonts w:ascii="Calibri" w:hAnsi="Calibri"/>
                        <w:sz w:val="20"/>
                      </w:rPr>
                    </w:pPr>
                    <w:r>
                      <w:rPr>
                        <w:rFonts w:ascii="Calibri" w:hAnsi="Calibri"/>
                        <w:sz w:val="20"/>
                      </w:rPr>
                      <w:t>Relativo a la realización de talleres, pláticas, conferencias, etc.</w:t>
                    </w:r>
                  </w:p>
                </w:txbxContent>
              </v:textbox>
              <w10:wrap type="none"/>
            </v:shape>
            <v:shape style="position:absolute;left:3577;top:4193;width:2734;height:200" type="#_x0000_t202" filled="false" stroked="false">
              <v:textbox inset="0,0,0,0">
                <w:txbxContent>
                  <w:p>
                    <w:pPr>
                      <w:tabs>
                        <w:tab w:pos="2063" w:val="left" w:leader="none"/>
                      </w:tabs>
                      <w:spacing w:line="199" w:lineRule="exact" w:before="0"/>
                      <w:ind w:left="0" w:right="0" w:firstLine="0"/>
                      <w:jc w:val="left"/>
                      <w:rPr>
                        <w:rFonts w:ascii="Calibri"/>
                        <w:sz w:val="20"/>
                      </w:rPr>
                    </w:pPr>
                    <w:r>
                      <w:rPr>
                        <w:rFonts w:ascii="Calibri"/>
                        <w:sz w:val="20"/>
                      </w:rPr>
                      <w:t>Hombres</w:t>
                      <w:tab/>
                    </w:r>
                    <w:r>
                      <w:rPr>
                        <w:rFonts w:ascii="Calibri"/>
                        <w:w w:val="95"/>
                        <w:sz w:val="20"/>
                      </w:rPr>
                      <w:t>Mujeres</w:t>
                    </w:r>
                  </w:p>
                </w:txbxContent>
              </v:textbox>
              <w10:wrap type="none"/>
            </v:shape>
            <w10:wrap type="topAndBottom"/>
          </v:group>
        </w:pict>
      </w:r>
    </w:p>
    <w:p>
      <w:pPr>
        <w:pStyle w:val="BodyText"/>
        <w:rPr>
          <w:sz w:val="26"/>
        </w:rPr>
      </w:pPr>
    </w:p>
    <w:p>
      <w:pPr>
        <w:spacing w:before="1"/>
        <w:ind w:left="134" w:right="154" w:firstLine="0"/>
        <w:jc w:val="center"/>
        <w:rPr>
          <w:sz w:val="20"/>
        </w:rPr>
      </w:pPr>
      <w:r>
        <w:rPr>
          <w:sz w:val="20"/>
        </w:rPr>
        <w:t>(Miranda, 2014).</w:t>
      </w:r>
    </w:p>
    <w:p>
      <w:pPr>
        <w:pStyle w:val="BodyText"/>
        <w:rPr>
          <w:sz w:val="20"/>
        </w:rPr>
      </w:pPr>
    </w:p>
    <w:p>
      <w:pPr>
        <w:pStyle w:val="BodyText"/>
        <w:rPr>
          <w:sz w:val="20"/>
        </w:rPr>
      </w:pPr>
    </w:p>
    <w:p>
      <w:pPr>
        <w:pStyle w:val="BodyText"/>
        <w:rPr>
          <w:sz w:val="20"/>
        </w:rPr>
      </w:pPr>
    </w:p>
    <w:p>
      <w:pPr>
        <w:pStyle w:val="BodyText"/>
        <w:spacing w:line="360" w:lineRule="auto" w:before="147"/>
        <w:ind w:left="102" w:right="118"/>
        <w:jc w:val="both"/>
      </w:pPr>
      <w:r>
        <w:rPr/>
        <w:t>Aquí, la categoría más importante en la que la gran mayoría del estudiantado coincidió fue en la elaboración de campañas mediáticas de fomento de la Perspectiva de Género con un 43.8%  de hombres y un 41.0%, de mujeres.</w:t>
      </w:r>
    </w:p>
    <w:p>
      <w:pPr>
        <w:pStyle w:val="BodyText"/>
        <w:spacing w:line="360" w:lineRule="auto" w:before="204"/>
        <w:ind w:left="102" w:right="125"/>
        <w:jc w:val="both"/>
      </w:pPr>
      <w:r>
        <w:rPr/>
        <w:t>Es claro que las y los estudiantes conocen el poder con que cuentan los medios  de  comunicación  masiva  como  generadores  de  impacto  sociocultural,  de</w:t>
      </w:r>
      <w:r>
        <w:rPr>
          <w:spacing w:val="19"/>
        </w:rPr>
        <w:t> </w:t>
      </w:r>
      <w:r>
        <w:rPr/>
        <w:t>esta</w:t>
      </w:r>
    </w:p>
    <w:p>
      <w:pPr>
        <w:spacing w:after="0" w:line="360" w:lineRule="auto"/>
        <w:jc w:val="both"/>
        <w:sectPr>
          <w:pgSz w:w="12240" w:h="15840"/>
          <w:pgMar w:header="0" w:footer="1032" w:top="1420" w:bottom="1220" w:left="1600" w:right="1580"/>
        </w:sectPr>
      </w:pPr>
    </w:p>
    <w:p>
      <w:pPr>
        <w:pStyle w:val="BodyText"/>
        <w:spacing w:line="360" w:lineRule="auto" w:before="57"/>
        <w:ind w:left="102" w:right="127"/>
        <w:jc w:val="both"/>
      </w:pPr>
      <w:r>
        <w:rPr/>
        <w:t>manera, resulta mucho más sencillo pensar en una formación de la licenciatura en Comunicación con Perspectiva de Género.</w:t>
      </w:r>
    </w:p>
    <w:p>
      <w:pPr>
        <w:pStyle w:val="BodyText"/>
        <w:spacing w:line="360" w:lineRule="auto" w:before="204"/>
        <w:ind w:left="102" w:right="125"/>
        <w:jc w:val="both"/>
      </w:pPr>
      <w:r>
        <w:rPr/>
        <w:t>Como menciona Lagarde (2007), la influencia de los medios de comunicación es capaz de permear casi cualquier tipo de cultura, logrando así  cambios sustanciales en la sociedad. Desde el punto de vista de los criterios de  Perspectiva de Género, Lagarde afirma que su adecuada aplicación puede impulsar el respeto a los derechos humanos de las mujeres y erradicar la violencia contra la integridad de las</w:t>
      </w:r>
      <w:r>
        <w:rPr>
          <w:spacing w:val="-14"/>
        </w:rPr>
        <w:t> </w:t>
      </w:r>
      <w:r>
        <w:rPr/>
        <w:t>personas.</w:t>
      </w:r>
    </w:p>
    <w:p>
      <w:pPr>
        <w:pStyle w:val="BodyText"/>
      </w:pPr>
    </w:p>
    <w:p>
      <w:pPr>
        <w:pStyle w:val="BodyText"/>
      </w:pPr>
    </w:p>
    <w:p>
      <w:pPr>
        <w:pStyle w:val="BodyText"/>
        <w:rPr>
          <w:sz w:val="23"/>
        </w:rPr>
      </w:pPr>
    </w:p>
    <w:p>
      <w:pPr>
        <w:pStyle w:val="Heading1"/>
        <w:jc w:val="both"/>
      </w:pPr>
      <w:r>
        <w:rPr/>
        <w:t>Pregunta 10.</w:t>
      </w:r>
    </w:p>
    <w:p>
      <w:pPr>
        <w:pStyle w:val="BodyText"/>
        <w:spacing w:before="4"/>
        <w:rPr>
          <w:b/>
          <w:sz w:val="29"/>
        </w:rPr>
      </w:pPr>
    </w:p>
    <w:p>
      <w:pPr>
        <w:pStyle w:val="BodyText"/>
        <w:spacing w:line="360" w:lineRule="auto" w:before="1"/>
        <w:ind w:left="102" w:right="119"/>
        <w:jc w:val="both"/>
      </w:pPr>
      <w:r>
        <w:rPr>
          <w:u w:val="single"/>
        </w:rPr>
        <w:t>Tabla 10.1. </w:t>
      </w:r>
      <w:r>
        <w:rPr/>
        <w:t>Respuestas del estudiantado al cuestionárseles si, como futuros profesionales de la comunicación, emplearían la Perspectiva de Género en su desarrollo profesional.</w:t>
      </w:r>
    </w:p>
    <w:p>
      <w:pPr>
        <w:pStyle w:val="BodyText"/>
        <w:rPr>
          <w:sz w:val="20"/>
        </w:rPr>
      </w:pPr>
    </w:p>
    <w:p>
      <w:pPr>
        <w:pStyle w:val="BodyText"/>
        <w:spacing w:before="10"/>
        <w:rPr>
          <w:sz w:val="15"/>
        </w:rPr>
      </w:pPr>
    </w:p>
    <w:tbl>
      <w:tblPr>
        <w:tblW w:w="0" w:type="auto"/>
        <w:jc w:val="left"/>
        <w:tblInd w:w="78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427"/>
        <w:gridCol w:w="1468"/>
        <w:gridCol w:w="1080"/>
        <w:gridCol w:w="1210"/>
        <w:gridCol w:w="1080"/>
        <w:gridCol w:w="1210"/>
      </w:tblGrid>
      <w:tr>
        <w:trPr>
          <w:trHeight w:val="363" w:hRule="exact"/>
        </w:trPr>
        <w:tc>
          <w:tcPr>
            <w:tcW w:w="2895" w:type="dxa"/>
            <w:gridSpan w:val="2"/>
            <w:vMerge w:val="restart"/>
            <w:shd w:val="clear" w:color="auto" w:fill="F1F1F1"/>
          </w:tcPr>
          <w:p>
            <w:pPr/>
          </w:p>
        </w:tc>
        <w:tc>
          <w:tcPr>
            <w:tcW w:w="4580" w:type="dxa"/>
            <w:gridSpan w:val="4"/>
            <w:shd w:val="clear" w:color="auto" w:fill="F1F1F1"/>
          </w:tcPr>
          <w:p>
            <w:pPr>
              <w:pStyle w:val="TableParagraph"/>
              <w:spacing w:before="68"/>
              <w:ind w:left="2017" w:right="2018"/>
              <w:jc w:val="center"/>
              <w:rPr>
                <w:sz w:val="18"/>
              </w:rPr>
            </w:pPr>
            <w:r>
              <w:rPr>
                <w:sz w:val="18"/>
              </w:rPr>
              <w:t>SEXO</w:t>
            </w:r>
          </w:p>
        </w:tc>
      </w:tr>
      <w:tr>
        <w:trPr>
          <w:trHeight w:val="362" w:hRule="exact"/>
        </w:trPr>
        <w:tc>
          <w:tcPr>
            <w:tcW w:w="2895" w:type="dxa"/>
            <w:gridSpan w:val="2"/>
            <w:vMerge/>
            <w:shd w:val="clear" w:color="auto" w:fill="F1F1F1"/>
          </w:tcPr>
          <w:p>
            <w:pPr/>
          </w:p>
        </w:tc>
        <w:tc>
          <w:tcPr>
            <w:tcW w:w="2290" w:type="dxa"/>
            <w:gridSpan w:val="2"/>
            <w:shd w:val="clear" w:color="auto" w:fill="F1F1F1"/>
          </w:tcPr>
          <w:p>
            <w:pPr>
              <w:pStyle w:val="TableParagraph"/>
              <w:spacing w:before="80"/>
              <w:ind w:left="757" w:right="757"/>
              <w:jc w:val="center"/>
              <w:rPr>
                <w:sz w:val="18"/>
              </w:rPr>
            </w:pPr>
            <w:r>
              <w:rPr>
                <w:sz w:val="18"/>
              </w:rPr>
              <w:t>Hombres</w:t>
            </w:r>
          </w:p>
        </w:tc>
        <w:tc>
          <w:tcPr>
            <w:tcW w:w="2290" w:type="dxa"/>
            <w:gridSpan w:val="2"/>
            <w:shd w:val="clear" w:color="auto" w:fill="F1F1F1"/>
          </w:tcPr>
          <w:p>
            <w:pPr>
              <w:pStyle w:val="TableParagraph"/>
              <w:spacing w:before="80"/>
              <w:ind w:left="800" w:right="802"/>
              <w:jc w:val="center"/>
              <w:rPr>
                <w:sz w:val="18"/>
              </w:rPr>
            </w:pPr>
            <w:r>
              <w:rPr>
                <w:sz w:val="18"/>
              </w:rPr>
              <w:t>Mujeres</w:t>
            </w:r>
          </w:p>
        </w:tc>
      </w:tr>
      <w:tr>
        <w:trPr>
          <w:trHeight w:val="350" w:hRule="exact"/>
        </w:trPr>
        <w:tc>
          <w:tcPr>
            <w:tcW w:w="2895" w:type="dxa"/>
            <w:gridSpan w:val="2"/>
            <w:vMerge/>
            <w:shd w:val="clear" w:color="auto" w:fill="F1F1F1"/>
          </w:tcPr>
          <w:p>
            <w:pPr/>
          </w:p>
        </w:tc>
        <w:tc>
          <w:tcPr>
            <w:tcW w:w="1080" w:type="dxa"/>
            <w:shd w:val="clear" w:color="auto" w:fill="F1F1F1"/>
          </w:tcPr>
          <w:p>
            <w:pPr>
              <w:pStyle w:val="TableParagraph"/>
              <w:spacing w:before="68"/>
              <w:ind w:left="70" w:right="71"/>
              <w:jc w:val="center"/>
              <w:rPr>
                <w:sz w:val="18"/>
              </w:rPr>
            </w:pPr>
            <w:r>
              <w:rPr>
                <w:sz w:val="18"/>
              </w:rPr>
              <w:t>Frecuencia</w:t>
            </w:r>
          </w:p>
        </w:tc>
        <w:tc>
          <w:tcPr>
            <w:tcW w:w="1210" w:type="dxa"/>
            <w:shd w:val="clear" w:color="auto" w:fill="F1F1F1"/>
          </w:tcPr>
          <w:p>
            <w:pPr>
              <w:pStyle w:val="TableParagraph"/>
              <w:spacing w:before="68"/>
              <w:jc w:val="center"/>
              <w:rPr>
                <w:sz w:val="18"/>
              </w:rPr>
            </w:pPr>
            <w:r>
              <w:rPr>
                <w:w w:val="99"/>
                <w:sz w:val="18"/>
              </w:rPr>
              <w:t>%</w:t>
            </w:r>
          </w:p>
        </w:tc>
        <w:tc>
          <w:tcPr>
            <w:tcW w:w="1080" w:type="dxa"/>
            <w:shd w:val="clear" w:color="auto" w:fill="F1F1F1"/>
          </w:tcPr>
          <w:p>
            <w:pPr>
              <w:pStyle w:val="TableParagraph"/>
              <w:spacing w:before="68"/>
              <w:ind w:left="68" w:right="72"/>
              <w:jc w:val="center"/>
              <w:rPr>
                <w:sz w:val="18"/>
              </w:rPr>
            </w:pPr>
            <w:r>
              <w:rPr>
                <w:sz w:val="18"/>
              </w:rPr>
              <w:t>Frecuencia</w:t>
            </w:r>
          </w:p>
        </w:tc>
        <w:tc>
          <w:tcPr>
            <w:tcW w:w="1210" w:type="dxa"/>
            <w:shd w:val="clear" w:color="auto" w:fill="F1F1F1"/>
          </w:tcPr>
          <w:p>
            <w:pPr>
              <w:pStyle w:val="TableParagraph"/>
              <w:spacing w:before="68"/>
              <w:ind w:right="521"/>
              <w:jc w:val="right"/>
              <w:rPr>
                <w:sz w:val="18"/>
              </w:rPr>
            </w:pPr>
            <w:r>
              <w:rPr>
                <w:w w:val="99"/>
                <w:sz w:val="18"/>
              </w:rPr>
              <w:t>%</w:t>
            </w:r>
          </w:p>
        </w:tc>
      </w:tr>
      <w:tr>
        <w:trPr>
          <w:trHeight w:val="268" w:hRule="exact"/>
        </w:trPr>
        <w:tc>
          <w:tcPr>
            <w:tcW w:w="1427" w:type="dxa"/>
            <w:tcBorders>
              <w:bottom w:val="nil"/>
              <w:right w:val="nil"/>
            </w:tcBorders>
            <w:shd w:val="clear" w:color="auto" w:fill="F1F1F1"/>
          </w:tcPr>
          <w:p>
            <w:pPr/>
          </w:p>
        </w:tc>
        <w:tc>
          <w:tcPr>
            <w:tcW w:w="1468" w:type="dxa"/>
            <w:tcBorders>
              <w:left w:val="nil"/>
              <w:bottom w:val="nil"/>
            </w:tcBorders>
            <w:shd w:val="clear" w:color="auto" w:fill="F1F1F1"/>
          </w:tcPr>
          <w:p>
            <w:pPr>
              <w:pStyle w:val="TableParagraph"/>
              <w:spacing w:line="206" w:lineRule="exact"/>
              <w:ind w:left="134"/>
              <w:rPr>
                <w:sz w:val="18"/>
              </w:rPr>
            </w:pPr>
            <w:r>
              <w:rPr>
                <w:sz w:val="18"/>
              </w:rPr>
              <w:t>No</w:t>
            </w:r>
          </w:p>
        </w:tc>
        <w:tc>
          <w:tcPr>
            <w:tcW w:w="1080" w:type="dxa"/>
            <w:tcBorders>
              <w:bottom w:val="nil"/>
            </w:tcBorders>
          </w:tcPr>
          <w:p>
            <w:pPr>
              <w:pStyle w:val="TableParagraph"/>
              <w:spacing w:before="32"/>
              <w:jc w:val="center"/>
              <w:rPr>
                <w:sz w:val="18"/>
              </w:rPr>
            </w:pPr>
            <w:r>
              <w:rPr>
                <w:w w:val="99"/>
                <w:sz w:val="18"/>
              </w:rPr>
              <w:t>3</w:t>
            </w:r>
          </w:p>
        </w:tc>
        <w:tc>
          <w:tcPr>
            <w:tcW w:w="1210" w:type="dxa"/>
            <w:tcBorders>
              <w:bottom w:val="nil"/>
            </w:tcBorders>
          </w:tcPr>
          <w:p>
            <w:pPr>
              <w:pStyle w:val="TableParagraph"/>
              <w:spacing w:before="32"/>
              <w:ind w:left="407" w:right="406"/>
              <w:jc w:val="center"/>
              <w:rPr>
                <w:sz w:val="18"/>
              </w:rPr>
            </w:pPr>
            <w:r>
              <w:rPr>
                <w:sz w:val="18"/>
              </w:rPr>
              <w:t>12.5</w:t>
            </w:r>
          </w:p>
        </w:tc>
        <w:tc>
          <w:tcPr>
            <w:tcW w:w="1080" w:type="dxa"/>
            <w:tcBorders>
              <w:bottom w:val="nil"/>
            </w:tcBorders>
          </w:tcPr>
          <w:p>
            <w:pPr>
              <w:pStyle w:val="TableParagraph"/>
              <w:spacing w:before="32"/>
              <w:ind w:right="3"/>
              <w:jc w:val="center"/>
              <w:rPr>
                <w:sz w:val="18"/>
              </w:rPr>
            </w:pPr>
            <w:r>
              <w:rPr>
                <w:w w:val="99"/>
                <w:sz w:val="18"/>
              </w:rPr>
              <w:t>2</w:t>
            </w:r>
          </w:p>
        </w:tc>
        <w:tc>
          <w:tcPr>
            <w:tcW w:w="1210" w:type="dxa"/>
            <w:tcBorders>
              <w:bottom w:val="nil"/>
            </w:tcBorders>
          </w:tcPr>
          <w:p>
            <w:pPr>
              <w:pStyle w:val="TableParagraph"/>
              <w:spacing w:before="32"/>
              <w:ind w:right="476"/>
              <w:jc w:val="right"/>
              <w:rPr>
                <w:sz w:val="18"/>
              </w:rPr>
            </w:pPr>
            <w:r>
              <w:rPr>
                <w:w w:val="95"/>
                <w:sz w:val="18"/>
              </w:rPr>
              <w:t>3.4</w:t>
            </w:r>
          </w:p>
        </w:tc>
      </w:tr>
      <w:tr>
        <w:trPr>
          <w:trHeight w:val="274" w:hRule="exact"/>
        </w:trPr>
        <w:tc>
          <w:tcPr>
            <w:tcW w:w="1427" w:type="dxa"/>
            <w:tcBorders>
              <w:top w:val="nil"/>
              <w:bottom w:val="nil"/>
              <w:right w:val="nil"/>
            </w:tcBorders>
            <w:shd w:val="clear" w:color="auto" w:fill="F1F1F1"/>
          </w:tcPr>
          <w:p>
            <w:pPr/>
          </w:p>
        </w:tc>
        <w:tc>
          <w:tcPr>
            <w:tcW w:w="1468" w:type="dxa"/>
            <w:tcBorders>
              <w:top w:val="nil"/>
              <w:left w:val="nil"/>
              <w:bottom w:val="nil"/>
            </w:tcBorders>
            <w:shd w:val="clear" w:color="auto" w:fill="F1F1F1"/>
          </w:tcPr>
          <w:p>
            <w:pPr>
              <w:pStyle w:val="TableParagraph"/>
              <w:spacing w:before="7"/>
              <w:ind w:left="134"/>
              <w:rPr>
                <w:sz w:val="18"/>
              </w:rPr>
            </w:pPr>
            <w:r>
              <w:rPr>
                <w:sz w:val="18"/>
              </w:rPr>
              <w:t>Si</w:t>
            </w:r>
          </w:p>
        </w:tc>
        <w:tc>
          <w:tcPr>
            <w:tcW w:w="1080" w:type="dxa"/>
            <w:tcBorders>
              <w:top w:val="nil"/>
              <w:bottom w:val="nil"/>
            </w:tcBorders>
          </w:tcPr>
          <w:p>
            <w:pPr>
              <w:pStyle w:val="TableParagraph"/>
              <w:spacing w:before="40"/>
              <w:jc w:val="center"/>
              <w:rPr>
                <w:sz w:val="18"/>
              </w:rPr>
            </w:pPr>
            <w:r>
              <w:rPr>
                <w:w w:val="99"/>
                <w:sz w:val="18"/>
              </w:rPr>
              <w:t>6</w:t>
            </w:r>
          </w:p>
        </w:tc>
        <w:tc>
          <w:tcPr>
            <w:tcW w:w="1210" w:type="dxa"/>
            <w:tcBorders>
              <w:top w:val="nil"/>
              <w:bottom w:val="nil"/>
            </w:tcBorders>
          </w:tcPr>
          <w:p>
            <w:pPr>
              <w:pStyle w:val="TableParagraph"/>
              <w:spacing w:before="40"/>
              <w:ind w:left="406" w:right="406"/>
              <w:jc w:val="center"/>
              <w:rPr>
                <w:sz w:val="18"/>
              </w:rPr>
            </w:pPr>
            <w:r>
              <w:rPr>
                <w:sz w:val="18"/>
              </w:rPr>
              <w:t>25</w:t>
            </w:r>
          </w:p>
        </w:tc>
        <w:tc>
          <w:tcPr>
            <w:tcW w:w="1080" w:type="dxa"/>
            <w:tcBorders>
              <w:top w:val="nil"/>
              <w:bottom w:val="nil"/>
            </w:tcBorders>
          </w:tcPr>
          <w:p>
            <w:pPr>
              <w:pStyle w:val="TableParagraph"/>
              <w:spacing w:before="40"/>
              <w:ind w:left="70" w:right="72"/>
              <w:jc w:val="center"/>
              <w:rPr>
                <w:sz w:val="18"/>
              </w:rPr>
            </w:pPr>
            <w:r>
              <w:rPr>
                <w:sz w:val="18"/>
              </w:rPr>
              <w:t>21</w:t>
            </w:r>
          </w:p>
        </w:tc>
        <w:tc>
          <w:tcPr>
            <w:tcW w:w="1210" w:type="dxa"/>
            <w:tcBorders>
              <w:top w:val="nil"/>
              <w:bottom w:val="nil"/>
            </w:tcBorders>
          </w:tcPr>
          <w:p>
            <w:pPr>
              <w:pStyle w:val="TableParagraph"/>
              <w:spacing w:before="40"/>
              <w:ind w:right="426"/>
              <w:jc w:val="right"/>
              <w:rPr>
                <w:sz w:val="18"/>
              </w:rPr>
            </w:pPr>
            <w:r>
              <w:rPr>
                <w:w w:val="95"/>
                <w:sz w:val="18"/>
              </w:rPr>
              <w:t>36.2</w:t>
            </w:r>
          </w:p>
        </w:tc>
      </w:tr>
      <w:tr>
        <w:trPr>
          <w:trHeight w:val="281" w:hRule="exact"/>
        </w:trPr>
        <w:tc>
          <w:tcPr>
            <w:tcW w:w="1427" w:type="dxa"/>
            <w:tcBorders>
              <w:top w:val="nil"/>
              <w:right w:val="nil"/>
            </w:tcBorders>
            <w:shd w:val="clear" w:color="auto" w:fill="F1F1F1"/>
          </w:tcPr>
          <w:p>
            <w:pPr/>
          </w:p>
        </w:tc>
        <w:tc>
          <w:tcPr>
            <w:tcW w:w="1468" w:type="dxa"/>
            <w:tcBorders>
              <w:top w:val="nil"/>
              <w:left w:val="nil"/>
            </w:tcBorders>
            <w:shd w:val="clear" w:color="auto" w:fill="F1F1F1"/>
          </w:tcPr>
          <w:p>
            <w:pPr>
              <w:pStyle w:val="TableParagraph"/>
              <w:spacing w:before="7"/>
              <w:ind w:left="134"/>
              <w:rPr>
                <w:sz w:val="18"/>
              </w:rPr>
            </w:pPr>
            <w:r>
              <w:rPr>
                <w:sz w:val="18"/>
              </w:rPr>
              <w:t>Posiblemente</w:t>
            </w:r>
          </w:p>
        </w:tc>
        <w:tc>
          <w:tcPr>
            <w:tcW w:w="1080" w:type="dxa"/>
            <w:tcBorders>
              <w:top w:val="nil"/>
            </w:tcBorders>
          </w:tcPr>
          <w:p>
            <w:pPr>
              <w:pStyle w:val="TableParagraph"/>
              <w:spacing w:before="38"/>
              <w:ind w:left="70" w:right="70"/>
              <w:jc w:val="center"/>
              <w:rPr>
                <w:sz w:val="18"/>
              </w:rPr>
            </w:pPr>
            <w:r>
              <w:rPr>
                <w:sz w:val="18"/>
              </w:rPr>
              <w:t>15</w:t>
            </w:r>
          </w:p>
        </w:tc>
        <w:tc>
          <w:tcPr>
            <w:tcW w:w="1210" w:type="dxa"/>
            <w:tcBorders>
              <w:top w:val="nil"/>
            </w:tcBorders>
          </w:tcPr>
          <w:p>
            <w:pPr>
              <w:pStyle w:val="TableParagraph"/>
              <w:spacing w:before="38"/>
              <w:ind w:left="407" w:right="406"/>
              <w:jc w:val="center"/>
              <w:rPr>
                <w:sz w:val="18"/>
              </w:rPr>
            </w:pPr>
            <w:r>
              <w:rPr>
                <w:sz w:val="18"/>
              </w:rPr>
              <w:t>62.5</w:t>
            </w:r>
          </w:p>
        </w:tc>
        <w:tc>
          <w:tcPr>
            <w:tcW w:w="1080" w:type="dxa"/>
            <w:tcBorders>
              <w:top w:val="nil"/>
            </w:tcBorders>
          </w:tcPr>
          <w:p>
            <w:pPr>
              <w:pStyle w:val="TableParagraph"/>
              <w:spacing w:before="38"/>
              <w:ind w:left="70" w:right="72"/>
              <w:jc w:val="center"/>
              <w:rPr>
                <w:sz w:val="18"/>
              </w:rPr>
            </w:pPr>
            <w:r>
              <w:rPr>
                <w:sz w:val="18"/>
              </w:rPr>
              <w:t>35</w:t>
            </w:r>
          </w:p>
        </w:tc>
        <w:tc>
          <w:tcPr>
            <w:tcW w:w="1210" w:type="dxa"/>
            <w:tcBorders>
              <w:top w:val="nil"/>
            </w:tcBorders>
          </w:tcPr>
          <w:p>
            <w:pPr>
              <w:pStyle w:val="TableParagraph"/>
              <w:spacing w:before="38"/>
              <w:ind w:right="426"/>
              <w:jc w:val="right"/>
              <w:rPr>
                <w:sz w:val="18"/>
              </w:rPr>
            </w:pPr>
            <w:r>
              <w:rPr>
                <w:w w:val="95"/>
                <w:sz w:val="18"/>
              </w:rPr>
              <w:t>60.3</w:t>
            </w:r>
          </w:p>
        </w:tc>
      </w:tr>
    </w:tbl>
    <w:p>
      <w:pPr>
        <w:pStyle w:val="BodyText"/>
        <w:spacing w:before="4"/>
        <w:rPr>
          <w:sz w:val="23"/>
        </w:rPr>
      </w:pPr>
    </w:p>
    <w:p>
      <w:pPr>
        <w:spacing w:before="74"/>
        <w:ind w:left="134" w:right="154" w:firstLine="0"/>
        <w:jc w:val="center"/>
        <w:rPr>
          <w:sz w:val="20"/>
        </w:rPr>
      </w:pPr>
      <w:r>
        <w:rPr>
          <w:sz w:val="20"/>
        </w:rPr>
        <w:t>(Miranda, 2014).</w:t>
      </w:r>
    </w:p>
    <w:p>
      <w:pPr>
        <w:spacing w:after="0"/>
        <w:jc w:val="center"/>
        <w:rPr>
          <w:sz w:val="20"/>
        </w:rPr>
        <w:sectPr>
          <w:pgSz w:w="12240" w:h="15840"/>
          <w:pgMar w:header="0" w:footer="1032" w:top="1360" w:bottom="1220" w:left="1600" w:right="1580"/>
        </w:sectPr>
      </w:pPr>
    </w:p>
    <w:p>
      <w:pPr>
        <w:pStyle w:val="BodyText"/>
        <w:spacing w:before="54"/>
        <w:ind w:left="102" w:right="647"/>
        <w:jc w:val="both"/>
      </w:pPr>
      <w:r>
        <w:rPr>
          <w:u w:val="single"/>
        </w:rPr>
        <w:t>Gráfica 10.1. </w:t>
      </w:r>
      <w:r>
        <w:rPr/>
        <w:t>Respuestas del estudiantado al cuestionárseles si, como futuros profesionales de la comunicación, emplearían la Perspectiva de Género en</w:t>
      </w:r>
      <w:r>
        <w:rPr>
          <w:spacing w:val="-26"/>
        </w:rPr>
        <w:t> </w:t>
      </w:r>
      <w:r>
        <w:rPr/>
        <w:t>su desarrollo</w:t>
      </w:r>
      <w:r>
        <w:rPr>
          <w:spacing w:val="-9"/>
        </w:rPr>
        <w:t> </w:t>
      </w:r>
      <w:r>
        <w:rPr/>
        <w:t>profesional.</w:t>
      </w:r>
    </w:p>
    <w:p>
      <w:pPr>
        <w:pStyle w:val="BodyText"/>
        <w:rPr>
          <w:sz w:val="20"/>
        </w:rPr>
      </w:pPr>
    </w:p>
    <w:p>
      <w:pPr>
        <w:pStyle w:val="BodyText"/>
        <w:spacing w:before="2"/>
        <w:rPr>
          <w:sz w:val="12"/>
        </w:rPr>
      </w:pPr>
      <w:r>
        <w:rPr/>
        <w:pict>
          <v:group style="position:absolute;margin-left:96.389999pt;margin-top:8.992990pt;width:419.5pt;height:216.75pt;mso-position-horizontal-relative:page;mso-position-vertical-relative:paragraph;z-index:4624;mso-wrap-distance-left:0;mso-wrap-distance-right:0" coordorigin="1928,180" coordsize="8390,4335">
            <v:line style="position:absolute" from="8014,3492" to="8518,3492" stroked="true" strokeweight=".72pt" strokecolor="#858585"/>
            <v:line style="position:absolute" from="4982,3492" to="6665,3492" stroked="true" strokeweight=".72pt" strokecolor="#858585"/>
            <v:line style="position:absolute" from="4982,2978" to="6665,2978" stroked="true" strokeweight=".72pt" strokecolor="#858585"/>
            <v:line style="position:absolute" from="4982,2464" to="6665,2464" stroked="true" strokeweight=".72pt" strokecolor="#858585"/>
            <v:rect style="position:absolute;left:5993;top:3830;width:672;height:175" filled="true" fillcolor="#606060" stroked="false">
              <v:fill type="solid"/>
            </v:rect>
            <v:rect style="position:absolute;left:6665;top:2145;width:674;height:1860" filled="true" fillcolor="#b3b3b3" stroked="false">
              <v:fill type="solid"/>
            </v:rect>
            <v:line style="position:absolute" from="2455,3492" to="2959,3492" stroked="true" strokeweight=".72pt" strokecolor="#858585"/>
            <v:rect style="position:absolute;left:2959;top:3364;width:674;height:641" filled="true" fillcolor="#606060" stroked="false">
              <v:fill type="solid"/>
            </v:rect>
            <v:line style="position:absolute" from="2455,2978" to="3634,2978" stroked="true" strokeweight=".72pt" strokecolor="#858585"/>
            <v:rect style="position:absolute;left:3634;top:2721;width:674;height:1284" filled="true" fillcolor="#b3b3b3" stroked="false">
              <v:fill type="solid"/>
            </v:rect>
            <v:line style="position:absolute" from="2455,2464" to="4308,2464" stroked="true" strokeweight=".72pt" strokecolor="#858585"/>
            <v:line style="position:absolute" from="4982,1951" to="7339,1951" stroked="true" strokeweight=".72pt" strokecolor="#858585"/>
            <v:line style="position:absolute" from="2455,1951" to="4308,1951" stroked="true" strokeweight=".72pt" strokecolor="#858585"/>
            <v:line style="position:absolute" from="4982,1437" to="7339,1437" stroked="true" strokeweight=".72pt" strokecolor="#858585"/>
            <v:line style="position:absolute" from="2455,1437" to="4308,1437" stroked="true" strokeweight=".72pt" strokecolor="#858585"/>
            <v:line style="position:absolute" from="4982,924" to="8518,924" stroked="true" strokeweight=".72pt" strokecolor="#858585"/>
            <v:line style="position:absolute" from="2455,924" to="4308,924" stroked="true" strokeweight=".72pt" strokecolor="#858585"/>
            <v:rect style="position:absolute;left:4308;top:794;width:674;height:3211" filled="true" fillcolor="#818181" stroked="false">
              <v:fill type="solid"/>
            </v:rect>
            <v:line style="position:absolute" from="8014,2978" to="8518,2978" stroked="true" strokeweight=".72pt" strokecolor="#858585"/>
            <v:line style="position:absolute" from="8014,2464" to="8518,2464" stroked="true" strokeweight=".72pt" strokecolor="#858585"/>
            <v:line style="position:absolute" from="8014,1951" to="8518,1951" stroked="true" strokeweight=".72pt" strokecolor="#858585"/>
            <v:line style="position:absolute" from="8014,1437" to="8518,1437" stroked="true" strokeweight=".72pt" strokecolor="#858585"/>
            <v:rect style="position:absolute;left:7339;top:907;width:674;height:3098" filled="true" fillcolor="#818181" stroked="false">
              <v:fill type="solid"/>
            </v:rect>
            <v:line style="position:absolute" from="2455,410" to="8518,410" stroked="true" strokeweight=".72pt" strokecolor="#858585"/>
            <v:line style="position:absolute" from="2455,4005" to="2455,410" stroked="true" strokeweight=".72pt" strokecolor="#858585"/>
            <v:line style="position:absolute" from="2393,4005" to="2455,4005" stroked="true" strokeweight=".72pt" strokecolor="#858585"/>
            <v:line style="position:absolute" from="2393,3492" to="2455,3492" stroked="true" strokeweight=".72pt" strokecolor="#858585"/>
            <v:line style="position:absolute" from="2393,2978" to="2455,2978" stroked="true" strokeweight=".72pt" strokecolor="#858585"/>
            <v:line style="position:absolute" from="2393,2464" to="2455,2464" stroked="true" strokeweight=".72pt" strokecolor="#858585"/>
            <v:line style="position:absolute" from="2393,1951" to="2455,1951" stroked="true" strokeweight=".72pt" strokecolor="#858585"/>
            <v:line style="position:absolute" from="2393,1437" to="2455,1437" stroked="true" strokeweight=".72pt" strokecolor="#858585"/>
            <v:line style="position:absolute" from="2393,924" to="2455,924" stroked="true" strokeweight=".72pt" strokecolor="#858585"/>
            <v:line style="position:absolute" from="2393,410" to="2455,410" stroked="true" strokeweight=".72pt" strokecolor="#858585"/>
            <v:line style="position:absolute" from="2455,4005" to="8518,4005" stroked="true" strokeweight=".72pt" strokecolor="#858585"/>
            <v:line style="position:absolute" from="2455,4005" to="2455,4070" stroked="true" strokeweight=".72pt" strokecolor="#858585"/>
            <v:line style="position:absolute" from="5486,4005" to="5486,4070" stroked="true" strokeweight=".72pt" strokecolor="#858585"/>
            <v:line style="position:absolute" from="8518,4005" to="8518,4070" stroked="true" strokeweight=".72pt" strokecolor="#858585"/>
            <v:rect style="position:absolute;left:8837;top:1929;width:110;height:110" filled="true" fillcolor="#606060" stroked="false">
              <v:fill type="solid"/>
            </v:rect>
            <v:rect style="position:absolute;left:8837;top:2292;width:110;height:110" filled="true" fillcolor="#b3b3b3" stroked="false">
              <v:fill type="solid"/>
            </v:rect>
            <v:rect style="position:absolute;left:8837;top:2654;width:110;height:110" filled="true" fillcolor="#818181" stroked="false">
              <v:fill type="solid"/>
            </v:rect>
            <v:rect style="position:absolute;left:1935;top:187;width:8375;height:4320" filled="false" stroked="true" strokeweight=".75pt" strokecolor="#858585"/>
            <v:shape style="position:absolute;left:4982;top:3492;width:1683;height:339" type="#_x0000_t202" filled="false" stroked="false">
              <v:textbox inset="0,0,0,0">
                <w:txbxContent>
                  <w:p>
                    <w:pPr>
                      <w:spacing w:before="59"/>
                      <w:ind w:left="0" w:right="228" w:firstLine="0"/>
                      <w:jc w:val="right"/>
                      <w:rPr>
                        <w:rFonts w:ascii="Calibri"/>
                        <w:sz w:val="20"/>
                      </w:rPr>
                    </w:pPr>
                    <w:r>
                      <w:rPr>
                        <w:rFonts w:ascii="Calibri"/>
                        <w:w w:val="95"/>
                        <w:sz w:val="20"/>
                      </w:rPr>
                      <w:t>3.4</w:t>
                    </w:r>
                  </w:p>
                </w:txbxContent>
              </v:textbox>
              <w10:wrap type="none"/>
            </v:shape>
            <v:shape style="position:absolute;left:7498;top:2376;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60.3</w:t>
                    </w:r>
                  </w:p>
                </w:txbxContent>
              </v:textbox>
              <w10:wrap type="none"/>
            </v:shape>
            <v:shape style="position:absolute;left:2066;top:317;width:202;height:1741"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70</w:t>
                    </w:r>
                  </w:p>
                  <w:p>
                    <w:pPr>
                      <w:spacing w:line="240" w:lineRule="auto" w:before="5"/>
                      <w:rPr>
                        <w:sz w:val="23"/>
                      </w:rPr>
                    </w:pPr>
                  </w:p>
                  <w:p>
                    <w:pPr>
                      <w:spacing w:before="0"/>
                      <w:ind w:left="0" w:right="-19" w:firstLine="0"/>
                      <w:jc w:val="left"/>
                      <w:rPr>
                        <w:rFonts w:ascii="Calibri"/>
                        <w:sz w:val="20"/>
                      </w:rPr>
                    </w:pPr>
                    <w:r>
                      <w:rPr>
                        <w:rFonts w:ascii="Calibri"/>
                        <w:spacing w:val="-1"/>
                        <w:sz w:val="20"/>
                      </w:rPr>
                      <w:t>60</w:t>
                    </w:r>
                  </w:p>
                  <w:p>
                    <w:pPr>
                      <w:spacing w:line="240" w:lineRule="auto" w:before="5"/>
                      <w:rPr>
                        <w:sz w:val="23"/>
                      </w:rPr>
                    </w:pPr>
                  </w:p>
                  <w:p>
                    <w:pPr>
                      <w:spacing w:before="0"/>
                      <w:ind w:left="0" w:right="-19" w:firstLine="0"/>
                      <w:jc w:val="left"/>
                      <w:rPr>
                        <w:rFonts w:ascii="Calibri"/>
                        <w:sz w:val="20"/>
                      </w:rPr>
                    </w:pPr>
                    <w:r>
                      <w:rPr>
                        <w:rFonts w:ascii="Calibri"/>
                        <w:spacing w:val="-1"/>
                        <w:sz w:val="20"/>
                      </w:rPr>
                      <w:t>50</w:t>
                    </w:r>
                  </w:p>
                  <w:p>
                    <w:pPr>
                      <w:spacing w:line="240" w:lineRule="auto" w:before="5"/>
                      <w:rPr>
                        <w:sz w:val="23"/>
                      </w:rPr>
                    </w:pPr>
                  </w:p>
                  <w:p>
                    <w:pPr>
                      <w:spacing w:line="240" w:lineRule="exact" w:before="0"/>
                      <w:ind w:left="0" w:right="-19" w:firstLine="0"/>
                      <w:jc w:val="left"/>
                      <w:rPr>
                        <w:rFonts w:ascii="Calibri"/>
                        <w:sz w:val="20"/>
                      </w:rPr>
                    </w:pPr>
                    <w:r>
                      <w:rPr>
                        <w:rFonts w:ascii="Calibri"/>
                        <w:spacing w:val="-1"/>
                        <w:sz w:val="20"/>
                      </w:rPr>
                      <w:t>40</w:t>
                    </w:r>
                  </w:p>
                </w:txbxContent>
              </v:textbox>
              <w10:wrap type="none"/>
            </v:shape>
            <v:shape style="position:absolute;left:8995;top:1894;width:236;height:200" type="#_x0000_t202" filled="false" stroked="false">
              <v:textbox inset="0,0,0,0">
                <w:txbxContent>
                  <w:p>
                    <w:pPr>
                      <w:spacing w:line="199" w:lineRule="exact" w:before="0"/>
                      <w:ind w:left="0" w:right="-19" w:firstLine="0"/>
                      <w:jc w:val="left"/>
                      <w:rPr>
                        <w:rFonts w:ascii="Calibri"/>
                        <w:sz w:val="20"/>
                      </w:rPr>
                    </w:pPr>
                    <w:r>
                      <w:rPr>
                        <w:rFonts w:ascii="Calibri"/>
                        <w:sz w:val="20"/>
                      </w:rPr>
                      <w:t>No</w:t>
                    </w:r>
                  </w:p>
                </w:txbxContent>
              </v:textbox>
              <w10:wrap type="none"/>
            </v:shape>
            <v:shape style="position:absolute;left:2066;top:237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4466;top:2319;width:354;height:200" type="#_x0000_t202" filled="false" stroked="false">
              <v:textbox inset="0,0,0,0">
                <w:txbxContent>
                  <w:p>
                    <w:pPr>
                      <w:spacing w:line="200" w:lineRule="exact" w:before="0"/>
                      <w:ind w:left="0" w:right="-17" w:firstLine="0"/>
                      <w:jc w:val="left"/>
                      <w:rPr>
                        <w:rFonts w:ascii="Calibri"/>
                        <w:sz w:val="20"/>
                      </w:rPr>
                    </w:pPr>
                    <w:r>
                      <w:rPr>
                        <w:rFonts w:ascii="Calibri"/>
                        <w:spacing w:val="-1"/>
                        <w:sz w:val="20"/>
                      </w:rPr>
                      <w:t>62.5</w:t>
                    </w:r>
                  </w:p>
                </w:txbxContent>
              </v:textbox>
              <w10:wrap type="none"/>
            </v:shape>
            <v:shape style="position:absolute;left:8995;top:2255;width:1113;height:561" type="#_x0000_t202" filled="false" stroked="false">
              <v:textbox inset="0,0,0,0">
                <w:txbxContent>
                  <w:p>
                    <w:pPr>
                      <w:spacing w:line="203" w:lineRule="exact" w:before="0"/>
                      <w:ind w:left="0" w:right="0" w:firstLine="0"/>
                      <w:jc w:val="left"/>
                      <w:rPr>
                        <w:rFonts w:ascii="Calibri" w:hAnsi="Calibri"/>
                        <w:sz w:val="20"/>
                      </w:rPr>
                    </w:pPr>
                    <w:r>
                      <w:rPr>
                        <w:rFonts w:ascii="Calibri" w:hAnsi="Calibri"/>
                        <w:sz w:val="20"/>
                      </w:rPr>
                      <w:t>Sí</w:t>
                    </w:r>
                  </w:p>
                  <w:p>
                    <w:pPr>
                      <w:spacing w:line="240" w:lineRule="exact" w:before="117"/>
                      <w:ind w:left="0" w:right="0" w:firstLine="0"/>
                      <w:jc w:val="left"/>
                      <w:rPr>
                        <w:rFonts w:ascii="Calibri"/>
                        <w:sz w:val="20"/>
                      </w:rPr>
                    </w:pPr>
                    <w:r>
                      <w:rPr>
                        <w:rFonts w:ascii="Calibri"/>
                        <w:w w:val="95"/>
                        <w:sz w:val="20"/>
                      </w:rPr>
                      <w:t>Posiblemente</w:t>
                    </w:r>
                  </w:p>
                </w:txbxContent>
              </v:textbox>
              <w10:wrap type="none"/>
            </v:shape>
            <v:shape style="position:absolute;left:2066;top:288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6825;top:2995;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36.2</w:t>
                    </w:r>
                  </w:p>
                </w:txbxContent>
              </v:textbox>
              <w10:wrap type="none"/>
            </v:shape>
            <v:shape style="position:absolute;left:2066;top:340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3869;top:328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3119;top:3604;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12.5</w:t>
                    </w:r>
                  </w:p>
                </w:txbxContent>
              </v:textbox>
              <w10:wrap type="none"/>
            </v:shape>
            <v:shape style="position:absolute;left:2167;top:3914;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3599;top:4175;width:742;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Hombres</w:t>
                    </w:r>
                  </w:p>
                </w:txbxContent>
              </v:textbox>
              <w10:wrap type="none"/>
            </v:shape>
            <v:shape style="position:absolute;left:6666;top:4175;width:671;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Mujeres</w:t>
                    </w:r>
                  </w:p>
                </w:txbxContent>
              </v:textbox>
              <w10:wrap type="none"/>
            </v:shape>
            <w10:wrap type="topAndBottom"/>
          </v:group>
        </w:pict>
      </w:r>
    </w:p>
    <w:p>
      <w:pPr>
        <w:spacing w:before="170"/>
        <w:ind w:left="134" w:right="154" w:firstLine="0"/>
        <w:jc w:val="center"/>
        <w:rPr>
          <w:sz w:val="20"/>
        </w:rPr>
      </w:pPr>
      <w:r>
        <w:rPr>
          <w:sz w:val="20"/>
        </w:rPr>
        <w:t>(Miranda, 2014).</w:t>
      </w:r>
    </w:p>
    <w:p>
      <w:pPr>
        <w:pStyle w:val="BodyText"/>
        <w:rPr>
          <w:sz w:val="20"/>
        </w:rPr>
      </w:pPr>
    </w:p>
    <w:p>
      <w:pPr>
        <w:pStyle w:val="BodyText"/>
        <w:rPr>
          <w:sz w:val="20"/>
        </w:rPr>
      </w:pPr>
    </w:p>
    <w:p>
      <w:pPr>
        <w:pStyle w:val="BodyText"/>
        <w:rPr>
          <w:sz w:val="20"/>
        </w:rPr>
      </w:pPr>
    </w:p>
    <w:p>
      <w:pPr>
        <w:pStyle w:val="BodyText"/>
        <w:spacing w:before="4"/>
        <w:rPr>
          <w:sz w:val="27"/>
        </w:rPr>
      </w:pPr>
    </w:p>
    <w:p>
      <w:pPr>
        <w:pStyle w:val="BodyText"/>
        <w:spacing w:line="360" w:lineRule="auto"/>
        <w:ind w:left="102" w:right="124"/>
        <w:jc w:val="both"/>
      </w:pPr>
      <w:r>
        <w:rPr/>
        <w:t>La mayoría de hombres y mujeres (62.5% y 60.3%, respectivamente) manifestaron que probablemente considerarían emplear la Perspectiva de Género en su futuro desarrollo profesional, sin embargo, no realizaron ninguna aportación.</w:t>
      </w:r>
    </w:p>
    <w:p>
      <w:pPr>
        <w:pStyle w:val="BodyText"/>
        <w:spacing w:line="360" w:lineRule="auto" w:before="204"/>
        <w:ind w:left="102" w:right="124"/>
        <w:jc w:val="both"/>
      </w:pPr>
      <w:r>
        <w:rPr/>
        <w:t>El dato anterior puede deberse al hecho de que el estereotipo de género utilizado por los medios de comunicación masiva, al encontrarse ya normalizado, es una herramienta fundamental para el diseño de campañas de consumo.</w:t>
      </w:r>
    </w:p>
    <w:p>
      <w:pPr>
        <w:pStyle w:val="BodyText"/>
      </w:pPr>
    </w:p>
    <w:p>
      <w:pPr>
        <w:pStyle w:val="BodyText"/>
      </w:pPr>
    </w:p>
    <w:p>
      <w:pPr>
        <w:pStyle w:val="BodyText"/>
        <w:rPr>
          <w:sz w:val="23"/>
        </w:rPr>
      </w:pPr>
    </w:p>
    <w:p>
      <w:pPr>
        <w:pStyle w:val="Heading1"/>
        <w:jc w:val="both"/>
      </w:pPr>
      <w:r>
        <w:rPr/>
        <w:t>Pregunta 10.1.</w:t>
      </w:r>
    </w:p>
    <w:p>
      <w:pPr>
        <w:pStyle w:val="BodyText"/>
        <w:spacing w:before="4"/>
        <w:rPr>
          <w:b/>
          <w:sz w:val="29"/>
        </w:rPr>
      </w:pPr>
    </w:p>
    <w:p>
      <w:pPr>
        <w:pStyle w:val="BodyText"/>
        <w:spacing w:line="360" w:lineRule="auto" w:before="1"/>
        <w:ind w:left="102" w:right="119"/>
        <w:jc w:val="both"/>
      </w:pPr>
      <w:r>
        <w:rPr>
          <w:u w:val="single"/>
        </w:rPr>
        <w:t>Tabla 10.1.1 </w:t>
      </w:r>
      <w:r>
        <w:rPr/>
        <w:t>Posibles acciones que el estudiantado (que respondió afirmativamente la pregunta 10) realizaría con Perspectiva de Género en su futura labor como profesionales de la comunicación.</w:t>
      </w:r>
    </w:p>
    <w:p>
      <w:pPr>
        <w:spacing w:after="0" w:line="360" w:lineRule="auto"/>
        <w:jc w:val="both"/>
        <w:sectPr>
          <w:pgSz w:w="12240" w:h="15840"/>
          <w:pgMar w:header="0" w:footer="1032" w:top="1360" w:bottom="1220" w:left="1600" w:right="1580"/>
        </w:sectPr>
      </w:pPr>
    </w:p>
    <w:p>
      <w:pPr>
        <w:pStyle w:val="BodyText"/>
        <w:ind w:left="306"/>
        <w:rPr>
          <w:sz w:val="20"/>
        </w:rPr>
      </w:pPr>
      <w:r>
        <w:rPr>
          <w:sz w:val="20"/>
        </w:rPr>
        <w:pict>
          <v:group style="width:421.55pt;height:164.55pt;mso-position-horizontal-relative:char;mso-position-vertical-relative:line" coordorigin="0,0" coordsize="8431,3291">
            <v:rect style="position:absolute;left:5;top:7;width:3840;height:1071" filled="true" fillcolor="#f1f1f1" stroked="false">
              <v:fill type="solid"/>
            </v:rect>
            <v:rect style="position:absolute;left:96;top:872;width:3658;height:206" filled="true" fillcolor="#f1f1f1" stroked="false">
              <v:fill type="solid"/>
            </v:rect>
            <v:rect style="position:absolute;left:3850;top:7;width:4575;height:346" filled="true" fillcolor="#f1f1f1" stroked="false">
              <v:fill type="solid"/>
            </v:rect>
            <v:rect style="position:absolute;left:3939;top:77;width:4395;height:207" filled="true" fillcolor="#f1f1f1" stroked="false">
              <v:fill type="solid"/>
            </v:rect>
            <v:line style="position:absolute" from="5,5" to="3845,5" stroked="true" strokeweight=".24001pt" strokecolor="#000000"/>
            <v:line style="position:absolute" from="3850,5" to="8426,5" stroked="true" strokeweight=".24001pt" strokecolor="#000000"/>
            <v:rect style="position:absolute;left:3850;top:382;width:2285;height:346" filled="true" fillcolor="#f1f1f1" stroked="false">
              <v:fill type="solid"/>
            </v:rect>
            <v:rect style="position:absolute;left:3939;top:452;width:2105;height:206" filled="true" fillcolor="#f1f1f1" stroked="false">
              <v:fill type="solid"/>
            </v:rect>
            <v:rect style="position:absolute;left:6138;top:382;width:2288;height:346" filled="true" fillcolor="#f1f1f1" stroked="false">
              <v:fill type="solid"/>
            </v:rect>
            <v:rect style="position:absolute;left:6229;top:452;width:2105;height:206" filled="true" fillcolor="#f1f1f1" stroked="false">
              <v:fill type="solid"/>
            </v:rect>
            <v:line style="position:absolute" from="3850,356" to="6135,356" stroked="true" strokeweight=".24pt" strokecolor="#000000"/>
            <v:rect style="position:absolute;left:3850;top:358;width:2285;height:26" filled="true" fillcolor="#f1f1f1" stroked="false">
              <v:fill type="solid"/>
            </v:rect>
            <v:line style="position:absolute" from="6140,356" to="8425,356" stroked="true" strokeweight=".24pt" strokecolor="#000000"/>
            <v:rect style="position:absolute;left:6140;top:358;width:2285;height:26" filled="true" fillcolor="#f1f1f1" stroked="false">
              <v:fill type="solid"/>
            </v:rect>
            <v:rect style="position:absolute;left:3850;top:733;width:1076;height:346" filled="true" fillcolor="#f1f1f1" stroked="false">
              <v:fill type="solid"/>
            </v:rect>
            <v:rect style="position:absolute;left:3939;top:802;width:896;height:206" filled="true" fillcolor="#f1f1f1" stroked="false">
              <v:fill type="solid"/>
            </v:rect>
            <v:rect style="position:absolute;left:4931;top:733;width:1205;height:346" filled="true" fillcolor="#f1f1f1" stroked="false">
              <v:fill type="solid"/>
            </v:rect>
            <v:rect style="position:absolute;left:5019;top:802;width:1025;height:206" filled="true" fillcolor="#f1f1f1" stroked="false">
              <v:fill type="solid"/>
            </v:rect>
            <v:rect style="position:absolute;left:6138;top:733;width:1078;height:346" filled="true" fillcolor="#f1f1f1" stroked="false">
              <v:fill type="solid"/>
            </v:rect>
            <v:rect style="position:absolute;left:6229;top:802;width:896;height:206" filled="true" fillcolor="#f1f1f1" stroked="false">
              <v:fill type="solid"/>
            </v:rect>
            <v:rect style="position:absolute;left:7218;top:733;width:1207;height:346" filled="true" fillcolor="#f1f1f1" stroked="false">
              <v:fill type="solid"/>
            </v:rect>
            <v:rect style="position:absolute;left:7310;top:802;width:1025;height:206" filled="true" fillcolor="#f1f1f1" stroked="false">
              <v:fill type="solid"/>
            </v:rect>
            <v:line style="position:absolute" from="3850,730" to="4926,730" stroked="true" strokeweight=".24001pt" strokecolor="#000000"/>
            <v:line style="position:absolute" from="4931,730" to="6135,730" stroked="true" strokeweight=".24001pt" strokecolor="#000000"/>
            <v:line style="position:absolute" from="6140,730" to="7216,730" stroked="true" strokeweight=".24001pt" strokecolor="#000000"/>
            <v:line style="position:absolute" from="7221,730" to="8426,730" stroked="true" strokeweight=".24001pt" strokecolor="#000000"/>
            <v:rect style="position:absolute;left:5;top:1083;width:1582;height:2201" filled="true" fillcolor="#f1f1f1" stroked="false">
              <v:fill type="solid"/>
            </v:rect>
            <v:rect style="position:absolute;left:96;top:1083;width:1397;height:206" filled="true" fillcolor="#f1f1f1" stroked="false">
              <v:fill type="solid"/>
            </v:rect>
            <v:rect style="position:absolute;left:1586;top:1083;width:2259;height:962" filled="true" fillcolor="#f1f1f1" stroked="false">
              <v:fill type="solid"/>
            </v:rect>
            <v:rect style="position:absolute;left:1680;top:1083;width:2074;height:206" filled="true" fillcolor="#f1f1f1" stroked="false">
              <v:fill type="solid"/>
            </v:rect>
            <v:rect style="position:absolute;left:1680;top:1289;width:2074;height:206" filled="true" fillcolor="#f1f1f1" stroked="false">
              <v:fill type="solid"/>
            </v:rect>
            <v:rect style="position:absolute;left:1680;top:1496;width:2074;height:209" filled="true" fillcolor="#f1f1f1" stroked="false">
              <v:fill type="solid"/>
            </v:rect>
            <v:rect style="position:absolute;left:1680;top:1705;width:2074;height:206" filled="true" fillcolor="#f1f1f1" stroked="false">
              <v:fill type="solid"/>
            </v:rect>
            <v:line style="position:absolute" from="5,1081" to="1587,1081" stroked="true" strokeweight=".24pt" strokecolor="#000000"/>
            <v:line style="position:absolute" from="1586,1081" to="1591,1081" stroked="true" strokeweight=".24pt" strokecolor="#000000"/>
            <v:line style="position:absolute" from="1591,1081" to="3845,1081" stroked="true" strokeweight=".24pt" strokecolor="#000000"/>
            <v:line style="position:absolute" from="3850,1081" to="4926,1081" stroked="true" strokeweight=".24pt" strokecolor="#000000"/>
            <v:line style="position:absolute" from="4931,1081" to="6135,1081" stroked="true" strokeweight=".24pt" strokecolor="#000000"/>
            <v:line style="position:absolute" from="6140,1081" to="7216,1081" stroked="true" strokeweight=".24pt" strokecolor="#000000"/>
            <v:line style="position:absolute" from="7221,1081" to="8426,1081" stroked="true" strokeweight=".24pt" strokecolor="#000000"/>
            <v:rect style="position:absolute;left:1586;top:2045;width:2259;height:965" filled="true" fillcolor="#f1f1f1" stroked="false">
              <v:fill type="solid"/>
            </v:rect>
            <v:rect style="position:absolute;left:1680;top:2045;width:2074;height:209" filled="true" fillcolor="#f1f1f1" stroked="false">
              <v:fill type="solid"/>
            </v:rect>
            <v:rect style="position:absolute;left:1680;top:2254;width:2074;height:206" filled="true" fillcolor="#f1f1f1" stroked="false">
              <v:fill type="solid"/>
            </v:rect>
            <v:rect style="position:absolute;left:1680;top:2461;width:2074;height:206" filled="true" fillcolor="#f1f1f1" stroked="false">
              <v:fill type="solid"/>
            </v:rect>
            <v:rect style="position:absolute;left:1680;top:2667;width:2074;height:206" filled="true" fillcolor="#f1f1f1" stroked="false">
              <v:fill type="solid"/>
            </v:rect>
            <v:rect style="position:absolute;left:1586;top:3010;width:2259;height:274" filled="true" fillcolor="#f1f1f1" stroked="false">
              <v:fill type="solid"/>
            </v:rect>
            <v:rect style="position:absolute;left:1680;top:3010;width:2074;height:206" filled="true" fillcolor="#f1f1f1" stroked="false">
              <v:fill type="solid"/>
            </v:rect>
            <v:line style="position:absolute" from="3,3" to="3,3289" stroked="true" strokeweight=".24pt" strokecolor="#000000"/>
            <v:line style="position:absolute" from="3848,3" to="3848,3289" stroked="true" strokeweight=".24002pt" strokecolor="#000000"/>
            <v:line style="position:absolute" from="4928,728" to="4928,3289" stroked="true" strokeweight=".23999pt" strokecolor="#000000"/>
            <v:line style="position:absolute" from="6138,353" to="6138,3289" stroked="true" strokeweight=".24002pt" strokecolor="#000000"/>
            <v:line style="position:absolute" from="7218,728" to="7218,3289" stroked="true" strokeweight=".23999pt" strokecolor="#000000"/>
            <v:line style="position:absolute" from="8428,3" to="8428,3289" stroked="true" strokeweight=".23999pt" strokecolor="#000000"/>
            <v:line style="position:absolute" from="5,3286" to="10,3286" stroked="true" strokeweight=".23999pt" strokecolor="#000000"/>
            <v:line style="position:absolute" from="10,3286" to="1587,3286" stroked="true" strokeweight=".23999pt" strokecolor="#000000"/>
            <v:line style="position:absolute" from="1586,3286" to="1591,3286" stroked="true" strokeweight=".23999pt" strokecolor="#000000"/>
            <v:line style="position:absolute" from="1591,3286" to="3845,3286" stroked="true" strokeweight=".23999pt" strokecolor="#000000"/>
            <v:line style="position:absolute" from="3850,3286" to="4926,3286" stroked="true" strokeweight=".23999pt" strokecolor="#000000"/>
            <v:line style="position:absolute" from="4931,3286" to="6135,3286" stroked="true" strokeweight=".23999pt" strokecolor="#000000"/>
            <v:line style="position:absolute" from="6140,3286" to="7216,3286" stroked="true" strokeweight=".23999pt" strokecolor="#000000"/>
            <v:line style="position:absolute" from="7221,3286" to="8426,3286" stroked="true" strokeweight=".23999pt" strokecolor="#000000"/>
            <v:shape style="position:absolute;left:5886;top:99;width:498;height:180" type="#_x0000_t202" filled="false" stroked="false">
              <v:textbox inset="0,0,0,0">
                <w:txbxContent>
                  <w:p>
                    <w:pPr>
                      <w:spacing w:line="180" w:lineRule="exact" w:before="0"/>
                      <w:ind w:left="0" w:right="-19" w:firstLine="0"/>
                      <w:jc w:val="left"/>
                      <w:rPr>
                        <w:sz w:val="18"/>
                      </w:rPr>
                    </w:pPr>
                    <w:r>
                      <w:rPr>
                        <w:spacing w:val="-1"/>
                        <w:sz w:val="18"/>
                      </w:rPr>
                      <w:t>SEXO</w:t>
                    </w:r>
                  </w:p>
                </w:txbxContent>
              </v:textbox>
              <w10:wrap type="none"/>
            </v:shape>
            <v:shape style="position:absolute;left:3939;top:474;width:1671;height:531" type="#_x0000_t202" filled="false" stroked="false">
              <v:textbox inset="0,0,0,0">
                <w:txbxContent>
                  <w:p>
                    <w:pPr>
                      <w:spacing w:line="184" w:lineRule="exact" w:before="0"/>
                      <w:ind w:left="686" w:right="0" w:firstLine="0"/>
                      <w:jc w:val="left"/>
                      <w:rPr>
                        <w:sz w:val="18"/>
                      </w:rPr>
                    </w:pPr>
                    <w:r>
                      <w:rPr>
                        <w:sz w:val="18"/>
                      </w:rPr>
                      <w:t>Hombres</w:t>
                    </w:r>
                  </w:p>
                  <w:p>
                    <w:pPr>
                      <w:tabs>
                        <w:tab w:pos="1509" w:val="left" w:leader="none"/>
                      </w:tabs>
                      <w:spacing w:line="203" w:lineRule="exact" w:before="143"/>
                      <w:ind w:left="0" w:right="0" w:firstLine="0"/>
                      <w:jc w:val="left"/>
                      <w:rPr>
                        <w:sz w:val="18"/>
                      </w:rPr>
                    </w:pPr>
                    <w:r>
                      <w:rPr>
                        <w:sz w:val="18"/>
                      </w:rPr>
                      <w:t>Frecuencia</w:t>
                      <w:tab/>
                      <w:t>%</w:t>
                    </w:r>
                  </w:p>
                </w:txbxContent>
              </v:textbox>
              <w10:wrap type="none"/>
            </v:shape>
            <v:shape style="position:absolute;left:6229;top:474;width:1673;height:531" type="#_x0000_t202" filled="false" stroked="false">
              <v:textbox inset="0,0,0,0">
                <w:txbxContent>
                  <w:p>
                    <w:pPr>
                      <w:spacing w:line="184" w:lineRule="exact" w:before="0"/>
                      <w:ind w:left="732" w:right="0" w:firstLine="0"/>
                      <w:jc w:val="left"/>
                      <w:rPr>
                        <w:sz w:val="18"/>
                      </w:rPr>
                    </w:pPr>
                    <w:r>
                      <w:rPr>
                        <w:sz w:val="18"/>
                      </w:rPr>
                      <w:t>Mujeres</w:t>
                    </w:r>
                  </w:p>
                  <w:p>
                    <w:pPr>
                      <w:tabs>
                        <w:tab w:pos="1512" w:val="left" w:leader="none"/>
                      </w:tabs>
                      <w:spacing w:line="203" w:lineRule="exact" w:before="143"/>
                      <w:ind w:left="0" w:right="0" w:firstLine="0"/>
                      <w:jc w:val="left"/>
                      <w:rPr>
                        <w:sz w:val="18"/>
                      </w:rPr>
                    </w:pPr>
                    <w:r>
                      <w:rPr>
                        <w:sz w:val="18"/>
                      </w:rPr>
                      <w:t>Frecuencia</w:t>
                      <w:tab/>
                      <w:t>%</w:t>
                    </w:r>
                  </w:p>
                </w:txbxContent>
              </v:textbox>
              <w10:wrap type="none"/>
            </v:shape>
            <v:shape style="position:absolute;left:1680;top:1105;width:2032;height:2108" type="#_x0000_t202" filled="false" stroked="false">
              <v:textbox inset="0,0,0,0">
                <w:txbxContent>
                  <w:p>
                    <w:pPr>
                      <w:spacing w:line="184" w:lineRule="exact" w:before="0"/>
                      <w:ind w:left="0" w:right="-20" w:firstLine="0"/>
                      <w:jc w:val="left"/>
                      <w:rPr>
                        <w:sz w:val="18"/>
                      </w:rPr>
                    </w:pPr>
                    <w:r>
                      <w:rPr>
                        <w:sz w:val="18"/>
                      </w:rPr>
                      <w:t>Relativo a la realización</w:t>
                    </w:r>
                  </w:p>
                  <w:p>
                    <w:pPr>
                      <w:spacing w:before="0"/>
                      <w:ind w:left="0" w:right="-20" w:firstLine="0"/>
                      <w:jc w:val="left"/>
                      <w:rPr>
                        <w:sz w:val="18"/>
                      </w:rPr>
                    </w:pPr>
                    <w:r>
                      <w:rPr>
                        <w:sz w:val="18"/>
                      </w:rPr>
                      <w:t>de campañas de fomento de la perspectiva de género.</w:t>
                    </w:r>
                  </w:p>
                  <w:p>
                    <w:pPr>
                      <w:spacing w:before="134"/>
                      <w:ind w:left="0" w:right="150" w:firstLine="0"/>
                      <w:jc w:val="left"/>
                      <w:rPr>
                        <w:sz w:val="18"/>
                      </w:rPr>
                    </w:pPr>
                    <w:r>
                      <w:rPr>
                        <w:sz w:val="18"/>
                      </w:rPr>
                      <w:t>Relativo a la aplicación de la perspectiva de género en las prácticas cotidianas.</w:t>
                    </w:r>
                  </w:p>
                  <w:p>
                    <w:pPr>
                      <w:spacing w:line="203" w:lineRule="exact" w:before="136"/>
                      <w:ind w:left="0" w:right="-20" w:firstLine="0"/>
                      <w:jc w:val="left"/>
                      <w:rPr>
                        <w:sz w:val="18"/>
                      </w:rPr>
                    </w:pPr>
                    <w:r>
                      <w:rPr>
                        <w:sz w:val="18"/>
                      </w:rPr>
                      <w:t>Otra.</w:t>
                    </w:r>
                  </w:p>
                </w:txbxContent>
              </v:textbox>
              <w10:wrap type="none"/>
            </v:shape>
            <v:shape style="position:absolute;left:4335;top:1484;width:101;height:180" type="#_x0000_t202" filled="false" stroked="false">
              <v:textbox inset="0,0,0,0">
                <w:txbxContent>
                  <w:p>
                    <w:pPr>
                      <w:spacing w:line="180" w:lineRule="exact" w:before="0"/>
                      <w:ind w:left="0" w:right="0" w:firstLine="0"/>
                      <w:jc w:val="left"/>
                      <w:rPr>
                        <w:sz w:val="18"/>
                      </w:rPr>
                    </w:pPr>
                    <w:r>
                      <w:rPr>
                        <w:w w:val="99"/>
                        <w:sz w:val="18"/>
                      </w:rPr>
                      <w:t>3</w:t>
                    </w:r>
                  </w:p>
                </w:txbxContent>
              </v:textbox>
              <w10:wrap type="none"/>
            </v:shape>
            <v:shape style="position:absolute;left:5355;top:1484;width:352;height:180" type="#_x0000_t202" filled="false" stroked="false">
              <v:textbox inset="0,0,0,0">
                <w:txbxContent>
                  <w:p>
                    <w:pPr>
                      <w:spacing w:line="180" w:lineRule="exact" w:before="0"/>
                      <w:ind w:left="0" w:right="-19" w:firstLine="0"/>
                      <w:jc w:val="left"/>
                      <w:rPr>
                        <w:sz w:val="18"/>
                      </w:rPr>
                    </w:pPr>
                    <w:r>
                      <w:rPr>
                        <w:sz w:val="18"/>
                      </w:rPr>
                      <w:t>50.0</w:t>
                    </w:r>
                  </w:p>
                </w:txbxContent>
              </v:textbox>
              <w10:wrap type="none"/>
            </v:shape>
            <v:shape style="position:absolute;left:6625;top:1484;width:101;height:180" type="#_x0000_t202" filled="false" stroked="false">
              <v:textbox inset="0,0,0,0">
                <w:txbxContent>
                  <w:p>
                    <w:pPr>
                      <w:spacing w:line="180" w:lineRule="exact" w:before="0"/>
                      <w:ind w:left="0" w:right="0" w:firstLine="0"/>
                      <w:jc w:val="left"/>
                      <w:rPr>
                        <w:sz w:val="18"/>
                      </w:rPr>
                    </w:pPr>
                    <w:r>
                      <w:rPr>
                        <w:w w:val="99"/>
                        <w:sz w:val="18"/>
                      </w:rPr>
                      <w:t>7</w:t>
                    </w:r>
                  </w:p>
                </w:txbxContent>
              </v:textbox>
              <w10:wrap type="none"/>
            </v:shape>
            <v:shape style="position:absolute;left:7646;top:1484;width:352;height:180" type="#_x0000_t202" filled="false" stroked="false">
              <v:textbox inset="0,0,0,0">
                <w:txbxContent>
                  <w:p>
                    <w:pPr>
                      <w:spacing w:line="180" w:lineRule="exact" w:before="0"/>
                      <w:ind w:left="0" w:right="-19" w:firstLine="0"/>
                      <w:jc w:val="left"/>
                      <w:rPr>
                        <w:sz w:val="18"/>
                      </w:rPr>
                    </w:pPr>
                    <w:r>
                      <w:rPr>
                        <w:sz w:val="18"/>
                      </w:rPr>
                      <w:t>33.3</w:t>
                    </w:r>
                  </w:p>
                </w:txbxContent>
              </v:textbox>
              <w10:wrap type="none"/>
            </v:shape>
            <v:shape style="position:absolute;left:4335;top:2447;width:101;height:180" type="#_x0000_t202" filled="false" stroked="false">
              <v:textbox inset="0,0,0,0">
                <w:txbxContent>
                  <w:p>
                    <w:pPr>
                      <w:spacing w:line="180" w:lineRule="exact" w:before="0"/>
                      <w:ind w:left="0" w:right="0" w:firstLine="0"/>
                      <w:jc w:val="left"/>
                      <w:rPr>
                        <w:sz w:val="18"/>
                      </w:rPr>
                    </w:pPr>
                    <w:r>
                      <w:rPr>
                        <w:w w:val="99"/>
                        <w:sz w:val="18"/>
                      </w:rPr>
                      <w:t>3</w:t>
                    </w:r>
                  </w:p>
                </w:txbxContent>
              </v:textbox>
              <w10:wrap type="none"/>
            </v:shape>
            <v:shape style="position:absolute;left:5355;top:2447;width:352;height:180" type="#_x0000_t202" filled="false" stroked="false">
              <v:textbox inset="0,0,0,0">
                <w:txbxContent>
                  <w:p>
                    <w:pPr>
                      <w:spacing w:line="180" w:lineRule="exact" w:before="0"/>
                      <w:ind w:left="0" w:right="-19" w:firstLine="0"/>
                      <w:jc w:val="left"/>
                      <w:rPr>
                        <w:sz w:val="18"/>
                      </w:rPr>
                    </w:pPr>
                    <w:r>
                      <w:rPr>
                        <w:sz w:val="18"/>
                      </w:rPr>
                      <w:t>50.0</w:t>
                    </w:r>
                  </w:p>
                </w:txbxContent>
              </v:textbox>
              <w10:wrap type="none"/>
            </v:shape>
            <v:shape style="position:absolute;left:6625;top:2447;width:101;height:180" type="#_x0000_t202" filled="false" stroked="false">
              <v:textbox inset="0,0,0,0">
                <w:txbxContent>
                  <w:p>
                    <w:pPr>
                      <w:spacing w:line="180" w:lineRule="exact" w:before="0"/>
                      <w:ind w:left="0" w:right="0" w:firstLine="0"/>
                      <w:jc w:val="left"/>
                      <w:rPr>
                        <w:sz w:val="18"/>
                      </w:rPr>
                    </w:pPr>
                    <w:r>
                      <w:rPr>
                        <w:w w:val="99"/>
                        <w:sz w:val="18"/>
                      </w:rPr>
                      <w:t>8</w:t>
                    </w:r>
                  </w:p>
                </w:txbxContent>
              </v:textbox>
              <w10:wrap type="none"/>
            </v:shape>
            <v:shape style="position:absolute;left:7646;top:2447;width:352;height:180" type="#_x0000_t202" filled="false" stroked="false">
              <v:textbox inset="0,0,0,0">
                <w:txbxContent>
                  <w:p>
                    <w:pPr>
                      <w:spacing w:line="180" w:lineRule="exact" w:before="0"/>
                      <w:ind w:left="0" w:right="-19" w:firstLine="0"/>
                      <w:jc w:val="left"/>
                      <w:rPr>
                        <w:sz w:val="18"/>
                      </w:rPr>
                    </w:pPr>
                    <w:r>
                      <w:rPr>
                        <w:sz w:val="18"/>
                      </w:rPr>
                      <w:t>38.1</w:t>
                    </w:r>
                  </w:p>
                </w:txbxContent>
              </v:textbox>
              <w10:wrap type="none"/>
            </v:shape>
            <v:shape style="position:absolute;left:4335;top:3066;width:101;height:180" type="#_x0000_t202" filled="false" stroked="false">
              <v:textbox inset="0,0,0,0">
                <w:txbxContent>
                  <w:p>
                    <w:pPr>
                      <w:spacing w:line="180" w:lineRule="exact" w:before="0"/>
                      <w:ind w:left="0" w:right="0" w:firstLine="0"/>
                      <w:jc w:val="left"/>
                      <w:rPr>
                        <w:sz w:val="18"/>
                      </w:rPr>
                    </w:pPr>
                    <w:r>
                      <w:rPr>
                        <w:w w:val="99"/>
                        <w:sz w:val="18"/>
                      </w:rPr>
                      <w:t>0</w:t>
                    </w:r>
                  </w:p>
                </w:txbxContent>
              </v:textbox>
              <w10:wrap type="none"/>
            </v:shape>
            <v:shape style="position:absolute;left:5480;top:3066;width:101;height:180" type="#_x0000_t202" filled="false" stroked="false">
              <v:textbox inset="0,0,0,0">
                <w:txbxContent>
                  <w:p>
                    <w:pPr>
                      <w:spacing w:line="180" w:lineRule="exact" w:before="0"/>
                      <w:ind w:left="0" w:right="0" w:firstLine="0"/>
                      <w:jc w:val="left"/>
                      <w:rPr>
                        <w:sz w:val="18"/>
                      </w:rPr>
                    </w:pPr>
                    <w:r>
                      <w:rPr>
                        <w:w w:val="99"/>
                        <w:sz w:val="18"/>
                      </w:rPr>
                      <w:t>0</w:t>
                    </w:r>
                  </w:p>
                </w:txbxContent>
              </v:textbox>
              <w10:wrap type="none"/>
            </v:shape>
            <v:shape style="position:absolute;left:6625;top:3066;width:101;height:180" type="#_x0000_t202" filled="false" stroked="false">
              <v:textbox inset="0,0,0,0">
                <w:txbxContent>
                  <w:p>
                    <w:pPr>
                      <w:spacing w:line="180" w:lineRule="exact" w:before="0"/>
                      <w:ind w:left="0" w:right="0" w:firstLine="0"/>
                      <w:jc w:val="left"/>
                      <w:rPr>
                        <w:sz w:val="18"/>
                      </w:rPr>
                    </w:pPr>
                    <w:r>
                      <w:rPr>
                        <w:w w:val="99"/>
                        <w:sz w:val="18"/>
                      </w:rPr>
                      <w:t>6</w:t>
                    </w:r>
                  </w:p>
                </w:txbxContent>
              </v:textbox>
              <w10:wrap type="none"/>
            </v:shape>
            <v:shape style="position:absolute;left:7646;top:3066;width:352;height:180" type="#_x0000_t202" filled="false" stroked="false">
              <v:textbox inset="0,0,0,0">
                <w:txbxContent>
                  <w:p>
                    <w:pPr>
                      <w:spacing w:line="180" w:lineRule="exact" w:before="0"/>
                      <w:ind w:left="0" w:right="-19" w:firstLine="0"/>
                      <w:jc w:val="left"/>
                      <w:rPr>
                        <w:sz w:val="18"/>
                      </w:rPr>
                    </w:pPr>
                    <w:r>
                      <w:rPr>
                        <w:sz w:val="18"/>
                      </w:rPr>
                      <w:t>28.6</w:t>
                    </w:r>
                  </w:p>
                </w:txbxContent>
              </v:textbox>
              <w10:wrap type="none"/>
            </v:shape>
          </v:group>
        </w:pict>
      </w:r>
      <w:r>
        <w:rPr>
          <w:sz w:val="20"/>
        </w:rPr>
      </w:r>
    </w:p>
    <w:p>
      <w:pPr>
        <w:pStyle w:val="BodyText"/>
        <w:spacing w:before="4"/>
        <w:rPr>
          <w:sz w:val="7"/>
        </w:rPr>
      </w:pPr>
    </w:p>
    <w:p>
      <w:pPr>
        <w:spacing w:before="74"/>
        <w:ind w:left="134" w:right="154" w:firstLine="0"/>
        <w:jc w:val="center"/>
        <w:rPr>
          <w:sz w:val="20"/>
        </w:rPr>
      </w:pPr>
      <w:r>
        <w:rPr>
          <w:sz w:val="20"/>
        </w:rPr>
        <w:t>(Miranda, 2014).</w:t>
      </w:r>
    </w:p>
    <w:p>
      <w:pPr>
        <w:pStyle w:val="BodyText"/>
        <w:rPr>
          <w:sz w:val="20"/>
        </w:rPr>
      </w:pPr>
    </w:p>
    <w:p>
      <w:pPr>
        <w:pStyle w:val="BodyText"/>
        <w:rPr>
          <w:sz w:val="20"/>
        </w:rPr>
      </w:pPr>
    </w:p>
    <w:p>
      <w:pPr>
        <w:pStyle w:val="BodyText"/>
        <w:spacing w:before="6"/>
        <w:rPr>
          <w:sz w:val="23"/>
        </w:rPr>
      </w:pPr>
    </w:p>
    <w:p>
      <w:pPr>
        <w:pStyle w:val="BodyText"/>
        <w:spacing w:line="360" w:lineRule="auto"/>
        <w:ind w:left="102" w:right="118"/>
        <w:jc w:val="both"/>
      </w:pPr>
      <w:r>
        <w:rPr>
          <w:u w:val="single"/>
        </w:rPr>
        <w:t>Gráfica 10.1.1 </w:t>
      </w:r>
      <w:r>
        <w:rPr/>
        <w:t>Posibles acciones que el estudiantado (que respondió afirmativamente la pregunta 10) realizaría con Perspectiva de Género en su futura labor como profesionales de la comunicación.</w:t>
      </w:r>
    </w:p>
    <w:p>
      <w:pPr>
        <w:pStyle w:val="BodyText"/>
        <w:rPr>
          <w:sz w:val="20"/>
        </w:rPr>
      </w:pPr>
    </w:p>
    <w:p>
      <w:pPr>
        <w:pStyle w:val="BodyText"/>
        <w:spacing w:before="8"/>
        <w:rPr>
          <w:sz w:val="11"/>
        </w:rPr>
      </w:pPr>
      <w:r>
        <w:rPr/>
        <w:pict>
          <v:group style="position:absolute;margin-left:135.395004pt;margin-top:8.689878pt;width:340.8pt;height:191.6pt;mso-position-horizontal-relative:page;mso-position-vertical-relative:paragraph;z-index:5176;mso-wrap-distance-left:0;mso-wrap-distance-right:0" coordorigin="2708,174" coordsize="6816,3832">
            <v:rect style="position:absolute;left:3715;top:717;width:449;height:1560" filled="true" fillcolor="#4571a7" stroked="false">
              <v:fill type="solid"/>
            </v:rect>
            <v:rect style="position:absolute;left:4164;top:1238;width:449;height:1039" filled="true" fillcolor="#92a9cf" stroked="false">
              <v:fill type="solid"/>
            </v:rect>
            <v:rect style="position:absolute;left:5287;top:717;width:449;height:1560" filled="true" fillcolor="#4571a7" stroked="false">
              <v:fill type="solid"/>
            </v:rect>
            <v:rect style="position:absolute;left:5736;top:1086;width:451;height:1190" filled="true" fillcolor="#92a9cf" stroked="false">
              <v:fill type="solid"/>
            </v:rect>
            <v:rect style="position:absolute;left:7310;top:1384;width:449;height:893" filled="true" fillcolor="#92a9cf" stroked="false">
              <v:fill type="solid"/>
            </v:rect>
            <v:line style="position:absolute" from="3379,2277" to="3379,405" stroked="true" strokeweight=".72pt" strokecolor="#858585"/>
            <v:line style="position:absolute" from="3314,2277" to="3379,2277" stroked="true" strokeweight=".72pt" strokecolor="#858585"/>
            <v:line style="position:absolute" from="3314,1965" to="3379,1965" stroked="true" strokeweight=".72pt" strokecolor="#858585"/>
            <v:line style="position:absolute" from="3314,1653" to="3379,1653" stroked="true" strokeweight=".72pt" strokecolor="#858585"/>
            <v:line style="position:absolute" from="3314,1341" to="3379,1341" stroked="true" strokeweight=".72pt" strokecolor="#858585"/>
            <v:line style="position:absolute" from="3314,1029" to="3379,1029" stroked="true" strokeweight=".72pt" strokecolor="#858585"/>
            <v:line style="position:absolute" from="3314,717" to="3379,717" stroked="true" strokeweight=".72pt" strokecolor="#858585"/>
            <v:line style="position:absolute" from="3314,405" to="3379,405" stroked="true" strokeweight=".72pt" strokecolor="#858585"/>
            <v:line style="position:absolute" from="3379,2277" to="8095,2277" stroked="true" strokeweight=".72pt" strokecolor="#858585"/>
            <v:line style="position:absolute" from="3379,2277" to="3379,2342" stroked="true" strokeweight=".72pt" strokecolor="#858585"/>
            <v:line style="position:absolute" from="4951,2277" to="4951,2342" stroked="true" strokeweight=".72pt" strokecolor="#858585"/>
            <v:line style="position:absolute" from="6523,2277" to="6523,2342" stroked="true" strokeweight=".72pt" strokecolor="#858585"/>
            <v:line style="position:absolute" from="8095,2277" to="8095,2342" stroked="true" strokeweight=".72pt" strokecolor="#858585"/>
            <v:rect style="position:absolute;left:8417;top:1854;width:108;height:110" filled="true" fillcolor="#4571a7" stroked="false">
              <v:fill type="solid"/>
            </v:rect>
            <v:rect style="position:absolute;left:8417;top:2217;width:108;height:108" filled="true" fillcolor="#92a9cf" stroked="false">
              <v:fill type="solid"/>
            </v:rect>
            <v:rect style="position:absolute;left:2715;top:181;width:6801;height:3817" filled="false" stroked="true" strokeweight=".75pt" strokecolor="#858585"/>
            <v:shape style="position:absolute;left:2846;top:312;width:347;height:2073" type="#_x0000_t202" filled="false" stroked="false">
              <v:textbox inset="0,0,0,0">
                <w:txbxContent>
                  <w:p>
                    <w:pPr>
                      <w:spacing w:line="203" w:lineRule="exact" w:before="0"/>
                      <w:ind w:left="-1" w:right="0" w:firstLine="0"/>
                      <w:jc w:val="center"/>
                      <w:rPr>
                        <w:rFonts w:ascii="Calibri"/>
                        <w:sz w:val="20"/>
                      </w:rPr>
                    </w:pPr>
                    <w:r>
                      <w:rPr>
                        <w:rFonts w:ascii="Calibri"/>
                        <w:sz w:val="20"/>
                      </w:rPr>
                      <w:t>60%</w:t>
                    </w:r>
                  </w:p>
                  <w:p>
                    <w:pPr>
                      <w:spacing w:before="68"/>
                      <w:ind w:left="-1" w:right="0" w:firstLine="0"/>
                      <w:jc w:val="center"/>
                      <w:rPr>
                        <w:rFonts w:ascii="Calibri"/>
                        <w:sz w:val="20"/>
                      </w:rPr>
                    </w:pPr>
                    <w:r>
                      <w:rPr>
                        <w:rFonts w:ascii="Calibri"/>
                        <w:sz w:val="20"/>
                      </w:rPr>
                      <w:t>50%</w:t>
                    </w:r>
                  </w:p>
                  <w:p>
                    <w:pPr>
                      <w:spacing w:before="68"/>
                      <w:ind w:left="-1" w:right="0" w:firstLine="0"/>
                      <w:jc w:val="center"/>
                      <w:rPr>
                        <w:rFonts w:ascii="Calibri"/>
                        <w:sz w:val="20"/>
                      </w:rPr>
                    </w:pPr>
                    <w:r>
                      <w:rPr>
                        <w:rFonts w:ascii="Calibri"/>
                        <w:sz w:val="20"/>
                      </w:rPr>
                      <w:t>40%</w:t>
                    </w:r>
                  </w:p>
                  <w:p>
                    <w:pPr>
                      <w:spacing w:before="68"/>
                      <w:ind w:left="-1" w:right="0" w:firstLine="0"/>
                      <w:jc w:val="center"/>
                      <w:rPr>
                        <w:rFonts w:ascii="Calibri"/>
                        <w:sz w:val="20"/>
                      </w:rPr>
                    </w:pPr>
                    <w:r>
                      <w:rPr>
                        <w:rFonts w:ascii="Calibri"/>
                        <w:sz w:val="20"/>
                      </w:rPr>
                      <w:t>30%</w:t>
                    </w:r>
                  </w:p>
                  <w:p>
                    <w:pPr>
                      <w:spacing w:before="68"/>
                      <w:ind w:left="-1" w:right="0" w:firstLine="0"/>
                      <w:jc w:val="center"/>
                      <w:rPr>
                        <w:rFonts w:ascii="Calibri"/>
                        <w:sz w:val="20"/>
                      </w:rPr>
                    </w:pPr>
                    <w:r>
                      <w:rPr>
                        <w:rFonts w:ascii="Calibri"/>
                        <w:sz w:val="20"/>
                      </w:rPr>
                      <w:t>20%</w:t>
                    </w:r>
                  </w:p>
                  <w:p>
                    <w:pPr>
                      <w:spacing w:before="68"/>
                      <w:ind w:left="-1" w:right="0" w:firstLine="0"/>
                      <w:jc w:val="center"/>
                      <w:rPr>
                        <w:rFonts w:ascii="Calibri"/>
                        <w:sz w:val="20"/>
                      </w:rPr>
                    </w:pPr>
                    <w:r>
                      <w:rPr>
                        <w:rFonts w:ascii="Calibri"/>
                        <w:sz w:val="20"/>
                      </w:rPr>
                      <w:t>10%</w:t>
                    </w:r>
                  </w:p>
                  <w:p>
                    <w:pPr>
                      <w:spacing w:line="240" w:lineRule="exact" w:before="68"/>
                      <w:ind w:left="99" w:right="0" w:firstLine="0"/>
                      <w:jc w:val="center"/>
                      <w:rPr>
                        <w:rFonts w:ascii="Calibri"/>
                        <w:sz w:val="20"/>
                      </w:rPr>
                    </w:pPr>
                    <w:r>
                      <w:rPr>
                        <w:rFonts w:ascii="Calibri"/>
                        <w:w w:val="95"/>
                        <w:sz w:val="20"/>
                      </w:rPr>
                      <w:t>0%</w:t>
                    </w:r>
                  </w:p>
                </w:txbxContent>
              </v:textbox>
              <w10:wrap type="none"/>
            </v:shape>
            <v:shape style="position:absolute;left:8573;top:1817;width:745;height:561" type="#_x0000_t202" filled="false" stroked="false">
              <v:textbox inset="0,0,0,0">
                <w:txbxContent>
                  <w:p>
                    <w:pPr>
                      <w:spacing w:line="203" w:lineRule="exact" w:before="0"/>
                      <w:ind w:left="0" w:right="-18" w:firstLine="0"/>
                      <w:jc w:val="left"/>
                      <w:rPr>
                        <w:rFonts w:ascii="Calibri"/>
                        <w:sz w:val="20"/>
                      </w:rPr>
                    </w:pPr>
                    <w:r>
                      <w:rPr>
                        <w:rFonts w:ascii="Calibri"/>
                        <w:sz w:val="20"/>
                      </w:rPr>
                      <w:t>Hombres</w:t>
                    </w:r>
                  </w:p>
                  <w:p>
                    <w:pPr>
                      <w:spacing w:line="240" w:lineRule="exact" w:before="117"/>
                      <w:ind w:left="0" w:right="-18" w:firstLine="0"/>
                      <w:jc w:val="left"/>
                      <w:rPr>
                        <w:rFonts w:ascii="Calibri"/>
                        <w:sz w:val="20"/>
                      </w:rPr>
                    </w:pPr>
                    <w:r>
                      <w:rPr>
                        <w:rFonts w:ascii="Calibri"/>
                        <w:sz w:val="20"/>
                      </w:rPr>
                      <w:t>Mujeres</w:t>
                    </w:r>
                  </w:p>
                </w:txbxContent>
              </v:textbox>
              <w10:wrap type="none"/>
            </v:shape>
            <v:shape style="position:absolute;left:3568;top:2445;width:1190;height:1422" type="#_x0000_t202" filled="false" stroked="false">
              <v:textbox inset="0,0,0,0">
                <w:txbxContent>
                  <w:p>
                    <w:pPr>
                      <w:spacing w:line="203" w:lineRule="exact" w:before="0"/>
                      <w:ind w:left="81" w:right="81" w:firstLine="0"/>
                      <w:jc w:val="center"/>
                      <w:rPr>
                        <w:rFonts w:ascii="Calibri"/>
                        <w:sz w:val="20"/>
                      </w:rPr>
                    </w:pPr>
                    <w:r>
                      <w:rPr>
                        <w:rFonts w:ascii="Calibri"/>
                        <w:sz w:val="20"/>
                      </w:rPr>
                      <w:t>Relativo a la</w:t>
                    </w:r>
                  </w:p>
                  <w:p>
                    <w:pPr>
                      <w:spacing w:before="0"/>
                      <w:ind w:left="0" w:right="0" w:hanging="3"/>
                      <w:jc w:val="center"/>
                      <w:rPr>
                        <w:rFonts w:ascii="Calibri" w:hAnsi="Calibri"/>
                        <w:sz w:val="20"/>
                      </w:rPr>
                    </w:pPr>
                    <w:r>
                      <w:rPr>
                        <w:rFonts w:ascii="Calibri" w:hAnsi="Calibri"/>
                        <w:sz w:val="20"/>
                      </w:rPr>
                      <w:t>realización de campañas de fomento de la perspectiva</w:t>
                    </w:r>
                    <w:r>
                      <w:rPr>
                        <w:rFonts w:ascii="Calibri" w:hAnsi="Calibri"/>
                        <w:spacing w:val="-5"/>
                        <w:sz w:val="20"/>
                      </w:rPr>
                      <w:t> </w:t>
                    </w:r>
                    <w:r>
                      <w:rPr>
                        <w:rFonts w:ascii="Calibri" w:hAnsi="Calibri"/>
                        <w:sz w:val="20"/>
                      </w:rPr>
                      <w:t>de</w:t>
                    </w:r>
                    <w:r>
                      <w:rPr>
                        <w:rFonts w:ascii="Calibri" w:hAnsi="Calibri"/>
                        <w:w w:val="99"/>
                        <w:sz w:val="20"/>
                      </w:rPr>
                      <w:t> </w:t>
                    </w:r>
                    <w:r>
                      <w:rPr>
                        <w:rFonts w:ascii="Calibri" w:hAnsi="Calibri"/>
                        <w:sz w:val="20"/>
                      </w:rPr>
                      <w:t>género</w:t>
                    </w:r>
                  </w:p>
                </w:txbxContent>
              </v:textbox>
              <w10:wrap type="none"/>
            </v:shape>
            <v:shape style="position:absolute;left:5111;top:2445;width:1249;height:1422" type="#_x0000_t202" filled="false" stroked="false">
              <v:textbox inset="0,0,0,0">
                <w:txbxContent>
                  <w:p>
                    <w:pPr>
                      <w:spacing w:line="203" w:lineRule="exact" w:before="0"/>
                      <w:ind w:left="0" w:right="1" w:firstLine="0"/>
                      <w:jc w:val="center"/>
                      <w:rPr>
                        <w:rFonts w:ascii="Calibri"/>
                        <w:sz w:val="20"/>
                      </w:rPr>
                    </w:pPr>
                    <w:r>
                      <w:rPr>
                        <w:rFonts w:ascii="Calibri"/>
                        <w:sz w:val="20"/>
                      </w:rPr>
                      <w:t>Relativo a</w:t>
                    </w:r>
                    <w:r>
                      <w:rPr>
                        <w:rFonts w:ascii="Calibri"/>
                        <w:spacing w:val="-5"/>
                        <w:sz w:val="20"/>
                      </w:rPr>
                      <w:t> </w:t>
                    </w:r>
                    <w:r>
                      <w:rPr>
                        <w:rFonts w:ascii="Calibri"/>
                        <w:sz w:val="20"/>
                      </w:rPr>
                      <w:t>la</w:t>
                    </w:r>
                  </w:p>
                  <w:p>
                    <w:pPr>
                      <w:spacing w:before="0"/>
                      <w:ind w:left="0" w:right="0" w:firstLine="0"/>
                      <w:jc w:val="center"/>
                      <w:rPr>
                        <w:rFonts w:ascii="Calibri" w:hAnsi="Calibri"/>
                        <w:sz w:val="20"/>
                      </w:rPr>
                    </w:pPr>
                    <w:r>
                      <w:rPr>
                        <w:rFonts w:ascii="Calibri" w:hAnsi="Calibri"/>
                        <w:sz w:val="20"/>
                      </w:rPr>
                      <w:t>aplicación</w:t>
                    </w:r>
                    <w:r>
                      <w:rPr>
                        <w:rFonts w:ascii="Calibri" w:hAnsi="Calibri"/>
                        <w:spacing w:val="-2"/>
                        <w:sz w:val="20"/>
                      </w:rPr>
                      <w:t> </w:t>
                    </w:r>
                    <w:r>
                      <w:rPr>
                        <w:rFonts w:ascii="Calibri" w:hAnsi="Calibri"/>
                        <w:sz w:val="20"/>
                      </w:rPr>
                      <w:t>de</w:t>
                    </w:r>
                    <w:r>
                      <w:rPr>
                        <w:rFonts w:ascii="Calibri" w:hAnsi="Calibri"/>
                        <w:spacing w:val="-3"/>
                        <w:sz w:val="20"/>
                      </w:rPr>
                      <w:t> </w:t>
                    </w:r>
                    <w:r>
                      <w:rPr>
                        <w:rFonts w:ascii="Calibri" w:hAnsi="Calibri"/>
                        <w:sz w:val="20"/>
                      </w:rPr>
                      <w:t>la</w:t>
                    </w:r>
                    <w:r>
                      <w:rPr>
                        <w:rFonts w:ascii="Calibri" w:hAnsi="Calibri"/>
                        <w:w w:val="99"/>
                        <w:sz w:val="20"/>
                      </w:rPr>
                      <w:t> </w:t>
                    </w:r>
                    <w:r>
                      <w:rPr>
                        <w:rFonts w:ascii="Calibri" w:hAnsi="Calibri"/>
                        <w:sz w:val="20"/>
                      </w:rPr>
                      <w:t>perspectiva de género en las prácticas cotidianas</w:t>
                    </w:r>
                  </w:p>
                </w:txbxContent>
              </v:textbox>
              <w10:wrap type="none"/>
            </v:shape>
            <v:shape style="position:absolute;left:7127;top:2445;width:36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Otra</w:t>
                    </w:r>
                  </w:p>
                </w:txbxContent>
              </v:textbox>
              <w10:wrap type="none"/>
            </v:shape>
            <w10:wrap type="topAndBottom"/>
          </v:group>
        </w:pict>
      </w:r>
    </w:p>
    <w:p>
      <w:pPr>
        <w:pStyle w:val="BodyText"/>
        <w:spacing w:before="5"/>
        <w:rPr>
          <w:sz w:val="20"/>
        </w:rPr>
      </w:pPr>
    </w:p>
    <w:p>
      <w:pPr>
        <w:spacing w:before="0"/>
        <w:ind w:left="134" w:right="154" w:firstLine="0"/>
        <w:jc w:val="center"/>
        <w:rPr>
          <w:sz w:val="20"/>
        </w:rPr>
      </w:pPr>
      <w:r>
        <w:rPr>
          <w:sz w:val="20"/>
        </w:rPr>
        <w:t>(Miranda, 2014).</w:t>
      </w:r>
    </w:p>
    <w:p>
      <w:pPr>
        <w:pStyle w:val="BodyText"/>
        <w:rPr>
          <w:sz w:val="20"/>
        </w:rPr>
      </w:pPr>
    </w:p>
    <w:p>
      <w:pPr>
        <w:pStyle w:val="BodyText"/>
        <w:rPr>
          <w:sz w:val="20"/>
        </w:rPr>
      </w:pPr>
    </w:p>
    <w:p>
      <w:pPr>
        <w:pStyle w:val="BodyText"/>
        <w:rPr>
          <w:sz w:val="20"/>
        </w:rPr>
      </w:pPr>
    </w:p>
    <w:p>
      <w:pPr>
        <w:pStyle w:val="BodyText"/>
        <w:spacing w:before="1"/>
        <w:rPr>
          <w:sz w:val="18"/>
        </w:rPr>
      </w:pPr>
    </w:p>
    <w:p>
      <w:pPr>
        <w:pStyle w:val="BodyText"/>
        <w:spacing w:line="360" w:lineRule="auto" w:before="1"/>
        <w:ind w:left="102" w:right="125"/>
        <w:jc w:val="both"/>
      </w:pPr>
      <w:r>
        <w:rPr/>
        <w:t>La mitad del grupo de hombres que dieron una respuesta afirmativa a la pregunta anterior se inclinaron por la realización de campañas de fomento de la Perspectiva de Género, mientras que la otra mitad lo hizo por la aplicación de la perspectiva de género en las prácticas cotidianas.</w:t>
      </w:r>
    </w:p>
    <w:p>
      <w:pPr>
        <w:spacing w:after="0" w:line="360" w:lineRule="auto"/>
        <w:jc w:val="both"/>
        <w:sectPr>
          <w:pgSz w:w="12240" w:h="15840"/>
          <w:pgMar w:header="0" w:footer="1032" w:top="1420" w:bottom="1220" w:left="1600" w:right="1580"/>
        </w:sectPr>
      </w:pPr>
    </w:p>
    <w:p>
      <w:pPr>
        <w:pStyle w:val="BodyText"/>
        <w:spacing w:line="360" w:lineRule="auto" w:before="57"/>
        <w:ind w:left="102" w:right="117"/>
        <w:jc w:val="both"/>
      </w:pPr>
      <w:r>
        <w:rPr/>
        <w:t>En cuanto a las mujeres, la mayoría (38.1%) comentó que la aplicación de la Perspectiva de Género en las prácticas cotidianas es el recurso más viable para fomentar la equidad entre mujeres y hombres y erradicar la violencia.</w:t>
      </w:r>
    </w:p>
    <w:p>
      <w:pPr>
        <w:pStyle w:val="BodyText"/>
        <w:spacing w:line="360" w:lineRule="auto" w:before="204"/>
        <w:ind w:left="102" w:right="119"/>
        <w:jc w:val="both"/>
      </w:pPr>
      <w:r>
        <w:rPr/>
        <w:t>El INMUJERES (2008) explica que la Perspectiva de Género debe fomentarse en todos los ámbitos sociales mediante la desnaturalización de las diferencias sociales, la comprensión de las diferencias biológicas, la visibilización de la participación de los hombres en actividades familiares y domésticas. De esta manera, se comprende la postura de las estudiantes entrevistadas con respecto al fomento de la P.G. desde la vida personal, familiar y profesional, es decir, desde las prácticas cotidianas.</w:t>
      </w:r>
    </w:p>
    <w:p>
      <w:pPr>
        <w:spacing w:after="0" w:line="360" w:lineRule="auto"/>
        <w:jc w:val="both"/>
        <w:sectPr>
          <w:footerReference w:type="default" r:id="rId20"/>
          <w:pgSz w:w="12240" w:h="15840"/>
          <w:pgMar w:footer="1032" w:header="0" w:top="1360" w:bottom="1220" w:left="1600" w:right="1580"/>
        </w:sectPr>
      </w:pPr>
    </w:p>
    <w:p>
      <w:pPr>
        <w:pStyle w:val="Heading1"/>
        <w:spacing w:before="57"/>
        <w:ind w:left="2072" w:right="601"/>
      </w:pPr>
      <w:bookmarkStart w:name="_TOC_250003" w:id="5"/>
      <w:bookmarkEnd w:id="5"/>
      <w:r>
        <w:rPr>
          <w:u w:val="thick"/>
        </w:rPr>
        <w:t>PROPUESTA DE PROYECTO APLICATIVO.</w:t>
      </w:r>
    </w:p>
    <w:p>
      <w:pPr>
        <w:pStyle w:val="BodyText"/>
        <w:spacing w:before="4"/>
        <w:rPr>
          <w:b/>
          <w:sz w:val="23"/>
        </w:rPr>
      </w:pPr>
    </w:p>
    <w:p>
      <w:pPr>
        <w:spacing w:line="360" w:lineRule="auto" w:before="70"/>
        <w:ind w:left="771" w:right="268" w:hanging="509"/>
        <w:jc w:val="left"/>
        <w:rPr>
          <w:b/>
          <w:sz w:val="24"/>
        </w:rPr>
      </w:pPr>
      <w:r>
        <w:rPr>
          <w:b/>
          <w:sz w:val="24"/>
        </w:rPr>
        <w:t>Campaña de fomento de la Perspectiva de Género en el estudiantado de la licenciatura en comunicación del Campus Universitario Siglo XXI.</w:t>
      </w:r>
    </w:p>
    <w:p>
      <w:pPr>
        <w:pStyle w:val="BodyText"/>
        <w:spacing w:line="360" w:lineRule="auto" w:before="204"/>
        <w:ind w:left="102" w:right="118" w:firstLine="707"/>
        <w:jc w:val="both"/>
      </w:pPr>
      <w:r>
        <w:rPr/>
        <w:t>La presente propuesta tiene como finalidad instruir al estudiantado de la licenciatura en comunicación del Campus Universitario Siglo XXI, sobre las funciones que tiene la Perspectiva de Género como criterio de evaluación y análisis de las problemáticas sociales que se vinculan directamente con la diferenciación social entre mujeres y hombres que el Género, como concepto, supone y que origina un clima de desigualdad y de violencia hacia</w:t>
      </w:r>
      <w:r>
        <w:rPr>
          <w:spacing w:val="-24"/>
        </w:rPr>
        <w:t> </w:t>
      </w:r>
      <w:r>
        <w:rPr/>
        <w:t>ellas.</w:t>
      </w:r>
    </w:p>
    <w:p>
      <w:pPr>
        <w:pStyle w:val="BodyText"/>
        <w:spacing w:line="360" w:lineRule="auto" w:before="204"/>
        <w:ind w:left="102" w:right="116"/>
        <w:jc w:val="both"/>
      </w:pPr>
      <w:r>
        <w:rPr/>
        <w:t>Aunado a lo anterior, se hace referencia al estereotipo de género utilizado por los medios de comunicación como reforzadores del problema sociocultural del que ya se habla; la diferenciación social que pone en desventaja a las mujeres con respecto de los hombres.</w:t>
      </w:r>
    </w:p>
    <w:p>
      <w:pPr>
        <w:pStyle w:val="BodyText"/>
        <w:spacing w:line="360" w:lineRule="auto" w:before="202"/>
        <w:ind w:left="102" w:right="115"/>
        <w:jc w:val="both"/>
      </w:pPr>
      <w:r>
        <w:rPr/>
        <w:t>Así pues, se ha diseñado una campaña de fomento de la Perspectiva de Género en dicho grupo de jóvenes con el fin de concientizarles no sólo en el sentido personal sino en el que, más adelante desarrollarán como futuros comunicólogos en entornos como el organizacional, el político y el audiovisual.</w:t>
      </w:r>
    </w:p>
    <w:p>
      <w:pPr>
        <w:pStyle w:val="BodyText"/>
        <w:spacing w:line="360" w:lineRule="auto" w:before="204"/>
        <w:ind w:left="102" w:right="117"/>
        <w:jc w:val="both"/>
      </w:pPr>
      <w:r>
        <w:rPr/>
        <w:t>Esta campaña lleva por nombre </w:t>
      </w:r>
      <w:r>
        <w:rPr>
          <w:b/>
        </w:rPr>
        <w:t>“Y TÚ, ¿DE QUÉ LADO ESTÁS?”, </w:t>
      </w:r>
      <w:r>
        <w:rPr/>
        <w:t>mismo que hace una doble referencia a la diferenciación entre hombres y mujeres en lo relativo al género que le ha sido asignado a cada uno. A continuación, se expone una breve explicación de la idea central de cada una de las significaciones.</w:t>
      </w:r>
    </w:p>
    <w:p>
      <w:pPr>
        <w:pStyle w:val="Heading1"/>
        <w:spacing w:before="204"/>
        <w:jc w:val="both"/>
      </w:pPr>
      <w:r>
        <w:rPr>
          <w:rFonts w:ascii="Wingdings" w:hAnsi="Wingdings"/>
        </w:rPr>
        <w:t></w:t>
      </w:r>
      <w:r>
        <w:rPr>
          <w:rFonts w:ascii="Times New Roman" w:hAnsi="Times New Roman"/>
        </w:rPr>
        <w:t> </w:t>
      </w:r>
      <w:r>
        <w:rPr/>
        <w:t>Agredida / Agresor.</w:t>
      </w:r>
    </w:p>
    <w:p>
      <w:pPr>
        <w:pStyle w:val="BodyText"/>
        <w:spacing w:before="5"/>
        <w:rPr>
          <w:b/>
          <w:sz w:val="29"/>
        </w:rPr>
      </w:pPr>
    </w:p>
    <w:p>
      <w:pPr>
        <w:pStyle w:val="BodyText"/>
        <w:spacing w:line="360" w:lineRule="auto"/>
        <w:ind w:left="102" w:right="120"/>
        <w:jc w:val="both"/>
      </w:pPr>
      <w:r>
        <w:rPr/>
        <w:t>Se intentará generar en el estudiantado una reacción de concientización acerca de su posición como actores del problema cotidiano de la violencia de género contra las mujeres. Mediante imágenes y breves leyendas alusivas a dicho conflicto, las y los estudiantes tendrán la oportunidad de identificarse y/o de reconocer una situación cercana a su vida personal de la que pudieron, pueden o podrían formar parte.</w:t>
      </w:r>
    </w:p>
    <w:p>
      <w:pPr>
        <w:spacing w:after="0" w:line="360" w:lineRule="auto"/>
        <w:jc w:val="both"/>
        <w:sectPr>
          <w:footerReference w:type="default" r:id="rId21"/>
          <w:pgSz w:w="12240" w:h="15840"/>
          <w:pgMar w:footer="972" w:header="0" w:top="1360" w:bottom="1160" w:left="1600" w:right="1580"/>
          <w:pgNumType w:start="51"/>
        </w:sectPr>
      </w:pPr>
    </w:p>
    <w:p>
      <w:pPr>
        <w:pStyle w:val="Heading1"/>
        <w:spacing w:before="57"/>
        <w:jc w:val="both"/>
      </w:pPr>
      <w:r>
        <w:rPr>
          <w:rFonts w:ascii="Wingdings" w:hAnsi="Wingdings"/>
        </w:rPr>
        <w:t></w:t>
      </w:r>
      <w:r>
        <w:rPr>
          <w:rFonts w:ascii="Times New Roman" w:hAnsi="Times New Roman"/>
        </w:rPr>
        <w:t> </w:t>
      </w:r>
      <w:r>
        <w:rPr/>
        <w:t>Problema / Solución.</w:t>
      </w:r>
    </w:p>
    <w:p>
      <w:pPr>
        <w:pStyle w:val="BodyText"/>
        <w:spacing w:before="4"/>
        <w:rPr>
          <w:b/>
          <w:sz w:val="29"/>
        </w:rPr>
      </w:pPr>
    </w:p>
    <w:p>
      <w:pPr>
        <w:pStyle w:val="BodyText"/>
        <w:spacing w:line="360" w:lineRule="auto" w:before="1"/>
        <w:ind w:left="102" w:right="121"/>
        <w:jc w:val="both"/>
      </w:pPr>
      <w:r>
        <w:rPr/>
        <w:t>La segunda de estas significaciones y que actuará de manera simultánea a la anterior, consiste en inducir al estudiantado a considerar su posición como sujetos activos dentro de la multiplicidad de situaciones de violencia contra las mujeres, optando por su participación en el problema (reforzándolo) o en la solución (aportando medidas de erradicación de dicho conflicto).</w:t>
      </w:r>
    </w:p>
    <w:p>
      <w:pPr>
        <w:pStyle w:val="BodyText"/>
        <w:spacing w:line="360" w:lineRule="auto" w:before="202"/>
        <w:ind w:left="102" w:right="115"/>
        <w:jc w:val="both"/>
      </w:pPr>
      <w:r>
        <w:rPr/>
        <w:t>Es menester señalar que la presente campaña fue diseñada con base en los datos estadísticos obtenidos mediante la aplicación de un cuestionario (Ver anexo 1) cuyas preguntas, abordaron temas como la identificación de las múltiples formas de violencia contra las mujeres, el reconocimiento de la Perspectiva de Género y  el estereotipo de género utilizado por los medios de comunicación</w:t>
      </w:r>
      <w:r>
        <w:rPr>
          <w:spacing w:val="-27"/>
        </w:rPr>
        <w:t> </w:t>
      </w:r>
      <w:r>
        <w:rPr/>
        <w:t>masiva.</w:t>
      </w:r>
    </w:p>
    <w:p>
      <w:pPr>
        <w:pStyle w:val="BodyText"/>
        <w:spacing w:line="360" w:lineRule="auto" w:before="204"/>
        <w:ind w:left="102" w:right="115"/>
        <w:jc w:val="both"/>
      </w:pPr>
      <w:r>
        <w:rPr/>
        <w:t>Ésta se desarrolló en dos fases, la primera; de reconocimiento y sensibilización ante el problema de la desigualdad y la violencia contra las mujeres, y la segunda; de refuerzo mediante la adopción de la perspectiva de género.</w:t>
      </w:r>
    </w:p>
    <w:p>
      <w:pPr>
        <w:pStyle w:val="Heading1"/>
        <w:spacing w:before="204"/>
        <w:ind w:left="2999" w:right="601"/>
      </w:pPr>
      <w:r>
        <w:rPr/>
        <w:t>Diseño visual del logotipo.</w:t>
      </w:r>
    </w:p>
    <w:p>
      <w:pPr>
        <w:pStyle w:val="BodyText"/>
        <w:spacing w:before="5"/>
        <w:rPr>
          <w:b/>
          <w:sz w:val="29"/>
        </w:rPr>
      </w:pPr>
    </w:p>
    <w:p>
      <w:pPr>
        <w:pStyle w:val="BodyText"/>
        <w:spacing w:line="362" w:lineRule="auto"/>
        <w:ind w:left="102" w:right="117" w:firstLine="67"/>
        <w:jc w:val="both"/>
        <w:rPr>
          <w:rFonts w:ascii="Courier New" w:hAnsi="Courier New"/>
        </w:rPr>
      </w:pPr>
      <w:r>
        <w:rPr/>
        <w:t>Es un círculo mediano color amarillo oro. En el centro se encuentra un listón cruzado color naranja que abarca aproximadamente un 70 porciento del círculo, sobre éste se halla el nombre de la campaña “Y TÚ, ¿DE QUÉ LADO ESTÁS?” con tipografía </w:t>
      </w:r>
      <w:r>
        <w:rPr>
          <w:rFonts w:ascii="Courier New" w:hAnsi="Courier New"/>
        </w:rPr>
        <w:t>“Charlemagne STD”.</w:t>
      </w:r>
    </w:p>
    <w:p>
      <w:pPr>
        <w:pStyle w:val="BodyText"/>
        <w:spacing w:line="360" w:lineRule="auto" w:before="181"/>
        <w:ind w:left="102" w:right="114"/>
        <w:jc w:val="both"/>
      </w:pPr>
      <w:r>
        <w:rPr/>
        <w:t>El color amarillo se utilizará con el fin de atraer la atención inmediata del público meta. El color naranja y el listón en conjunto simbolizan la lucha por la  erradicación de la violencia de género contra las mujeres. La tipografía (color negro), que es completamente recta, legible y en mayúsculas, se usará con el fin de proyectar sobriedad, claridad y</w:t>
      </w:r>
      <w:r>
        <w:rPr>
          <w:spacing w:val="-16"/>
        </w:rPr>
        <w:t> </w:t>
      </w:r>
      <w:r>
        <w:rPr/>
        <w:t>certeza.</w:t>
      </w:r>
    </w:p>
    <w:p>
      <w:pPr>
        <w:spacing w:after="0" w:line="360" w:lineRule="auto"/>
        <w:jc w:val="both"/>
        <w:sectPr>
          <w:pgSz w:w="12240" w:h="15840"/>
          <w:pgMar w:header="0" w:footer="972" w:top="1360" w:bottom="1220" w:left="1600" w:right="1580"/>
        </w:sectPr>
      </w:pPr>
    </w:p>
    <w:p>
      <w:pPr>
        <w:pStyle w:val="BodyText"/>
        <w:ind w:left="2765"/>
        <w:rPr>
          <w:sz w:val="20"/>
        </w:rPr>
      </w:pPr>
      <w:r>
        <w:rPr>
          <w:sz w:val="20"/>
        </w:rPr>
        <w:drawing>
          <wp:inline distT="0" distB="0" distL="0" distR="0">
            <wp:extent cx="2267587" cy="2267330"/>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22" cstate="print"/>
                    <a:stretch>
                      <a:fillRect/>
                    </a:stretch>
                  </pic:blipFill>
                  <pic:spPr>
                    <a:xfrm>
                      <a:off x="0" y="0"/>
                      <a:ext cx="2267587" cy="2267330"/>
                    </a:xfrm>
                    <a:prstGeom prst="rect">
                      <a:avLst/>
                    </a:prstGeom>
                  </pic:spPr>
                </pic:pic>
              </a:graphicData>
            </a:graphic>
          </wp:inline>
        </w:drawing>
      </w:r>
      <w:r>
        <w:rPr>
          <w:sz w:val="20"/>
        </w:rPr>
      </w:r>
    </w:p>
    <w:p>
      <w:pPr>
        <w:pStyle w:val="BodyText"/>
        <w:rPr>
          <w:sz w:val="20"/>
        </w:rPr>
      </w:pPr>
    </w:p>
    <w:p>
      <w:pPr>
        <w:pStyle w:val="BodyText"/>
        <w:spacing w:before="70"/>
        <w:ind w:left="138" w:right="154"/>
        <w:jc w:val="center"/>
      </w:pPr>
      <w:r>
        <w:rPr/>
        <w:t>(Logotipo Oficial).</w:t>
      </w:r>
    </w:p>
    <w:p>
      <w:pPr>
        <w:pStyle w:val="BodyText"/>
      </w:pPr>
    </w:p>
    <w:p>
      <w:pPr>
        <w:pStyle w:val="BodyText"/>
      </w:pPr>
    </w:p>
    <w:p>
      <w:pPr>
        <w:pStyle w:val="BodyText"/>
        <w:spacing w:before="9"/>
        <w:rPr>
          <w:sz w:val="34"/>
        </w:rPr>
      </w:pPr>
    </w:p>
    <w:p>
      <w:pPr>
        <w:pStyle w:val="Heading1"/>
        <w:spacing w:before="1"/>
        <w:ind w:left="138" w:right="154"/>
        <w:jc w:val="center"/>
      </w:pPr>
      <w:r>
        <w:rPr/>
        <w:t>Diseño visual y escrito de la campaña propagandística.</w:t>
      </w:r>
    </w:p>
    <w:p>
      <w:pPr>
        <w:pStyle w:val="BodyText"/>
        <w:spacing w:before="2"/>
        <w:rPr>
          <w:b/>
          <w:sz w:val="29"/>
        </w:rPr>
      </w:pPr>
    </w:p>
    <w:p>
      <w:pPr>
        <w:pStyle w:val="BodyText"/>
        <w:spacing w:line="360" w:lineRule="auto"/>
        <w:ind w:left="102" w:right="115"/>
        <w:jc w:val="both"/>
      </w:pPr>
      <w:r>
        <w:rPr>
          <w:b/>
        </w:rPr>
        <w:t>FASE 1. </w:t>
      </w:r>
      <w:r>
        <w:rPr/>
        <w:t>De reconocimiento y sensibilización. Se colocarán carteles alusivos a las múltiples formas de violencia sufridas por las mujeres de manera cotidiana. Éstos mostrarán fotografías cuyo montaje, simulará escenarios y/o situaciones de distintos niveles y tipos de violencia, empleando diferentes encuadres  e iluminación para enfatizar cada situación según sea el caso.</w:t>
      </w:r>
    </w:p>
    <w:p>
      <w:pPr>
        <w:pStyle w:val="BodyText"/>
        <w:spacing w:line="360" w:lineRule="auto" w:before="204"/>
        <w:ind w:left="102" w:right="117"/>
        <w:jc w:val="both"/>
      </w:pPr>
      <w:r>
        <w:rPr/>
        <w:t>Se colocarán en puntos estratégicos tales como los sanitarios, las aulas, los laboratorios, la biblioteca y la cafetería.</w:t>
      </w:r>
    </w:p>
    <w:p>
      <w:pPr>
        <w:pStyle w:val="BodyText"/>
        <w:spacing w:line="360" w:lineRule="auto" w:before="204"/>
        <w:ind w:left="102" w:right="118"/>
        <w:jc w:val="both"/>
      </w:pPr>
      <w:r>
        <w:rPr/>
        <w:t>Para ello, se consideraron los tópicos siguientes: violencia psicológica, violencia física, violencia sexual, violencia económica, feminicidio y erradicación del estereotipo de género en los medios de comunicación masiva.</w:t>
      </w:r>
    </w:p>
    <w:p>
      <w:pPr>
        <w:pStyle w:val="BodyText"/>
        <w:spacing w:line="360" w:lineRule="auto" w:before="205"/>
        <w:ind w:left="102" w:right="126"/>
        <w:jc w:val="both"/>
      </w:pPr>
      <w:r>
        <w:rPr/>
        <w:t>Los textos de las leyendas están en color blanco dentro de un recuadro morado con un margen interno color naranja. En la esquina inferior izquierda, se muestra  el logotipo de la campaña “Y TÚ, ¿DE QUÉ LADO</w:t>
      </w:r>
      <w:r>
        <w:rPr>
          <w:spacing w:val="-15"/>
        </w:rPr>
        <w:t> </w:t>
      </w:r>
      <w:r>
        <w:rPr/>
        <w:t>ESTÁS?”.</w:t>
      </w:r>
    </w:p>
    <w:p>
      <w:pPr>
        <w:pStyle w:val="BodyText"/>
        <w:spacing w:line="362" w:lineRule="auto" w:before="202"/>
        <w:ind w:left="102" w:right="116"/>
        <w:jc w:val="both"/>
      </w:pPr>
      <w:r>
        <w:rPr/>
        <w:t>Asimismo, se difundirán los carteles vía redes sociales (</w:t>
      </w:r>
      <w:r>
        <w:rPr>
          <w:i/>
        </w:rPr>
        <w:t>Facebook </w:t>
      </w:r>
      <w:r>
        <w:rPr/>
        <w:t>y </w:t>
      </w:r>
      <w:r>
        <w:rPr>
          <w:i/>
        </w:rPr>
        <w:t>Twitter</w:t>
      </w:r>
      <w:r>
        <w:rPr/>
        <w:t>) dentro de los perfiles de “amigos” y “fanpages” del CUSXXI en horarios estratégicos.</w:t>
      </w:r>
    </w:p>
    <w:p>
      <w:pPr>
        <w:spacing w:after="0" w:line="362" w:lineRule="auto"/>
        <w:jc w:val="both"/>
        <w:sectPr>
          <w:pgSz w:w="12240" w:h="15840"/>
          <w:pgMar w:header="0" w:footer="972" w:top="1420" w:bottom="1220" w:left="1600" w:right="1580"/>
        </w:sectPr>
      </w:pPr>
    </w:p>
    <w:p>
      <w:pPr>
        <w:pStyle w:val="BodyText"/>
        <w:spacing w:line="360" w:lineRule="auto" w:before="57"/>
        <w:ind w:left="102" w:right="116"/>
        <w:jc w:val="both"/>
      </w:pPr>
      <w:r>
        <w:rPr>
          <w:b/>
        </w:rPr>
        <w:t>FASE 2. </w:t>
      </w:r>
      <w:r>
        <w:rPr/>
        <w:t>De refuerzo. Se colocarán en puntos estratégicos algunos  carteles en  pro de la igualdad de género con un énfasis inclusivo tanto en su discurso visual como escrito. Tanto las imágenes como los textos emitirán mensajes  positivos que, en conjunto, tratarán de persuadir al estudiantado a tomar acciones en beneficio de la erradicación de la desigualdad y la violencia de género que ponen en desventaja a las mujeres (al igual que en la Fase 1, dichos carteles se difundirán vía redes</w:t>
      </w:r>
      <w:r>
        <w:rPr>
          <w:spacing w:val="-10"/>
        </w:rPr>
        <w:t> </w:t>
      </w:r>
      <w:r>
        <w:rPr/>
        <w:t>sociales).</w:t>
      </w:r>
    </w:p>
    <w:p>
      <w:pPr>
        <w:pStyle w:val="BodyText"/>
        <w:spacing w:line="360" w:lineRule="auto" w:before="204"/>
        <w:ind w:left="102" w:right="113"/>
        <w:jc w:val="both"/>
      </w:pPr>
      <w:r>
        <w:rPr/>
        <w:t>Asimismo, se obsequiarán al estudiantado algunos materiales tales como fólders y separadores con el fin de mantener posterior presencia de la campaña.</w:t>
      </w:r>
    </w:p>
    <w:p>
      <w:pPr>
        <w:pStyle w:val="BodyText"/>
        <w:spacing w:line="360" w:lineRule="auto" w:before="204"/>
        <w:ind w:left="102" w:right="118"/>
        <w:jc w:val="both"/>
      </w:pPr>
      <w:r>
        <w:rPr/>
        <w:t>En términos generales, se utilizan de manera constante los colores morado y naranja con el objetivo de mantener visible la acepción que alude a la lucha por la erradicación de la violencia de género contra las mujeres a nivel nacional (naranja) e internacional (morado).</w:t>
      </w:r>
    </w:p>
    <w:p>
      <w:pPr>
        <w:pStyle w:val="BodyText"/>
        <w:spacing w:line="360" w:lineRule="auto" w:before="204"/>
        <w:ind w:left="102" w:right="126"/>
        <w:jc w:val="both"/>
      </w:pPr>
      <w:r>
        <w:rPr/>
        <w:t>A continuación se muestra, a manera de descripción, la forma como fue planeada la campaña propagandística.</w:t>
      </w:r>
    </w:p>
    <w:p>
      <w:pPr>
        <w:pStyle w:val="Heading1"/>
        <w:spacing w:before="202"/>
        <w:jc w:val="both"/>
      </w:pPr>
      <w:r>
        <w:rPr/>
        <w:t>FASE 1.</w:t>
      </w:r>
    </w:p>
    <w:p>
      <w:pPr>
        <w:pStyle w:val="BodyText"/>
        <w:spacing w:before="6" w:after="1"/>
        <w:rPr>
          <w:b/>
          <w:sz w:val="29"/>
        </w:rPr>
      </w:pPr>
    </w:p>
    <w:tbl>
      <w:tblPr>
        <w:tblW w:w="0" w:type="auto"/>
        <w:jc w:val="left"/>
        <w:tblInd w:w="1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2537"/>
        <w:gridCol w:w="2247"/>
      </w:tblGrid>
      <w:tr>
        <w:trPr>
          <w:trHeight w:val="562" w:hRule="exact"/>
        </w:trPr>
        <w:tc>
          <w:tcPr>
            <w:tcW w:w="1952" w:type="dxa"/>
          </w:tcPr>
          <w:p>
            <w:pPr>
              <w:pStyle w:val="TableParagraph"/>
              <w:spacing w:line="272" w:lineRule="exact"/>
              <w:ind w:left="537"/>
              <w:rPr>
                <w:b/>
                <w:sz w:val="24"/>
              </w:rPr>
            </w:pPr>
            <w:r>
              <w:rPr>
                <w:b/>
                <w:sz w:val="24"/>
              </w:rPr>
              <w:t>TÍTULO</w:t>
            </w:r>
          </w:p>
        </w:tc>
        <w:tc>
          <w:tcPr>
            <w:tcW w:w="2537" w:type="dxa"/>
          </w:tcPr>
          <w:p>
            <w:pPr>
              <w:pStyle w:val="TableParagraph"/>
              <w:ind w:left="590" w:right="213" w:hanging="363"/>
              <w:rPr>
                <w:b/>
                <w:sz w:val="24"/>
              </w:rPr>
            </w:pPr>
            <w:r>
              <w:rPr>
                <w:b/>
                <w:sz w:val="24"/>
              </w:rPr>
              <w:t>DESCRIPCIÓN DE LA IMAGEN</w:t>
            </w:r>
          </w:p>
        </w:tc>
        <w:tc>
          <w:tcPr>
            <w:tcW w:w="2247" w:type="dxa"/>
          </w:tcPr>
          <w:p>
            <w:pPr>
              <w:pStyle w:val="TableParagraph"/>
              <w:ind w:left="384" w:right="179" w:firstLine="333"/>
              <w:rPr>
                <w:b/>
                <w:sz w:val="24"/>
              </w:rPr>
            </w:pPr>
            <w:r>
              <w:rPr>
                <w:b/>
                <w:sz w:val="24"/>
              </w:rPr>
              <w:t>TEXTO (LEYENDAS)</w:t>
            </w:r>
          </w:p>
        </w:tc>
      </w:tr>
      <w:tr>
        <w:trPr>
          <w:trHeight w:val="4705" w:hRule="exact"/>
        </w:trPr>
        <w:tc>
          <w:tcPr>
            <w:tcW w:w="1952" w:type="dxa"/>
          </w:tcPr>
          <w:p>
            <w:pPr>
              <w:pStyle w:val="TableParagraph"/>
              <w:ind w:left="103" w:right="565"/>
              <w:rPr>
                <w:sz w:val="24"/>
              </w:rPr>
            </w:pPr>
            <w:r>
              <w:rPr>
                <w:sz w:val="24"/>
              </w:rPr>
              <w:t>Violencia psicológica.</w:t>
            </w:r>
          </w:p>
        </w:tc>
        <w:tc>
          <w:tcPr>
            <w:tcW w:w="2537" w:type="dxa"/>
          </w:tcPr>
          <w:p>
            <w:pPr>
              <w:pStyle w:val="TableParagraph"/>
              <w:ind w:left="103" w:right="113"/>
              <w:rPr>
                <w:sz w:val="24"/>
              </w:rPr>
            </w:pPr>
            <w:r>
              <w:rPr>
                <w:sz w:val="24"/>
              </w:rPr>
              <w:t>Dos jóvenes (hombre y mujer). Él tiene una expresión facial violenta, ella se muestra con una expresión de frustración. Debajo de su ojo, aparece un moretón formado de texto que dice lo siguiente: “No puedes. No</w:t>
            </w:r>
            <w:r>
              <w:rPr>
                <w:spacing w:val="-6"/>
                <w:sz w:val="24"/>
              </w:rPr>
              <w:t> </w:t>
            </w:r>
            <w:r>
              <w:rPr>
                <w:sz w:val="24"/>
              </w:rPr>
              <w:t>debes.</w:t>
            </w:r>
          </w:p>
          <w:p>
            <w:pPr>
              <w:pStyle w:val="TableParagraph"/>
              <w:ind w:left="103" w:right="150"/>
              <w:rPr>
                <w:sz w:val="24"/>
              </w:rPr>
            </w:pPr>
            <w:r>
              <w:rPr>
                <w:sz w:val="24"/>
              </w:rPr>
              <w:t>No sabes. No eres. No vales. No existes.</w:t>
            </w:r>
          </w:p>
          <w:p>
            <w:pPr>
              <w:pStyle w:val="TableParagraph"/>
              <w:spacing w:before="11"/>
              <w:rPr>
                <w:b/>
                <w:sz w:val="23"/>
              </w:rPr>
            </w:pPr>
          </w:p>
          <w:p>
            <w:pPr>
              <w:pStyle w:val="TableParagraph"/>
              <w:ind w:left="103" w:right="363"/>
              <w:rPr>
                <w:sz w:val="24"/>
              </w:rPr>
            </w:pPr>
            <w:r>
              <w:rPr>
                <w:sz w:val="24"/>
              </w:rPr>
              <w:t>* Escenario: Fondo gris.</w:t>
            </w:r>
          </w:p>
        </w:tc>
        <w:tc>
          <w:tcPr>
            <w:tcW w:w="2247" w:type="dxa"/>
          </w:tcPr>
          <w:p>
            <w:pPr>
              <w:pStyle w:val="TableParagraph"/>
              <w:ind w:left="103" w:right="179"/>
              <w:rPr>
                <w:sz w:val="24"/>
              </w:rPr>
            </w:pPr>
            <w:r>
              <w:rPr>
                <w:sz w:val="24"/>
              </w:rPr>
              <w:t>“Las heridas más profundas pueden ser imperceptibles”.</w:t>
            </w:r>
          </w:p>
        </w:tc>
      </w:tr>
    </w:tbl>
    <w:p>
      <w:pPr>
        <w:spacing w:after="0"/>
        <w:rPr>
          <w:sz w:val="24"/>
        </w:rPr>
        <w:sectPr>
          <w:pgSz w:w="12240" w:h="15840"/>
          <w:pgMar w:header="0" w:footer="972" w:top="1360" w:bottom="1220" w:left="1600" w:right="1580"/>
        </w:sectPr>
      </w:pPr>
    </w:p>
    <w:tbl>
      <w:tblPr>
        <w:tblW w:w="0" w:type="auto"/>
        <w:jc w:val="left"/>
        <w:tblInd w:w="10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2537"/>
        <w:gridCol w:w="2247"/>
      </w:tblGrid>
      <w:tr>
        <w:trPr>
          <w:trHeight w:val="286" w:hRule="exact"/>
        </w:trPr>
        <w:tc>
          <w:tcPr>
            <w:tcW w:w="1952" w:type="dxa"/>
          </w:tcPr>
          <w:p>
            <w:pPr/>
          </w:p>
        </w:tc>
        <w:tc>
          <w:tcPr>
            <w:tcW w:w="2537" w:type="dxa"/>
          </w:tcPr>
          <w:p>
            <w:pPr/>
          </w:p>
        </w:tc>
        <w:tc>
          <w:tcPr>
            <w:tcW w:w="2247" w:type="dxa"/>
          </w:tcPr>
          <w:p>
            <w:pPr/>
          </w:p>
        </w:tc>
      </w:tr>
      <w:tr>
        <w:trPr>
          <w:trHeight w:val="4426" w:hRule="exact"/>
        </w:trPr>
        <w:tc>
          <w:tcPr>
            <w:tcW w:w="1952" w:type="dxa"/>
          </w:tcPr>
          <w:p>
            <w:pPr>
              <w:pStyle w:val="TableParagraph"/>
              <w:spacing w:line="272" w:lineRule="exact"/>
              <w:ind w:left="103"/>
              <w:rPr>
                <w:sz w:val="24"/>
              </w:rPr>
            </w:pPr>
            <w:r>
              <w:rPr>
                <w:sz w:val="24"/>
              </w:rPr>
              <w:t>Violencia física.</w:t>
            </w:r>
          </w:p>
        </w:tc>
        <w:tc>
          <w:tcPr>
            <w:tcW w:w="2537" w:type="dxa"/>
          </w:tcPr>
          <w:p>
            <w:pPr>
              <w:pStyle w:val="TableParagraph"/>
              <w:ind w:left="103" w:right="296"/>
              <w:rPr>
                <w:sz w:val="24"/>
              </w:rPr>
            </w:pPr>
            <w:r>
              <w:rPr>
                <w:sz w:val="24"/>
              </w:rPr>
              <w:t>Dos jóvenes, él aparece parado de frente, ella, desenfocada detrás de él.</w:t>
            </w:r>
          </w:p>
          <w:p>
            <w:pPr>
              <w:pStyle w:val="TableParagraph"/>
              <w:rPr>
                <w:b/>
                <w:sz w:val="24"/>
              </w:rPr>
            </w:pPr>
          </w:p>
          <w:p>
            <w:pPr>
              <w:pStyle w:val="TableParagraph"/>
              <w:ind w:left="103" w:right="550"/>
              <w:rPr>
                <w:sz w:val="24"/>
              </w:rPr>
            </w:pPr>
            <w:r>
              <w:rPr>
                <w:sz w:val="24"/>
              </w:rPr>
              <w:t>Él aparece con el puño izquierdo cerrado y con los nudillos aparentemente heridos.</w:t>
            </w:r>
          </w:p>
          <w:p>
            <w:pPr>
              <w:pStyle w:val="TableParagraph"/>
              <w:rPr>
                <w:b/>
                <w:sz w:val="24"/>
              </w:rPr>
            </w:pPr>
          </w:p>
          <w:p>
            <w:pPr>
              <w:pStyle w:val="TableParagraph"/>
              <w:ind w:left="103" w:right="96"/>
              <w:rPr>
                <w:sz w:val="24"/>
              </w:rPr>
            </w:pPr>
            <w:r>
              <w:rPr>
                <w:sz w:val="24"/>
              </w:rPr>
              <w:t>* Escenario: Salón de clases.</w:t>
            </w:r>
          </w:p>
        </w:tc>
        <w:tc>
          <w:tcPr>
            <w:tcW w:w="2247" w:type="dxa"/>
          </w:tcPr>
          <w:p>
            <w:pPr>
              <w:pStyle w:val="TableParagraph"/>
              <w:ind w:left="103" w:right="526"/>
              <w:rPr>
                <w:sz w:val="24"/>
              </w:rPr>
            </w:pPr>
            <w:r>
              <w:rPr>
                <w:sz w:val="24"/>
              </w:rPr>
              <w:t>“Quien ama no daña”.</w:t>
            </w:r>
          </w:p>
        </w:tc>
      </w:tr>
      <w:tr>
        <w:trPr>
          <w:trHeight w:val="3046" w:hRule="exact"/>
        </w:trPr>
        <w:tc>
          <w:tcPr>
            <w:tcW w:w="1952" w:type="dxa"/>
          </w:tcPr>
          <w:p>
            <w:pPr>
              <w:pStyle w:val="TableParagraph"/>
              <w:ind w:left="103" w:right="845"/>
              <w:rPr>
                <w:sz w:val="24"/>
              </w:rPr>
            </w:pPr>
            <w:r>
              <w:rPr>
                <w:sz w:val="24"/>
              </w:rPr>
              <w:t>Violencia sexual.</w:t>
            </w:r>
          </w:p>
          <w:p>
            <w:pPr>
              <w:pStyle w:val="TableParagraph"/>
              <w:rPr>
                <w:b/>
                <w:sz w:val="24"/>
              </w:rPr>
            </w:pPr>
          </w:p>
          <w:p>
            <w:pPr>
              <w:pStyle w:val="TableParagraph"/>
              <w:ind w:left="103" w:right="178"/>
              <w:rPr>
                <w:sz w:val="24"/>
              </w:rPr>
            </w:pPr>
            <w:r>
              <w:rPr>
                <w:sz w:val="24"/>
              </w:rPr>
              <w:t>(Con enfoque hacia la mujer).</w:t>
            </w:r>
          </w:p>
        </w:tc>
        <w:tc>
          <w:tcPr>
            <w:tcW w:w="2537" w:type="dxa"/>
          </w:tcPr>
          <w:p>
            <w:pPr>
              <w:pStyle w:val="TableParagraph"/>
              <w:ind w:left="103" w:right="163"/>
              <w:rPr>
                <w:sz w:val="24"/>
              </w:rPr>
            </w:pPr>
            <w:r>
              <w:rPr>
                <w:sz w:val="24"/>
              </w:rPr>
              <w:t>Dos hombres sentados en una banca señalan y acosan verbalmente a una joven. Ella gira con una expresión corporal y facial de frustración.</w:t>
            </w:r>
          </w:p>
          <w:p>
            <w:pPr>
              <w:pStyle w:val="TableParagraph"/>
              <w:rPr>
                <w:b/>
                <w:sz w:val="24"/>
              </w:rPr>
            </w:pPr>
          </w:p>
          <w:p>
            <w:pPr>
              <w:pStyle w:val="TableParagraph"/>
              <w:ind w:left="103" w:right="113"/>
              <w:rPr>
                <w:sz w:val="24"/>
              </w:rPr>
            </w:pPr>
            <w:r>
              <w:rPr>
                <w:sz w:val="24"/>
              </w:rPr>
              <w:t>* Escenario: Parque.</w:t>
            </w:r>
          </w:p>
        </w:tc>
        <w:tc>
          <w:tcPr>
            <w:tcW w:w="2247" w:type="dxa"/>
          </w:tcPr>
          <w:p>
            <w:pPr>
              <w:pStyle w:val="TableParagraph"/>
              <w:ind w:left="103" w:right="100"/>
              <w:rPr>
                <w:sz w:val="24"/>
              </w:rPr>
            </w:pPr>
            <w:r>
              <w:rPr>
                <w:sz w:val="24"/>
              </w:rPr>
              <w:t>“Sentirte incómoda ante un hombre NO ES NORMAL”</w:t>
            </w:r>
          </w:p>
        </w:tc>
      </w:tr>
      <w:tr>
        <w:trPr>
          <w:trHeight w:val="3046" w:hRule="exact"/>
        </w:trPr>
        <w:tc>
          <w:tcPr>
            <w:tcW w:w="1952" w:type="dxa"/>
          </w:tcPr>
          <w:p>
            <w:pPr>
              <w:pStyle w:val="TableParagraph"/>
              <w:ind w:left="103" w:right="845"/>
              <w:rPr>
                <w:sz w:val="24"/>
              </w:rPr>
            </w:pPr>
            <w:r>
              <w:rPr>
                <w:sz w:val="24"/>
              </w:rPr>
              <w:t>Violencia sexual.</w:t>
            </w:r>
          </w:p>
          <w:p>
            <w:pPr>
              <w:pStyle w:val="TableParagraph"/>
              <w:rPr>
                <w:b/>
                <w:sz w:val="24"/>
              </w:rPr>
            </w:pPr>
          </w:p>
          <w:p>
            <w:pPr>
              <w:pStyle w:val="TableParagraph"/>
              <w:ind w:left="103" w:right="364"/>
              <w:rPr>
                <w:sz w:val="24"/>
              </w:rPr>
            </w:pPr>
            <w:r>
              <w:rPr>
                <w:sz w:val="24"/>
              </w:rPr>
              <w:t>(Con enfoque hacia el hombre).</w:t>
            </w:r>
          </w:p>
        </w:tc>
        <w:tc>
          <w:tcPr>
            <w:tcW w:w="2537" w:type="dxa"/>
          </w:tcPr>
          <w:p>
            <w:pPr>
              <w:pStyle w:val="TableParagraph"/>
              <w:ind w:left="103" w:right="163"/>
              <w:rPr>
                <w:sz w:val="24"/>
              </w:rPr>
            </w:pPr>
            <w:r>
              <w:rPr>
                <w:sz w:val="24"/>
              </w:rPr>
              <w:t>Dos hombres sentados en una banca señalan y acosan verbalmente a una joven. Ella gira con una expresión corporal y facial de frustración.</w:t>
            </w:r>
          </w:p>
          <w:p>
            <w:pPr>
              <w:pStyle w:val="TableParagraph"/>
              <w:rPr>
                <w:b/>
                <w:sz w:val="24"/>
              </w:rPr>
            </w:pPr>
          </w:p>
          <w:p>
            <w:pPr>
              <w:pStyle w:val="TableParagraph"/>
              <w:ind w:left="103" w:right="113"/>
              <w:rPr>
                <w:sz w:val="24"/>
              </w:rPr>
            </w:pPr>
            <w:r>
              <w:rPr>
                <w:sz w:val="24"/>
              </w:rPr>
              <w:t>* Escenario: Parque.</w:t>
            </w:r>
          </w:p>
        </w:tc>
        <w:tc>
          <w:tcPr>
            <w:tcW w:w="2247" w:type="dxa"/>
          </w:tcPr>
          <w:p>
            <w:pPr>
              <w:pStyle w:val="TableParagraph"/>
              <w:ind w:left="103" w:right="300"/>
              <w:rPr>
                <w:sz w:val="24"/>
              </w:rPr>
            </w:pPr>
            <w:r>
              <w:rPr>
                <w:sz w:val="24"/>
              </w:rPr>
              <w:t>“Sí, el acoso callejero también es violencia”.</w:t>
            </w:r>
          </w:p>
        </w:tc>
      </w:tr>
      <w:tr>
        <w:trPr>
          <w:trHeight w:val="1942" w:hRule="exact"/>
        </w:trPr>
        <w:tc>
          <w:tcPr>
            <w:tcW w:w="1952" w:type="dxa"/>
          </w:tcPr>
          <w:p>
            <w:pPr>
              <w:pStyle w:val="TableParagraph"/>
              <w:ind w:left="103"/>
              <w:rPr>
                <w:sz w:val="24"/>
              </w:rPr>
            </w:pPr>
            <w:r>
              <w:rPr>
                <w:sz w:val="24"/>
              </w:rPr>
              <w:t>Violencia económica.</w:t>
            </w:r>
          </w:p>
          <w:p>
            <w:pPr>
              <w:pStyle w:val="TableParagraph"/>
              <w:rPr>
                <w:b/>
                <w:sz w:val="24"/>
              </w:rPr>
            </w:pPr>
          </w:p>
          <w:p>
            <w:pPr>
              <w:pStyle w:val="TableParagraph"/>
              <w:ind w:left="103" w:right="178"/>
              <w:rPr>
                <w:sz w:val="24"/>
              </w:rPr>
            </w:pPr>
            <w:r>
              <w:rPr>
                <w:sz w:val="24"/>
              </w:rPr>
              <w:t>(Con enfoque hacia la mujer).</w:t>
            </w:r>
          </w:p>
        </w:tc>
        <w:tc>
          <w:tcPr>
            <w:tcW w:w="2537" w:type="dxa"/>
          </w:tcPr>
          <w:p>
            <w:pPr>
              <w:pStyle w:val="TableParagraph"/>
              <w:ind w:left="103" w:right="203"/>
              <w:rPr>
                <w:sz w:val="24"/>
              </w:rPr>
            </w:pPr>
            <w:r>
              <w:rPr>
                <w:sz w:val="24"/>
              </w:rPr>
              <w:t>Dos estudiantes, un hombre y una mujer, se encuentran sentados en una mesa de cafetería.</w:t>
            </w:r>
          </w:p>
          <w:p>
            <w:pPr>
              <w:pStyle w:val="TableParagraph"/>
              <w:spacing w:before="11"/>
              <w:rPr>
                <w:b/>
                <w:sz w:val="23"/>
              </w:rPr>
            </w:pPr>
          </w:p>
          <w:p>
            <w:pPr>
              <w:pStyle w:val="TableParagraph"/>
              <w:ind w:left="103" w:right="113"/>
              <w:rPr>
                <w:sz w:val="24"/>
              </w:rPr>
            </w:pPr>
            <w:r>
              <w:rPr>
                <w:sz w:val="24"/>
              </w:rPr>
              <w:t>Ella tiene la intención</w:t>
            </w:r>
          </w:p>
        </w:tc>
        <w:tc>
          <w:tcPr>
            <w:tcW w:w="2247" w:type="dxa"/>
          </w:tcPr>
          <w:p>
            <w:pPr>
              <w:pStyle w:val="TableParagraph"/>
              <w:ind w:left="103" w:right="687"/>
              <w:rPr>
                <w:sz w:val="24"/>
              </w:rPr>
            </w:pPr>
            <w:r>
              <w:rPr>
                <w:sz w:val="24"/>
              </w:rPr>
              <w:t>“Tu dinero, tu derecho”.</w:t>
            </w:r>
          </w:p>
        </w:tc>
      </w:tr>
    </w:tbl>
    <w:p>
      <w:pPr>
        <w:spacing w:after="0"/>
        <w:rPr>
          <w:sz w:val="24"/>
        </w:rPr>
        <w:sectPr>
          <w:pgSz w:w="12240" w:h="15840"/>
          <w:pgMar w:header="0" w:footer="972" w:top="1420" w:bottom="1160" w:left="1720" w:right="1580"/>
        </w:sectPr>
      </w:pPr>
    </w:p>
    <w:tbl>
      <w:tblPr>
        <w:tblW w:w="0" w:type="auto"/>
        <w:jc w:val="left"/>
        <w:tblInd w:w="10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2537"/>
        <w:gridCol w:w="2247"/>
      </w:tblGrid>
      <w:tr>
        <w:trPr>
          <w:trHeight w:val="2770" w:hRule="exact"/>
        </w:trPr>
        <w:tc>
          <w:tcPr>
            <w:tcW w:w="1952" w:type="dxa"/>
          </w:tcPr>
          <w:p>
            <w:pPr/>
          </w:p>
        </w:tc>
        <w:tc>
          <w:tcPr>
            <w:tcW w:w="2537" w:type="dxa"/>
          </w:tcPr>
          <w:p>
            <w:pPr>
              <w:pStyle w:val="TableParagraph"/>
              <w:ind w:left="103" w:right="123"/>
              <w:rPr>
                <w:sz w:val="24"/>
              </w:rPr>
            </w:pPr>
            <w:r>
              <w:rPr>
                <w:sz w:val="24"/>
              </w:rPr>
              <w:t>de pagar la cuenta con un billete que sacó de su cartera y él intenta arrebatárselo y pagar con él.</w:t>
            </w:r>
          </w:p>
          <w:p>
            <w:pPr>
              <w:pStyle w:val="TableParagraph"/>
              <w:rPr>
                <w:b/>
                <w:sz w:val="24"/>
              </w:rPr>
            </w:pPr>
          </w:p>
          <w:p>
            <w:pPr>
              <w:pStyle w:val="TableParagraph"/>
              <w:ind w:left="103" w:right="510"/>
              <w:rPr>
                <w:sz w:val="24"/>
              </w:rPr>
            </w:pPr>
            <w:r>
              <w:rPr>
                <w:sz w:val="24"/>
              </w:rPr>
              <w:t>* Escenario: Cafetería escolar.</w:t>
            </w:r>
          </w:p>
        </w:tc>
        <w:tc>
          <w:tcPr>
            <w:tcW w:w="2247" w:type="dxa"/>
          </w:tcPr>
          <w:p>
            <w:pPr/>
          </w:p>
        </w:tc>
      </w:tr>
      <w:tr>
        <w:trPr>
          <w:trHeight w:val="4703" w:hRule="exact"/>
        </w:trPr>
        <w:tc>
          <w:tcPr>
            <w:tcW w:w="1952" w:type="dxa"/>
          </w:tcPr>
          <w:p>
            <w:pPr>
              <w:pStyle w:val="TableParagraph"/>
              <w:ind w:left="103"/>
              <w:rPr>
                <w:sz w:val="24"/>
              </w:rPr>
            </w:pPr>
            <w:r>
              <w:rPr>
                <w:sz w:val="24"/>
              </w:rPr>
              <w:t>Violencia económica.</w:t>
            </w:r>
          </w:p>
          <w:p>
            <w:pPr>
              <w:pStyle w:val="TableParagraph"/>
              <w:rPr>
                <w:b/>
                <w:sz w:val="24"/>
              </w:rPr>
            </w:pPr>
          </w:p>
          <w:p>
            <w:pPr>
              <w:pStyle w:val="TableParagraph"/>
              <w:ind w:left="103" w:right="364"/>
              <w:rPr>
                <w:sz w:val="24"/>
              </w:rPr>
            </w:pPr>
            <w:r>
              <w:rPr>
                <w:sz w:val="24"/>
              </w:rPr>
              <w:t>(Con enfoque hacia el hombre).</w:t>
            </w:r>
          </w:p>
        </w:tc>
        <w:tc>
          <w:tcPr>
            <w:tcW w:w="2537" w:type="dxa"/>
          </w:tcPr>
          <w:p>
            <w:pPr>
              <w:pStyle w:val="TableParagraph"/>
              <w:ind w:left="103" w:right="203"/>
              <w:rPr>
                <w:sz w:val="24"/>
              </w:rPr>
            </w:pPr>
            <w:r>
              <w:rPr>
                <w:sz w:val="24"/>
              </w:rPr>
              <w:t>Dos estudiantes, un hombre y una mujer, se encuentran sentados en una mesa de cafetería.</w:t>
            </w:r>
          </w:p>
          <w:p>
            <w:pPr>
              <w:pStyle w:val="TableParagraph"/>
              <w:rPr>
                <w:b/>
                <w:sz w:val="24"/>
              </w:rPr>
            </w:pPr>
          </w:p>
          <w:p>
            <w:pPr>
              <w:pStyle w:val="TableParagraph"/>
              <w:ind w:left="103" w:right="123"/>
              <w:rPr>
                <w:sz w:val="24"/>
              </w:rPr>
            </w:pPr>
            <w:r>
              <w:rPr>
                <w:sz w:val="24"/>
              </w:rPr>
              <w:t>Ella tiene la intención de pagar la cuenta con un billete que sacó de su cartera y él intenta arrebatárselo y pagar con él.</w:t>
            </w:r>
          </w:p>
          <w:p>
            <w:pPr>
              <w:pStyle w:val="TableParagraph"/>
              <w:rPr>
                <w:b/>
                <w:sz w:val="24"/>
              </w:rPr>
            </w:pPr>
          </w:p>
          <w:p>
            <w:pPr>
              <w:pStyle w:val="TableParagraph"/>
              <w:ind w:left="103" w:right="510"/>
              <w:rPr>
                <w:sz w:val="24"/>
              </w:rPr>
            </w:pPr>
            <w:r>
              <w:rPr>
                <w:sz w:val="24"/>
              </w:rPr>
              <w:t>* Escenario: Cafetería escolar.</w:t>
            </w:r>
          </w:p>
        </w:tc>
        <w:tc>
          <w:tcPr>
            <w:tcW w:w="2247" w:type="dxa"/>
          </w:tcPr>
          <w:p>
            <w:pPr>
              <w:pStyle w:val="TableParagraph"/>
              <w:ind w:left="103" w:right="620"/>
              <w:rPr>
                <w:sz w:val="24"/>
              </w:rPr>
            </w:pPr>
            <w:r>
              <w:rPr>
                <w:sz w:val="24"/>
              </w:rPr>
              <w:t>“Su dinero, su derecho”.</w:t>
            </w:r>
          </w:p>
        </w:tc>
      </w:tr>
      <w:tr>
        <w:trPr>
          <w:trHeight w:val="3046" w:hRule="exact"/>
        </w:trPr>
        <w:tc>
          <w:tcPr>
            <w:tcW w:w="1952" w:type="dxa"/>
          </w:tcPr>
          <w:p>
            <w:pPr>
              <w:pStyle w:val="TableParagraph"/>
              <w:spacing w:line="272" w:lineRule="exact"/>
              <w:ind w:left="103"/>
              <w:rPr>
                <w:sz w:val="24"/>
              </w:rPr>
            </w:pPr>
            <w:r>
              <w:rPr>
                <w:sz w:val="24"/>
              </w:rPr>
              <w:t>Feminicidio.</w:t>
            </w:r>
          </w:p>
        </w:tc>
        <w:tc>
          <w:tcPr>
            <w:tcW w:w="2537" w:type="dxa"/>
          </w:tcPr>
          <w:p>
            <w:pPr>
              <w:pStyle w:val="TableParagraph"/>
              <w:ind w:left="103" w:right="136"/>
              <w:rPr>
                <w:sz w:val="24"/>
              </w:rPr>
            </w:pPr>
            <w:r>
              <w:rPr>
                <w:sz w:val="24"/>
              </w:rPr>
              <w:t>Una joven aparentemente golpeada y amarrada se encuentra tirada en un terreno baldío. Frente a ella hay dos hombres.</w:t>
            </w:r>
          </w:p>
          <w:p>
            <w:pPr>
              <w:pStyle w:val="TableParagraph"/>
              <w:rPr>
                <w:b/>
                <w:sz w:val="24"/>
              </w:rPr>
            </w:pPr>
          </w:p>
          <w:p>
            <w:pPr>
              <w:pStyle w:val="TableParagraph"/>
              <w:ind w:left="103" w:right="203"/>
              <w:rPr>
                <w:sz w:val="24"/>
              </w:rPr>
            </w:pPr>
            <w:r>
              <w:rPr>
                <w:sz w:val="24"/>
              </w:rPr>
              <w:t>* Escenario: Terreno baldío.</w:t>
            </w:r>
          </w:p>
        </w:tc>
        <w:tc>
          <w:tcPr>
            <w:tcW w:w="2247" w:type="dxa"/>
          </w:tcPr>
          <w:p>
            <w:pPr>
              <w:pStyle w:val="TableParagraph"/>
              <w:ind w:left="103" w:right="193"/>
              <w:rPr>
                <w:sz w:val="24"/>
              </w:rPr>
            </w:pPr>
            <w:r>
              <w:rPr>
                <w:sz w:val="24"/>
              </w:rPr>
              <w:t>“El feminicidio NO es una muerte NATURAL”.</w:t>
            </w:r>
          </w:p>
        </w:tc>
      </w:tr>
    </w:tbl>
    <w:p>
      <w:pPr>
        <w:spacing w:after="0"/>
        <w:rPr>
          <w:sz w:val="24"/>
        </w:rPr>
        <w:sectPr>
          <w:pgSz w:w="12240" w:h="15840"/>
          <w:pgMar w:header="0" w:footer="972" w:top="1420" w:bottom="1160" w:left="1720" w:right="1580"/>
        </w:sectPr>
      </w:pPr>
    </w:p>
    <w:p>
      <w:pPr>
        <w:spacing w:before="57"/>
        <w:ind w:left="102" w:right="601" w:firstLine="0"/>
        <w:jc w:val="left"/>
        <w:rPr>
          <w:b/>
          <w:sz w:val="24"/>
        </w:rPr>
      </w:pPr>
      <w:r>
        <w:rPr>
          <w:b/>
          <w:sz w:val="24"/>
        </w:rPr>
        <w:t>FASE 2.</w:t>
      </w:r>
    </w:p>
    <w:p>
      <w:pPr>
        <w:pStyle w:val="BodyText"/>
        <w:spacing w:before="6" w:after="1"/>
        <w:rPr>
          <w:b/>
          <w:sz w:val="29"/>
        </w:rPr>
      </w:pPr>
    </w:p>
    <w:tbl>
      <w:tblPr>
        <w:tblW w:w="0" w:type="auto"/>
        <w:jc w:val="left"/>
        <w:tblInd w:w="1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5"/>
        <w:gridCol w:w="2244"/>
        <w:gridCol w:w="2247"/>
      </w:tblGrid>
      <w:tr>
        <w:trPr>
          <w:trHeight w:val="286" w:hRule="exact"/>
        </w:trPr>
        <w:tc>
          <w:tcPr>
            <w:tcW w:w="2245" w:type="dxa"/>
          </w:tcPr>
          <w:p>
            <w:pPr>
              <w:pStyle w:val="TableParagraph"/>
              <w:spacing w:line="272" w:lineRule="exact"/>
              <w:ind w:left="683" w:right="391"/>
              <w:rPr>
                <w:b/>
                <w:sz w:val="24"/>
              </w:rPr>
            </w:pPr>
            <w:r>
              <w:rPr>
                <w:b/>
                <w:sz w:val="24"/>
              </w:rPr>
              <w:t>TÍTULO</w:t>
            </w:r>
          </w:p>
        </w:tc>
        <w:tc>
          <w:tcPr>
            <w:tcW w:w="2244" w:type="dxa"/>
          </w:tcPr>
          <w:p>
            <w:pPr>
              <w:pStyle w:val="TableParagraph"/>
              <w:spacing w:line="272" w:lineRule="exact"/>
              <w:ind w:left="635" w:right="137"/>
              <w:rPr>
                <w:b/>
                <w:sz w:val="24"/>
              </w:rPr>
            </w:pPr>
            <w:r>
              <w:rPr>
                <w:b/>
                <w:sz w:val="24"/>
              </w:rPr>
              <w:t>IMAGEN</w:t>
            </w:r>
          </w:p>
        </w:tc>
        <w:tc>
          <w:tcPr>
            <w:tcW w:w="2247" w:type="dxa"/>
          </w:tcPr>
          <w:p>
            <w:pPr>
              <w:pStyle w:val="TableParagraph"/>
              <w:spacing w:line="272" w:lineRule="exact"/>
              <w:ind w:left="717" w:right="179"/>
              <w:rPr>
                <w:b/>
                <w:sz w:val="24"/>
              </w:rPr>
            </w:pPr>
            <w:r>
              <w:rPr>
                <w:b/>
                <w:sz w:val="24"/>
              </w:rPr>
              <w:t>TEXTO</w:t>
            </w:r>
          </w:p>
        </w:tc>
      </w:tr>
      <w:tr>
        <w:trPr>
          <w:trHeight w:val="3598" w:hRule="exact"/>
        </w:trPr>
        <w:tc>
          <w:tcPr>
            <w:tcW w:w="2245" w:type="dxa"/>
          </w:tcPr>
          <w:p>
            <w:pPr>
              <w:pStyle w:val="TableParagraph"/>
              <w:ind w:left="103" w:right="391"/>
              <w:rPr>
                <w:sz w:val="24"/>
              </w:rPr>
            </w:pPr>
            <w:r>
              <w:rPr>
                <w:sz w:val="24"/>
              </w:rPr>
              <w:t>Erradicación del estereotipo de género 1.</w:t>
            </w:r>
          </w:p>
        </w:tc>
        <w:tc>
          <w:tcPr>
            <w:tcW w:w="2244" w:type="dxa"/>
          </w:tcPr>
          <w:p>
            <w:pPr>
              <w:pStyle w:val="TableParagraph"/>
              <w:ind w:left="103" w:right="137"/>
              <w:rPr>
                <w:sz w:val="24"/>
              </w:rPr>
            </w:pPr>
            <w:r>
              <w:rPr>
                <w:sz w:val="24"/>
              </w:rPr>
              <w:t>Dentro de un televisor, se muestra la imagen de una mujer conduciendo un taxi. En la parte trasera de ella, se encuentra un pasajero.</w:t>
            </w:r>
          </w:p>
          <w:p>
            <w:pPr>
              <w:pStyle w:val="TableParagraph"/>
              <w:rPr>
                <w:b/>
                <w:sz w:val="24"/>
              </w:rPr>
            </w:pPr>
          </w:p>
          <w:p>
            <w:pPr>
              <w:pStyle w:val="TableParagraph"/>
              <w:ind w:left="103" w:right="817"/>
              <w:rPr>
                <w:sz w:val="24"/>
              </w:rPr>
            </w:pPr>
            <w:r>
              <w:rPr>
                <w:sz w:val="24"/>
              </w:rPr>
              <w:t>* Escenario: Televisor.</w:t>
            </w:r>
          </w:p>
        </w:tc>
        <w:tc>
          <w:tcPr>
            <w:tcW w:w="2247" w:type="dxa"/>
          </w:tcPr>
          <w:p>
            <w:pPr>
              <w:pStyle w:val="TableParagraph"/>
              <w:ind w:left="103" w:right="206"/>
              <w:rPr>
                <w:sz w:val="24"/>
              </w:rPr>
            </w:pPr>
            <w:r>
              <w:rPr>
                <w:sz w:val="24"/>
              </w:rPr>
              <w:t>“Los medios de comunicación en pro de la igualdad entre hombres y mujeres”.</w:t>
            </w:r>
          </w:p>
        </w:tc>
      </w:tr>
      <w:tr>
        <w:trPr>
          <w:trHeight w:val="3046" w:hRule="exact"/>
        </w:trPr>
        <w:tc>
          <w:tcPr>
            <w:tcW w:w="2245" w:type="dxa"/>
          </w:tcPr>
          <w:p>
            <w:pPr>
              <w:pStyle w:val="TableParagraph"/>
              <w:ind w:left="103" w:right="391"/>
              <w:rPr>
                <w:sz w:val="24"/>
              </w:rPr>
            </w:pPr>
            <w:r>
              <w:rPr>
                <w:sz w:val="24"/>
              </w:rPr>
              <w:t>Erradicación del estereotipo de género 2.</w:t>
            </w:r>
          </w:p>
        </w:tc>
        <w:tc>
          <w:tcPr>
            <w:tcW w:w="2244" w:type="dxa"/>
          </w:tcPr>
          <w:p>
            <w:pPr>
              <w:pStyle w:val="TableParagraph"/>
              <w:ind w:left="103" w:right="123"/>
              <w:rPr>
                <w:sz w:val="24"/>
              </w:rPr>
            </w:pPr>
            <w:r>
              <w:rPr>
                <w:sz w:val="24"/>
              </w:rPr>
              <w:t>Dentro de un televisor, se muestra la imagen de un hombre y una mujer en una cocina preparando alimentos.</w:t>
            </w:r>
          </w:p>
          <w:p>
            <w:pPr>
              <w:pStyle w:val="TableParagraph"/>
              <w:rPr>
                <w:b/>
                <w:sz w:val="24"/>
              </w:rPr>
            </w:pPr>
          </w:p>
          <w:p>
            <w:pPr>
              <w:pStyle w:val="TableParagraph"/>
              <w:ind w:left="103" w:right="817"/>
              <w:rPr>
                <w:sz w:val="24"/>
              </w:rPr>
            </w:pPr>
            <w:r>
              <w:rPr>
                <w:sz w:val="24"/>
              </w:rPr>
              <w:t>* Escenario: Televisor.</w:t>
            </w:r>
          </w:p>
        </w:tc>
        <w:tc>
          <w:tcPr>
            <w:tcW w:w="2247" w:type="dxa"/>
          </w:tcPr>
          <w:p>
            <w:pPr>
              <w:pStyle w:val="TableParagraph"/>
              <w:ind w:left="103" w:right="206"/>
              <w:rPr>
                <w:sz w:val="24"/>
              </w:rPr>
            </w:pPr>
            <w:r>
              <w:rPr>
                <w:sz w:val="24"/>
              </w:rPr>
              <w:t>“Los medios de comunicación en pro de la igualdad entre hombres y mujeres”.</w:t>
            </w:r>
          </w:p>
        </w:tc>
      </w:tr>
      <w:tr>
        <w:trPr>
          <w:trHeight w:val="4150" w:hRule="exact"/>
        </w:trPr>
        <w:tc>
          <w:tcPr>
            <w:tcW w:w="2245" w:type="dxa"/>
          </w:tcPr>
          <w:p>
            <w:pPr>
              <w:pStyle w:val="TableParagraph"/>
              <w:spacing w:line="272" w:lineRule="exact"/>
              <w:ind w:left="103" w:right="391"/>
              <w:rPr>
                <w:sz w:val="24"/>
              </w:rPr>
            </w:pPr>
            <w:r>
              <w:rPr>
                <w:sz w:val="24"/>
              </w:rPr>
              <w:t>Pro igualdad 1.</w:t>
            </w:r>
          </w:p>
          <w:p>
            <w:pPr>
              <w:pStyle w:val="TableParagraph"/>
              <w:rPr>
                <w:b/>
                <w:sz w:val="24"/>
              </w:rPr>
            </w:pPr>
          </w:p>
          <w:p>
            <w:pPr>
              <w:pStyle w:val="TableParagraph"/>
              <w:ind w:left="103" w:right="471"/>
              <w:rPr>
                <w:sz w:val="24"/>
              </w:rPr>
            </w:pPr>
            <w:r>
              <w:rPr>
                <w:sz w:val="24"/>
              </w:rPr>
              <w:t>(Con enfoque hacia la mujer).</w:t>
            </w:r>
          </w:p>
        </w:tc>
        <w:tc>
          <w:tcPr>
            <w:tcW w:w="2244" w:type="dxa"/>
          </w:tcPr>
          <w:p>
            <w:pPr>
              <w:pStyle w:val="TableParagraph"/>
              <w:ind w:left="103" w:right="203"/>
              <w:rPr>
                <w:sz w:val="24"/>
              </w:rPr>
            </w:pPr>
            <w:r>
              <w:rPr>
                <w:sz w:val="24"/>
              </w:rPr>
              <w:t>Se muestra la mano de una mujer y de un hombre formando un óvalo, proyectando la colaboración para una cultura de igualdad entre ambos.</w:t>
            </w:r>
          </w:p>
          <w:p>
            <w:pPr>
              <w:pStyle w:val="TableParagraph"/>
              <w:rPr>
                <w:b/>
                <w:sz w:val="24"/>
              </w:rPr>
            </w:pPr>
          </w:p>
          <w:p>
            <w:pPr>
              <w:pStyle w:val="TableParagraph"/>
              <w:ind w:left="103" w:right="657"/>
              <w:rPr>
                <w:sz w:val="24"/>
              </w:rPr>
            </w:pPr>
            <w:r>
              <w:rPr>
                <w:sz w:val="24"/>
              </w:rPr>
              <w:t>* Escenario: Fondo blanco luminoso.</w:t>
            </w:r>
          </w:p>
        </w:tc>
        <w:tc>
          <w:tcPr>
            <w:tcW w:w="2247" w:type="dxa"/>
          </w:tcPr>
          <w:p>
            <w:pPr>
              <w:pStyle w:val="TableParagraph"/>
              <w:ind w:left="103" w:right="103"/>
              <w:rPr>
                <w:sz w:val="24"/>
              </w:rPr>
            </w:pPr>
            <w:r>
              <w:rPr>
                <w:sz w:val="24"/>
              </w:rPr>
              <w:t>“El cambio está en tus manos, y en las de él,</w:t>
            </w:r>
            <w:r>
              <w:rPr>
                <w:spacing w:val="-5"/>
                <w:sz w:val="24"/>
              </w:rPr>
              <w:t> </w:t>
            </w:r>
            <w:r>
              <w:rPr>
                <w:sz w:val="24"/>
              </w:rPr>
              <w:t>también”.</w:t>
            </w:r>
          </w:p>
        </w:tc>
      </w:tr>
      <w:tr>
        <w:trPr>
          <w:trHeight w:val="1114" w:hRule="exact"/>
        </w:trPr>
        <w:tc>
          <w:tcPr>
            <w:tcW w:w="2245" w:type="dxa"/>
          </w:tcPr>
          <w:p>
            <w:pPr>
              <w:pStyle w:val="TableParagraph"/>
              <w:spacing w:line="272" w:lineRule="exact"/>
              <w:ind w:left="103" w:right="391"/>
              <w:rPr>
                <w:sz w:val="24"/>
              </w:rPr>
            </w:pPr>
            <w:r>
              <w:rPr>
                <w:sz w:val="24"/>
              </w:rPr>
              <w:t>Pro igualdad 1.</w:t>
            </w:r>
          </w:p>
          <w:p>
            <w:pPr>
              <w:pStyle w:val="TableParagraph"/>
              <w:spacing w:before="11"/>
              <w:rPr>
                <w:b/>
                <w:sz w:val="23"/>
              </w:rPr>
            </w:pPr>
          </w:p>
          <w:p>
            <w:pPr>
              <w:pStyle w:val="TableParagraph"/>
              <w:ind w:left="103" w:right="257"/>
              <w:rPr>
                <w:sz w:val="24"/>
              </w:rPr>
            </w:pPr>
            <w:r>
              <w:rPr>
                <w:sz w:val="24"/>
              </w:rPr>
              <w:t>(Con enfoque hacia el hombre).</w:t>
            </w:r>
          </w:p>
        </w:tc>
        <w:tc>
          <w:tcPr>
            <w:tcW w:w="2244" w:type="dxa"/>
          </w:tcPr>
          <w:p>
            <w:pPr>
              <w:pStyle w:val="TableParagraph"/>
              <w:spacing w:line="276" w:lineRule="exact"/>
              <w:ind w:left="103" w:right="217"/>
              <w:rPr>
                <w:sz w:val="24"/>
              </w:rPr>
            </w:pPr>
            <w:r>
              <w:rPr>
                <w:sz w:val="24"/>
              </w:rPr>
              <w:t>Se muestra la mano de una mujer y de un hombre formando</w:t>
            </w:r>
          </w:p>
        </w:tc>
        <w:tc>
          <w:tcPr>
            <w:tcW w:w="2247" w:type="dxa"/>
          </w:tcPr>
          <w:p>
            <w:pPr>
              <w:pStyle w:val="TableParagraph"/>
              <w:spacing w:line="276" w:lineRule="exact"/>
              <w:ind w:left="103" w:right="133"/>
              <w:rPr>
                <w:sz w:val="24"/>
              </w:rPr>
            </w:pPr>
            <w:r>
              <w:rPr>
                <w:sz w:val="24"/>
              </w:rPr>
              <w:t>“El cambio está en tus manos, y en las de ella, también”.</w:t>
            </w:r>
          </w:p>
        </w:tc>
      </w:tr>
    </w:tbl>
    <w:p>
      <w:pPr>
        <w:spacing w:after="0" w:line="276" w:lineRule="exact"/>
        <w:rPr>
          <w:sz w:val="24"/>
        </w:rPr>
        <w:sectPr>
          <w:pgSz w:w="12240" w:h="15840"/>
          <w:pgMar w:header="0" w:footer="972" w:top="1360" w:bottom="1160" w:left="1600" w:right="1580"/>
        </w:sectPr>
      </w:pPr>
    </w:p>
    <w:tbl>
      <w:tblPr>
        <w:tblW w:w="0" w:type="auto"/>
        <w:jc w:val="left"/>
        <w:tblInd w:w="1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5"/>
        <w:gridCol w:w="2244"/>
        <w:gridCol w:w="2247"/>
      </w:tblGrid>
      <w:tr>
        <w:trPr>
          <w:trHeight w:val="3046" w:hRule="exact"/>
        </w:trPr>
        <w:tc>
          <w:tcPr>
            <w:tcW w:w="2245" w:type="dxa"/>
          </w:tcPr>
          <w:p>
            <w:pPr/>
          </w:p>
        </w:tc>
        <w:tc>
          <w:tcPr>
            <w:tcW w:w="2244" w:type="dxa"/>
          </w:tcPr>
          <w:p>
            <w:pPr>
              <w:pStyle w:val="TableParagraph"/>
              <w:ind w:left="103" w:right="203"/>
              <w:rPr>
                <w:sz w:val="24"/>
              </w:rPr>
            </w:pPr>
            <w:r>
              <w:rPr>
                <w:sz w:val="24"/>
              </w:rPr>
              <w:t>un óvalo, proyectando la colaboración para una cultura de igualdad entre ambos.</w:t>
            </w:r>
          </w:p>
          <w:p>
            <w:pPr>
              <w:pStyle w:val="TableParagraph"/>
              <w:rPr>
                <w:b/>
                <w:sz w:val="24"/>
              </w:rPr>
            </w:pPr>
          </w:p>
          <w:p>
            <w:pPr>
              <w:pStyle w:val="TableParagraph"/>
              <w:ind w:left="103" w:right="657"/>
              <w:rPr>
                <w:sz w:val="24"/>
              </w:rPr>
            </w:pPr>
            <w:r>
              <w:rPr>
                <w:sz w:val="24"/>
              </w:rPr>
              <w:t>* Escenario: Fondo blanco luminoso.</w:t>
            </w:r>
          </w:p>
        </w:tc>
        <w:tc>
          <w:tcPr>
            <w:tcW w:w="2247" w:type="dxa"/>
          </w:tcPr>
          <w:p>
            <w:pPr/>
          </w:p>
        </w:tc>
      </w:tr>
      <w:tr>
        <w:trPr>
          <w:trHeight w:val="2770" w:hRule="exact"/>
        </w:trPr>
        <w:tc>
          <w:tcPr>
            <w:tcW w:w="2245" w:type="dxa"/>
          </w:tcPr>
          <w:p>
            <w:pPr>
              <w:pStyle w:val="TableParagraph"/>
              <w:spacing w:line="272" w:lineRule="exact"/>
              <w:ind w:left="103" w:right="391"/>
              <w:rPr>
                <w:sz w:val="24"/>
              </w:rPr>
            </w:pPr>
            <w:r>
              <w:rPr>
                <w:sz w:val="24"/>
              </w:rPr>
              <w:t>Pro igualdad 2.</w:t>
            </w:r>
          </w:p>
        </w:tc>
        <w:tc>
          <w:tcPr>
            <w:tcW w:w="2244" w:type="dxa"/>
          </w:tcPr>
          <w:p>
            <w:pPr>
              <w:pStyle w:val="TableParagraph"/>
              <w:ind w:left="103" w:right="117"/>
              <w:rPr>
                <w:sz w:val="24"/>
              </w:rPr>
            </w:pPr>
            <w:r>
              <w:rPr>
                <w:sz w:val="24"/>
              </w:rPr>
              <w:t>Aparece una joven con los labios cocidos a la mitad y la mano de un hombre retirando el hilo.</w:t>
            </w:r>
          </w:p>
          <w:p>
            <w:pPr>
              <w:pStyle w:val="TableParagraph"/>
              <w:rPr>
                <w:b/>
                <w:sz w:val="24"/>
              </w:rPr>
            </w:pPr>
          </w:p>
          <w:p>
            <w:pPr>
              <w:pStyle w:val="TableParagraph"/>
              <w:ind w:left="103" w:right="590"/>
              <w:rPr>
                <w:sz w:val="24"/>
              </w:rPr>
            </w:pPr>
            <w:r>
              <w:rPr>
                <w:sz w:val="24"/>
              </w:rPr>
              <w:t>* Escenario: Fondo blanco.</w:t>
            </w:r>
          </w:p>
        </w:tc>
        <w:tc>
          <w:tcPr>
            <w:tcW w:w="2247" w:type="dxa"/>
          </w:tcPr>
          <w:p>
            <w:pPr>
              <w:pStyle w:val="TableParagraph"/>
              <w:ind w:left="103" w:right="540"/>
              <w:rPr>
                <w:sz w:val="24"/>
              </w:rPr>
            </w:pPr>
            <w:r>
              <w:rPr>
                <w:sz w:val="24"/>
              </w:rPr>
              <w:t>“Expresarte en igualdad es tu derecho”</w:t>
            </w:r>
          </w:p>
        </w:tc>
      </w:tr>
    </w:tbl>
    <w:p>
      <w:pPr>
        <w:pStyle w:val="BodyText"/>
        <w:rPr>
          <w:b/>
          <w:sz w:val="20"/>
        </w:rPr>
      </w:pPr>
    </w:p>
    <w:p>
      <w:pPr>
        <w:pStyle w:val="BodyText"/>
        <w:spacing w:before="1"/>
        <w:rPr>
          <w:b/>
          <w:sz w:val="27"/>
        </w:rPr>
      </w:pPr>
    </w:p>
    <w:p>
      <w:pPr>
        <w:pStyle w:val="ListParagraph"/>
        <w:numPr>
          <w:ilvl w:val="0"/>
          <w:numId w:val="3"/>
        </w:numPr>
        <w:tabs>
          <w:tab w:pos="822" w:val="left" w:leader="none"/>
        </w:tabs>
        <w:spacing w:line="360" w:lineRule="auto" w:before="69" w:after="0"/>
        <w:ind w:left="822" w:right="121" w:hanging="360"/>
        <w:jc w:val="both"/>
        <w:rPr>
          <w:sz w:val="24"/>
        </w:rPr>
      </w:pPr>
      <w:r>
        <w:rPr>
          <w:b/>
          <w:sz w:val="24"/>
        </w:rPr>
        <w:t>Separadores. </w:t>
      </w:r>
      <w:r>
        <w:rPr>
          <w:sz w:val="24"/>
        </w:rPr>
        <w:t>Son de color morado por ambos lados. En el frente se muestra el logotipo de la campaña “Y TÚ, ¿DE QUÉ LADO ESTÁS?” centrado. En el lado posterior, aparece una de las siguientes</w:t>
      </w:r>
      <w:r>
        <w:rPr>
          <w:spacing w:val="-27"/>
          <w:sz w:val="24"/>
        </w:rPr>
        <w:t> </w:t>
      </w:r>
      <w:r>
        <w:rPr>
          <w:sz w:val="24"/>
        </w:rPr>
        <w:t>frases:</w:t>
      </w:r>
    </w:p>
    <w:p>
      <w:pPr>
        <w:pStyle w:val="ListParagraph"/>
        <w:numPr>
          <w:ilvl w:val="0"/>
          <w:numId w:val="2"/>
        </w:numPr>
        <w:tabs>
          <w:tab w:pos="249" w:val="left" w:leader="none"/>
        </w:tabs>
        <w:spacing w:line="240" w:lineRule="auto" w:before="204" w:after="0"/>
        <w:ind w:left="248" w:right="0" w:hanging="146"/>
        <w:jc w:val="left"/>
        <w:rPr>
          <w:sz w:val="24"/>
        </w:rPr>
      </w:pPr>
      <w:r>
        <w:rPr>
          <w:sz w:val="24"/>
        </w:rPr>
        <w:t>“Todos y todas hacemos el cambio, ¡di no a la violencia contra las</w:t>
      </w:r>
      <w:r>
        <w:rPr>
          <w:spacing w:val="-23"/>
          <w:sz w:val="24"/>
        </w:rPr>
        <w:t> </w:t>
      </w:r>
      <w:r>
        <w:rPr>
          <w:sz w:val="24"/>
        </w:rPr>
        <w:t>mujeres!”.</w:t>
      </w:r>
    </w:p>
    <w:p>
      <w:pPr>
        <w:pStyle w:val="BodyText"/>
        <w:spacing w:before="4"/>
        <w:rPr>
          <w:sz w:val="29"/>
        </w:rPr>
      </w:pPr>
    </w:p>
    <w:p>
      <w:pPr>
        <w:pStyle w:val="ListParagraph"/>
        <w:numPr>
          <w:ilvl w:val="0"/>
          <w:numId w:val="2"/>
        </w:numPr>
        <w:tabs>
          <w:tab w:pos="249" w:val="left" w:leader="none"/>
        </w:tabs>
        <w:spacing w:line="240" w:lineRule="auto" w:before="1" w:after="0"/>
        <w:ind w:left="248" w:right="0" w:hanging="146"/>
        <w:jc w:val="left"/>
        <w:rPr>
          <w:sz w:val="24"/>
        </w:rPr>
      </w:pPr>
      <w:r>
        <w:rPr>
          <w:sz w:val="24"/>
        </w:rPr>
        <w:t>“Todos y todas por una sociedad de igualdad entre hombres y</w:t>
      </w:r>
      <w:r>
        <w:rPr>
          <w:spacing w:val="-23"/>
          <w:sz w:val="24"/>
        </w:rPr>
        <w:t> </w:t>
      </w:r>
      <w:r>
        <w:rPr>
          <w:sz w:val="24"/>
        </w:rPr>
        <w:t>mujeres”.</w:t>
      </w:r>
    </w:p>
    <w:p>
      <w:pPr>
        <w:pStyle w:val="BodyText"/>
        <w:spacing w:before="2"/>
        <w:rPr>
          <w:sz w:val="29"/>
        </w:rPr>
      </w:pPr>
    </w:p>
    <w:p>
      <w:pPr>
        <w:pStyle w:val="ListParagraph"/>
        <w:numPr>
          <w:ilvl w:val="0"/>
          <w:numId w:val="2"/>
        </w:numPr>
        <w:tabs>
          <w:tab w:pos="249" w:val="left" w:leader="none"/>
        </w:tabs>
        <w:spacing w:line="240" w:lineRule="auto" w:before="0" w:after="0"/>
        <w:ind w:left="248" w:right="0" w:hanging="146"/>
        <w:jc w:val="left"/>
        <w:rPr>
          <w:sz w:val="24"/>
        </w:rPr>
      </w:pPr>
      <w:r>
        <w:rPr>
          <w:sz w:val="24"/>
        </w:rPr>
        <w:t>“Comunicólogxs actuando por una sociedad libre de violencia contra las</w:t>
      </w:r>
      <w:r>
        <w:rPr>
          <w:spacing w:val="-21"/>
          <w:sz w:val="24"/>
        </w:rPr>
        <w:t> </w:t>
      </w:r>
      <w:r>
        <w:rPr>
          <w:sz w:val="24"/>
        </w:rPr>
        <w:t>mujeres”</w:t>
      </w:r>
    </w:p>
    <w:p>
      <w:pPr>
        <w:pStyle w:val="BodyText"/>
        <w:spacing w:before="4"/>
        <w:rPr>
          <w:sz w:val="29"/>
        </w:rPr>
      </w:pPr>
    </w:p>
    <w:p>
      <w:pPr>
        <w:pStyle w:val="ListParagraph"/>
        <w:numPr>
          <w:ilvl w:val="0"/>
          <w:numId w:val="2"/>
        </w:numPr>
        <w:tabs>
          <w:tab w:pos="249" w:val="left" w:leader="none"/>
        </w:tabs>
        <w:spacing w:line="240" w:lineRule="auto" w:before="1" w:after="0"/>
        <w:ind w:left="248" w:right="0" w:hanging="146"/>
        <w:jc w:val="left"/>
        <w:rPr>
          <w:sz w:val="24"/>
        </w:rPr>
      </w:pPr>
      <w:r>
        <w:rPr>
          <w:sz w:val="24"/>
        </w:rPr>
        <w:t>“Comunicólogxs en pro de la igualdad de</w:t>
      </w:r>
      <w:r>
        <w:rPr>
          <w:spacing w:val="-15"/>
          <w:sz w:val="24"/>
        </w:rPr>
        <w:t> </w:t>
      </w:r>
      <w:r>
        <w:rPr>
          <w:sz w:val="24"/>
        </w:rPr>
        <w:t>género”.</w:t>
      </w:r>
    </w:p>
    <w:p>
      <w:pPr>
        <w:pStyle w:val="BodyText"/>
        <w:spacing w:before="5"/>
        <w:rPr>
          <w:sz w:val="29"/>
        </w:rPr>
      </w:pPr>
    </w:p>
    <w:p>
      <w:pPr>
        <w:pStyle w:val="BodyText"/>
        <w:spacing w:line="360" w:lineRule="auto"/>
        <w:ind w:left="102" w:right="601"/>
      </w:pPr>
      <w:r>
        <w:rPr/>
        <w:t>En la parte superior (perforada) se encuentra un margen circular interno color naranja, donde se cruza  un listón del mismo color.</w:t>
      </w:r>
    </w:p>
    <w:p>
      <w:pPr>
        <w:pStyle w:val="ListParagraph"/>
        <w:numPr>
          <w:ilvl w:val="0"/>
          <w:numId w:val="4"/>
        </w:numPr>
        <w:tabs>
          <w:tab w:pos="822" w:val="left" w:leader="none"/>
        </w:tabs>
        <w:spacing w:line="360" w:lineRule="auto" w:before="204" w:after="0"/>
        <w:ind w:left="822" w:right="118" w:hanging="360"/>
        <w:jc w:val="both"/>
        <w:rPr>
          <w:sz w:val="24"/>
        </w:rPr>
      </w:pPr>
      <w:r>
        <w:rPr>
          <w:b/>
          <w:sz w:val="24"/>
        </w:rPr>
        <w:t>Fólders. </w:t>
      </w:r>
      <w:r>
        <w:rPr>
          <w:sz w:val="24"/>
        </w:rPr>
        <w:t>Son color morado. En el frente se muestra el logotipo de la campaña “Y TÚ, ¿DE QUÉ LADO ESTÁS?” centrado. Debajo de éste se halla un apartado (en texto color blanco) con algunos correos electrónicos y números telefónicos de apoyo y orientación para personas en situación  </w:t>
      </w:r>
      <w:r>
        <w:rPr>
          <w:spacing w:val="48"/>
          <w:sz w:val="24"/>
        </w:rPr>
        <w:t> </w:t>
      </w:r>
      <w:r>
        <w:rPr>
          <w:sz w:val="24"/>
        </w:rPr>
        <w:t>de</w:t>
      </w:r>
    </w:p>
    <w:p>
      <w:pPr>
        <w:spacing w:after="0" w:line="360" w:lineRule="auto"/>
        <w:jc w:val="both"/>
        <w:rPr>
          <w:sz w:val="24"/>
        </w:rPr>
        <w:sectPr>
          <w:pgSz w:w="12240" w:h="15840"/>
          <w:pgMar w:header="0" w:footer="972" w:top="1420" w:bottom="1220" w:left="1600" w:right="1580"/>
        </w:sectPr>
      </w:pPr>
    </w:p>
    <w:p>
      <w:pPr>
        <w:pStyle w:val="BodyText"/>
        <w:spacing w:line="360" w:lineRule="auto" w:before="57"/>
        <w:ind w:left="821" w:right="118"/>
        <w:jc w:val="both"/>
      </w:pPr>
      <w:r>
        <w:rPr/>
        <w:t>violencia de género. Del lado contrario, se muestra el violentómetro con una afirmación en vertical y texto blanco que cita: “Sí, la violencia también se mide”; la palabra “violencia” aparece en color rojo como signo de alerta.</w:t>
      </w:r>
    </w:p>
    <w:p>
      <w:pPr>
        <w:pStyle w:val="BodyText"/>
        <w:spacing w:before="204"/>
        <w:ind w:left="102" w:right="601"/>
      </w:pPr>
      <w:r>
        <w:rPr/>
        <w:t>A continuación, se muestra la campaña propagandística en sus dos fases.</w:t>
      </w:r>
    </w:p>
    <w:p>
      <w:pPr>
        <w:pStyle w:val="BodyText"/>
        <w:spacing w:before="2"/>
        <w:rPr>
          <w:sz w:val="29"/>
        </w:rPr>
      </w:pPr>
    </w:p>
    <w:p>
      <w:pPr>
        <w:pStyle w:val="Heading1"/>
        <w:ind w:right="601"/>
      </w:pPr>
      <w:r>
        <w:rPr/>
        <w:t>FASE 1.</w:t>
      </w:r>
    </w:p>
    <w:p>
      <w:pPr>
        <w:pStyle w:val="BodyText"/>
        <w:spacing w:before="2"/>
        <w:rPr>
          <w:b/>
          <w:sz w:val="26"/>
        </w:rPr>
      </w:pPr>
      <w:r>
        <w:rPr/>
        <w:drawing>
          <wp:anchor distT="0" distB="0" distL="0" distR="0" allowOverlap="1" layoutInCell="1" locked="0" behindDoc="0" simplePos="0" relativeHeight="5200">
            <wp:simplePos x="0" y="0"/>
            <wp:positionH relativeFrom="page">
              <wp:posOffset>1543177</wp:posOffset>
            </wp:positionH>
            <wp:positionV relativeFrom="paragraph">
              <wp:posOffset>216243</wp:posOffset>
            </wp:positionV>
            <wp:extent cx="4663164" cy="3017520"/>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23" cstate="print"/>
                    <a:stretch>
                      <a:fillRect/>
                    </a:stretch>
                  </pic:blipFill>
                  <pic:spPr>
                    <a:xfrm>
                      <a:off x="0" y="0"/>
                      <a:ext cx="4663164" cy="3017520"/>
                    </a:xfrm>
                    <a:prstGeom prst="rect">
                      <a:avLst/>
                    </a:prstGeom>
                  </pic:spPr>
                </pic:pic>
              </a:graphicData>
            </a:graphic>
          </wp:anchor>
        </w:drawing>
      </w:r>
    </w:p>
    <w:p>
      <w:pPr>
        <w:pStyle w:val="BodyText"/>
        <w:spacing w:before="10"/>
        <w:rPr>
          <w:b/>
          <w:sz w:val="29"/>
        </w:rPr>
      </w:pPr>
    </w:p>
    <w:p>
      <w:pPr>
        <w:pStyle w:val="BodyText"/>
        <w:spacing w:before="1"/>
        <w:ind w:left="138" w:right="154"/>
        <w:jc w:val="center"/>
      </w:pPr>
      <w:r>
        <w:rPr/>
        <w:t>(Violencia Psicológica).</w:t>
      </w:r>
    </w:p>
    <w:p>
      <w:pPr>
        <w:spacing w:after="0"/>
        <w:jc w:val="center"/>
        <w:sectPr>
          <w:pgSz w:w="12240" w:h="15840"/>
          <w:pgMar w:header="0" w:footer="972" w:top="1360" w:bottom="1220" w:left="1600" w:right="1580"/>
        </w:sectPr>
      </w:pPr>
    </w:p>
    <w:p>
      <w:pPr>
        <w:pStyle w:val="BodyText"/>
        <w:ind w:left="785"/>
        <w:rPr>
          <w:sz w:val="20"/>
        </w:rPr>
      </w:pPr>
      <w:r>
        <w:rPr>
          <w:sz w:val="20"/>
        </w:rPr>
        <w:drawing>
          <wp:inline distT="0" distB="0" distL="0" distR="0">
            <wp:extent cx="4551328" cy="2944844"/>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25" cstate="print"/>
                    <a:stretch>
                      <a:fillRect/>
                    </a:stretch>
                  </pic:blipFill>
                  <pic:spPr>
                    <a:xfrm>
                      <a:off x="0" y="0"/>
                      <a:ext cx="4551328" cy="2944844"/>
                    </a:xfrm>
                    <a:prstGeom prst="rect">
                      <a:avLst/>
                    </a:prstGeom>
                  </pic:spPr>
                </pic:pic>
              </a:graphicData>
            </a:graphic>
          </wp:inline>
        </w:drawing>
      </w:r>
      <w:r>
        <w:rPr>
          <w:sz w:val="20"/>
        </w:rPr>
      </w:r>
    </w:p>
    <w:p>
      <w:pPr>
        <w:pStyle w:val="BodyText"/>
        <w:spacing w:before="5"/>
        <w:rPr>
          <w:sz w:val="27"/>
        </w:rPr>
      </w:pPr>
    </w:p>
    <w:p>
      <w:pPr>
        <w:pStyle w:val="BodyText"/>
        <w:spacing w:before="69"/>
        <w:ind w:left="1845" w:right="1984"/>
        <w:jc w:val="center"/>
      </w:pPr>
      <w:r>
        <w:rPr/>
        <w:t>(Violencia Física).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2"/>
        </w:rPr>
      </w:pPr>
      <w:r>
        <w:rPr/>
        <w:drawing>
          <wp:anchor distT="0" distB="0" distL="0" distR="0" allowOverlap="1" layoutInCell="1" locked="0" behindDoc="0" simplePos="0" relativeHeight="5224">
            <wp:simplePos x="0" y="0"/>
            <wp:positionH relativeFrom="page">
              <wp:posOffset>1460246</wp:posOffset>
            </wp:positionH>
            <wp:positionV relativeFrom="paragraph">
              <wp:posOffset>118654</wp:posOffset>
            </wp:positionV>
            <wp:extent cx="4851445" cy="3148012"/>
            <wp:effectExtent l="0" t="0" r="0" b="0"/>
            <wp:wrapTopAndBottom/>
            <wp:docPr id="15" name="image8.png" descr=""/>
            <wp:cNvGraphicFramePr>
              <a:graphicFrameLocks noChangeAspect="1"/>
            </wp:cNvGraphicFramePr>
            <a:graphic>
              <a:graphicData uri="http://schemas.openxmlformats.org/drawingml/2006/picture">
                <pic:pic>
                  <pic:nvPicPr>
                    <pic:cNvPr id="16" name="image8.png"/>
                    <pic:cNvPicPr/>
                  </pic:nvPicPr>
                  <pic:blipFill>
                    <a:blip r:embed="rId26" cstate="print"/>
                    <a:stretch>
                      <a:fillRect/>
                    </a:stretch>
                  </pic:blipFill>
                  <pic:spPr>
                    <a:xfrm>
                      <a:off x="0" y="0"/>
                      <a:ext cx="4851445" cy="3148012"/>
                    </a:xfrm>
                    <a:prstGeom prst="rect">
                      <a:avLst/>
                    </a:prstGeom>
                  </pic:spPr>
                </pic:pic>
              </a:graphicData>
            </a:graphic>
          </wp:anchor>
        </w:drawing>
      </w:r>
    </w:p>
    <w:p>
      <w:pPr>
        <w:pStyle w:val="BodyText"/>
        <w:rPr>
          <w:sz w:val="21"/>
        </w:rPr>
      </w:pPr>
    </w:p>
    <w:p>
      <w:pPr>
        <w:pStyle w:val="BodyText"/>
        <w:spacing w:before="70"/>
        <w:ind w:left="1866"/>
      </w:pPr>
      <w:r>
        <w:rPr/>
        <w:t>(Violencia Sexual. Con enfoque hacia la mujer).</w:t>
      </w:r>
    </w:p>
    <w:p>
      <w:pPr>
        <w:spacing w:after="0"/>
        <w:sectPr>
          <w:footerReference w:type="default" r:id="rId24"/>
          <w:pgSz w:w="12240" w:h="15840"/>
          <w:pgMar w:footer="1032" w:header="0" w:top="1420" w:bottom="1220" w:left="1720" w:right="1580"/>
        </w:sectPr>
      </w:pPr>
    </w:p>
    <w:p>
      <w:pPr>
        <w:pStyle w:val="BodyText"/>
        <w:ind w:left="646"/>
        <w:rPr>
          <w:sz w:val="20"/>
        </w:rPr>
      </w:pPr>
      <w:r>
        <w:rPr>
          <w:sz w:val="20"/>
        </w:rPr>
        <w:drawing>
          <wp:inline distT="0" distB="0" distL="0" distR="0">
            <wp:extent cx="4768393" cy="3095625"/>
            <wp:effectExtent l="0" t="0" r="0" b="0"/>
            <wp:docPr id="17" name="image9.png" descr=""/>
            <wp:cNvGraphicFramePr>
              <a:graphicFrameLocks noChangeAspect="1"/>
            </wp:cNvGraphicFramePr>
            <a:graphic>
              <a:graphicData uri="http://schemas.openxmlformats.org/drawingml/2006/picture">
                <pic:pic>
                  <pic:nvPicPr>
                    <pic:cNvPr id="18" name="image9.png"/>
                    <pic:cNvPicPr/>
                  </pic:nvPicPr>
                  <pic:blipFill>
                    <a:blip r:embed="rId28" cstate="print"/>
                    <a:stretch>
                      <a:fillRect/>
                    </a:stretch>
                  </pic:blipFill>
                  <pic:spPr>
                    <a:xfrm>
                      <a:off x="0" y="0"/>
                      <a:ext cx="4768393" cy="3095625"/>
                    </a:xfrm>
                    <a:prstGeom prst="rect">
                      <a:avLst/>
                    </a:prstGeom>
                  </pic:spPr>
                </pic:pic>
              </a:graphicData>
            </a:graphic>
          </wp:inline>
        </w:drawing>
      </w:r>
      <w:r>
        <w:rPr>
          <w:sz w:val="20"/>
        </w:rPr>
      </w:r>
    </w:p>
    <w:p>
      <w:pPr>
        <w:pStyle w:val="BodyText"/>
        <w:spacing w:before="10"/>
        <w:rPr>
          <w:sz w:val="22"/>
        </w:rPr>
      </w:pPr>
    </w:p>
    <w:p>
      <w:pPr>
        <w:pStyle w:val="BodyText"/>
        <w:spacing w:before="70"/>
        <w:ind w:left="1758"/>
      </w:pPr>
      <w:r>
        <w:rPr/>
        <w:t>(Violencia Sexual. Con enfoque hacia el hombre).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2"/>
        </w:rPr>
      </w:pPr>
      <w:r>
        <w:rPr/>
        <w:drawing>
          <wp:anchor distT="0" distB="0" distL="0" distR="0" allowOverlap="1" layoutInCell="1" locked="0" behindDoc="0" simplePos="0" relativeHeight="5248">
            <wp:simplePos x="0" y="0"/>
            <wp:positionH relativeFrom="page">
              <wp:posOffset>1496822</wp:posOffset>
            </wp:positionH>
            <wp:positionV relativeFrom="paragraph">
              <wp:posOffset>118781</wp:posOffset>
            </wp:positionV>
            <wp:extent cx="4783715" cy="3105150"/>
            <wp:effectExtent l="0" t="0" r="0" b="0"/>
            <wp:wrapTopAndBottom/>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29" cstate="print"/>
                    <a:stretch>
                      <a:fillRect/>
                    </a:stretch>
                  </pic:blipFill>
                  <pic:spPr>
                    <a:xfrm>
                      <a:off x="0" y="0"/>
                      <a:ext cx="4783715" cy="3105150"/>
                    </a:xfrm>
                    <a:prstGeom prst="rect">
                      <a:avLst/>
                    </a:prstGeom>
                  </pic:spPr>
                </pic:pic>
              </a:graphicData>
            </a:graphic>
          </wp:anchor>
        </w:drawing>
      </w:r>
    </w:p>
    <w:p>
      <w:pPr>
        <w:pStyle w:val="BodyText"/>
        <w:spacing w:before="5"/>
        <w:rPr>
          <w:sz w:val="20"/>
        </w:rPr>
      </w:pPr>
    </w:p>
    <w:p>
      <w:pPr>
        <w:pStyle w:val="BodyText"/>
        <w:spacing w:before="69"/>
        <w:ind w:left="1638"/>
      </w:pPr>
      <w:r>
        <w:rPr/>
        <w:t>(Violencia Económica. Con enfoque hacia la mujer).</w:t>
      </w:r>
    </w:p>
    <w:p>
      <w:pPr>
        <w:spacing w:after="0"/>
        <w:sectPr>
          <w:footerReference w:type="default" r:id="rId27"/>
          <w:pgSz w:w="12240" w:h="15840"/>
          <w:pgMar w:footer="1032" w:header="0" w:top="1420" w:bottom="1220" w:left="1720" w:right="1580"/>
          <w:pgNumType w:start="61"/>
        </w:sectPr>
      </w:pPr>
    </w:p>
    <w:p>
      <w:pPr>
        <w:pStyle w:val="BodyText"/>
        <w:ind w:left="695"/>
        <w:rPr>
          <w:sz w:val="20"/>
        </w:rPr>
      </w:pPr>
      <w:r>
        <w:rPr>
          <w:sz w:val="20"/>
        </w:rPr>
        <w:drawing>
          <wp:inline distT="0" distB="0" distL="0" distR="0">
            <wp:extent cx="4663679" cy="3017520"/>
            <wp:effectExtent l="0" t="0" r="0" b="0"/>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30" cstate="print"/>
                    <a:stretch>
                      <a:fillRect/>
                    </a:stretch>
                  </pic:blipFill>
                  <pic:spPr>
                    <a:xfrm>
                      <a:off x="0" y="0"/>
                      <a:ext cx="4663679" cy="3017520"/>
                    </a:xfrm>
                    <a:prstGeom prst="rect">
                      <a:avLst/>
                    </a:prstGeom>
                  </pic:spPr>
                </pic:pic>
              </a:graphicData>
            </a:graphic>
          </wp:inline>
        </w:drawing>
      </w:r>
      <w:r>
        <w:rPr>
          <w:sz w:val="20"/>
        </w:rPr>
      </w:r>
    </w:p>
    <w:p>
      <w:pPr>
        <w:pStyle w:val="BodyText"/>
        <w:spacing w:before="11"/>
        <w:rPr>
          <w:sz w:val="27"/>
        </w:rPr>
      </w:pPr>
    </w:p>
    <w:p>
      <w:pPr>
        <w:pStyle w:val="BodyText"/>
        <w:spacing w:before="69"/>
        <w:ind w:left="1532"/>
      </w:pPr>
      <w:r>
        <w:rPr/>
        <w:t>(Violencia Económica. Con enfoque hacia el hombre).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2"/>
        </w:rPr>
      </w:pPr>
      <w:r>
        <w:rPr/>
        <w:drawing>
          <wp:anchor distT="0" distB="0" distL="0" distR="0" allowOverlap="1" layoutInCell="1" locked="0" behindDoc="0" simplePos="0" relativeHeight="5272">
            <wp:simplePos x="0" y="0"/>
            <wp:positionH relativeFrom="page">
              <wp:posOffset>1355089</wp:posOffset>
            </wp:positionH>
            <wp:positionV relativeFrom="paragraph">
              <wp:posOffset>118654</wp:posOffset>
            </wp:positionV>
            <wp:extent cx="5062931" cy="3281362"/>
            <wp:effectExtent l="0" t="0" r="0" b="0"/>
            <wp:wrapTopAndBottom/>
            <wp:docPr id="23" name="image12.png" descr=""/>
            <wp:cNvGraphicFramePr>
              <a:graphicFrameLocks noChangeAspect="1"/>
            </wp:cNvGraphicFramePr>
            <a:graphic>
              <a:graphicData uri="http://schemas.openxmlformats.org/drawingml/2006/picture">
                <pic:pic>
                  <pic:nvPicPr>
                    <pic:cNvPr id="24" name="image12.png"/>
                    <pic:cNvPicPr/>
                  </pic:nvPicPr>
                  <pic:blipFill>
                    <a:blip r:embed="rId31" cstate="print"/>
                    <a:stretch>
                      <a:fillRect/>
                    </a:stretch>
                  </pic:blipFill>
                  <pic:spPr>
                    <a:xfrm>
                      <a:off x="0" y="0"/>
                      <a:ext cx="5062931" cy="3281362"/>
                    </a:xfrm>
                    <a:prstGeom prst="rect">
                      <a:avLst/>
                    </a:prstGeom>
                  </pic:spPr>
                </pic:pic>
              </a:graphicData>
            </a:graphic>
          </wp:anchor>
        </w:drawing>
      </w:r>
    </w:p>
    <w:p>
      <w:pPr>
        <w:pStyle w:val="BodyText"/>
        <w:spacing w:before="11"/>
        <w:rPr>
          <w:sz w:val="20"/>
        </w:rPr>
      </w:pPr>
    </w:p>
    <w:p>
      <w:pPr>
        <w:pStyle w:val="BodyText"/>
        <w:spacing w:before="69"/>
        <w:ind w:left="1845" w:right="1979"/>
        <w:jc w:val="center"/>
      </w:pPr>
      <w:r>
        <w:rPr/>
        <w:t>(Feminicidio).</w:t>
      </w:r>
    </w:p>
    <w:p>
      <w:pPr>
        <w:spacing w:after="0"/>
        <w:jc w:val="center"/>
        <w:sectPr>
          <w:pgSz w:w="12240" w:h="15840"/>
          <w:pgMar w:header="0" w:footer="1032" w:top="1420" w:bottom="1220" w:left="1720" w:right="1580"/>
        </w:sectPr>
      </w:pPr>
    </w:p>
    <w:p>
      <w:pPr>
        <w:pStyle w:val="Heading1"/>
        <w:spacing w:before="57"/>
        <w:ind w:right="601"/>
      </w:pPr>
      <w:r>
        <w:rPr/>
        <w:t>FASE 2.</w:t>
      </w:r>
    </w:p>
    <w:p>
      <w:pPr>
        <w:pStyle w:val="BodyText"/>
        <w:spacing w:before="1"/>
        <w:rPr>
          <w:b/>
          <w:sz w:val="26"/>
        </w:rPr>
      </w:pPr>
      <w:r>
        <w:rPr/>
        <w:drawing>
          <wp:anchor distT="0" distB="0" distL="0" distR="0" allowOverlap="1" layoutInCell="1" locked="0" behindDoc="0" simplePos="0" relativeHeight="5296">
            <wp:simplePos x="0" y="0"/>
            <wp:positionH relativeFrom="page">
              <wp:posOffset>1428114</wp:posOffset>
            </wp:positionH>
            <wp:positionV relativeFrom="paragraph">
              <wp:posOffset>215862</wp:posOffset>
            </wp:positionV>
            <wp:extent cx="4987768" cy="3227070"/>
            <wp:effectExtent l="0" t="0" r="0" b="0"/>
            <wp:wrapTopAndBottom/>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32" cstate="print"/>
                    <a:stretch>
                      <a:fillRect/>
                    </a:stretch>
                  </pic:blipFill>
                  <pic:spPr>
                    <a:xfrm>
                      <a:off x="0" y="0"/>
                      <a:ext cx="4987768" cy="3227070"/>
                    </a:xfrm>
                    <a:prstGeom prst="rect">
                      <a:avLst/>
                    </a:prstGeom>
                  </pic:spPr>
                </pic:pic>
              </a:graphicData>
            </a:graphic>
          </wp:anchor>
        </w:drawing>
      </w:r>
    </w:p>
    <w:p>
      <w:pPr>
        <w:pStyle w:val="BodyText"/>
        <w:spacing w:before="1"/>
        <w:rPr>
          <w:b/>
          <w:sz w:val="22"/>
        </w:rPr>
      </w:pPr>
    </w:p>
    <w:p>
      <w:pPr>
        <w:pStyle w:val="BodyText"/>
        <w:ind w:left="2204" w:right="601"/>
      </w:pPr>
      <w:r>
        <w:rPr/>
        <w:t>(Erradicación del Estereotipo de Género 1).</w:t>
      </w:r>
    </w:p>
    <w:p>
      <w:pPr>
        <w:pStyle w:val="BodyText"/>
        <w:rPr>
          <w:sz w:val="20"/>
        </w:rPr>
      </w:pPr>
    </w:p>
    <w:p>
      <w:pPr>
        <w:pStyle w:val="BodyText"/>
        <w:rPr>
          <w:sz w:val="20"/>
        </w:rPr>
      </w:pPr>
    </w:p>
    <w:p>
      <w:pPr>
        <w:pStyle w:val="BodyText"/>
        <w:rPr>
          <w:sz w:val="20"/>
        </w:rPr>
      </w:pPr>
    </w:p>
    <w:p>
      <w:pPr>
        <w:pStyle w:val="BodyText"/>
        <w:spacing w:before="6"/>
        <w:rPr>
          <w:sz w:val="19"/>
        </w:rPr>
      </w:pPr>
      <w:r>
        <w:rPr/>
        <w:drawing>
          <wp:anchor distT="0" distB="0" distL="0" distR="0" allowOverlap="1" layoutInCell="1" locked="0" behindDoc="0" simplePos="0" relativeHeight="5320">
            <wp:simplePos x="0" y="0"/>
            <wp:positionH relativeFrom="page">
              <wp:posOffset>1429766</wp:posOffset>
            </wp:positionH>
            <wp:positionV relativeFrom="paragraph">
              <wp:posOffset>167512</wp:posOffset>
            </wp:positionV>
            <wp:extent cx="4914069" cy="3190875"/>
            <wp:effectExtent l="0" t="0" r="0" b="0"/>
            <wp:wrapTopAndBottom/>
            <wp:docPr id="27" name="image14.png" descr=""/>
            <wp:cNvGraphicFramePr>
              <a:graphicFrameLocks noChangeAspect="1"/>
            </wp:cNvGraphicFramePr>
            <a:graphic>
              <a:graphicData uri="http://schemas.openxmlformats.org/drawingml/2006/picture">
                <pic:pic>
                  <pic:nvPicPr>
                    <pic:cNvPr id="28" name="image14.png"/>
                    <pic:cNvPicPr/>
                  </pic:nvPicPr>
                  <pic:blipFill>
                    <a:blip r:embed="rId33" cstate="print"/>
                    <a:stretch>
                      <a:fillRect/>
                    </a:stretch>
                  </pic:blipFill>
                  <pic:spPr>
                    <a:xfrm>
                      <a:off x="0" y="0"/>
                      <a:ext cx="4914069" cy="3190875"/>
                    </a:xfrm>
                    <a:prstGeom prst="rect">
                      <a:avLst/>
                    </a:prstGeom>
                  </pic:spPr>
                </pic:pic>
              </a:graphicData>
            </a:graphic>
          </wp:anchor>
        </w:drawing>
      </w:r>
    </w:p>
    <w:p>
      <w:pPr>
        <w:pStyle w:val="BodyText"/>
        <w:spacing w:before="8"/>
        <w:rPr>
          <w:sz w:val="20"/>
        </w:rPr>
      </w:pPr>
    </w:p>
    <w:p>
      <w:pPr>
        <w:pStyle w:val="BodyText"/>
        <w:spacing w:before="69"/>
        <w:ind w:left="2204" w:right="601"/>
      </w:pPr>
      <w:r>
        <w:rPr/>
        <w:t>(Erradicación del Estereotipo de Género 2).</w:t>
      </w:r>
    </w:p>
    <w:p>
      <w:pPr>
        <w:spacing w:after="0"/>
        <w:sectPr>
          <w:pgSz w:w="12240" w:h="15840"/>
          <w:pgMar w:header="0" w:footer="1032" w:top="1360" w:bottom="1220" w:left="1600" w:right="1580"/>
        </w:sectPr>
      </w:pPr>
    </w:p>
    <w:p>
      <w:pPr>
        <w:pStyle w:val="BodyText"/>
        <w:ind w:left="637"/>
        <w:rPr>
          <w:sz w:val="20"/>
        </w:rPr>
      </w:pPr>
      <w:r>
        <w:rPr>
          <w:sz w:val="20"/>
        </w:rPr>
        <w:drawing>
          <wp:inline distT="0" distB="0" distL="0" distR="0">
            <wp:extent cx="4776183" cy="3100387"/>
            <wp:effectExtent l="0" t="0" r="0" b="0"/>
            <wp:docPr id="29" name="image15.png" descr=""/>
            <wp:cNvGraphicFramePr>
              <a:graphicFrameLocks noChangeAspect="1"/>
            </wp:cNvGraphicFramePr>
            <a:graphic>
              <a:graphicData uri="http://schemas.openxmlformats.org/drawingml/2006/picture">
                <pic:pic>
                  <pic:nvPicPr>
                    <pic:cNvPr id="30" name="image15.png"/>
                    <pic:cNvPicPr/>
                  </pic:nvPicPr>
                  <pic:blipFill>
                    <a:blip r:embed="rId34" cstate="print"/>
                    <a:stretch>
                      <a:fillRect/>
                    </a:stretch>
                  </pic:blipFill>
                  <pic:spPr>
                    <a:xfrm>
                      <a:off x="0" y="0"/>
                      <a:ext cx="4776183" cy="3100387"/>
                    </a:xfrm>
                    <a:prstGeom prst="rect">
                      <a:avLst/>
                    </a:prstGeom>
                  </pic:spPr>
                </pic:pic>
              </a:graphicData>
            </a:graphic>
          </wp:inline>
        </w:drawing>
      </w:r>
      <w:r>
        <w:rPr>
          <w:sz w:val="20"/>
        </w:rPr>
      </w:r>
    </w:p>
    <w:p>
      <w:pPr>
        <w:pStyle w:val="BodyText"/>
        <w:spacing w:before="3"/>
        <w:rPr>
          <w:sz w:val="23"/>
        </w:rPr>
      </w:pPr>
    </w:p>
    <w:p>
      <w:pPr>
        <w:pStyle w:val="BodyText"/>
        <w:spacing w:before="69"/>
        <w:ind w:left="1845" w:right="1984"/>
        <w:jc w:val="center"/>
      </w:pPr>
      <w:r>
        <w:rPr/>
        <w:t>(Pro Igualdad 1. Con enfoque hacia la mujer).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2"/>
        </w:rPr>
      </w:pPr>
      <w:r>
        <w:rPr/>
        <w:drawing>
          <wp:anchor distT="0" distB="0" distL="0" distR="0" allowOverlap="1" layoutInCell="1" locked="0" behindDoc="0" simplePos="0" relativeHeight="5344">
            <wp:simplePos x="0" y="0"/>
            <wp:positionH relativeFrom="page">
              <wp:posOffset>1438402</wp:posOffset>
            </wp:positionH>
            <wp:positionV relativeFrom="paragraph">
              <wp:posOffset>118781</wp:posOffset>
            </wp:positionV>
            <wp:extent cx="4896404" cy="3168396"/>
            <wp:effectExtent l="0" t="0" r="0" b="0"/>
            <wp:wrapTopAndBottom/>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35" cstate="print"/>
                    <a:stretch>
                      <a:fillRect/>
                    </a:stretch>
                  </pic:blipFill>
                  <pic:spPr>
                    <a:xfrm>
                      <a:off x="0" y="0"/>
                      <a:ext cx="4896404" cy="3168396"/>
                    </a:xfrm>
                    <a:prstGeom prst="rect">
                      <a:avLst/>
                    </a:prstGeom>
                  </pic:spPr>
                </pic:pic>
              </a:graphicData>
            </a:graphic>
          </wp:anchor>
        </w:drawing>
      </w:r>
    </w:p>
    <w:p>
      <w:pPr>
        <w:pStyle w:val="BodyText"/>
        <w:spacing w:before="5"/>
        <w:rPr>
          <w:sz w:val="28"/>
        </w:rPr>
      </w:pPr>
    </w:p>
    <w:p>
      <w:pPr>
        <w:pStyle w:val="BodyText"/>
        <w:ind w:left="1845" w:right="1984"/>
        <w:jc w:val="center"/>
      </w:pPr>
      <w:r>
        <w:rPr/>
        <w:t>(Pro Igualdad 1. Con enfoque hacia el hombre).</w:t>
      </w:r>
    </w:p>
    <w:p>
      <w:pPr>
        <w:spacing w:after="0"/>
        <w:jc w:val="center"/>
        <w:sectPr>
          <w:pgSz w:w="12240" w:h="15840"/>
          <w:pgMar w:header="0" w:footer="1032" w:top="1420" w:bottom="1220" w:left="1720" w:right="1580"/>
        </w:sectPr>
      </w:pPr>
    </w:p>
    <w:p>
      <w:pPr>
        <w:pStyle w:val="BodyText"/>
        <w:ind w:left="428"/>
        <w:rPr>
          <w:sz w:val="20"/>
        </w:rPr>
      </w:pPr>
      <w:r>
        <w:rPr>
          <w:sz w:val="20"/>
        </w:rPr>
        <w:drawing>
          <wp:inline distT="0" distB="0" distL="0" distR="0">
            <wp:extent cx="5049047" cy="3276600"/>
            <wp:effectExtent l="0" t="0" r="0" b="0"/>
            <wp:docPr id="33" name="image17.png" descr=""/>
            <wp:cNvGraphicFramePr>
              <a:graphicFrameLocks noChangeAspect="1"/>
            </wp:cNvGraphicFramePr>
            <a:graphic>
              <a:graphicData uri="http://schemas.openxmlformats.org/drawingml/2006/picture">
                <pic:pic>
                  <pic:nvPicPr>
                    <pic:cNvPr id="34" name="image17.png"/>
                    <pic:cNvPicPr/>
                  </pic:nvPicPr>
                  <pic:blipFill>
                    <a:blip r:embed="rId36" cstate="print"/>
                    <a:stretch>
                      <a:fillRect/>
                    </a:stretch>
                  </pic:blipFill>
                  <pic:spPr>
                    <a:xfrm>
                      <a:off x="0" y="0"/>
                      <a:ext cx="5049047" cy="3276600"/>
                    </a:xfrm>
                    <a:prstGeom prst="rect">
                      <a:avLst/>
                    </a:prstGeom>
                  </pic:spPr>
                </pic:pic>
              </a:graphicData>
            </a:graphic>
          </wp:inline>
        </w:drawing>
      </w:r>
      <w:r>
        <w:rPr>
          <w:sz w:val="20"/>
        </w:rPr>
      </w:r>
    </w:p>
    <w:p>
      <w:pPr>
        <w:pStyle w:val="BodyText"/>
        <w:spacing w:before="8"/>
        <w:rPr>
          <w:sz w:val="22"/>
        </w:rPr>
      </w:pPr>
    </w:p>
    <w:p>
      <w:pPr>
        <w:pStyle w:val="BodyText"/>
        <w:spacing w:before="70"/>
        <w:ind w:left="1845" w:right="1981"/>
        <w:jc w:val="center"/>
      </w:pPr>
      <w:r>
        <w:rPr/>
        <w:t>(Pro Igualdad 2).</w:t>
      </w:r>
    </w:p>
    <w:p>
      <w:pPr>
        <w:spacing w:after="0"/>
        <w:jc w:val="center"/>
        <w:sectPr>
          <w:pgSz w:w="12240" w:h="15840"/>
          <w:pgMar w:header="0" w:footer="1032" w:top="1420" w:bottom="1220" w:left="1720" w:right="1580"/>
        </w:sectPr>
      </w:pPr>
    </w:p>
    <w:p>
      <w:pPr>
        <w:pStyle w:val="BodyText"/>
        <w:ind w:left="348"/>
        <w:rPr>
          <w:sz w:val="20"/>
        </w:rPr>
      </w:pPr>
      <w:r>
        <w:rPr>
          <w:sz w:val="20"/>
        </w:rPr>
        <w:drawing>
          <wp:inline distT="0" distB="0" distL="0" distR="0">
            <wp:extent cx="5166850" cy="4254627"/>
            <wp:effectExtent l="0" t="0" r="0" b="0"/>
            <wp:docPr id="35" name="image18.png" descr=""/>
            <wp:cNvGraphicFramePr>
              <a:graphicFrameLocks noChangeAspect="1"/>
            </wp:cNvGraphicFramePr>
            <a:graphic>
              <a:graphicData uri="http://schemas.openxmlformats.org/drawingml/2006/picture">
                <pic:pic>
                  <pic:nvPicPr>
                    <pic:cNvPr id="36" name="image18.png"/>
                    <pic:cNvPicPr/>
                  </pic:nvPicPr>
                  <pic:blipFill>
                    <a:blip r:embed="rId37" cstate="print"/>
                    <a:stretch>
                      <a:fillRect/>
                    </a:stretch>
                  </pic:blipFill>
                  <pic:spPr>
                    <a:xfrm>
                      <a:off x="0" y="0"/>
                      <a:ext cx="5166850" cy="4254627"/>
                    </a:xfrm>
                    <a:prstGeom prst="rect">
                      <a:avLst/>
                    </a:prstGeom>
                  </pic:spPr>
                </pic:pic>
              </a:graphicData>
            </a:graphic>
          </wp:inline>
        </w:drawing>
      </w:r>
      <w:r>
        <w:rPr>
          <w:sz w:val="20"/>
        </w:rPr>
      </w:r>
    </w:p>
    <w:p>
      <w:pPr>
        <w:pStyle w:val="BodyText"/>
        <w:spacing w:before="8"/>
        <w:rPr>
          <w:sz w:val="22"/>
        </w:rPr>
      </w:pPr>
    </w:p>
    <w:p>
      <w:pPr>
        <w:pStyle w:val="BodyText"/>
        <w:spacing w:before="70"/>
        <w:ind w:left="2766"/>
      </w:pPr>
      <w:r>
        <w:rPr/>
        <w:t>(Material de Refuerzo: Fólder).</w:t>
      </w:r>
    </w:p>
    <w:p>
      <w:pPr>
        <w:spacing w:after="0"/>
        <w:sectPr>
          <w:pgSz w:w="12240" w:h="15840"/>
          <w:pgMar w:header="0" w:footer="1032" w:top="1420" w:bottom="1220" w:left="1720" w:right="1580"/>
        </w:sectPr>
      </w:pPr>
    </w:p>
    <w:p>
      <w:pPr>
        <w:pStyle w:val="BodyText"/>
        <w:ind w:left="1148"/>
        <w:rPr>
          <w:sz w:val="20"/>
        </w:rPr>
      </w:pPr>
      <w:r>
        <w:rPr>
          <w:sz w:val="20"/>
        </w:rPr>
        <w:drawing>
          <wp:inline distT="0" distB="0" distL="0" distR="0">
            <wp:extent cx="4130829" cy="5276850"/>
            <wp:effectExtent l="0" t="0" r="0" b="0"/>
            <wp:docPr id="37" name="image19.png" descr=""/>
            <wp:cNvGraphicFramePr>
              <a:graphicFrameLocks noChangeAspect="1"/>
            </wp:cNvGraphicFramePr>
            <a:graphic>
              <a:graphicData uri="http://schemas.openxmlformats.org/drawingml/2006/picture">
                <pic:pic>
                  <pic:nvPicPr>
                    <pic:cNvPr id="38" name="image19.png"/>
                    <pic:cNvPicPr/>
                  </pic:nvPicPr>
                  <pic:blipFill>
                    <a:blip r:embed="rId38" cstate="print"/>
                    <a:stretch>
                      <a:fillRect/>
                    </a:stretch>
                  </pic:blipFill>
                  <pic:spPr>
                    <a:xfrm>
                      <a:off x="0" y="0"/>
                      <a:ext cx="4130829" cy="5276850"/>
                    </a:xfrm>
                    <a:prstGeom prst="rect">
                      <a:avLst/>
                    </a:prstGeom>
                  </pic:spPr>
                </pic:pic>
              </a:graphicData>
            </a:graphic>
          </wp:inline>
        </w:drawing>
      </w:r>
      <w:r>
        <w:rPr>
          <w:sz w:val="20"/>
        </w:rPr>
      </w:r>
    </w:p>
    <w:p>
      <w:pPr>
        <w:pStyle w:val="BodyText"/>
        <w:spacing w:before="1"/>
        <w:rPr>
          <w:sz w:val="23"/>
        </w:rPr>
      </w:pPr>
    </w:p>
    <w:p>
      <w:pPr>
        <w:pStyle w:val="BodyText"/>
        <w:spacing w:before="69"/>
        <w:ind w:left="2320"/>
      </w:pPr>
      <w:r>
        <w:rPr/>
        <w:t>(Material de Refuerzo: Separadores 1).</w:t>
      </w:r>
    </w:p>
    <w:p>
      <w:pPr>
        <w:spacing w:after="0"/>
        <w:sectPr>
          <w:pgSz w:w="12240" w:h="15840"/>
          <w:pgMar w:header="0" w:footer="1032" w:top="1420" w:bottom="1220" w:left="1720" w:right="1580"/>
        </w:sectPr>
      </w:pPr>
    </w:p>
    <w:p>
      <w:pPr>
        <w:pStyle w:val="BodyText"/>
        <w:ind w:left="1374"/>
        <w:rPr>
          <w:sz w:val="20"/>
        </w:rPr>
      </w:pPr>
      <w:r>
        <w:rPr>
          <w:sz w:val="20"/>
        </w:rPr>
        <w:drawing>
          <wp:inline distT="0" distB="0" distL="0" distR="0">
            <wp:extent cx="3846085" cy="5414962"/>
            <wp:effectExtent l="0" t="0" r="0" b="0"/>
            <wp:docPr id="39" name="image20.png" descr=""/>
            <wp:cNvGraphicFramePr>
              <a:graphicFrameLocks noChangeAspect="1"/>
            </wp:cNvGraphicFramePr>
            <a:graphic>
              <a:graphicData uri="http://schemas.openxmlformats.org/drawingml/2006/picture">
                <pic:pic>
                  <pic:nvPicPr>
                    <pic:cNvPr id="40" name="image20.png"/>
                    <pic:cNvPicPr/>
                  </pic:nvPicPr>
                  <pic:blipFill>
                    <a:blip r:embed="rId39" cstate="print"/>
                    <a:stretch>
                      <a:fillRect/>
                    </a:stretch>
                  </pic:blipFill>
                  <pic:spPr>
                    <a:xfrm>
                      <a:off x="0" y="0"/>
                      <a:ext cx="3846085" cy="5414962"/>
                    </a:xfrm>
                    <a:prstGeom prst="rect">
                      <a:avLst/>
                    </a:prstGeom>
                  </pic:spPr>
                </pic:pic>
              </a:graphicData>
            </a:graphic>
          </wp:inline>
        </w:drawing>
      </w:r>
      <w:r>
        <w:rPr>
          <w:sz w:val="20"/>
        </w:rPr>
      </w:r>
    </w:p>
    <w:p>
      <w:pPr>
        <w:pStyle w:val="BodyText"/>
        <w:spacing w:before="8"/>
        <w:rPr>
          <w:sz w:val="22"/>
        </w:rPr>
      </w:pPr>
    </w:p>
    <w:p>
      <w:pPr>
        <w:pStyle w:val="BodyText"/>
        <w:spacing w:before="69"/>
        <w:ind w:left="2317"/>
      </w:pPr>
      <w:r>
        <w:rPr/>
        <w:t>(Material de Refuerzo: Separadores 2).</w:t>
      </w:r>
    </w:p>
    <w:p>
      <w:pPr>
        <w:spacing w:after="0"/>
        <w:sectPr>
          <w:pgSz w:w="12240" w:h="15840"/>
          <w:pgMar w:header="0" w:footer="1032" w:top="1420" w:bottom="1220" w:left="1720" w:right="1580"/>
        </w:sectPr>
      </w:pPr>
    </w:p>
    <w:p>
      <w:pPr>
        <w:pStyle w:val="Heading1"/>
        <w:spacing w:before="57"/>
        <w:ind w:left="137" w:right="154"/>
        <w:jc w:val="center"/>
      </w:pPr>
      <w:bookmarkStart w:name="_TOC_250002" w:id="6"/>
      <w:bookmarkEnd w:id="6"/>
      <w:r>
        <w:rPr>
          <w:u w:val="thick"/>
        </w:rPr>
        <w:t>CONCLUSIÓN</w:t>
      </w:r>
    </w:p>
    <w:p>
      <w:pPr>
        <w:pStyle w:val="BodyText"/>
        <w:spacing w:before="4"/>
        <w:rPr>
          <w:b/>
          <w:sz w:val="23"/>
        </w:rPr>
      </w:pPr>
    </w:p>
    <w:p>
      <w:pPr>
        <w:pStyle w:val="BodyText"/>
        <w:spacing w:line="360" w:lineRule="auto" w:before="70"/>
        <w:ind w:left="102" w:right="114" w:firstLine="707"/>
        <w:jc w:val="both"/>
      </w:pPr>
      <w:r>
        <w:rPr/>
        <w:t>A manera de conclusión y considerando el apartado conceptual, el diagnóstico y la campaña propagandística propuesta, en su conjunto, se tienen las siguientes reflexiones:</w:t>
      </w:r>
    </w:p>
    <w:p>
      <w:pPr>
        <w:pStyle w:val="BodyText"/>
        <w:spacing w:line="360" w:lineRule="auto" w:before="202"/>
        <w:ind w:left="102" w:right="115"/>
        <w:jc w:val="both"/>
      </w:pPr>
      <w:r>
        <w:rPr/>
        <w:t>En primer lugar, el sistema de género que es, por demás, observable en el entorno social que nos atañe, constriñe continuamente a las mujeres mediante un conjunto de conductas que favorecen a un modelo de vida basado en el patriarcado, el machismo y el temor a perder el poder por parte del hombre, mismo que, por supuesto, funciona únicamente en favor suyo. Estas pautas de comportamiento  por parte de las mujeres, ponen de manifiesto no sólo su “conformidad” ante tal sistema, sino también el nulo cuestionamiento de una estructura y un sistema sociales que las oprimen y que les lleva a reprimir sus capacidades</w:t>
      </w:r>
      <w:r>
        <w:rPr>
          <w:spacing w:val="-25"/>
        </w:rPr>
        <w:t> </w:t>
      </w:r>
      <w:r>
        <w:rPr/>
        <w:t>intelectuales.</w:t>
      </w:r>
    </w:p>
    <w:p>
      <w:pPr>
        <w:pStyle w:val="BodyText"/>
        <w:spacing w:line="360" w:lineRule="auto" w:before="204"/>
        <w:ind w:left="102" w:right="115"/>
        <w:jc w:val="both"/>
      </w:pPr>
      <w:r>
        <w:rPr/>
        <w:t>Asimismo, la violencia que sufren las mujeres mediante las múltiples formas en que se manifiesta la inequidad de género en su contra, como por ejemplo, en la realización de los roles tradicionales, la objetualización de su cuerpo y las escasas oportunidades intelectuales y laborales, generan una desconfianza en ellas mismas y refuerza los patrones de patriarcado que las mantienen subyugadas, dando así, la razón a la estructura social de jerarquía de</w:t>
      </w:r>
      <w:r>
        <w:rPr>
          <w:spacing w:val="-23"/>
        </w:rPr>
        <w:t> </w:t>
      </w:r>
      <w:r>
        <w:rPr/>
        <w:t>género.</w:t>
      </w:r>
    </w:p>
    <w:p>
      <w:pPr>
        <w:pStyle w:val="BodyText"/>
        <w:spacing w:line="360" w:lineRule="auto" w:before="204"/>
        <w:ind w:left="102" w:right="115"/>
        <w:jc w:val="both"/>
      </w:pPr>
      <w:r>
        <w:rPr/>
        <w:t>Ahora, considerando que tanto mujeres como hombres se encuentran dentro de  un “sistema de género”, en el que las primeras resultan las principales oprimidas, es posible caer en cuenta que la opresión es una forma de violencia estructural conformada por otros tipos de violencia (en todos los ámbitos sociales: económico, político, social, cultural, familiar, sexual, etc.) unos más directos que otros, y justo aquellos que permanecen ocultos, son los que las mantienen, en mayor medida, en un incesante estado de vulnerabilidad, ya que éstos, al haber  sido normalizados, se convierten en un sistema difícil de refutar, pero con un trasfondo sociocultural netamente injusto, inequitativo y desigual que puede erradicarse desde el momento de analizar dicho problema con Perspectiva de</w:t>
      </w:r>
      <w:r>
        <w:rPr>
          <w:spacing w:val="-29"/>
        </w:rPr>
        <w:t> </w:t>
      </w:r>
      <w:r>
        <w:rPr/>
        <w:t>Género.</w:t>
      </w:r>
    </w:p>
    <w:p>
      <w:pPr>
        <w:spacing w:after="0" w:line="360" w:lineRule="auto"/>
        <w:jc w:val="both"/>
        <w:sectPr>
          <w:pgSz w:w="12240" w:h="15840"/>
          <w:pgMar w:header="0" w:footer="1032" w:top="1360" w:bottom="1220" w:left="1600" w:right="1580"/>
        </w:sectPr>
      </w:pPr>
    </w:p>
    <w:p>
      <w:pPr>
        <w:pStyle w:val="BodyText"/>
        <w:spacing w:line="360" w:lineRule="auto" w:before="57"/>
        <w:ind w:left="102" w:right="115"/>
        <w:jc w:val="both"/>
      </w:pPr>
      <w:r>
        <w:rPr/>
        <w:t>En segundo término, el vínculo violencia-desigualdad que somete a las mujeres es visible cada vez en mayor grado (a causa de la información y la concientización sobre el tema) pero cada vez en más formas, pues los notables avances tecnológicos y de los medios de información, juegan un papel fundamental dentro del uso y refuerzo de los modelos de vida que presentan a un sujeto dominante y  a un objeto</w:t>
      </w:r>
      <w:r>
        <w:rPr>
          <w:spacing w:val="-6"/>
        </w:rPr>
        <w:t> </w:t>
      </w:r>
      <w:r>
        <w:rPr/>
        <w:t>dominado.</w:t>
      </w:r>
    </w:p>
    <w:p>
      <w:pPr>
        <w:pStyle w:val="BodyText"/>
        <w:spacing w:line="360" w:lineRule="auto" w:before="204"/>
        <w:ind w:left="102" w:right="125"/>
        <w:jc w:val="both"/>
      </w:pPr>
      <w:r>
        <w:rPr/>
        <w:t>Así, el empleo del estereotipo de género en los medios de comunicación masiva, crea y refuerza la imagen imperante de la posición de la mujer dentro de la esfera privada y del hombre dentro de la pública.</w:t>
      </w:r>
    </w:p>
    <w:p>
      <w:pPr>
        <w:pStyle w:val="BodyText"/>
        <w:spacing w:line="360" w:lineRule="auto" w:before="204"/>
        <w:ind w:left="102" w:right="116"/>
        <w:jc w:val="both"/>
      </w:pPr>
      <w:r>
        <w:rPr/>
        <w:t>No obstante, éstos también resultan absoluta y potencialmente funcionales como portadores de soluciones para erradicar la opresión en que el patriarcado como sistema de poder, ejerce sobre las mujeres. De esta manera, la concientización mediante información y educación masiva, puede lograr un impacto considerable a favor de una cultura de paz en razón de las relaciones establecidas entre hombres y mujeres. Ello, con la abolición del uso del estereotipo de género que supone la imagen física y los roles tradicionales que cada sexo debe desempeñar dependiendo de las atribuciones que se le han asignado de acuerdo con su marco de referencia social.</w:t>
      </w:r>
    </w:p>
    <w:p>
      <w:pPr>
        <w:pStyle w:val="BodyText"/>
        <w:spacing w:line="360" w:lineRule="auto" w:before="204"/>
        <w:ind w:left="102" w:right="124"/>
        <w:jc w:val="both"/>
      </w:pPr>
      <w:r>
        <w:rPr/>
        <w:t>Haciendo particular énfasis en la participación de los estudiantes de comunicación en el trabajo de campo, se observó un escaso conocimiento sobre la mayoría de variantes de la violencia contra las mujeres, especialmente, las que se encuentran mayormente ocultas y que se consideran acciones normalizadas, tales como: los celos, el nulo respeto a la privacidad del otro y el control sobre las decisiones del otro.</w:t>
      </w:r>
    </w:p>
    <w:p>
      <w:pPr>
        <w:pStyle w:val="BodyText"/>
        <w:spacing w:line="360" w:lineRule="auto" w:before="204"/>
        <w:ind w:left="102" w:right="121"/>
        <w:jc w:val="both"/>
      </w:pPr>
      <w:r>
        <w:rPr/>
        <w:t>Por otro lado, se observaron casos de mujeres y hombres que no consideran el asesinato como una forma de violencia, siendo que ésta es la última manifestación de la violencia no sólo en razón de género, sino en términos generales. Asimismo, sus posturas en lo que respecta a la perspectiva de género como posible aportador</w:t>
      </w:r>
      <w:r>
        <w:rPr>
          <w:spacing w:val="23"/>
        </w:rPr>
        <w:t> </w:t>
      </w:r>
      <w:r>
        <w:rPr/>
        <w:t>de</w:t>
      </w:r>
      <w:r>
        <w:rPr>
          <w:spacing w:val="25"/>
        </w:rPr>
        <w:t> </w:t>
      </w:r>
      <w:r>
        <w:rPr/>
        <w:t>soluciones</w:t>
      </w:r>
      <w:r>
        <w:rPr>
          <w:spacing w:val="24"/>
        </w:rPr>
        <w:t> </w:t>
      </w:r>
      <w:r>
        <w:rPr/>
        <w:t>de</w:t>
      </w:r>
      <w:r>
        <w:rPr>
          <w:spacing w:val="25"/>
        </w:rPr>
        <w:t> </w:t>
      </w:r>
      <w:r>
        <w:rPr/>
        <w:t>erradicación</w:t>
      </w:r>
      <w:r>
        <w:rPr>
          <w:spacing w:val="25"/>
        </w:rPr>
        <w:t> </w:t>
      </w:r>
      <w:r>
        <w:rPr/>
        <w:t>de</w:t>
      </w:r>
      <w:r>
        <w:rPr>
          <w:spacing w:val="23"/>
        </w:rPr>
        <w:t> </w:t>
      </w:r>
      <w:r>
        <w:rPr/>
        <w:t>la</w:t>
      </w:r>
      <w:r>
        <w:rPr>
          <w:spacing w:val="25"/>
        </w:rPr>
        <w:t> </w:t>
      </w:r>
      <w:r>
        <w:rPr/>
        <w:t>inequidad</w:t>
      </w:r>
      <w:r>
        <w:rPr>
          <w:spacing w:val="25"/>
        </w:rPr>
        <w:t> </w:t>
      </w:r>
      <w:r>
        <w:rPr/>
        <w:t>y</w:t>
      </w:r>
      <w:r>
        <w:rPr>
          <w:spacing w:val="22"/>
        </w:rPr>
        <w:t> </w:t>
      </w:r>
      <w:r>
        <w:rPr/>
        <w:t>la</w:t>
      </w:r>
      <w:r>
        <w:rPr>
          <w:spacing w:val="25"/>
        </w:rPr>
        <w:t> </w:t>
      </w:r>
      <w:r>
        <w:rPr/>
        <w:t>violencia</w:t>
      </w:r>
      <w:r>
        <w:rPr>
          <w:spacing w:val="25"/>
        </w:rPr>
        <w:t> </w:t>
      </w:r>
      <w:r>
        <w:rPr/>
        <w:t>contra</w:t>
      </w:r>
      <w:r>
        <w:rPr>
          <w:spacing w:val="25"/>
        </w:rPr>
        <w:t> </w:t>
      </w:r>
      <w:r>
        <w:rPr/>
        <w:t>las</w:t>
      </w:r>
    </w:p>
    <w:p>
      <w:pPr>
        <w:spacing w:after="0" w:line="360" w:lineRule="auto"/>
        <w:jc w:val="both"/>
        <w:sectPr>
          <w:footerReference w:type="default" r:id="rId40"/>
          <w:pgSz w:w="12240" w:h="15840"/>
          <w:pgMar w:footer="1032" w:header="0" w:top="1360" w:bottom="1220" w:left="1600" w:right="1580"/>
        </w:sectPr>
      </w:pPr>
    </w:p>
    <w:p>
      <w:pPr>
        <w:pStyle w:val="BodyText"/>
        <w:spacing w:line="360" w:lineRule="auto" w:before="57"/>
        <w:ind w:left="102" w:right="129"/>
        <w:jc w:val="both"/>
      </w:pPr>
      <w:r>
        <w:rPr/>
        <w:t>mujeres, se mostraron, en su mayoría confundidos y con un nulo conocimiento sobre el tema.</w:t>
      </w:r>
    </w:p>
    <w:p>
      <w:pPr>
        <w:pStyle w:val="BodyText"/>
        <w:spacing w:line="360" w:lineRule="auto" w:before="204"/>
        <w:ind w:left="102" w:right="115"/>
        <w:jc w:val="both"/>
      </w:pPr>
      <w:r>
        <w:rPr/>
        <w:t>Con respecto al diseño de la campaña, éste se basó primordialmente en los resultados arrojados mediante la aplicación del cuestionario, cuya información se clasificó en las temáticas antes señaladas (Violencia psicológica, violencia física, violencia sexual, violencia económica, feminicidio erradicación del estereotipo de género y pro igualdad). Cada una de las temáticas fue seleccionada de acuerdo con el nivel de reconocimiento (por parte del estudiantado) de la violencia de género contra las mujeres en sus múltiples formas, así pues, temas como el acoso callejero, el control sobre los gastos del otro y la participación de los medios de comunicación como posibles vías de erradicación de este problema, fueron los ejes principales en los que gira el objetivo de la</w:t>
      </w:r>
      <w:r>
        <w:rPr>
          <w:spacing w:val="-19"/>
        </w:rPr>
        <w:t> </w:t>
      </w:r>
      <w:r>
        <w:rPr/>
        <w:t>campaña.</w:t>
      </w:r>
    </w:p>
    <w:p>
      <w:pPr>
        <w:pStyle w:val="BodyText"/>
        <w:spacing w:line="360" w:lineRule="auto" w:before="202"/>
        <w:ind w:left="102" w:right="117"/>
        <w:jc w:val="both"/>
      </w:pPr>
      <w:r>
        <w:rPr/>
        <w:t>Lo que se espera con este proyecto de desarrollo social es subsanar el conflicto  de género que existe entre las mujeres y los hombres estudiantes  de comunicación de dicha institución para un futuro desempeño profesional con Perspectiva de</w:t>
      </w:r>
      <w:r>
        <w:rPr>
          <w:spacing w:val="-10"/>
        </w:rPr>
        <w:t> </w:t>
      </w:r>
      <w:r>
        <w:rPr/>
        <w:t>Género.</w:t>
      </w:r>
    </w:p>
    <w:p>
      <w:pPr>
        <w:pStyle w:val="BodyText"/>
        <w:spacing w:line="360" w:lineRule="auto" w:before="204"/>
        <w:ind w:left="102" w:right="120"/>
        <w:jc w:val="both"/>
      </w:pPr>
      <w:r>
        <w:rPr/>
        <w:t>Es así como se concluye que el fomento de la Perspectiva de Género en la formación de los estudiantes de la licenciatura en Comunicación del CUSXXI (y el resto de las instituciones con una oferta educativa similar), es fundamental para la obtención de resultados a largo plazo, cuya intención podría verse reflejada en el modo en que operen los contenidos publicitarios dentro de algunos años.</w:t>
      </w:r>
    </w:p>
    <w:p>
      <w:pPr>
        <w:pStyle w:val="BodyText"/>
        <w:spacing w:line="360" w:lineRule="auto" w:before="202"/>
        <w:ind w:left="102" w:right="117"/>
        <w:jc w:val="both"/>
      </w:pPr>
      <w:r>
        <w:rPr/>
        <w:t>Es importante recordar que los medios de comunicación masiva son considerados el cuarto poder en el mundo, lo que se traduce en su enorme influencia sobre las ideologías, culturas y conductas al momento de intentar generar un cambio de conciencia en cualquiera que sea el ámbito. Por esta razón es que el presente proyecto de desarrollo social, sugiere promover el uso permanente de la Perspectiva de Género en el diseño de las campañas publicitarias a proyectarse en cualquiera de las modalidades de los medios de comunicación</w:t>
      </w:r>
      <w:r>
        <w:rPr>
          <w:spacing w:val="-28"/>
        </w:rPr>
        <w:t> </w:t>
      </w:r>
      <w:r>
        <w:rPr/>
        <w:t>masiva.</w:t>
      </w:r>
    </w:p>
    <w:p>
      <w:pPr>
        <w:spacing w:after="0" w:line="360" w:lineRule="auto"/>
        <w:jc w:val="both"/>
        <w:sectPr>
          <w:footerReference w:type="default" r:id="rId41"/>
          <w:pgSz w:w="12240" w:h="15840"/>
          <w:pgMar w:footer="1032" w:header="0" w:top="1360" w:bottom="1220" w:left="1600" w:right="1580"/>
          <w:pgNumType w:start="71"/>
        </w:sectPr>
      </w:pPr>
    </w:p>
    <w:p>
      <w:pPr>
        <w:pStyle w:val="Heading1"/>
        <w:spacing w:before="57"/>
        <w:ind w:left="140" w:right="153"/>
        <w:jc w:val="center"/>
      </w:pPr>
      <w:bookmarkStart w:name="_TOC_250001" w:id="7"/>
      <w:bookmarkEnd w:id="7"/>
      <w:r>
        <w:rPr>
          <w:u w:val="thick"/>
        </w:rPr>
        <w:t>BIBLIOGRAFÍA</w:t>
      </w:r>
    </w:p>
    <w:p>
      <w:pPr>
        <w:pStyle w:val="BodyText"/>
        <w:spacing w:before="7"/>
        <w:rPr>
          <w:b/>
          <w:sz w:val="29"/>
        </w:rPr>
      </w:pPr>
    </w:p>
    <w:p>
      <w:pPr>
        <w:spacing w:line="360" w:lineRule="auto" w:before="70"/>
        <w:ind w:left="810" w:right="118" w:hanging="708"/>
        <w:jc w:val="both"/>
        <w:rPr>
          <w:sz w:val="24"/>
        </w:rPr>
      </w:pPr>
      <w:r>
        <w:rPr>
          <w:sz w:val="24"/>
        </w:rPr>
        <w:t>América Luna, Guillermina Díaz y Graciela Vélez (2014), “Protocolos de atención del Consejo Estatal de la Mujer y Bienestar Social del Estado de México” en Graciela Vélez (coord.), </w:t>
      </w:r>
      <w:r>
        <w:rPr>
          <w:b/>
          <w:sz w:val="24"/>
        </w:rPr>
        <w:t>Violencia de género en el Estado de México. Análisis de las políticas gubernamentales de prevención, atención y sanción, </w:t>
      </w:r>
      <w:r>
        <w:rPr>
          <w:sz w:val="24"/>
        </w:rPr>
        <w:t>Toluca: Bonobos.</w:t>
      </w:r>
    </w:p>
    <w:p>
      <w:pPr>
        <w:pStyle w:val="BodyText"/>
      </w:pPr>
    </w:p>
    <w:p>
      <w:pPr>
        <w:spacing w:before="142"/>
        <w:ind w:left="102" w:right="601" w:firstLine="0"/>
        <w:jc w:val="left"/>
        <w:rPr>
          <w:sz w:val="24"/>
        </w:rPr>
      </w:pPr>
      <w:r>
        <w:rPr>
          <w:sz w:val="24"/>
        </w:rPr>
        <w:t>Amorós, Celia (2001), </w:t>
      </w:r>
      <w:r>
        <w:rPr>
          <w:b/>
          <w:sz w:val="24"/>
        </w:rPr>
        <w:t>Feminismo, Igualdad y Diferencia, </w:t>
      </w:r>
      <w:r>
        <w:rPr>
          <w:sz w:val="24"/>
        </w:rPr>
        <w:t>México: UNAM.</w:t>
      </w:r>
    </w:p>
    <w:p>
      <w:pPr>
        <w:pStyle w:val="BodyText"/>
      </w:pPr>
    </w:p>
    <w:p>
      <w:pPr>
        <w:pStyle w:val="BodyText"/>
      </w:pPr>
    </w:p>
    <w:p>
      <w:pPr>
        <w:spacing w:line="360" w:lineRule="auto" w:before="0"/>
        <w:ind w:left="810" w:right="122" w:hanging="708"/>
        <w:jc w:val="both"/>
        <w:rPr>
          <w:sz w:val="24"/>
        </w:rPr>
      </w:pPr>
      <w:r>
        <w:rPr>
          <w:sz w:val="24"/>
        </w:rPr>
        <w:t>Baca, Norma y Vélez, Graciela (2012), </w:t>
      </w:r>
      <w:r>
        <w:rPr>
          <w:b/>
          <w:sz w:val="24"/>
        </w:rPr>
        <w:t>Violencia, género y la persistencia de la desigualdad en el Estado de México, </w:t>
      </w:r>
      <w:r>
        <w:rPr>
          <w:sz w:val="24"/>
        </w:rPr>
        <w:t>México: MNEMOSYNE.</w:t>
      </w:r>
    </w:p>
    <w:p>
      <w:pPr>
        <w:pStyle w:val="BodyText"/>
      </w:pPr>
    </w:p>
    <w:p>
      <w:pPr>
        <w:spacing w:before="142"/>
        <w:ind w:left="102" w:right="601" w:firstLine="0"/>
        <w:jc w:val="left"/>
        <w:rPr>
          <w:sz w:val="24"/>
        </w:rPr>
      </w:pPr>
      <w:r>
        <w:rPr>
          <w:sz w:val="24"/>
        </w:rPr>
        <w:t>Bourdieu, Pierre (2000), </w:t>
      </w:r>
      <w:r>
        <w:rPr>
          <w:b/>
          <w:sz w:val="24"/>
        </w:rPr>
        <w:t>La dominación masculina, </w:t>
      </w:r>
      <w:r>
        <w:rPr>
          <w:sz w:val="24"/>
        </w:rPr>
        <w:t>España: Anagrama.</w:t>
      </w:r>
    </w:p>
    <w:p>
      <w:pPr>
        <w:pStyle w:val="BodyText"/>
      </w:pPr>
    </w:p>
    <w:p>
      <w:pPr>
        <w:pStyle w:val="BodyText"/>
      </w:pPr>
    </w:p>
    <w:p>
      <w:pPr>
        <w:pStyle w:val="BodyText"/>
        <w:tabs>
          <w:tab w:pos="2641" w:val="left" w:leader="none"/>
          <w:tab w:pos="3778" w:val="left" w:leader="none"/>
          <w:tab w:pos="5210" w:val="left" w:leader="none"/>
          <w:tab w:pos="6812" w:val="left" w:leader="none"/>
          <w:tab w:pos="8671" w:val="left" w:leader="none"/>
        </w:tabs>
        <w:spacing w:line="360" w:lineRule="auto"/>
        <w:ind w:left="810" w:right="116" w:hanging="708"/>
      </w:pPr>
      <w:r>
        <w:rPr/>
        <w:t>Carmona, Sandra Emma (2012), “La importancia del contenido en el mensaje. Perspectiva de género en los medios de comunicación”. En </w:t>
      </w:r>
      <w:r>
        <w:rPr>
          <w:b/>
        </w:rPr>
        <w:t>Revista Cofactor.</w:t>
        <w:tab/>
      </w:r>
      <w:r>
        <w:rPr/>
        <w:t>[En</w:t>
        <w:tab/>
        <w:t>línea].</w:t>
        <w:tab/>
        <w:t>México,</w:t>
        <w:tab/>
        <w:t>disponible</w:t>
        <w:tab/>
        <w:t>en </w:t>
      </w:r>
      <w:r>
        <w:rPr>
          <w:color w:val="0000FF"/>
          <w:u w:val="single" w:color="0000FF"/>
        </w:rPr>
        <w:t>http://issuu.com/cofactor_cieps/docs/cofactor_5/55?e=8645844/3743453 </w:t>
      </w:r>
      <w:r>
        <w:rPr/>
        <w:t>[Accesado el 28 de mayo de</w:t>
      </w:r>
      <w:r>
        <w:rPr>
          <w:spacing w:val="-13"/>
        </w:rPr>
        <w:t> </w:t>
      </w:r>
      <w:r>
        <w:rPr/>
        <w:t>2014]</w:t>
      </w:r>
    </w:p>
    <w:p>
      <w:pPr>
        <w:pStyle w:val="BodyText"/>
      </w:pPr>
    </w:p>
    <w:p>
      <w:pPr>
        <w:spacing w:line="360" w:lineRule="auto" w:before="142"/>
        <w:ind w:left="810" w:right="122" w:hanging="708"/>
        <w:jc w:val="both"/>
        <w:rPr>
          <w:sz w:val="24"/>
        </w:rPr>
      </w:pPr>
      <w:r>
        <w:rPr>
          <w:sz w:val="24"/>
        </w:rPr>
        <w:t>Conway, Jill K.; Bourque, Susan y Scott W., Joan (2003), “El concepto de género” en Lamas, Marta (comp.), </w:t>
      </w:r>
      <w:r>
        <w:rPr>
          <w:b/>
          <w:sz w:val="24"/>
        </w:rPr>
        <w:t>El género la construcción cultural de la diferencia sexual, </w:t>
      </w:r>
      <w:r>
        <w:rPr>
          <w:sz w:val="24"/>
        </w:rPr>
        <w:t>México: PUEG – Miguel Ángel Porrúa.</w:t>
      </w:r>
    </w:p>
    <w:p>
      <w:pPr>
        <w:pStyle w:val="BodyText"/>
      </w:pPr>
    </w:p>
    <w:p>
      <w:pPr>
        <w:spacing w:line="360" w:lineRule="auto" w:before="142"/>
        <w:ind w:left="810" w:right="116" w:hanging="708"/>
        <w:jc w:val="both"/>
        <w:rPr>
          <w:sz w:val="24"/>
        </w:rPr>
      </w:pPr>
      <w:r>
        <w:rPr>
          <w:sz w:val="24"/>
        </w:rPr>
        <w:t>Cucchiari, Salvatore (1996), “La revolución de género y la transición de la horda bisexual a la horda patriarcal: los orígenes de la jerarquía de género” en Lamas, Marta (comp.), </w:t>
      </w:r>
      <w:r>
        <w:rPr>
          <w:b/>
          <w:sz w:val="24"/>
        </w:rPr>
        <w:t>El género la construcción cultural de la  diferencia sexual, </w:t>
      </w:r>
      <w:r>
        <w:rPr>
          <w:sz w:val="24"/>
        </w:rPr>
        <w:t>México: PUEG – Miguel Ángel</w:t>
      </w:r>
      <w:r>
        <w:rPr>
          <w:spacing w:val="-16"/>
          <w:sz w:val="24"/>
        </w:rPr>
        <w:t> </w:t>
      </w:r>
      <w:r>
        <w:rPr>
          <w:sz w:val="24"/>
        </w:rPr>
        <w:t>Porrúa.</w:t>
      </w:r>
    </w:p>
    <w:p>
      <w:pPr>
        <w:spacing w:after="0" w:line="360" w:lineRule="auto"/>
        <w:jc w:val="both"/>
        <w:rPr>
          <w:sz w:val="24"/>
        </w:rPr>
        <w:sectPr>
          <w:pgSz w:w="12240" w:h="15840"/>
          <w:pgMar w:header="0" w:footer="1032" w:top="1360" w:bottom="1220" w:left="1600" w:right="1580"/>
        </w:sectPr>
      </w:pPr>
    </w:p>
    <w:p>
      <w:pPr>
        <w:pStyle w:val="BodyText"/>
        <w:spacing w:line="360" w:lineRule="auto" w:before="57"/>
        <w:ind w:left="810" w:right="115" w:hanging="708"/>
        <w:jc w:val="both"/>
      </w:pPr>
      <w:r>
        <w:rPr/>
        <w:t>García, Carola (1998), “Imagen femenina y vida cotidiana (el caso de las revistas femeninas y la publicidad en México)” en Bedolla, Patricia, Bustos; Olga, et al., (comps.), </w:t>
      </w:r>
      <w:r>
        <w:rPr>
          <w:b/>
        </w:rPr>
        <w:t>Estudios de género y feminismo (Vol. II), </w:t>
      </w:r>
      <w:r>
        <w:rPr/>
        <w:t>México: Fontamara.</w:t>
      </w:r>
    </w:p>
    <w:p>
      <w:pPr>
        <w:pStyle w:val="BodyText"/>
      </w:pPr>
    </w:p>
    <w:p>
      <w:pPr>
        <w:spacing w:line="360" w:lineRule="auto" w:before="142"/>
        <w:ind w:left="810" w:right="118" w:hanging="708"/>
        <w:jc w:val="both"/>
        <w:rPr>
          <w:sz w:val="24"/>
        </w:rPr>
      </w:pPr>
      <w:r>
        <w:rPr>
          <w:sz w:val="24"/>
        </w:rPr>
        <w:t>González, Ma. De Lourdes y Uribe, Enrique (2008), </w:t>
      </w:r>
      <w:r>
        <w:rPr>
          <w:b/>
          <w:sz w:val="24"/>
        </w:rPr>
        <w:t>La protección constitucional de los grupos vulnerables en México, </w:t>
      </w:r>
      <w:r>
        <w:rPr>
          <w:sz w:val="24"/>
        </w:rPr>
        <w:t>México: UAEM.</w:t>
      </w:r>
    </w:p>
    <w:p>
      <w:pPr>
        <w:pStyle w:val="BodyText"/>
      </w:pPr>
    </w:p>
    <w:p>
      <w:pPr>
        <w:pStyle w:val="BodyText"/>
        <w:spacing w:line="360" w:lineRule="auto" w:before="142"/>
        <w:ind w:left="810" w:right="123" w:hanging="708"/>
        <w:jc w:val="both"/>
      </w:pPr>
      <w:r>
        <w:rPr/>
        <w:t>“Guía metodológica para la sensibilización en género: Una herramienta didáctica para la capacitación en la administración pública” Volumen 2 (2008), México: Instituto Nacional de las</w:t>
      </w:r>
      <w:r>
        <w:rPr>
          <w:spacing w:val="-10"/>
        </w:rPr>
        <w:t> </w:t>
      </w:r>
      <w:r>
        <w:rPr/>
        <w:t>Mujeres.</w:t>
      </w:r>
    </w:p>
    <w:p>
      <w:pPr>
        <w:pStyle w:val="BodyText"/>
      </w:pPr>
    </w:p>
    <w:p>
      <w:pPr>
        <w:spacing w:line="360" w:lineRule="auto" w:before="142"/>
        <w:ind w:left="810" w:right="117" w:hanging="708"/>
        <w:jc w:val="both"/>
        <w:rPr>
          <w:sz w:val="24"/>
        </w:rPr>
      </w:pPr>
      <w:r>
        <w:rPr>
          <w:sz w:val="24"/>
        </w:rPr>
        <w:t>“Hacia la autonomía económica de mujeres productoras, indígenas, rurales, huéspedes y migrantes” (2012), en </w:t>
      </w:r>
      <w:r>
        <w:rPr>
          <w:b/>
          <w:sz w:val="24"/>
        </w:rPr>
        <w:t>Equidad para la mujer rural, indígena huésped y migrante de la Ciudad de México, </w:t>
      </w:r>
      <w:r>
        <w:rPr>
          <w:sz w:val="24"/>
        </w:rPr>
        <w:t>México: Secretaría de Desarrollo Rural y Equidad para las Comunidades.</w:t>
      </w:r>
    </w:p>
    <w:p>
      <w:pPr>
        <w:pStyle w:val="BodyText"/>
      </w:pPr>
    </w:p>
    <w:p>
      <w:pPr>
        <w:spacing w:line="360" w:lineRule="auto" w:before="142"/>
        <w:ind w:left="810" w:right="117" w:hanging="708"/>
        <w:jc w:val="both"/>
        <w:rPr>
          <w:sz w:val="24"/>
        </w:rPr>
      </w:pPr>
      <w:r>
        <w:rPr>
          <w:sz w:val="24"/>
        </w:rPr>
        <w:t>Hernández, Roberto, Fernández, Carlos, y Baptista, Pilar (2006), </w:t>
      </w:r>
      <w:r>
        <w:rPr>
          <w:b/>
          <w:sz w:val="24"/>
        </w:rPr>
        <w:t>Metodología de la investigación, </w:t>
      </w:r>
      <w:r>
        <w:rPr>
          <w:sz w:val="24"/>
        </w:rPr>
        <w:t>México: McGraw-Hill.</w:t>
      </w:r>
    </w:p>
    <w:p>
      <w:pPr>
        <w:pStyle w:val="BodyText"/>
      </w:pPr>
    </w:p>
    <w:p>
      <w:pPr>
        <w:pStyle w:val="BodyText"/>
        <w:spacing w:line="360" w:lineRule="auto" w:before="142"/>
        <w:ind w:left="810" w:right="116" w:hanging="708"/>
        <w:jc w:val="both"/>
      </w:pPr>
      <w:r>
        <w:rPr/>
        <w:t>Izquierdo, Ma. Jesús (2011), “La estructura social como facilitadora del maltrato” en Huacuz, Guadalupe (comp.), </w:t>
      </w:r>
      <w:r>
        <w:rPr>
          <w:b/>
        </w:rPr>
        <w:t>La bifurcación del caos, </w:t>
      </w:r>
      <w:r>
        <w:rPr/>
        <w:t>México: UAM- Xochimilco.</w:t>
      </w:r>
    </w:p>
    <w:p>
      <w:pPr>
        <w:pStyle w:val="BodyText"/>
      </w:pPr>
    </w:p>
    <w:p>
      <w:pPr>
        <w:spacing w:line="360" w:lineRule="auto" w:before="139"/>
        <w:ind w:left="810" w:right="116" w:hanging="708"/>
        <w:jc w:val="both"/>
        <w:rPr>
          <w:sz w:val="24"/>
        </w:rPr>
      </w:pPr>
      <w:r>
        <w:rPr>
          <w:sz w:val="24"/>
        </w:rPr>
        <w:t>Lagarde, Marcela (2007), “Ley General de Acceso de las Mujeres a una Vida Libre de Violencia” en Jiménez, María (comp.), </w:t>
      </w:r>
      <w:r>
        <w:rPr>
          <w:b/>
          <w:sz w:val="24"/>
        </w:rPr>
        <w:t>Violencia familiar y violencia de género: intercambio de experiencias internacionales. Quinto seminario sobre violencia familiar en el Distrito Federal, </w:t>
      </w:r>
      <w:r>
        <w:rPr>
          <w:sz w:val="24"/>
        </w:rPr>
        <w:t>México: Secretaría de Desarrollo Social, Dirección General de Igualdad y Diversidad Social.</w:t>
      </w:r>
    </w:p>
    <w:p>
      <w:pPr>
        <w:pStyle w:val="BodyText"/>
      </w:pPr>
    </w:p>
    <w:p>
      <w:pPr>
        <w:spacing w:before="142"/>
        <w:ind w:left="102" w:right="601" w:firstLine="0"/>
        <w:jc w:val="left"/>
        <w:rPr>
          <w:sz w:val="24"/>
        </w:rPr>
      </w:pPr>
      <w:r>
        <w:rPr>
          <w:sz w:val="24"/>
        </w:rPr>
        <w:t>Lamas, Marta (2002), </w:t>
      </w:r>
      <w:r>
        <w:rPr>
          <w:b/>
          <w:sz w:val="24"/>
        </w:rPr>
        <w:t>Cuerpo: diferencia sexual y género, </w:t>
      </w:r>
      <w:r>
        <w:rPr>
          <w:sz w:val="24"/>
        </w:rPr>
        <w:t>México: Taurus.</w:t>
      </w:r>
    </w:p>
    <w:p>
      <w:pPr>
        <w:spacing w:after="0"/>
        <w:jc w:val="left"/>
        <w:rPr>
          <w:sz w:val="24"/>
        </w:rPr>
        <w:sectPr>
          <w:pgSz w:w="12240" w:h="15840"/>
          <w:pgMar w:header="0" w:footer="1032" w:top="1360" w:bottom="1220" w:left="1600" w:right="1580"/>
        </w:sectPr>
      </w:pPr>
    </w:p>
    <w:p>
      <w:pPr>
        <w:spacing w:line="360" w:lineRule="auto" w:before="57"/>
        <w:ind w:left="810" w:right="117" w:hanging="708"/>
        <w:jc w:val="both"/>
        <w:rPr>
          <w:sz w:val="24"/>
        </w:rPr>
      </w:pPr>
      <w:r>
        <w:rPr>
          <w:sz w:val="24"/>
        </w:rPr>
        <w:t>“Ley Federal para Prevenir la Discriminación” (2009), en </w:t>
      </w:r>
      <w:r>
        <w:rPr>
          <w:b/>
          <w:sz w:val="24"/>
        </w:rPr>
        <w:t>Diez recomendaciones para el uso no sexista del lenguaje. </w:t>
      </w:r>
      <w:r>
        <w:rPr>
          <w:sz w:val="24"/>
        </w:rPr>
        <w:t>2da. Edición, México: CONAPRED.</w:t>
      </w:r>
    </w:p>
    <w:p>
      <w:pPr>
        <w:pStyle w:val="BodyText"/>
      </w:pPr>
    </w:p>
    <w:p>
      <w:pPr>
        <w:spacing w:line="360" w:lineRule="auto" w:before="142"/>
        <w:ind w:left="810" w:right="115" w:hanging="708"/>
        <w:jc w:val="both"/>
        <w:rPr>
          <w:sz w:val="24"/>
        </w:rPr>
      </w:pPr>
      <w:r>
        <w:rPr>
          <w:sz w:val="24"/>
        </w:rPr>
        <w:t>Miranda, Jazmín (2014), Trabajo de campo con el tema: </w:t>
      </w:r>
      <w:r>
        <w:rPr>
          <w:b/>
          <w:sz w:val="24"/>
        </w:rPr>
        <w:t>“Campaña de fomento de la Perspectiva de Género en la realización de campañas publicitarias dentro del programa académico de los estudiantes de la licenciatura en comunicación del Campus Universitario Siglo XXI”, </w:t>
      </w:r>
      <w:r>
        <w:rPr>
          <w:sz w:val="24"/>
        </w:rPr>
        <w:t>Toluca, Estado de México.</w:t>
      </w:r>
    </w:p>
    <w:p>
      <w:pPr>
        <w:pStyle w:val="BodyText"/>
      </w:pPr>
    </w:p>
    <w:p>
      <w:pPr>
        <w:spacing w:line="360" w:lineRule="auto" w:before="142"/>
        <w:ind w:left="810" w:right="116" w:hanging="708"/>
        <w:jc w:val="both"/>
        <w:rPr>
          <w:sz w:val="24"/>
        </w:rPr>
      </w:pPr>
      <w:r>
        <w:rPr>
          <w:sz w:val="24"/>
        </w:rPr>
        <w:t>Pérez, Gloria (2001), </w:t>
      </w:r>
      <w:r>
        <w:rPr>
          <w:b/>
          <w:sz w:val="24"/>
        </w:rPr>
        <w:t>Investigación cualitativa. Retos e interrogantes. I Métodos, </w:t>
      </w:r>
      <w:r>
        <w:rPr>
          <w:sz w:val="24"/>
        </w:rPr>
        <w:t>España: La muralla.</w:t>
      </w:r>
    </w:p>
    <w:p>
      <w:pPr>
        <w:pStyle w:val="BodyText"/>
      </w:pPr>
    </w:p>
    <w:p>
      <w:pPr>
        <w:spacing w:before="142"/>
        <w:ind w:left="102" w:right="0" w:firstLine="0"/>
        <w:jc w:val="left"/>
        <w:rPr>
          <w:b/>
          <w:sz w:val="24"/>
        </w:rPr>
      </w:pPr>
      <w:r>
        <w:rPr>
          <w:sz w:val="24"/>
        </w:rPr>
        <w:t>Piña, Juan Manuel (Coord.) (2007), </w:t>
      </w:r>
      <w:r>
        <w:rPr>
          <w:b/>
          <w:sz w:val="24"/>
        </w:rPr>
        <w:t>Sexualidad, género  y desarrollo    humano,</w:t>
      </w:r>
    </w:p>
    <w:p>
      <w:pPr>
        <w:pStyle w:val="BodyText"/>
        <w:spacing w:before="137"/>
        <w:ind w:left="810" w:right="601"/>
      </w:pPr>
      <w:r>
        <w:rPr/>
        <w:t>México: Gernika.</w:t>
      </w:r>
    </w:p>
    <w:p>
      <w:pPr>
        <w:pStyle w:val="BodyText"/>
      </w:pPr>
    </w:p>
    <w:p>
      <w:pPr>
        <w:pStyle w:val="BodyText"/>
      </w:pPr>
    </w:p>
    <w:p>
      <w:pPr>
        <w:spacing w:line="360" w:lineRule="auto" w:before="0"/>
        <w:ind w:left="810" w:right="123" w:hanging="708"/>
        <w:jc w:val="both"/>
        <w:rPr>
          <w:sz w:val="24"/>
        </w:rPr>
      </w:pPr>
      <w:r>
        <w:rPr>
          <w:sz w:val="24"/>
        </w:rPr>
        <w:t>Serret, Estela (2008), </w:t>
      </w:r>
      <w:r>
        <w:rPr>
          <w:b/>
          <w:sz w:val="24"/>
        </w:rPr>
        <w:t>Qué es y para qué es la Perspectiva de Género. Libro de texto para la asignatura: perspectiva de género en educación superior, </w:t>
      </w:r>
      <w:r>
        <w:rPr>
          <w:sz w:val="24"/>
        </w:rPr>
        <w:t>México: Instituto de la Mujer Oaxaqueña.</w:t>
      </w:r>
    </w:p>
    <w:p>
      <w:pPr>
        <w:pStyle w:val="BodyText"/>
      </w:pPr>
    </w:p>
    <w:p>
      <w:pPr>
        <w:pStyle w:val="BodyText"/>
        <w:spacing w:line="360" w:lineRule="auto" w:before="142"/>
        <w:ind w:left="810" w:right="119" w:hanging="708"/>
        <w:jc w:val="both"/>
      </w:pPr>
      <w:r>
        <w:rPr/>
        <w:t>Scott W., Joan (1999), “El género: una categoría útil para el análisis histórico” en Navarro, Marysa y Stimpson R. (comps.), </w:t>
      </w:r>
      <w:r>
        <w:rPr>
          <w:b/>
        </w:rPr>
        <w:t>Sexualidad, género y roles sexuales, </w:t>
      </w:r>
      <w:r>
        <w:rPr/>
        <w:t>Argentina: Fondo de Cultura Económica.</w:t>
      </w:r>
    </w:p>
    <w:p>
      <w:pPr>
        <w:pStyle w:val="BodyText"/>
      </w:pPr>
    </w:p>
    <w:p>
      <w:pPr>
        <w:spacing w:line="360" w:lineRule="auto" w:before="142"/>
        <w:ind w:left="810" w:right="115" w:hanging="708"/>
        <w:jc w:val="both"/>
        <w:rPr>
          <w:sz w:val="24"/>
        </w:rPr>
      </w:pPr>
      <w:r>
        <w:rPr>
          <w:sz w:val="24"/>
        </w:rPr>
        <w:t>Szasz, Ivonne y Lerner, Susana (comps.) (1998), </w:t>
      </w:r>
      <w:r>
        <w:rPr>
          <w:b/>
          <w:sz w:val="24"/>
        </w:rPr>
        <w:t>Sexualidades en México. Algunas aproximaciones desde la perspectiva de las ciencias sociales, </w:t>
      </w:r>
      <w:r>
        <w:rPr>
          <w:sz w:val="24"/>
        </w:rPr>
        <w:t>México: El Colegio de México.</w:t>
      </w:r>
    </w:p>
    <w:p>
      <w:pPr>
        <w:pStyle w:val="BodyText"/>
      </w:pPr>
    </w:p>
    <w:p>
      <w:pPr>
        <w:spacing w:line="360" w:lineRule="auto" w:before="142"/>
        <w:ind w:left="810" w:right="121" w:hanging="708"/>
        <w:jc w:val="both"/>
        <w:rPr>
          <w:sz w:val="24"/>
        </w:rPr>
      </w:pPr>
      <w:r>
        <w:rPr>
          <w:sz w:val="24"/>
        </w:rPr>
        <w:t>Taylor, S. y Bogdan, R., (1987), </w:t>
      </w:r>
      <w:r>
        <w:rPr>
          <w:b/>
          <w:sz w:val="24"/>
        </w:rPr>
        <w:t>Introducción a los métodos cualitativos de la investigación. La búsqueda de significados, </w:t>
      </w:r>
      <w:r>
        <w:rPr>
          <w:sz w:val="24"/>
        </w:rPr>
        <w:t>España, Paidós Ibérica.</w:t>
      </w:r>
    </w:p>
    <w:p>
      <w:pPr>
        <w:spacing w:after="0" w:line="360" w:lineRule="auto"/>
        <w:jc w:val="both"/>
        <w:rPr>
          <w:sz w:val="24"/>
        </w:rPr>
        <w:sectPr>
          <w:pgSz w:w="12240" w:h="15840"/>
          <w:pgMar w:header="0" w:footer="1032" w:top="1360" w:bottom="1220" w:left="1600" w:right="1580"/>
        </w:sectPr>
      </w:pPr>
    </w:p>
    <w:p>
      <w:pPr>
        <w:pStyle w:val="Heading1"/>
        <w:spacing w:before="45"/>
        <w:ind w:left="2783" w:right="2782"/>
        <w:jc w:val="center"/>
      </w:pPr>
      <w:bookmarkStart w:name="_TOC_250000" w:id="8"/>
      <w:bookmarkEnd w:id="8"/>
      <w:r>
        <w:rPr>
          <w:u w:val="thick"/>
        </w:rPr>
        <w:t>Anexo 1 (Cuestionario).</w:t>
      </w:r>
    </w:p>
    <w:p>
      <w:pPr>
        <w:pStyle w:val="BodyText"/>
        <w:rPr>
          <w:b/>
          <w:sz w:val="20"/>
        </w:rPr>
      </w:pPr>
    </w:p>
    <w:p>
      <w:pPr>
        <w:spacing w:after="0"/>
        <w:rPr>
          <w:sz w:val="20"/>
        </w:rPr>
        <w:sectPr>
          <w:pgSz w:w="12240" w:h="15840"/>
          <w:pgMar w:header="0" w:footer="1032" w:top="1340" w:bottom="1220" w:left="1580" w:right="1580"/>
        </w:sectPr>
      </w:pPr>
    </w:p>
    <w:p>
      <w:pPr>
        <w:pStyle w:val="BodyText"/>
        <w:spacing w:before="2"/>
        <w:rPr>
          <w:b/>
          <w:sz w:val="20"/>
        </w:rPr>
      </w:pPr>
    </w:p>
    <w:p>
      <w:pPr>
        <w:tabs>
          <w:tab w:pos="2354" w:val="left" w:leader="none"/>
        </w:tabs>
        <w:spacing w:before="1"/>
        <w:ind w:left="122" w:right="0" w:firstLine="0"/>
        <w:jc w:val="left"/>
        <w:rPr>
          <w:sz w:val="22"/>
        </w:rPr>
      </w:pPr>
      <w:r>
        <w:rPr>
          <w:sz w:val="22"/>
        </w:rPr>
        <w:t>Semestre:</w:t>
      </w:r>
      <w:r>
        <w:rPr>
          <w:spacing w:val="8"/>
          <w:sz w:val="22"/>
        </w:rPr>
        <w:t> </w:t>
      </w:r>
      <w:r>
        <w:rPr>
          <w:w w:val="100"/>
          <w:sz w:val="22"/>
          <w:u w:val="single"/>
        </w:rPr>
        <w:t> </w:t>
      </w:r>
      <w:r>
        <w:rPr>
          <w:sz w:val="22"/>
          <w:u w:val="single"/>
        </w:rPr>
        <w:tab/>
      </w:r>
    </w:p>
    <w:p>
      <w:pPr>
        <w:pStyle w:val="BodyText"/>
        <w:spacing w:before="2"/>
        <w:rPr>
          <w:sz w:val="20"/>
        </w:rPr>
      </w:pPr>
      <w:r>
        <w:rPr/>
        <w:br w:type="column"/>
      </w:r>
      <w:r>
        <w:rPr>
          <w:sz w:val="20"/>
        </w:rPr>
      </w:r>
    </w:p>
    <w:p>
      <w:pPr>
        <w:tabs>
          <w:tab w:pos="1923" w:val="left" w:leader="none"/>
        </w:tabs>
        <w:spacing w:before="1"/>
        <w:ind w:left="122" w:right="0" w:firstLine="0"/>
        <w:jc w:val="left"/>
        <w:rPr>
          <w:sz w:val="22"/>
        </w:rPr>
      </w:pPr>
      <w:r>
        <w:rPr>
          <w:sz w:val="22"/>
        </w:rPr>
        <w:t>Edad:</w:t>
      </w:r>
      <w:r>
        <w:rPr>
          <w:spacing w:val="8"/>
          <w:sz w:val="22"/>
        </w:rPr>
        <w:t> </w:t>
      </w:r>
      <w:r>
        <w:rPr>
          <w:w w:val="100"/>
          <w:sz w:val="22"/>
          <w:u w:val="single"/>
        </w:rPr>
        <w:t> </w:t>
      </w:r>
      <w:r>
        <w:rPr>
          <w:sz w:val="22"/>
          <w:u w:val="single"/>
        </w:rPr>
        <w:tab/>
      </w:r>
    </w:p>
    <w:p>
      <w:pPr>
        <w:pStyle w:val="BodyText"/>
        <w:spacing w:before="2"/>
        <w:rPr>
          <w:sz w:val="20"/>
        </w:rPr>
      </w:pPr>
      <w:r>
        <w:rPr/>
        <w:br w:type="column"/>
      </w:r>
      <w:r>
        <w:rPr>
          <w:sz w:val="20"/>
        </w:rPr>
      </w:r>
    </w:p>
    <w:p>
      <w:pPr>
        <w:tabs>
          <w:tab w:pos="1099" w:val="left" w:leader="none"/>
          <w:tab w:pos="2017" w:val="left" w:leader="none"/>
          <w:tab w:pos="2448" w:val="left" w:leader="none"/>
        </w:tabs>
        <w:spacing w:before="1"/>
        <w:ind w:left="122" w:right="0" w:firstLine="0"/>
        <w:jc w:val="left"/>
        <w:rPr>
          <w:sz w:val="22"/>
        </w:rPr>
      </w:pPr>
      <w:r>
        <w:rPr>
          <w:sz w:val="22"/>
        </w:rPr>
        <w:t>Sexo:</w:t>
        <w:tab/>
        <w:t>M</w:t>
      </w:r>
      <w:r>
        <w:rPr>
          <w:sz w:val="22"/>
          <w:u w:val="single"/>
        </w:rPr>
        <w:t> </w:t>
        <w:tab/>
      </w:r>
      <w:r>
        <w:rPr>
          <w:sz w:val="22"/>
        </w:rPr>
        <w:tab/>
        <w:t>H</w:t>
      </w:r>
    </w:p>
    <w:p>
      <w:pPr>
        <w:spacing w:after="0"/>
        <w:jc w:val="left"/>
        <w:rPr>
          <w:sz w:val="22"/>
        </w:rPr>
        <w:sectPr>
          <w:type w:val="continuous"/>
          <w:pgSz w:w="12240" w:h="15840"/>
          <w:pgMar w:top="1340" w:bottom="280" w:left="1580" w:right="1580"/>
          <w:cols w:num="3" w:equalWidth="0">
            <w:col w:w="2355" w:space="1070"/>
            <w:col w:w="1924" w:space="1005"/>
            <w:col w:w="2726"/>
          </w:cols>
        </w:sectPr>
      </w:pPr>
    </w:p>
    <w:p>
      <w:pPr>
        <w:pStyle w:val="BodyText"/>
        <w:spacing w:before="4" w:after="1"/>
        <w:rPr>
          <w:sz w:val="19"/>
        </w:rPr>
      </w:pPr>
    </w:p>
    <w:p>
      <w:pPr>
        <w:pStyle w:val="BodyText"/>
        <w:spacing w:line="20" w:lineRule="exact"/>
        <w:ind w:left="115"/>
        <w:rPr>
          <w:sz w:val="2"/>
        </w:rPr>
      </w:pPr>
      <w:r>
        <w:rPr>
          <w:sz w:val="2"/>
        </w:rPr>
        <w:pict>
          <v:group style="width:31.3pt;height:.7pt;mso-position-horizontal-relative:char;mso-position-vertical-relative:line" coordorigin="0,0" coordsize="626,14">
            <v:line style="position:absolute" from="7,7" to="619,7" stroked="true" strokeweight=".69552pt" strokecolor="#000000"/>
          </v:group>
        </w:pict>
      </w:r>
      <w:r>
        <w:rPr>
          <w:sz w:val="2"/>
        </w:rPr>
      </w:r>
    </w:p>
    <w:p>
      <w:pPr>
        <w:pStyle w:val="BodyText"/>
        <w:spacing w:before="1"/>
        <w:rPr>
          <w:sz w:val="13"/>
        </w:rPr>
      </w:pPr>
    </w:p>
    <w:p>
      <w:pPr>
        <w:spacing w:line="240" w:lineRule="exact" w:before="87"/>
        <w:ind w:left="122" w:right="118" w:firstLine="0"/>
        <w:jc w:val="both"/>
        <w:rPr>
          <w:sz w:val="22"/>
        </w:rPr>
      </w:pPr>
      <w:r>
        <w:rPr>
          <w:b/>
          <w:sz w:val="22"/>
        </w:rPr>
        <w:t>Título del Proyecto de Desarrollo Social: </w:t>
      </w:r>
      <w:r>
        <w:rPr>
          <w:sz w:val="22"/>
        </w:rPr>
        <w:t>“Campaña propagandística de fomento de la Perspectiva de Género en el estudiantado de la licenciatura en comunicación del Campus Universitario Siglo XXI”.</w:t>
      </w:r>
    </w:p>
    <w:p>
      <w:pPr>
        <w:pStyle w:val="BodyText"/>
        <w:spacing w:before="3"/>
        <w:rPr>
          <w:sz w:val="17"/>
        </w:rPr>
      </w:pPr>
    </w:p>
    <w:p>
      <w:pPr>
        <w:spacing w:line="240" w:lineRule="exact" w:before="0"/>
        <w:ind w:left="122" w:right="115" w:firstLine="0"/>
        <w:jc w:val="both"/>
        <w:rPr>
          <w:sz w:val="22"/>
        </w:rPr>
      </w:pPr>
      <w:r>
        <w:rPr>
          <w:b/>
          <w:sz w:val="22"/>
        </w:rPr>
        <w:t>Instrucciones: </w:t>
      </w:r>
      <w:r>
        <w:rPr>
          <w:sz w:val="22"/>
        </w:rPr>
        <w:t>Coloca una “X” dentro del paréntesis que consideres que responde a cada una de las cuestiones planteadas a continuación.</w:t>
      </w:r>
    </w:p>
    <w:p>
      <w:pPr>
        <w:pStyle w:val="BodyText"/>
        <w:rPr>
          <w:sz w:val="22"/>
        </w:rPr>
      </w:pPr>
    </w:p>
    <w:p>
      <w:pPr>
        <w:pStyle w:val="BodyText"/>
        <w:rPr>
          <w:sz w:val="22"/>
        </w:rPr>
      </w:pPr>
    </w:p>
    <w:p>
      <w:pPr>
        <w:pStyle w:val="ListParagraph"/>
        <w:numPr>
          <w:ilvl w:val="0"/>
          <w:numId w:val="5"/>
        </w:numPr>
        <w:tabs>
          <w:tab w:pos="842" w:val="left" w:leader="none"/>
        </w:tabs>
        <w:spacing w:line="240" w:lineRule="exact" w:before="135" w:after="0"/>
        <w:ind w:left="842" w:right="1434" w:hanging="360"/>
        <w:jc w:val="left"/>
        <w:rPr>
          <w:sz w:val="22"/>
        </w:rPr>
      </w:pPr>
      <w:r>
        <w:rPr>
          <w:sz w:val="22"/>
        </w:rPr>
        <w:t>¿Con cuál de las opciones siguientes relacionas el término “Género”? (  )</w:t>
      </w:r>
      <w:r>
        <w:rPr>
          <w:spacing w:val="-2"/>
          <w:sz w:val="22"/>
        </w:rPr>
        <w:t> </w:t>
      </w:r>
      <w:r>
        <w:rPr>
          <w:sz w:val="22"/>
        </w:rPr>
        <w:t>Sexo</w:t>
      </w:r>
    </w:p>
    <w:p>
      <w:pPr>
        <w:spacing w:line="232" w:lineRule="exact" w:before="0"/>
        <w:ind w:left="841" w:right="0" w:firstLine="0"/>
        <w:jc w:val="left"/>
        <w:rPr>
          <w:sz w:val="22"/>
        </w:rPr>
      </w:pPr>
      <w:r>
        <w:rPr>
          <w:sz w:val="22"/>
        </w:rPr>
        <w:t>(  ) Hombre y Mujer</w:t>
      </w:r>
    </w:p>
    <w:p>
      <w:pPr>
        <w:tabs>
          <w:tab w:pos="5698" w:val="left" w:leader="none"/>
          <w:tab w:pos="8593" w:val="left" w:leader="none"/>
        </w:tabs>
        <w:spacing w:line="246" w:lineRule="exact" w:before="0"/>
        <w:ind w:left="841" w:right="0" w:firstLine="0"/>
        <w:jc w:val="left"/>
        <w:rPr>
          <w:sz w:val="22"/>
        </w:rPr>
      </w:pPr>
      <w:r>
        <w:rPr>
          <w:sz w:val="22"/>
        </w:rPr>
        <w:t>(  ) Masculino</w:t>
      </w:r>
      <w:r>
        <w:rPr>
          <w:spacing w:val="-3"/>
          <w:sz w:val="22"/>
        </w:rPr>
        <w:t> </w:t>
      </w:r>
      <w:r>
        <w:rPr>
          <w:sz w:val="22"/>
        </w:rPr>
        <w:t>y</w:t>
      </w:r>
      <w:r>
        <w:rPr>
          <w:spacing w:val="-3"/>
          <w:sz w:val="22"/>
        </w:rPr>
        <w:t> </w:t>
      </w:r>
      <w:r>
        <w:rPr>
          <w:sz w:val="22"/>
        </w:rPr>
        <w:t>Femenino</w:t>
        <w:tab/>
        <w:t>(  )</w:t>
      </w:r>
      <w:r>
        <w:rPr>
          <w:spacing w:val="-3"/>
          <w:sz w:val="22"/>
        </w:rPr>
        <w:t> </w:t>
      </w:r>
      <w:r>
        <w:rPr>
          <w:sz w:val="22"/>
        </w:rPr>
        <w:t>Otro:</w:t>
      </w:r>
      <w:r>
        <w:rPr>
          <w:spacing w:val="2"/>
          <w:sz w:val="22"/>
        </w:rPr>
        <w:t> </w:t>
      </w:r>
      <w:r>
        <w:rPr>
          <w:w w:val="100"/>
          <w:sz w:val="22"/>
          <w:u w:val="single"/>
        </w:rPr>
        <w:t> </w:t>
      </w:r>
      <w:r>
        <w:rPr>
          <w:sz w:val="22"/>
          <w:u w:val="single"/>
        </w:rPr>
        <w:tab/>
      </w:r>
    </w:p>
    <w:p>
      <w:pPr>
        <w:pStyle w:val="BodyText"/>
        <w:spacing w:before="4"/>
        <w:rPr>
          <w:sz w:val="13"/>
        </w:rPr>
      </w:pPr>
    </w:p>
    <w:p>
      <w:pPr>
        <w:pStyle w:val="ListParagraph"/>
        <w:numPr>
          <w:ilvl w:val="0"/>
          <w:numId w:val="5"/>
        </w:numPr>
        <w:tabs>
          <w:tab w:pos="842" w:val="left" w:leader="none"/>
        </w:tabs>
        <w:spacing w:line="240" w:lineRule="exact" w:before="88" w:after="0"/>
        <w:ind w:left="842" w:right="117" w:hanging="360"/>
        <w:jc w:val="both"/>
        <w:rPr>
          <w:sz w:val="22"/>
        </w:rPr>
      </w:pPr>
      <w:r>
        <w:rPr>
          <w:sz w:val="22"/>
        </w:rPr>
        <w:t>¿Cuál de las siguientes acciones considerarías violentas? (*Puede marcarse más de una</w:t>
      </w:r>
      <w:r>
        <w:rPr>
          <w:spacing w:val="-3"/>
          <w:sz w:val="22"/>
        </w:rPr>
        <w:t> </w:t>
      </w:r>
      <w:r>
        <w:rPr>
          <w:sz w:val="22"/>
        </w:rPr>
        <w:t>opción.)</w:t>
      </w:r>
    </w:p>
    <w:p>
      <w:pPr>
        <w:tabs>
          <w:tab w:pos="5527" w:val="left" w:leader="none"/>
        </w:tabs>
        <w:spacing w:line="232" w:lineRule="exact" w:before="0"/>
        <w:ind w:left="841" w:right="0" w:firstLine="0"/>
        <w:jc w:val="left"/>
        <w:rPr>
          <w:sz w:val="22"/>
        </w:rPr>
      </w:pPr>
      <w:r>
        <w:rPr>
          <w:sz w:val="22"/>
        </w:rPr>
        <w:t>(</w:t>
      </w:r>
      <w:r>
        <w:rPr>
          <w:spacing w:val="60"/>
          <w:sz w:val="22"/>
        </w:rPr>
        <w:t> </w:t>
      </w:r>
      <w:r>
        <w:rPr>
          <w:sz w:val="22"/>
        </w:rPr>
        <w:t>)</w:t>
      </w:r>
      <w:r>
        <w:rPr>
          <w:spacing w:val="-1"/>
          <w:sz w:val="22"/>
        </w:rPr>
        <w:t> </w:t>
      </w:r>
      <w:r>
        <w:rPr>
          <w:sz w:val="22"/>
        </w:rPr>
        <w:t>Celos</w:t>
        <w:tab/>
        <w:t>(  ) Acoso</w:t>
      </w:r>
      <w:r>
        <w:rPr>
          <w:spacing w:val="-4"/>
          <w:sz w:val="22"/>
        </w:rPr>
        <w:t> </w:t>
      </w:r>
      <w:r>
        <w:rPr>
          <w:sz w:val="22"/>
        </w:rPr>
        <w:t>sexual</w:t>
      </w:r>
    </w:p>
    <w:p>
      <w:pPr>
        <w:tabs>
          <w:tab w:pos="5710" w:val="left" w:leader="none"/>
        </w:tabs>
        <w:spacing w:line="240" w:lineRule="exact" w:before="8"/>
        <w:ind w:left="841" w:right="1877" w:firstLine="0"/>
        <w:jc w:val="left"/>
        <w:rPr>
          <w:sz w:val="22"/>
        </w:rPr>
      </w:pPr>
      <w:r>
        <w:rPr>
          <w:sz w:val="22"/>
        </w:rPr>
        <w:t>(  ) Nulo respeto a la privacidad</w:t>
      </w:r>
      <w:r>
        <w:rPr>
          <w:spacing w:val="-8"/>
          <w:sz w:val="22"/>
        </w:rPr>
        <w:t> </w:t>
      </w:r>
      <w:r>
        <w:rPr>
          <w:sz w:val="22"/>
        </w:rPr>
        <w:t>del</w:t>
      </w:r>
      <w:r>
        <w:rPr>
          <w:spacing w:val="-1"/>
          <w:sz w:val="22"/>
        </w:rPr>
        <w:t> </w:t>
      </w:r>
      <w:r>
        <w:rPr>
          <w:sz w:val="22"/>
        </w:rPr>
        <w:t>otro</w:t>
        <w:tab/>
        <w:t>(</w:t>
      </w:r>
      <w:r>
        <w:rPr>
          <w:spacing w:val="58"/>
          <w:sz w:val="22"/>
        </w:rPr>
        <w:t> </w:t>
      </w:r>
      <w:r>
        <w:rPr>
          <w:sz w:val="22"/>
        </w:rPr>
        <w:t>) Humillación</w:t>
      </w:r>
      <w:r>
        <w:rPr>
          <w:w w:val="100"/>
          <w:sz w:val="22"/>
        </w:rPr>
        <w:t> </w:t>
      </w:r>
      <w:r>
        <w:rPr>
          <w:sz w:val="22"/>
        </w:rPr>
        <w:t>(  ) Control sobre las decisiones</w:t>
      </w:r>
      <w:r>
        <w:rPr>
          <w:spacing w:val="-6"/>
          <w:sz w:val="22"/>
        </w:rPr>
        <w:t> </w:t>
      </w:r>
      <w:r>
        <w:rPr>
          <w:sz w:val="22"/>
        </w:rPr>
        <w:t>del</w:t>
      </w:r>
      <w:r>
        <w:rPr>
          <w:spacing w:val="-1"/>
          <w:sz w:val="22"/>
        </w:rPr>
        <w:t> </w:t>
      </w:r>
      <w:r>
        <w:rPr>
          <w:sz w:val="22"/>
        </w:rPr>
        <w:t>otro</w:t>
        <w:tab/>
        <w:t>(  )</w:t>
      </w:r>
      <w:r>
        <w:rPr>
          <w:spacing w:val="-4"/>
          <w:sz w:val="22"/>
        </w:rPr>
        <w:t> </w:t>
      </w:r>
      <w:r>
        <w:rPr>
          <w:sz w:val="22"/>
        </w:rPr>
        <w:t>Gritos</w:t>
      </w:r>
    </w:p>
    <w:p>
      <w:pPr>
        <w:tabs>
          <w:tab w:pos="5539" w:val="left" w:leader="none"/>
        </w:tabs>
        <w:spacing w:line="232" w:lineRule="exact" w:before="0"/>
        <w:ind w:left="841" w:right="0" w:firstLine="0"/>
        <w:jc w:val="left"/>
        <w:rPr>
          <w:sz w:val="22"/>
        </w:rPr>
      </w:pPr>
      <w:r>
        <w:rPr>
          <w:sz w:val="22"/>
        </w:rPr>
        <w:t>(</w:t>
      </w:r>
      <w:r>
        <w:rPr>
          <w:spacing w:val="61"/>
          <w:sz w:val="22"/>
        </w:rPr>
        <w:t> </w:t>
      </w:r>
      <w:r>
        <w:rPr>
          <w:sz w:val="22"/>
        </w:rPr>
        <w:t>) Golpes</w:t>
        <w:tab/>
        <w:t>(  ) Todas las</w:t>
      </w:r>
      <w:r>
        <w:rPr>
          <w:spacing w:val="-6"/>
          <w:sz w:val="22"/>
        </w:rPr>
        <w:t> </w:t>
      </w:r>
      <w:r>
        <w:rPr>
          <w:sz w:val="22"/>
        </w:rPr>
        <w:t>anteriores</w:t>
      </w:r>
    </w:p>
    <w:p>
      <w:pPr>
        <w:spacing w:line="246" w:lineRule="exact" w:before="0"/>
        <w:ind w:left="841" w:right="0" w:firstLine="0"/>
        <w:jc w:val="left"/>
        <w:rPr>
          <w:sz w:val="22"/>
        </w:rPr>
      </w:pPr>
      <w:r>
        <w:rPr>
          <w:sz w:val="22"/>
        </w:rPr>
        <w:t>(  ) Asesinato</w:t>
      </w:r>
    </w:p>
    <w:p>
      <w:pPr>
        <w:pStyle w:val="BodyText"/>
        <w:spacing w:before="11"/>
        <w:rPr>
          <w:sz w:val="20"/>
        </w:rPr>
      </w:pPr>
    </w:p>
    <w:p>
      <w:pPr>
        <w:pStyle w:val="ListParagraph"/>
        <w:numPr>
          <w:ilvl w:val="0"/>
          <w:numId w:val="5"/>
        </w:numPr>
        <w:tabs>
          <w:tab w:pos="842" w:val="left" w:leader="none"/>
        </w:tabs>
        <w:spacing w:line="240" w:lineRule="exact" w:before="0" w:after="0"/>
        <w:ind w:left="842" w:right="121" w:hanging="360"/>
        <w:jc w:val="both"/>
        <w:rPr>
          <w:sz w:val="22"/>
        </w:rPr>
      </w:pPr>
      <w:r>
        <w:rPr>
          <w:sz w:val="22"/>
        </w:rPr>
        <w:t>¿Cuál de los siguientes tipos de violencia consideras que ocurren con mayor frecuencia en nuestra</w:t>
      </w:r>
      <w:r>
        <w:rPr>
          <w:spacing w:val="-9"/>
          <w:sz w:val="22"/>
        </w:rPr>
        <w:t> </w:t>
      </w:r>
      <w:r>
        <w:rPr>
          <w:sz w:val="22"/>
        </w:rPr>
        <w:t>sociedad?</w:t>
      </w:r>
    </w:p>
    <w:p>
      <w:pPr>
        <w:spacing w:line="240" w:lineRule="exact" w:before="0"/>
        <w:ind w:left="841" w:right="4384" w:firstLine="0"/>
        <w:jc w:val="left"/>
        <w:rPr>
          <w:sz w:val="22"/>
        </w:rPr>
      </w:pPr>
      <w:r>
        <w:rPr>
          <w:sz w:val="22"/>
        </w:rPr>
        <w:t>(  ) Discriminación por el color de la piel (  ) Discriminación por nivel económico (  ) Violencia</w:t>
      </w:r>
      <w:r>
        <w:rPr>
          <w:spacing w:val="-8"/>
          <w:sz w:val="22"/>
        </w:rPr>
        <w:t> </w:t>
      </w:r>
      <w:r>
        <w:rPr>
          <w:sz w:val="22"/>
        </w:rPr>
        <w:t>infantil</w:t>
      </w:r>
    </w:p>
    <w:p>
      <w:pPr>
        <w:spacing w:line="240" w:lineRule="exact" w:before="0"/>
        <w:ind w:left="841" w:right="5895" w:firstLine="0"/>
        <w:jc w:val="left"/>
        <w:rPr>
          <w:sz w:val="22"/>
        </w:rPr>
      </w:pPr>
      <w:r>
        <w:rPr>
          <w:sz w:val="22"/>
        </w:rPr>
        <w:t>(  ) Violencia de género (  ) Todas las anteriores</w:t>
      </w:r>
    </w:p>
    <w:p>
      <w:pPr>
        <w:pStyle w:val="BodyText"/>
        <w:spacing w:before="10"/>
        <w:rPr>
          <w:sz w:val="20"/>
        </w:rPr>
      </w:pPr>
    </w:p>
    <w:p>
      <w:pPr>
        <w:pStyle w:val="ListParagraph"/>
        <w:numPr>
          <w:ilvl w:val="0"/>
          <w:numId w:val="5"/>
        </w:numPr>
        <w:tabs>
          <w:tab w:pos="842" w:val="left" w:leader="none"/>
        </w:tabs>
        <w:spacing w:line="240" w:lineRule="exact" w:before="0" w:after="0"/>
        <w:ind w:left="842" w:right="120" w:hanging="360"/>
        <w:jc w:val="both"/>
        <w:rPr>
          <w:sz w:val="22"/>
        </w:rPr>
      </w:pPr>
      <w:r>
        <w:rPr>
          <w:sz w:val="22"/>
        </w:rPr>
        <w:t>En el caso de la violencia que se genera entre hombres y mujeres, ¿cuáles consideras que son las dos más frecuentes? (Enumera con 1 y 2 en orden jerárquico)</w:t>
      </w:r>
    </w:p>
    <w:p>
      <w:pPr>
        <w:spacing w:line="240" w:lineRule="exact" w:before="0"/>
        <w:ind w:left="841" w:right="3980" w:firstLine="0"/>
        <w:jc w:val="left"/>
        <w:rPr>
          <w:sz w:val="22"/>
        </w:rPr>
      </w:pPr>
      <w:r>
        <w:rPr>
          <w:sz w:val="22"/>
        </w:rPr>
        <w:t>(  ) Violencia contra las mujeres y las niñas (  ) Violencia contra los hombres y los</w:t>
      </w:r>
      <w:r>
        <w:rPr>
          <w:spacing w:val="-12"/>
          <w:sz w:val="22"/>
        </w:rPr>
        <w:t> </w:t>
      </w:r>
      <w:r>
        <w:rPr>
          <w:sz w:val="22"/>
        </w:rPr>
        <w:t>niños</w:t>
      </w:r>
    </w:p>
    <w:p>
      <w:pPr>
        <w:spacing w:line="239" w:lineRule="exact" w:before="0"/>
        <w:ind w:left="841" w:right="0" w:firstLine="0"/>
        <w:jc w:val="left"/>
        <w:rPr>
          <w:sz w:val="22"/>
        </w:rPr>
      </w:pPr>
      <w:r>
        <w:rPr>
          <w:sz w:val="22"/>
        </w:rPr>
        <w:t>(  ) Violencia contra homosexuales y lesbianas</w:t>
      </w:r>
    </w:p>
    <w:p>
      <w:pPr>
        <w:pStyle w:val="BodyText"/>
        <w:spacing w:before="9"/>
        <w:rPr>
          <w:sz w:val="19"/>
        </w:rPr>
      </w:pPr>
    </w:p>
    <w:p>
      <w:pPr>
        <w:pStyle w:val="ListParagraph"/>
        <w:numPr>
          <w:ilvl w:val="0"/>
          <w:numId w:val="5"/>
        </w:numPr>
        <w:tabs>
          <w:tab w:pos="842" w:val="left" w:leader="none"/>
        </w:tabs>
        <w:spacing w:line="246" w:lineRule="exact" w:before="0" w:after="0"/>
        <w:ind w:left="842" w:right="0" w:hanging="360"/>
        <w:jc w:val="left"/>
        <w:rPr>
          <w:sz w:val="22"/>
        </w:rPr>
      </w:pPr>
      <w:r>
        <w:rPr>
          <w:sz w:val="22"/>
        </w:rPr>
        <w:t>¿Qué tipo (s) de violencia contra las mujeres</w:t>
      </w:r>
      <w:r>
        <w:rPr>
          <w:spacing w:val="-11"/>
          <w:sz w:val="22"/>
        </w:rPr>
        <w:t> </w:t>
      </w:r>
      <w:r>
        <w:rPr>
          <w:sz w:val="22"/>
        </w:rPr>
        <w:t>conoces?</w:t>
      </w:r>
    </w:p>
    <w:p>
      <w:pPr>
        <w:tabs>
          <w:tab w:pos="2836" w:val="left" w:leader="none"/>
        </w:tabs>
        <w:spacing w:line="240" w:lineRule="exact" w:before="8"/>
        <w:ind w:left="841" w:right="2108" w:firstLine="0"/>
        <w:jc w:val="left"/>
        <w:rPr>
          <w:sz w:val="22"/>
        </w:rPr>
      </w:pPr>
      <w:r>
        <w:rPr>
          <w:sz w:val="22"/>
        </w:rPr>
        <w:t>(</w:t>
      </w:r>
      <w:r>
        <w:rPr>
          <w:spacing w:val="60"/>
          <w:sz w:val="22"/>
        </w:rPr>
        <w:t> </w:t>
      </w:r>
      <w:r>
        <w:rPr>
          <w:sz w:val="22"/>
        </w:rPr>
        <w:t>)</w:t>
      </w:r>
      <w:r>
        <w:rPr>
          <w:spacing w:val="-2"/>
          <w:sz w:val="22"/>
        </w:rPr>
        <w:t> </w:t>
      </w:r>
      <w:r>
        <w:rPr>
          <w:sz w:val="22"/>
        </w:rPr>
        <w:t>Psicológica</w:t>
        <w:tab/>
        <w:t>(  ) Acoso Callejero (silbidos,</w:t>
      </w:r>
      <w:r>
        <w:rPr>
          <w:spacing w:val="-15"/>
          <w:sz w:val="22"/>
        </w:rPr>
        <w:t> </w:t>
      </w:r>
      <w:r>
        <w:rPr>
          <w:sz w:val="22"/>
        </w:rPr>
        <w:t>albures, etc.)</w:t>
      </w:r>
      <w:r>
        <w:rPr>
          <w:w w:val="100"/>
          <w:sz w:val="22"/>
        </w:rPr>
        <w:t> </w:t>
      </w:r>
      <w:r>
        <w:rPr>
          <w:sz w:val="22"/>
        </w:rPr>
        <w:t>(</w:t>
      </w:r>
      <w:r>
        <w:rPr>
          <w:spacing w:val="60"/>
          <w:sz w:val="22"/>
        </w:rPr>
        <w:t> </w:t>
      </w:r>
      <w:r>
        <w:rPr>
          <w:sz w:val="22"/>
        </w:rPr>
        <w:t>)</w:t>
      </w:r>
      <w:r>
        <w:rPr>
          <w:spacing w:val="-2"/>
          <w:sz w:val="22"/>
        </w:rPr>
        <w:t> </w:t>
      </w:r>
      <w:r>
        <w:rPr>
          <w:sz w:val="22"/>
        </w:rPr>
        <w:t>Física</w:t>
        <w:tab/>
        <w:t>(  ) Insinuaciones sexuales</w:t>
      </w:r>
      <w:r>
        <w:rPr>
          <w:spacing w:val="-5"/>
          <w:sz w:val="22"/>
        </w:rPr>
        <w:t> </w:t>
      </w:r>
      <w:r>
        <w:rPr>
          <w:sz w:val="22"/>
        </w:rPr>
        <w:t>indeseadas</w:t>
      </w:r>
    </w:p>
    <w:p>
      <w:pPr>
        <w:tabs>
          <w:tab w:pos="2872" w:val="left" w:leader="none"/>
        </w:tabs>
        <w:spacing w:line="232" w:lineRule="exact" w:before="0"/>
        <w:ind w:left="841" w:right="0" w:firstLine="0"/>
        <w:jc w:val="left"/>
        <w:rPr>
          <w:sz w:val="22"/>
        </w:rPr>
      </w:pPr>
      <w:r>
        <w:rPr>
          <w:sz w:val="22"/>
        </w:rPr>
        <w:t>(</w:t>
      </w:r>
      <w:r>
        <w:rPr>
          <w:spacing w:val="60"/>
          <w:sz w:val="22"/>
        </w:rPr>
        <w:t> </w:t>
      </w:r>
      <w:r>
        <w:rPr>
          <w:sz w:val="22"/>
        </w:rPr>
        <w:t>)</w:t>
      </w:r>
      <w:r>
        <w:rPr>
          <w:spacing w:val="-1"/>
          <w:sz w:val="22"/>
        </w:rPr>
        <w:t> </w:t>
      </w:r>
      <w:r>
        <w:rPr>
          <w:sz w:val="22"/>
        </w:rPr>
        <w:t>Económica</w:t>
        <w:tab/>
        <w:t>(  ) Control sobre sus</w:t>
      </w:r>
      <w:r>
        <w:rPr>
          <w:spacing w:val="-10"/>
          <w:sz w:val="22"/>
        </w:rPr>
        <w:t> </w:t>
      </w:r>
      <w:r>
        <w:rPr>
          <w:sz w:val="22"/>
        </w:rPr>
        <w:t>gastos</w:t>
      </w:r>
    </w:p>
    <w:p>
      <w:pPr>
        <w:tabs>
          <w:tab w:pos="2908" w:val="left" w:leader="none"/>
          <w:tab w:pos="3007" w:val="left" w:leader="none"/>
        </w:tabs>
        <w:spacing w:line="240" w:lineRule="exact" w:before="8"/>
        <w:ind w:left="841" w:right="176" w:firstLine="0"/>
        <w:jc w:val="left"/>
        <w:rPr>
          <w:sz w:val="22"/>
        </w:rPr>
      </w:pPr>
      <w:r>
        <w:rPr>
          <w:sz w:val="22"/>
        </w:rPr>
        <w:t>(</w:t>
      </w:r>
      <w:r>
        <w:rPr>
          <w:spacing w:val="60"/>
          <w:sz w:val="22"/>
        </w:rPr>
        <w:t> </w:t>
      </w:r>
      <w:r>
        <w:rPr>
          <w:sz w:val="22"/>
        </w:rPr>
        <w:t>)</w:t>
      </w:r>
      <w:r>
        <w:rPr>
          <w:spacing w:val="-2"/>
          <w:sz w:val="22"/>
        </w:rPr>
        <w:t> </w:t>
      </w:r>
      <w:r>
        <w:rPr>
          <w:sz w:val="22"/>
        </w:rPr>
        <w:t>Sexual</w:t>
        <w:tab/>
        <w:tab/>
        <w:t>(  ) Trato ofensivo por NO encajar con el</w:t>
      </w:r>
      <w:r>
        <w:rPr>
          <w:spacing w:val="-17"/>
          <w:sz w:val="22"/>
        </w:rPr>
        <w:t> </w:t>
      </w:r>
      <w:r>
        <w:rPr>
          <w:sz w:val="22"/>
        </w:rPr>
        <w:t>estereotipo</w:t>
      </w:r>
      <w:r>
        <w:rPr>
          <w:spacing w:val="-2"/>
          <w:sz w:val="22"/>
        </w:rPr>
        <w:t> </w:t>
      </w:r>
      <w:r>
        <w:rPr>
          <w:sz w:val="22"/>
        </w:rPr>
        <w:t>estético</w:t>
      </w:r>
      <w:r>
        <w:rPr>
          <w:w w:val="100"/>
          <w:sz w:val="22"/>
        </w:rPr>
        <w:t> </w:t>
      </w:r>
      <w:r>
        <w:rPr>
          <w:sz w:val="22"/>
        </w:rPr>
        <w:t>(</w:t>
      </w:r>
      <w:r>
        <w:rPr>
          <w:spacing w:val="60"/>
          <w:sz w:val="22"/>
        </w:rPr>
        <w:t> </w:t>
      </w:r>
      <w:r>
        <w:rPr>
          <w:sz w:val="22"/>
        </w:rPr>
        <w:t>)</w:t>
      </w:r>
      <w:r>
        <w:rPr>
          <w:spacing w:val="-2"/>
          <w:sz w:val="22"/>
        </w:rPr>
        <w:t> </w:t>
      </w:r>
      <w:r>
        <w:rPr>
          <w:sz w:val="22"/>
        </w:rPr>
        <w:t>Obstétrica</w:t>
        <w:tab/>
        <w:t>(  ) Trato abusivo en una consulta</w:t>
      </w:r>
      <w:r>
        <w:rPr>
          <w:spacing w:val="-13"/>
          <w:sz w:val="22"/>
        </w:rPr>
        <w:t> </w:t>
      </w:r>
      <w:r>
        <w:rPr>
          <w:sz w:val="22"/>
        </w:rPr>
        <w:t>ginecológica</w:t>
      </w:r>
    </w:p>
    <w:p>
      <w:pPr>
        <w:spacing w:line="239" w:lineRule="exact" w:before="0"/>
        <w:ind w:left="2022" w:right="3172" w:firstLine="0"/>
        <w:jc w:val="center"/>
        <w:rPr>
          <w:sz w:val="22"/>
        </w:rPr>
      </w:pPr>
      <w:r>
        <w:rPr>
          <w:sz w:val="22"/>
        </w:rPr>
        <w:t>(  ) Todas las anteriores</w:t>
      </w:r>
    </w:p>
    <w:p>
      <w:pPr>
        <w:spacing w:after="0" w:line="239" w:lineRule="exact"/>
        <w:jc w:val="center"/>
        <w:rPr>
          <w:sz w:val="22"/>
        </w:rPr>
        <w:sectPr>
          <w:type w:val="continuous"/>
          <w:pgSz w:w="12240" w:h="15840"/>
          <w:pgMar w:top="1340" w:bottom="280" w:left="1580" w:right="1580"/>
        </w:sectPr>
      </w:pPr>
    </w:p>
    <w:p>
      <w:pPr>
        <w:pStyle w:val="ListParagraph"/>
        <w:numPr>
          <w:ilvl w:val="0"/>
          <w:numId w:val="5"/>
        </w:numPr>
        <w:tabs>
          <w:tab w:pos="822" w:val="left" w:leader="none"/>
        </w:tabs>
        <w:spacing w:line="240" w:lineRule="auto" w:before="44" w:after="0"/>
        <w:ind w:left="822" w:right="0" w:hanging="360"/>
        <w:jc w:val="left"/>
        <w:rPr>
          <w:sz w:val="22"/>
        </w:rPr>
      </w:pPr>
      <w:r>
        <w:rPr>
          <w:sz w:val="22"/>
        </w:rPr>
        <w:t>¿Qué idea tienes acerca de la Perspectiva de</w:t>
      </w:r>
      <w:r>
        <w:rPr>
          <w:spacing w:val="-13"/>
          <w:sz w:val="22"/>
        </w:rPr>
        <w:t> </w:t>
      </w:r>
      <w:r>
        <w:rPr>
          <w:sz w:val="22"/>
        </w:rPr>
        <w:t>Género?</w:t>
      </w:r>
    </w:p>
    <w:p>
      <w:pPr>
        <w:pStyle w:val="BodyText"/>
        <w:spacing w:before="6"/>
        <w:rPr>
          <w:sz w:val="17"/>
        </w:rPr>
      </w:pPr>
      <w:r>
        <w:rPr/>
        <w:pict>
          <v:line style="position:absolute;mso-position-horizontal-relative:page;mso-position-vertical-relative:paragraph;z-index:5392;mso-wrap-distance-left:0;mso-wrap-distance-right:0" from="119.660004pt,12.788967pt" to="528.570004pt,12.788967pt" stroked="true" strokeweight="1.44pt" strokecolor="#000000">
            <w10:wrap type="topAndBottom"/>
          </v:line>
        </w:pict>
      </w:r>
      <w:r>
        <w:rPr/>
        <w:pict>
          <v:line style="position:absolute;mso-position-horizontal-relative:page;mso-position-vertical-relative:paragraph;z-index:5416;mso-wrap-distance-left:0;mso-wrap-distance-right:0" from="119.660004pt,28.268967pt" to="528.570004pt,28.268967pt" stroked="true" strokeweight="1.44pt" strokecolor="#000000">
            <w10:wrap type="topAndBottom"/>
          </v:line>
        </w:pict>
      </w:r>
    </w:p>
    <w:p>
      <w:pPr>
        <w:pStyle w:val="BodyText"/>
        <w:spacing w:before="5"/>
        <w:rPr>
          <w:sz w:val="18"/>
        </w:rPr>
      </w:pPr>
    </w:p>
    <w:p>
      <w:pPr>
        <w:pStyle w:val="BodyText"/>
        <w:rPr>
          <w:sz w:val="20"/>
        </w:rPr>
      </w:pPr>
    </w:p>
    <w:p>
      <w:pPr>
        <w:pStyle w:val="BodyText"/>
        <w:spacing w:before="11"/>
        <w:rPr>
          <w:sz w:val="17"/>
        </w:rPr>
      </w:pPr>
    </w:p>
    <w:p>
      <w:pPr>
        <w:pStyle w:val="ListParagraph"/>
        <w:numPr>
          <w:ilvl w:val="0"/>
          <w:numId w:val="5"/>
        </w:numPr>
        <w:tabs>
          <w:tab w:pos="822" w:val="left" w:leader="none"/>
        </w:tabs>
        <w:spacing w:line="240" w:lineRule="auto" w:before="0" w:after="0"/>
        <w:ind w:left="822" w:right="0" w:hanging="360"/>
        <w:jc w:val="left"/>
        <w:rPr>
          <w:sz w:val="20"/>
        </w:rPr>
      </w:pPr>
      <w:r>
        <w:rPr>
          <w:sz w:val="22"/>
        </w:rPr>
        <w:t>¿A  cuál  de  los  siguientes  problemas  sociales consideras que  la Perspectiva</w:t>
      </w:r>
      <w:r>
        <w:rPr>
          <w:spacing w:val="-21"/>
          <w:sz w:val="22"/>
        </w:rPr>
        <w:t> </w:t>
      </w:r>
      <w:r>
        <w:rPr>
          <w:sz w:val="22"/>
        </w:rPr>
        <w:t>de</w:t>
      </w:r>
    </w:p>
    <w:p>
      <w:pPr>
        <w:spacing w:before="5"/>
        <w:ind w:left="821" w:right="509" w:firstLine="0"/>
        <w:jc w:val="left"/>
        <w:rPr>
          <w:sz w:val="20"/>
        </w:rPr>
      </w:pPr>
      <w:r>
        <w:rPr>
          <w:sz w:val="20"/>
        </w:rPr>
        <w:t>Género podría aportar una solución?</w:t>
      </w:r>
    </w:p>
    <w:p>
      <w:pPr>
        <w:tabs>
          <w:tab w:pos="5202" w:val="left" w:leader="none"/>
          <w:tab w:pos="5258" w:val="left" w:leader="none"/>
        </w:tabs>
        <w:spacing w:line="249" w:lineRule="auto" w:before="10"/>
        <w:ind w:left="821" w:right="509" w:firstLine="0"/>
        <w:jc w:val="left"/>
        <w:rPr>
          <w:sz w:val="20"/>
        </w:rPr>
      </w:pPr>
      <w:r>
        <w:rPr>
          <w:sz w:val="20"/>
        </w:rPr>
        <w:t>(  ) La inequidad entre hombres</w:t>
      </w:r>
      <w:r>
        <w:rPr>
          <w:spacing w:val="-1"/>
          <w:sz w:val="20"/>
        </w:rPr>
        <w:t> </w:t>
      </w:r>
      <w:r>
        <w:rPr>
          <w:sz w:val="20"/>
        </w:rPr>
        <w:t>y</w:t>
      </w:r>
      <w:r>
        <w:rPr>
          <w:spacing w:val="-5"/>
          <w:sz w:val="20"/>
        </w:rPr>
        <w:t> </w:t>
      </w:r>
      <w:r>
        <w:rPr>
          <w:sz w:val="20"/>
        </w:rPr>
        <w:t>mujeres</w:t>
        <w:tab/>
        <w:tab/>
        <w:t>(  ) Diseño de</w:t>
      </w:r>
      <w:r>
        <w:rPr>
          <w:spacing w:val="-11"/>
          <w:sz w:val="20"/>
        </w:rPr>
        <w:t> </w:t>
      </w:r>
      <w:r>
        <w:rPr>
          <w:sz w:val="20"/>
        </w:rPr>
        <w:t>contenidos</w:t>
      </w:r>
      <w:r>
        <w:rPr>
          <w:spacing w:val="-2"/>
          <w:sz w:val="20"/>
        </w:rPr>
        <w:t> </w:t>
      </w:r>
      <w:r>
        <w:rPr>
          <w:sz w:val="20"/>
        </w:rPr>
        <w:t>publicitarios</w:t>
      </w:r>
      <w:r>
        <w:rPr>
          <w:w w:val="99"/>
          <w:sz w:val="20"/>
        </w:rPr>
        <w:t> </w:t>
      </w:r>
      <w:r>
        <w:rPr>
          <w:sz w:val="20"/>
        </w:rPr>
        <w:t>(  ) La dependencia económica de</w:t>
      </w:r>
      <w:r>
        <w:rPr>
          <w:spacing w:val="-9"/>
          <w:sz w:val="20"/>
        </w:rPr>
        <w:t> </w:t>
      </w:r>
      <w:r>
        <w:rPr>
          <w:sz w:val="20"/>
        </w:rPr>
        <w:t>las</w:t>
      </w:r>
      <w:r>
        <w:rPr>
          <w:spacing w:val="-2"/>
          <w:sz w:val="20"/>
        </w:rPr>
        <w:t> </w:t>
      </w:r>
      <w:r>
        <w:rPr>
          <w:sz w:val="20"/>
        </w:rPr>
        <w:t>mujeres</w:t>
        <w:tab/>
        <w:t>(  ) La invisibilidad de las</w:t>
      </w:r>
      <w:r>
        <w:rPr>
          <w:spacing w:val="-10"/>
          <w:sz w:val="20"/>
        </w:rPr>
        <w:t> </w:t>
      </w:r>
      <w:r>
        <w:rPr>
          <w:sz w:val="20"/>
        </w:rPr>
        <w:t>mujeres</w:t>
      </w:r>
    </w:p>
    <w:p>
      <w:pPr>
        <w:tabs>
          <w:tab w:pos="5344" w:val="left" w:leader="none"/>
        </w:tabs>
        <w:spacing w:line="249" w:lineRule="auto" w:before="1"/>
        <w:ind w:left="821" w:right="1643" w:firstLine="0"/>
        <w:jc w:val="left"/>
        <w:rPr>
          <w:sz w:val="20"/>
        </w:rPr>
      </w:pPr>
      <w:r>
        <w:rPr>
          <w:sz w:val="20"/>
        </w:rPr>
        <w:t>(  ) La violencia hacia</w:t>
      </w:r>
      <w:r>
        <w:rPr>
          <w:spacing w:val="-6"/>
          <w:sz w:val="20"/>
        </w:rPr>
        <w:t> </w:t>
      </w:r>
      <w:r>
        <w:rPr>
          <w:sz w:val="20"/>
        </w:rPr>
        <w:t>las</w:t>
      </w:r>
      <w:r>
        <w:rPr>
          <w:spacing w:val="-1"/>
          <w:sz w:val="20"/>
        </w:rPr>
        <w:t> </w:t>
      </w:r>
      <w:r>
        <w:rPr>
          <w:sz w:val="20"/>
        </w:rPr>
        <w:t>mujeres</w:t>
        <w:tab/>
        <w:t>(  ) Todas</w:t>
      </w:r>
      <w:r>
        <w:rPr>
          <w:spacing w:val="-5"/>
          <w:sz w:val="20"/>
        </w:rPr>
        <w:t> </w:t>
      </w:r>
      <w:r>
        <w:rPr>
          <w:sz w:val="20"/>
        </w:rPr>
        <w:t>las</w:t>
      </w:r>
      <w:r>
        <w:rPr>
          <w:spacing w:val="-2"/>
          <w:sz w:val="20"/>
        </w:rPr>
        <w:t> </w:t>
      </w:r>
      <w:r>
        <w:rPr>
          <w:sz w:val="20"/>
        </w:rPr>
        <w:t>anteriores</w:t>
      </w:r>
      <w:r>
        <w:rPr>
          <w:w w:val="99"/>
          <w:sz w:val="20"/>
        </w:rPr>
        <w:t> </w:t>
      </w:r>
      <w:r>
        <w:rPr>
          <w:sz w:val="20"/>
        </w:rPr>
        <w:t>(  ) El</w:t>
      </w:r>
      <w:r>
        <w:rPr>
          <w:spacing w:val="-7"/>
          <w:sz w:val="20"/>
        </w:rPr>
        <w:t> </w:t>
      </w:r>
      <w:r>
        <w:rPr>
          <w:sz w:val="20"/>
        </w:rPr>
        <w:t>feminicidio</w:t>
      </w:r>
    </w:p>
    <w:p>
      <w:pPr>
        <w:pStyle w:val="BodyText"/>
        <w:rPr>
          <w:sz w:val="20"/>
        </w:rPr>
      </w:pPr>
    </w:p>
    <w:p>
      <w:pPr>
        <w:pStyle w:val="BodyText"/>
        <w:spacing w:before="1"/>
        <w:rPr>
          <w:sz w:val="21"/>
        </w:rPr>
      </w:pPr>
    </w:p>
    <w:p>
      <w:pPr>
        <w:pStyle w:val="ListParagraph"/>
        <w:numPr>
          <w:ilvl w:val="0"/>
          <w:numId w:val="5"/>
        </w:numPr>
        <w:tabs>
          <w:tab w:pos="822" w:val="left" w:leader="none"/>
        </w:tabs>
        <w:spacing w:line="228" w:lineRule="auto" w:before="0" w:after="0"/>
        <w:ind w:left="822" w:right="159" w:hanging="360"/>
        <w:jc w:val="both"/>
        <w:rPr>
          <w:sz w:val="22"/>
        </w:rPr>
      </w:pPr>
      <w:r>
        <w:rPr>
          <w:sz w:val="22"/>
        </w:rPr>
        <w:t>¿Consideras que el estereotipo de género utilizado por las campañas publicitarias en los medios de comunicación masiva sea un factor determinante para el origen y/o refuerzo de las desigualdades entre mujeres y</w:t>
      </w:r>
      <w:r>
        <w:rPr>
          <w:spacing w:val="-12"/>
          <w:sz w:val="22"/>
        </w:rPr>
        <w:t> </w:t>
      </w:r>
      <w:r>
        <w:rPr>
          <w:sz w:val="22"/>
        </w:rPr>
        <w:t>hombres?</w:t>
      </w:r>
    </w:p>
    <w:p>
      <w:pPr>
        <w:tabs>
          <w:tab w:pos="4172" w:val="left" w:leader="none"/>
        </w:tabs>
        <w:spacing w:line="242" w:lineRule="exact" w:before="0"/>
        <w:ind w:left="821" w:right="509" w:firstLine="0"/>
        <w:jc w:val="left"/>
        <w:rPr>
          <w:sz w:val="22"/>
        </w:rPr>
      </w:pPr>
      <w:r>
        <w:rPr>
          <w:sz w:val="22"/>
        </w:rPr>
        <w:t>(  )</w:t>
      </w:r>
      <w:r>
        <w:rPr>
          <w:spacing w:val="-1"/>
          <w:sz w:val="22"/>
        </w:rPr>
        <w:t> </w:t>
      </w:r>
      <w:r>
        <w:rPr>
          <w:sz w:val="22"/>
        </w:rPr>
        <w:t>Sí</w:t>
        <w:tab/>
        <w:t>(  )</w:t>
      </w:r>
      <w:r>
        <w:rPr>
          <w:spacing w:val="-2"/>
          <w:sz w:val="22"/>
        </w:rPr>
        <w:t> </w:t>
      </w:r>
      <w:r>
        <w:rPr>
          <w:sz w:val="22"/>
        </w:rPr>
        <w:t>No</w:t>
      </w:r>
    </w:p>
    <w:p>
      <w:pPr>
        <w:pStyle w:val="BodyText"/>
        <w:spacing w:before="11"/>
        <w:rPr>
          <w:sz w:val="20"/>
        </w:rPr>
      </w:pPr>
    </w:p>
    <w:p>
      <w:pPr>
        <w:spacing w:line="240" w:lineRule="exact" w:before="0"/>
        <w:ind w:left="821" w:right="0" w:firstLine="0"/>
        <w:jc w:val="left"/>
        <w:rPr>
          <w:sz w:val="22"/>
        </w:rPr>
      </w:pPr>
      <w:r>
        <w:rPr>
          <w:sz w:val="22"/>
        </w:rPr>
        <w:t>* Si tu respuesta fue afirmativa, ¿De qué manera consideras que los medios de comunicación masiva utilizan el estereotipo de género?</w:t>
      </w:r>
    </w:p>
    <w:p>
      <w:pPr>
        <w:pStyle w:val="BodyText"/>
        <w:spacing w:before="4"/>
        <w:rPr>
          <w:sz w:val="19"/>
        </w:rPr>
      </w:pPr>
      <w:r>
        <w:rPr/>
        <w:pict>
          <v:line style="position:absolute;mso-position-horizontal-relative:page;mso-position-vertical-relative:paragraph;z-index:5440;mso-wrap-distance-left:0;mso-wrap-distance-right:0" from="119.660004pt,13.80001pt" to="528.570004pt,13.80001pt" stroked="true" strokeweight="1.44pt" strokecolor="#000000">
            <w10:wrap type="topAndBottom"/>
          </v:line>
        </w:pict>
      </w:r>
      <w:r>
        <w:rPr/>
        <w:pict>
          <v:line style="position:absolute;mso-position-horizontal-relative:page;mso-position-vertical-relative:paragraph;z-index:5464;mso-wrap-distance-left:0;mso-wrap-distance-right:0" from="119.660004pt,27.240009pt" to="528.570004pt,27.240009pt" stroked="true" strokeweight="1.44pt" strokecolor="#000000">
            <w10:wrap type="topAndBottom"/>
          </v:line>
        </w:pict>
      </w:r>
      <w:r>
        <w:rPr/>
        <w:pict>
          <v:line style="position:absolute;mso-position-horizontal-relative:page;mso-position-vertical-relative:paragraph;z-index:5488;mso-wrap-distance-left:0;mso-wrap-distance-right:0" from="119.660004pt,42.840012pt" to="528.570004pt,42.840012pt" stroked="true" strokeweight="1.44pt" strokecolor="#000000">
            <w10:wrap type="topAndBottom"/>
          </v:line>
        </w:pict>
      </w:r>
    </w:p>
    <w:p>
      <w:pPr>
        <w:pStyle w:val="BodyText"/>
        <w:spacing w:before="10"/>
        <w:rPr>
          <w:sz w:val="14"/>
        </w:rPr>
      </w:pPr>
    </w:p>
    <w:p>
      <w:pPr>
        <w:pStyle w:val="BodyText"/>
        <w:spacing w:before="8"/>
        <w:rPr>
          <w:sz w:val="18"/>
        </w:rPr>
      </w:pPr>
    </w:p>
    <w:p>
      <w:pPr>
        <w:pStyle w:val="BodyText"/>
        <w:rPr>
          <w:sz w:val="20"/>
        </w:rPr>
      </w:pPr>
    </w:p>
    <w:p>
      <w:pPr>
        <w:pStyle w:val="BodyText"/>
        <w:spacing w:before="9"/>
        <w:rPr>
          <w:sz w:val="18"/>
        </w:rPr>
      </w:pPr>
    </w:p>
    <w:p>
      <w:pPr>
        <w:pStyle w:val="ListParagraph"/>
        <w:numPr>
          <w:ilvl w:val="0"/>
          <w:numId w:val="5"/>
        </w:numPr>
        <w:tabs>
          <w:tab w:pos="822" w:val="left" w:leader="none"/>
        </w:tabs>
        <w:spacing w:line="228" w:lineRule="auto" w:before="1" w:after="0"/>
        <w:ind w:left="822" w:right="155" w:hanging="360"/>
        <w:jc w:val="both"/>
        <w:rPr>
          <w:sz w:val="22"/>
        </w:rPr>
      </w:pPr>
      <w:r>
        <w:rPr>
          <w:sz w:val="22"/>
        </w:rPr>
        <w:t>Desde la perspectiva de tu ACTUAL formación como profesional de la Comunicación, ¿Consideras que puedes realizar alguna aportación para erradicar la inequidad de género y la violencia contra las</w:t>
      </w:r>
      <w:r>
        <w:rPr>
          <w:spacing w:val="-13"/>
          <w:sz w:val="22"/>
        </w:rPr>
        <w:t> </w:t>
      </w:r>
      <w:r>
        <w:rPr>
          <w:sz w:val="22"/>
        </w:rPr>
        <w:t>mujeres?</w:t>
      </w:r>
    </w:p>
    <w:p>
      <w:pPr>
        <w:tabs>
          <w:tab w:pos="4172" w:val="left" w:leader="none"/>
        </w:tabs>
        <w:spacing w:line="242" w:lineRule="exact" w:before="0"/>
        <w:ind w:left="821" w:right="509" w:firstLine="0"/>
        <w:jc w:val="left"/>
        <w:rPr>
          <w:sz w:val="22"/>
        </w:rPr>
      </w:pPr>
      <w:r>
        <w:rPr>
          <w:sz w:val="22"/>
        </w:rPr>
        <w:t>(  )</w:t>
      </w:r>
      <w:r>
        <w:rPr>
          <w:spacing w:val="-1"/>
          <w:sz w:val="22"/>
        </w:rPr>
        <w:t> </w:t>
      </w:r>
      <w:r>
        <w:rPr>
          <w:sz w:val="22"/>
        </w:rPr>
        <w:t>Sí</w:t>
        <w:tab/>
        <w:t>(  )</w:t>
      </w:r>
      <w:r>
        <w:rPr>
          <w:spacing w:val="-2"/>
          <w:sz w:val="22"/>
        </w:rPr>
        <w:t> </w:t>
      </w:r>
      <w:r>
        <w:rPr>
          <w:sz w:val="22"/>
        </w:rPr>
        <w:t>No</w:t>
      </w:r>
    </w:p>
    <w:p>
      <w:pPr>
        <w:pStyle w:val="ListParagraph"/>
        <w:numPr>
          <w:ilvl w:val="0"/>
          <w:numId w:val="6"/>
        </w:numPr>
        <w:tabs>
          <w:tab w:pos="611" w:val="left" w:leader="none"/>
        </w:tabs>
        <w:spacing w:line="240" w:lineRule="auto" w:before="186" w:after="0"/>
        <w:ind w:left="102" w:right="0" w:firstLine="360"/>
        <w:jc w:val="left"/>
        <w:rPr>
          <w:sz w:val="22"/>
        </w:rPr>
      </w:pPr>
      <w:r>
        <w:rPr>
          <w:sz w:val="22"/>
        </w:rPr>
        <w:t>Si tu respuesta fue afirmativa, ¿Cuál sería tu</w:t>
      </w:r>
      <w:r>
        <w:rPr>
          <w:spacing w:val="-14"/>
          <w:sz w:val="22"/>
        </w:rPr>
        <w:t> </w:t>
      </w:r>
      <w:r>
        <w:rPr>
          <w:sz w:val="22"/>
        </w:rPr>
        <w:t>aportación?</w:t>
      </w:r>
    </w:p>
    <w:p>
      <w:pPr>
        <w:pStyle w:val="BodyText"/>
        <w:rPr>
          <w:sz w:val="20"/>
        </w:rPr>
      </w:pPr>
    </w:p>
    <w:p>
      <w:pPr>
        <w:pStyle w:val="BodyText"/>
        <w:spacing w:before="6"/>
        <w:rPr>
          <w:sz w:val="13"/>
        </w:rPr>
      </w:pPr>
      <w:r>
        <w:rPr/>
        <w:pict>
          <v:line style="position:absolute;mso-position-horizontal-relative:page;mso-position-vertical-relative:paragraph;z-index:5512;mso-wrap-distance-left:0;mso-wrap-distance-right:0" from="103.099998pt,10.099109pt" to="525.382779pt,10.099109pt" stroked="true" strokeweight=".69552pt" strokecolor="#000000">
            <w10:wrap type="topAndBottom"/>
          </v:line>
        </w:pict>
      </w:r>
    </w:p>
    <w:p>
      <w:pPr>
        <w:pStyle w:val="BodyText"/>
        <w:rPr>
          <w:sz w:val="20"/>
        </w:rPr>
      </w:pPr>
    </w:p>
    <w:p>
      <w:pPr>
        <w:pStyle w:val="BodyText"/>
        <w:rPr>
          <w:sz w:val="11"/>
        </w:rPr>
      </w:pPr>
      <w:r>
        <w:rPr/>
        <w:pict>
          <v:line style="position:absolute;mso-position-horizontal-relative:page;mso-position-vertical-relative:paragraph;z-index:5536;mso-wrap-distance-left:0;mso-wrap-distance-right:0" from="103.099998pt,8.660998pt" to="525.382779pt,8.660998pt" stroked="true" strokeweight=".69552pt" strokecolor="#000000">
            <w10:wrap type="topAndBottom"/>
          </v:line>
        </w:pict>
      </w:r>
    </w:p>
    <w:p>
      <w:pPr>
        <w:pStyle w:val="BodyText"/>
        <w:rPr>
          <w:sz w:val="20"/>
        </w:rPr>
      </w:pPr>
    </w:p>
    <w:p>
      <w:pPr>
        <w:pStyle w:val="BodyText"/>
        <w:spacing w:before="11"/>
        <w:rPr>
          <w:sz w:val="25"/>
        </w:rPr>
      </w:pPr>
    </w:p>
    <w:p>
      <w:pPr>
        <w:pStyle w:val="ListParagraph"/>
        <w:numPr>
          <w:ilvl w:val="0"/>
          <w:numId w:val="5"/>
        </w:numPr>
        <w:tabs>
          <w:tab w:pos="822" w:val="left" w:leader="none"/>
        </w:tabs>
        <w:spacing w:line="240" w:lineRule="exact" w:before="87" w:after="0"/>
        <w:ind w:left="822" w:right="157" w:hanging="360"/>
        <w:jc w:val="both"/>
        <w:rPr>
          <w:sz w:val="22"/>
        </w:rPr>
      </w:pPr>
      <w:r>
        <w:rPr>
          <w:sz w:val="22"/>
        </w:rPr>
        <w:t>En un futuro y como profesional de la Comunicación, ¿Considerarías la Perspectiva de Género un elemento reforzador de aplicación permanente en tu desarrollo</w:t>
      </w:r>
      <w:r>
        <w:rPr>
          <w:spacing w:val="-5"/>
          <w:sz w:val="22"/>
        </w:rPr>
        <w:t> </w:t>
      </w:r>
      <w:r>
        <w:rPr>
          <w:sz w:val="22"/>
        </w:rPr>
        <w:t>profesional?</w:t>
      </w:r>
    </w:p>
    <w:p>
      <w:pPr>
        <w:tabs>
          <w:tab w:pos="3438" w:val="left" w:leader="none"/>
          <w:tab w:pos="6420" w:val="left" w:leader="none"/>
        </w:tabs>
        <w:spacing w:line="239" w:lineRule="exact" w:before="0"/>
        <w:ind w:left="821" w:right="509" w:firstLine="0"/>
        <w:jc w:val="left"/>
        <w:rPr>
          <w:sz w:val="22"/>
        </w:rPr>
      </w:pPr>
      <w:r>
        <w:rPr>
          <w:sz w:val="22"/>
        </w:rPr>
        <w:t>(  )</w:t>
      </w:r>
      <w:r>
        <w:rPr>
          <w:spacing w:val="-1"/>
          <w:sz w:val="22"/>
        </w:rPr>
        <w:t> </w:t>
      </w:r>
      <w:r>
        <w:rPr>
          <w:sz w:val="22"/>
        </w:rPr>
        <w:t>Sí</w:t>
        <w:tab/>
        <w:t>(</w:t>
      </w:r>
      <w:r>
        <w:rPr>
          <w:spacing w:val="58"/>
          <w:sz w:val="22"/>
        </w:rPr>
        <w:t> </w:t>
      </w:r>
      <w:r>
        <w:rPr>
          <w:sz w:val="22"/>
        </w:rPr>
        <w:t>) Probablemente</w:t>
        <w:tab/>
        <w:t>(  )</w:t>
      </w:r>
      <w:r>
        <w:rPr>
          <w:spacing w:val="-2"/>
          <w:sz w:val="22"/>
        </w:rPr>
        <w:t> </w:t>
      </w:r>
      <w:r>
        <w:rPr>
          <w:sz w:val="22"/>
        </w:rPr>
        <w:t>No</w:t>
      </w:r>
    </w:p>
    <w:p>
      <w:pPr>
        <w:pStyle w:val="BodyText"/>
        <w:rPr>
          <w:sz w:val="21"/>
        </w:rPr>
      </w:pPr>
    </w:p>
    <w:p>
      <w:pPr>
        <w:pStyle w:val="ListParagraph"/>
        <w:numPr>
          <w:ilvl w:val="0"/>
          <w:numId w:val="6"/>
        </w:numPr>
        <w:tabs>
          <w:tab w:pos="638" w:val="left" w:leader="none"/>
        </w:tabs>
        <w:spacing w:line="240" w:lineRule="exact" w:before="0" w:after="0"/>
        <w:ind w:left="102" w:right="155" w:firstLine="364"/>
        <w:jc w:val="left"/>
        <w:rPr>
          <w:sz w:val="22"/>
        </w:rPr>
      </w:pPr>
      <w:r>
        <w:rPr>
          <w:sz w:val="22"/>
        </w:rPr>
        <w:t>Si tu respuesta fue afirmativa, ¿Cuál o cuáles serían tus acciones con Perspectiva  de</w:t>
      </w:r>
      <w:r>
        <w:rPr>
          <w:spacing w:val="-1"/>
          <w:sz w:val="22"/>
        </w:rPr>
        <w:t> </w:t>
      </w:r>
      <w:r>
        <w:rPr>
          <w:sz w:val="22"/>
        </w:rPr>
        <w:t>Género?</w:t>
      </w:r>
    </w:p>
    <w:p>
      <w:pPr>
        <w:pStyle w:val="BodyText"/>
        <w:rPr>
          <w:sz w:val="20"/>
        </w:rPr>
      </w:pPr>
    </w:p>
    <w:p>
      <w:pPr>
        <w:pStyle w:val="BodyText"/>
        <w:spacing w:before="9"/>
        <w:rPr>
          <w:sz w:val="16"/>
        </w:rPr>
      </w:pPr>
      <w:r>
        <w:rPr/>
        <w:pict>
          <v:line style="position:absolute;mso-position-horizontal-relative:page;mso-position-vertical-relative:paragraph;z-index:5560;mso-wrap-distance-left:0;mso-wrap-distance-right:0" from="103.099998pt,11.950176pt" to="525.382779pt,11.950176pt" stroked="true" strokeweight=".69552pt" strokecolor="#000000">
            <w10:wrap type="topAndBottom"/>
          </v:line>
        </w:pict>
      </w:r>
    </w:p>
    <w:p>
      <w:pPr>
        <w:pStyle w:val="BodyText"/>
        <w:rPr>
          <w:sz w:val="20"/>
        </w:rPr>
      </w:pPr>
    </w:p>
    <w:p>
      <w:pPr>
        <w:pStyle w:val="BodyText"/>
        <w:rPr>
          <w:sz w:val="11"/>
        </w:rPr>
      </w:pPr>
      <w:r>
        <w:rPr/>
        <w:pict>
          <v:line style="position:absolute;mso-position-horizontal-relative:page;mso-position-vertical-relative:paragraph;z-index:5584;mso-wrap-distance-left:0;mso-wrap-distance-right:0" from="103.099998pt,8.660983pt" to="525.382779pt,8.660983pt" stroked="true" strokeweight=".69552pt" strokecolor="#000000">
            <w10:wrap type="topAndBottom"/>
          </v:line>
        </w:pict>
      </w:r>
    </w:p>
    <w:sectPr>
      <w:pgSz w:w="12240" w:h="15840"/>
      <w:pgMar w:header="0" w:footer="1032" w:top="1360" w:bottom="1220" w:left="1600" w:right="15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8.900024pt;margin-top:729.416016pt;width:10.1pt;height:14pt;mso-position-horizontal-relative:page;mso-position-vertical-relative:page;z-index:-123424" type="#_x0000_t202" filled="false" stroked="false">
          <v:textbox inset="0,0,0,0">
            <w:txbxContent>
              <w:p>
                <w:pPr>
                  <w:spacing w:line="264" w:lineRule="exact" w:before="0"/>
                  <w:ind w:left="40" w:right="0" w:firstLine="0"/>
                  <w:jc w:val="left"/>
                  <w:rPr>
                    <w:rFonts w:ascii="Calibri"/>
                    <w:b/>
                    <w:sz w:val="24"/>
                  </w:rPr>
                </w:pPr>
                <w:r>
                  <w:rPr/>
                  <w:fldChar w:fldCharType="begin"/>
                </w:r>
                <w:r>
                  <w:rPr>
                    <w:rFonts w:ascii="Calibri"/>
                    <w:b/>
                    <w:sz w:val="24"/>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29.416016pt;width:14.25pt;height:14pt;mso-position-horizontal-relative:page;mso-position-vertical-relative:page;z-index:-123232" type="#_x0000_t202" filled="false" stroked="false">
          <v:textbox inset="0,0,0,0">
            <w:txbxContent>
              <w:p>
                <w:pPr>
                  <w:spacing w:line="264" w:lineRule="exact" w:before="0"/>
                  <w:ind w:left="20" w:right="0" w:firstLine="0"/>
                  <w:jc w:val="left"/>
                  <w:rPr>
                    <w:rFonts w:ascii="Calibri"/>
                    <w:b/>
                    <w:sz w:val="24"/>
                  </w:rPr>
                </w:pPr>
                <w:r>
                  <w:rPr>
                    <w:rFonts w:ascii="Calibri"/>
                    <w:b/>
                    <w:sz w:val="24"/>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00024pt;margin-top:729.416016pt;width:16.25pt;height:14pt;mso-position-horizontal-relative:page;mso-position-vertical-relative:page;z-index:-123208" type="#_x0000_t202" filled="false" stroked="false">
          <v:textbox inset="0,0,0,0">
            <w:txbxContent>
              <w:p>
                <w:pPr>
                  <w:spacing w:line="264" w:lineRule="exact" w:before="0"/>
                  <w:ind w:left="40" w:right="0" w:firstLine="0"/>
                  <w:jc w:val="left"/>
                  <w:rPr>
                    <w:rFonts w:ascii="Calibri"/>
                    <w:b/>
                    <w:sz w:val="24"/>
                  </w:rPr>
                </w:pPr>
                <w:r>
                  <w:rPr/>
                  <w:fldChar w:fldCharType="begin"/>
                </w:r>
                <w:r>
                  <w:rPr>
                    <w:rFonts w:ascii="Calibri"/>
                    <w:b/>
                    <w:sz w:val="24"/>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29.416016pt;width:14.25pt;height:14pt;mso-position-horizontal-relative:page;mso-position-vertical-relative:page;z-index:-123184" type="#_x0000_t202" filled="false" stroked="false">
          <v:textbox inset="0,0,0,0">
            <w:txbxContent>
              <w:p>
                <w:pPr>
                  <w:spacing w:line="264" w:lineRule="exact" w:before="0"/>
                  <w:ind w:left="20" w:right="0" w:firstLine="0"/>
                  <w:jc w:val="left"/>
                  <w:rPr>
                    <w:rFonts w:ascii="Calibri"/>
                    <w:b/>
                    <w:sz w:val="24"/>
                  </w:rPr>
                </w:pPr>
                <w:r>
                  <w:rPr>
                    <w:rFonts w:ascii="Calibri"/>
                    <w:b/>
                    <w:sz w:val="24"/>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12.900024pt;margin-top:729.416016pt;width:16.25pt;height:14pt;mso-position-horizontal-relative:page;mso-position-vertical-relative:page;z-index:-123160" type="#_x0000_t202" filled="false" stroked="false">
          <v:textbox inset="0,0,0,0">
            <w:txbxContent>
              <w:p>
                <w:pPr>
                  <w:spacing w:line="264" w:lineRule="exact" w:before="0"/>
                  <w:ind w:left="40" w:right="0" w:firstLine="0"/>
                  <w:jc w:val="left"/>
                  <w:rPr>
                    <w:rFonts w:ascii="Calibri"/>
                    <w:b/>
                    <w:sz w:val="24"/>
                  </w:rPr>
                </w:pPr>
                <w:r>
                  <w:rPr/>
                  <w:fldChar w:fldCharType="begin"/>
                </w:r>
                <w:r>
                  <w:rPr>
                    <w:rFonts w:ascii="Calibri"/>
                    <w:b/>
                    <w:sz w:val="24"/>
                  </w:rPr>
                  <w:instrText> PAGE </w:instrText>
                </w:r>
                <w:r>
                  <w:rPr/>
                  <w:fldChar w:fldCharType="separate"/>
                </w:r>
                <w:r>
                  <w:rPr/>
                  <w:t>55</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29.416016pt;width:14.25pt;height:14pt;mso-position-horizontal-relative:page;mso-position-vertical-relative:page;z-index:-123136" type="#_x0000_t202" filled="false" stroked="false">
          <v:textbox inset="0,0,0,0">
            <w:txbxContent>
              <w:p>
                <w:pPr>
                  <w:spacing w:line="264" w:lineRule="exact" w:before="0"/>
                  <w:ind w:left="20" w:right="0" w:firstLine="0"/>
                  <w:jc w:val="left"/>
                  <w:rPr>
                    <w:rFonts w:ascii="Calibri"/>
                    <w:b/>
                    <w:sz w:val="24"/>
                  </w:rPr>
                </w:pPr>
                <w:r>
                  <w:rPr>
                    <w:rFonts w:ascii="Calibri"/>
                    <w:b/>
                    <w:sz w:val="24"/>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00024pt;margin-top:729.416016pt;width:16.25pt;height:14pt;mso-position-horizontal-relative:page;mso-position-vertical-relative:page;z-index:-123112" type="#_x0000_t202" filled="false" stroked="false">
          <v:textbox inset="0,0,0,0">
            <w:txbxContent>
              <w:p>
                <w:pPr>
                  <w:spacing w:line="264" w:lineRule="exact" w:before="0"/>
                  <w:ind w:left="40" w:right="0" w:firstLine="0"/>
                  <w:jc w:val="left"/>
                  <w:rPr>
                    <w:rFonts w:ascii="Calibri"/>
                    <w:b/>
                    <w:sz w:val="24"/>
                  </w:rPr>
                </w:pPr>
                <w:r>
                  <w:rPr/>
                  <w:fldChar w:fldCharType="begin"/>
                </w:r>
                <w:r>
                  <w:rPr>
                    <w:rFonts w:ascii="Calibri"/>
                    <w:b/>
                    <w:sz w:val="24"/>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29.416016pt;width:14.25pt;height:14pt;mso-position-horizontal-relative:page;mso-position-vertical-relative:page;z-index:-123088" type="#_x0000_t202" filled="false" stroked="false">
          <v:textbox inset="0,0,0,0">
            <w:txbxContent>
              <w:p>
                <w:pPr>
                  <w:spacing w:line="264" w:lineRule="exact" w:before="0"/>
                  <w:ind w:left="20" w:right="0" w:firstLine="0"/>
                  <w:jc w:val="left"/>
                  <w:rPr>
                    <w:rFonts w:ascii="Calibri"/>
                    <w:b/>
                    <w:sz w:val="24"/>
                  </w:rPr>
                </w:pPr>
                <w:r>
                  <w:rPr>
                    <w:rFonts w:ascii="Calibri"/>
                    <w:b/>
                    <w:sz w:val="24"/>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00024pt;margin-top:729.416016pt;width:16.25pt;height:14pt;mso-position-horizontal-relative:page;mso-position-vertical-relative:page;z-index:-123064" type="#_x0000_t202" filled="false" stroked="false">
          <v:textbox inset="0,0,0,0">
            <w:txbxContent>
              <w:p>
                <w:pPr>
                  <w:spacing w:line="264" w:lineRule="exact" w:before="0"/>
                  <w:ind w:left="40" w:right="0" w:firstLine="0"/>
                  <w:jc w:val="left"/>
                  <w:rPr>
                    <w:rFonts w:ascii="Calibri"/>
                    <w:b/>
                    <w:sz w:val="24"/>
                  </w:rPr>
                </w:pPr>
                <w:r>
                  <w:rPr/>
                  <w:fldChar w:fldCharType="begin"/>
                </w:r>
                <w:r>
                  <w:rPr>
                    <w:rFonts w:ascii="Calibri"/>
                    <w:b/>
                    <w:sz w:val="24"/>
                  </w:rPr>
                  <w:instrText> PAGE </w:instrText>
                </w:r>
                <w:r>
                  <w:rPr/>
                  <w:fldChar w:fldCharType="separate"/>
                </w:r>
                <w:r>
                  <w:rPr/>
                  <w:t>71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29.416016pt;width:14.25pt;height:14pt;mso-position-horizontal-relative:page;mso-position-vertical-relative:page;z-index:-123400" type="#_x0000_t202" filled="false" stroked="false">
          <v:textbox inset="0,0,0,0">
            <w:txbxContent>
              <w:p>
                <w:pPr>
                  <w:spacing w:line="264" w:lineRule="exact" w:before="0"/>
                  <w:ind w:left="20" w:right="0" w:firstLine="0"/>
                  <w:jc w:val="left"/>
                  <w:rPr>
                    <w:rFonts w:ascii="Calibri"/>
                    <w:b/>
                    <w:sz w:val="24"/>
                  </w:rPr>
                </w:pPr>
                <w:r>
                  <w:rPr>
                    <w:rFonts w:ascii="Calibri"/>
                    <w:b/>
                    <w:sz w:val="24"/>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00024pt;margin-top:729.416016pt;width:16.25pt;height:14pt;mso-position-horizontal-relative:page;mso-position-vertical-relative:page;z-index:-123376" type="#_x0000_t202" filled="false" stroked="false">
          <v:textbox inset="0,0,0,0">
            <w:txbxContent>
              <w:p>
                <w:pPr>
                  <w:spacing w:line="264" w:lineRule="exact" w:before="0"/>
                  <w:ind w:left="40" w:right="0" w:firstLine="0"/>
                  <w:jc w:val="left"/>
                  <w:rPr>
                    <w:rFonts w:ascii="Calibri"/>
                    <w:b/>
                    <w:sz w:val="24"/>
                  </w:rPr>
                </w:pPr>
                <w:r>
                  <w:rPr/>
                  <w:fldChar w:fldCharType="begin"/>
                </w:r>
                <w:r>
                  <w:rPr>
                    <w:rFonts w:ascii="Calibri"/>
                    <w:b/>
                    <w:sz w:val="24"/>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29.416016pt;width:14.25pt;height:14pt;mso-position-horizontal-relative:page;mso-position-vertical-relative:page;z-index:-123352" type="#_x0000_t202" filled="false" stroked="false">
          <v:textbox inset="0,0,0,0">
            <w:txbxContent>
              <w:p>
                <w:pPr>
                  <w:spacing w:line="264" w:lineRule="exact" w:before="0"/>
                  <w:ind w:left="20" w:right="0" w:firstLine="0"/>
                  <w:jc w:val="left"/>
                  <w:rPr>
                    <w:rFonts w:ascii="Calibri"/>
                    <w:b/>
                    <w:sz w:val="24"/>
                  </w:rPr>
                </w:pPr>
                <w:r>
                  <w:rPr>
                    <w:rFonts w:ascii="Calibri"/>
                    <w:b/>
                    <w:sz w:val="24"/>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00024pt;margin-top:729.416016pt;width:16.25pt;height:14pt;mso-position-horizontal-relative:page;mso-position-vertical-relative:page;z-index:-123328" type="#_x0000_t202" filled="false" stroked="false">
          <v:textbox inset="0,0,0,0">
            <w:txbxContent>
              <w:p>
                <w:pPr>
                  <w:spacing w:line="264" w:lineRule="exact" w:before="0"/>
                  <w:ind w:left="40" w:right="0" w:firstLine="0"/>
                  <w:jc w:val="left"/>
                  <w:rPr>
                    <w:rFonts w:ascii="Calibri"/>
                    <w:b/>
                    <w:sz w:val="24"/>
                  </w:rPr>
                </w:pPr>
                <w:r>
                  <w:rPr/>
                  <w:fldChar w:fldCharType="begin"/>
                </w:r>
                <w:r>
                  <w:rPr>
                    <w:rFonts w:ascii="Calibri"/>
                    <w:b/>
                    <w:sz w:val="24"/>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00024pt;margin-top:729.416016pt;width:16.25pt;height:14pt;mso-position-horizontal-relative:page;mso-position-vertical-relative:page;z-index:-123304" type="#_x0000_t202" filled="false" stroked="false">
          <v:textbox inset="0,0,0,0">
            <w:txbxContent>
              <w:p>
                <w:pPr>
                  <w:spacing w:line="264" w:lineRule="exact" w:before="0"/>
                  <w:ind w:left="40" w:right="0" w:firstLine="0"/>
                  <w:jc w:val="left"/>
                  <w:rPr>
                    <w:rFonts w:ascii="Calibri"/>
                    <w:b/>
                    <w:sz w:val="24"/>
                  </w:rPr>
                </w:pPr>
                <w:r>
                  <w:rPr/>
                  <w:fldChar w:fldCharType="begin"/>
                </w:r>
                <w:r>
                  <w:rPr>
                    <w:rFonts w:ascii="Calibri"/>
                    <w:b/>
                    <w:sz w:val="24"/>
                  </w:rPr>
                  <w:instrText> PAGE </w:instrText>
                </w:r>
                <w:r>
                  <w:rPr/>
                  <w:fldChar w:fldCharType="separate"/>
                </w:r>
                <w:r>
                  <w:rPr/>
                  <w:t>24</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29.416016pt;width:14.25pt;height:14pt;mso-position-horizontal-relative:page;mso-position-vertical-relative:page;z-index:-123280" type="#_x0000_t202" filled="false" stroked="false">
          <v:textbox inset="0,0,0,0">
            <w:txbxContent>
              <w:p>
                <w:pPr>
                  <w:spacing w:line="264" w:lineRule="exact" w:before="0"/>
                  <w:ind w:left="20" w:right="0" w:firstLine="0"/>
                  <w:jc w:val="left"/>
                  <w:rPr>
                    <w:rFonts w:ascii="Calibri"/>
                    <w:b/>
                    <w:sz w:val="24"/>
                  </w:rPr>
                </w:pPr>
                <w:r>
                  <w:rPr>
                    <w:rFonts w:ascii="Calibri"/>
                    <w:b/>
                    <w:sz w:val="24"/>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00024pt;margin-top:729.416016pt;width:16.25pt;height:14pt;mso-position-horizontal-relative:page;mso-position-vertical-relative:page;z-index:-123256" type="#_x0000_t202" filled="false" stroked="false">
          <v:textbox inset="0,0,0,0">
            <w:txbxContent>
              <w:p>
                <w:pPr>
                  <w:spacing w:line="264" w:lineRule="exact" w:before="0"/>
                  <w:ind w:left="40" w:right="0" w:firstLine="0"/>
                  <w:jc w:val="left"/>
                  <w:rPr>
                    <w:rFonts w:ascii="Calibri"/>
                    <w:b/>
                    <w:sz w:val="24"/>
                  </w:rPr>
                </w:pPr>
                <w:r>
                  <w:rPr/>
                  <w:fldChar w:fldCharType="begin"/>
                </w:r>
                <w:r>
                  <w:rPr>
                    <w:rFonts w:ascii="Calibri"/>
                    <w:b/>
                    <w:sz w:val="24"/>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
    <w:multiLevelType w:val="hybridMultilevel"/>
    <w:lvl w:ilvl="0">
      <w:start w:val="1"/>
      <w:numFmt w:val="bullet"/>
      <w:lvlText w:val="*"/>
      <w:lvlJc w:val="left"/>
      <w:pPr>
        <w:ind w:left="102" w:hanging="149"/>
      </w:pPr>
      <w:rPr>
        <w:rFonts w:hint="default" w:ascii="Arial" w:hAnsi="Arial" w:eastAsia="Arial" w:cs="Arial"/>
        <w:w w:val="100"/>
        <w:sz w:val="22"/>
        <w:szCs w:val="22"/>
      </w:rPr>
    </w:lvl>
    <w:lvl w:ilvl="1">
      <w:start w:val="1"/>
      <w:numFmt w:val="bullet"/>
      <w:lvlText w:val="•"/>
      <w:lvlJc w:val="left"/>
      <w:pPr>
        <w:ind w:left="1000" w:hanging="149"/>
      </w:pPr>
      <w:rPr>
        <w:rFonts w:hint="default"/>
      </w:rPr>
    </w:lvl>
    <w:lvl w:ilvl="2">
      <w:start w:val="1"/>
      <w:numFmt w:val="bullet"/>
      <w:lvlText w:val="•"/>
      <w:lvlJc w:val="left"/>
      <w:pPr>
        <w:ind w:left="1900" w:hanging="149"/>
      </w:pPr>
      <w:rPr>
        <w:rFonts w:hint="default"/>
      </w:rPr>
    </w:lvl>
    <w:lvl w:ilvl="3">
      <w:start w:val="1"/>
      <w:numFmt w:val="bullet"/>
      <w:lvlText w:val="•"/>
      <w:lvlJc w:val="left"/>
      <w:pPr>
        <w:ind w:left="2800" w:hanging="149"/>
      </w:pPr>
      <w:rPr>
        <w:rFonts w:hint="default"/>
      </w:rPr>
    </w:lvl>
    <w:lvl w:ilvl="4">
      <w:start w:val="1"/>
      <w:numFmt w:val="bullet"/>
      <w:lvlText w:val="•"/>
      <w:lvlJc w:val="left"/>
      <w:pPr>
        <w:ind w:left="3700" w:hanging="149"/>
      </w:pPr>
      <w:rPr>
        <w:rFonts w:hint="default"/>
      </w:rPr>
    </w:lvl>
    <w:lvl w:ilvl="5">
      <w:start w:val="1"/>
      <w:numFmt w:val="bullet"/>
      <w:lvlText w:val="•"/>
      <w:lvlJc w:val="left"/>
      <w:pPr>
        <w:ind w:left="4600" w:hanging="149"/>
      </w:pPr>
      <w:rPr>
        <w:rFonts w:hint="default"/>
      </w:rPr>
    </w:lvl>
    <w:lvl w:ilvl="6">
      <w:start w:val="1"/>
      <w:numFmt w:val="bullet"/>
      <w:lvlText w:val="•"/>
      <w:lvlJc w:val="left"/>
      <w:pPr>
        <w:ind w:left="5500" w:hanging="149"/>
      </w:pPr>
      <w:rPr>
        <w:rFonts w:hint="default"/>
      </w:rPr>
    </w:lvl>
    <w:lvl w:ilvl="7">
      <w:start w:val="1"/>
      <w:numFmt w:val="bullet"/>
      <w:lvlText w:val="•"/>
      <w:lvlJc w:val="left"/>
      <w:pPr>
        <w:ind w:left="6400" w:hanging="149"/>
      </w:pPr>
      <w:rPr>
        <w:rFonts w:hint="default"/>
      </w:rPr>
    </w:lvl>
    <w:lvl w:ilvl="8">
      <w:start w:val="1"/>
      <w:numFmt w:val="bullet"/>
      <w:lvlText w:val="•"/>
      <w:lvlJc w:val="left"/>
      <w:pPr>
        <w:ind w:left="7300" w:hanging="149"/>
      </w:pPr>
      <w:rPr>
        <w:rFonts w:hint="default"/>
      </w:rPr>
    </w:lvl>
  </w:abstractNum>
  <w:abstractNum w:abstractNumId="4">
    <w:multiLevelType w:val="hybridMultilevel"/>
    <w:lvl w:ilvl="0">
      <w:start w:val="1"/>
      <w:numFmt w:val="decimal"/>
      <w:lvlText w:val="%1."/>
      <w:lvlJc w:val="left"/>
      <w:pPr>
        <w:ind w:left="842" w:hanging="360"/>
        <w:jc w:val="left"/>
      </w:pPr>
      <w:rPr>
        <w:rFonts w:hint="default"/>
        <w:b/>
        <w:bCs/>
        <w:spacing w:val="-1"/>
        <w:w w:val="100"/>
      </w:rPr>
    </w:lvl>
    <w:lvl w:ilvl="1">
      <w:start w:val="1"/>
      <w:numFmt w:val="bullet"/>
      <w:lvlText w:val="•"/>
      <w:lvlJc w:val="left"/>
      <w:pPr>
        <w:ind w:left="840" w:hanging="360"/>
      </w:pPr>
      <w:rPr>
        <w:rFonts w:hint="default"/>
      </w:rPr>
    </w:lvl>
    <w:lvl w:ilvl="2">
      <w:start w:val="1"/>
      <w:numFmt w:val="bullet"/>
      <w:lvlText w:val="•"/>
      <w:lvlJc w:val="left"/>
      <w:pPr>
        <w:ind w:left="1753" w:hanging="360"/>
      </w:pPr>
      <w:rPr>
        <w:rFonts w:hint="default"/>
      </w:rPr>
    </w:lvl>
    <w:lvl w:ilvl="3">
      <w:start w:val="1"/>
      <w:numFmt w:val="bullet"/>
      <w:lvlText w:val="•"/>
      <w:lvlJc w:val="left"/>
      <w:pPr>
        <w:ind w:left="2666" w:hanging="360"/>
      </w:pPr>
      <w:rPr>
        <w:rFonts w:hint="default"/>
      </w:rPr>
    </w:lvl>
    <w:lvl w:ilvl="4">
      <w:start w:val="1"/>
      <w:numFmt w:val="bullet"/>
      <w:lvlText w:val="•"/>
      <w:lvlJc w:val="left"/>
      <w:pPr>
        <w:ind w:left="3580" w:hanging="360"/>
      </w:pPr>
      <w:rPr>
        <w:rFonts w:hint="default"/>
      </w:rPr>
    </w:lvl>
    <w:lvl w:ilvl="5">
      <w:start w:val="1"/>
      <w:numFmt w:val="bullet"/>
      <w:lvlText w:val="•"/>
      <w:lvlJc w:val="left"/>
      <w:pPr>
        <w:ind w:left="4493" w:hanging="360"/>
      </w:pPr>
      <w:rPr>
        <w:rFonts w:hint="default"/>
      </w:rPr>
    </w:lvl>
    <w:lvl w:ilvl="6">
      <w:start w:val="1"/>
      <w:numFmt w:val="bullet"/>
      <w:lvlText w:val="•"/>
      <w:lvlJc w:val="left"/>
      <w:pPr>
        <w:ind w:left="5406" w:hanging="360"/>
      </w:pPr>
      <w:rPr>
        <w:rFonts w:hint="default"/>
      </w:rPr>
    </w:lvl>
    <w:lvl w:ilvl="7">
      <w:start w:val="1"/>
      <w:numFmt w:val="bullet"/>
      <w:lvlText w:val="•"/>
      <w:lvlJc w:val="left"/>
      <w:pPr>
        <w:ind w:left="6320" w:hanging="360"/>
      </w:pPr>
      <w:rPr>
        <w:rFonts w:hint="default"/>
      </w:rPr>
    </w:lvl>
    <w:lvl w:ilvl="8">
      <w:start w:val="1"/>
      <w:numFmt w:val="bullet"/>
      <w:lvlText w:val="•"/>
      <w:lvlJc w:val="left"/>
      <w:pPr>
        <w:ind w:left="7233" w:hanging="360"/>
      </w:pPr>
      <w:rPr>
        <w:rFonts w:hint="default"/>
      </w:rPr>
    </w:lvl>
  </w:abstractNum>
  <w:abstractNum w:abstractNumId="3">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
    <w:multiLevelType w:val="hybridMultilevel"/>
    <w:lvl w:ilvl="0">
      <w:start w:val="1"/>
      <w:numFmt w:val="bullet"/>
      <w:lvlText w:val="-"/>
      <w:lvlJc w:val="left"/>
      <w:pPr>
        <w:ind w:left="102" w:hanging="159"/>
      </w:pPr>
      <w:rPr>
        <w:rFonts w:hint="default" w:ascii="Arial" w:hAnsi="Arial" w:eastAsia="Arial" w:cs="Arial"/>
        <w:w w:val="99"/>
        <w:sz w:val="24"/>
        <w:szCs w:val="24"/>
      </w:rPr>
    </w:lvl>
    <w:lvl w:ilvl="1">
      <w:start w:val="1"/>
      <w:numFmt w:val="decimal"/>
      <w:lvlText w:val="%2."/>
      <w:lvlJc w:val="left"/>
      <w:pPr>
        <w:ind w:left="822" w:hanging="360"/>
        <w:jc w:val="left"/>
      </w:pPr>
      <w:rPr>
        <w:rFonts w:hint="default" w:ascii="Arial" w:hAnsi="Arial" w:eastAsia="Arial" w:cs="Arial"/>
        <w:spacing w:val="-3"/>
        <w:w w:val="99"/>
        <w:sz w:val="24"/>
        <w:szCs w:val="24"/>
      </w:rPr>
    </w:lvl>
    <w:lvl w:ilvl="2">
      <w:start w:val="1"/>
      <w:numFmt w:val="bullet"/>
      <w:lvlText w:val="•"/>
      <w:lvlJc w:val="left"/>
      <w:pPr>
        <w:ind w:left="820" w:hanging="360"/>
      </w:pPr>
      <w:rPr>
        <w:rFonts w:hint="default"/>
      </w:rPr>
    </w:lvl>
    <w:lvl w:ilvl="3">
      <w:start w:val="1"/>
      <w:numFmt w:val="bullet"/>
      <w:lvlText w:val="•"/>
      <w:lvlJc w:val="left"/>
      <w:pPr>
        <w:ind w:left="1850" w:hanging="360"/>
      </w:pPr>
      <w:rPr>
        <w:rFonts w:hint="default"/>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0">
    <w:multiLevelType w:val="hybridMultilevel"/>
    <w:lvl w:ilvl="0">
      <w:start w:val="1"/>
      <w:numFmt w:val="bullet"/>
      <w:lvlText w:val="-"/>
      <w:lvlJc w:val="left"/>
      <w:pPr>
        <w:ind w:left="822" w:hanging="360"/>
      </w:pPr>
      <w:rPr>
        <w:rFonts w:hint="default" w:ascii="Arial" w:hAnsi="Arial" w:eastAsia="Arial" w:cs="Arial"/>
        <w:spacing w:val="-3"/>
        <w:w w:val="99"/>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num w:numId="3">
    <w:abstractNumId w:val="2"/>
  </w:num>
  <w:num w:numId="6">
    <w:abstractNumId w:val="5"/>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52"/>
      <w:ind w:left="102"/>
    </w:pPr>
    <w:rPr>
      <w:rFonts w:ascii="Arial" w:hAnsi="Arial" w:eastAsia="Arial" w:cs="Arial"/>
      <w:sz w:val="24"/>
      <w:szCs w:val="24"/>
    </w:rPr>
  </w:style>
  <w:style w:styleId="TOC2" w:type="paragraph">
    <w:name w:val="TOC 2"/>
    <w:basedOn w:val="Normal"/>
    <w:uiPriority w:val="1"/>
    <w:qFormat/>
    <w:pPr>
      <w:ind w:left="169"/>
    </w:pPr>
    <w:rPr>
      <w:rFonts w:ascii="Arial" w:hAnsi="Arial" w:eastAsia="Arial" w:cs="Arial"/>
      <w:sz w:val="24"/>
      <w:szCs w:val="24"/>
    </w:rPr>
  </w:style>
  <w:style w:styleId="TOC3" w:type="paragraph">
    <w:name w:val="TOC 3"/>
    <w:basedOn w:val="Normal"/>
    <w:uiPriority w:val="1"/>
    <w:qFormat/>
    <w:pPr>
      <w:spacing w:before="276"/>
      <w:ind w:left="822" w:hanging="360"/>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outlineLvl w:val="1"/>
    </w:pPr>
    <w:rPr>
      <w:rFonts w:ascii="Arial" w:hAnsi="Arial" w:eastAsia="Arial" w:cs="Arial"/>
      <w:b/>
      <w:bCs/>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image" Target="media/image3.png"/><Relationship Id="rId14" Type="http://schemas.openxmlformats.org/officeDocument/2006/relationships/footer" Target="footer7.xml"/><Relationship Id="rId15" Type="http://schemas.openxmlformats.org/officeDocument/2006/relationships/image" Target="media/image4.png"/><Relationship Id="rId16" Type="http://schemas.openxmlformats.org/officeDocument/2006/relationships/footer" Target="footer8.xml"/><Relationship Id="rId17" Type="http://schemas.openxmlformats.org/officeDocument/2006/relationships/footer" Target="footer9.xml"/><Relationship Id="rId18" Type="http://schemas.openxmlformats.org/officeDocument/2006/relationships/footer" Target="footer10.xml"/><Relationship Id="rId19" Type="http://schemas.openxmlformats.org/officeDocument/2006/relationships/footer" Target="footer11.xml"/><Relationship Id="rId20" Type="http://schemas.openxmlformats.org/officeDocument/2006/relationships/footer" Target="footer12.xml"/><Relationship Id="rId21" Type="http://schemas.openxmlformats.org/officeDocument/2006/relationships/footer" Target="footer13.xml"/><Relationship Id="rId22" Type="http://schemas.openxmlformats.org/officeDocument/2006/relationships/image" Target="media/image5.png"/><Relationship Id="rId23" Type="http://schemas.openxmlformats.org/officeDocument/2006/relationships/image" Target="media/image6.jpeg"/><Relationship Id="rId24" Type="http://schemas.openxmlformats.org/officeDocument/2006/relationships/footer" Target="footer14.xml"/><Relationship Id="rId25" Type="http://schemas.openxmlformats.org/officeDocument/2006/relationships/image" Target="media/image7.jpeg"/><Relationship Id="rId26" Type="http://schemas.openxmlformats.org/officeDocument/2006/relationships/image" Target="media/image8.png"/><Relationship Id="rId27" Type="http://schemas.openxmlformats.org/officeDocument/2006/relationships/footer" Target="footer15.xml"/><Relationship Id="rId28" Type="http://schemas.openxmlformats.org/officeDocument/2006/relationships/image" Target="media/image9.png"/><Relationship Id="rId29" Type="http://schemas.openxmlformats.org/officeDocument/2006/relationships/image" Target="media/image10.png"/><Relationship Id="rId30" Type="http://schemas.openxmlformats.org/officeDocument/2006/relationships/image" Target="media/image11.jpeg"/><Relationship Id="rId31" Type="http://schemas.openxmlformats.org/officeDocument/2006/relationships/image" Target="media/image12.png"/><Relationship Id="rId32" Type="http://schemas.openxmlformats.org/officeDocument/2006/relationships/image" Target="media/image13.jpeg"/><Relationship Id="rId33" Type="http://schemas.openxmlformats.org/officeDocument/2006/relationships/image" Target="media/image14.png"/><Relationship Id="rId34" Type="http://schemas.openxmlformats.org/officeDocument/2006/relationships/image" Target="media/image15.png"/><Relationship Id="rId35" Type="http://schemas.openxmlformats.org/officeDocument/2006/relationships/image" Target="media/image16.jpeg"/><Relationship Id="rId36" Type="http://schemas.openxmlformats.org/officeDocument/2006/relationships/image" Target="media/image17.png"/><Relationship Id="rId37" Type="http://schemas.openxmlformats.org/officeDocument/2006/relationships/image" Target="media/image18.png"/><Relationship Id="rId38" Type="http://schemas.openxmlformats.org/officeDocument/2006/relationships/image" Target="media/image19.png"/><Relationship Id="rId39" Type="http://schemas.openxmlformats.org/officeDocument/2006/relationships/image" Target="media/image20.png"/><Relationship Id="rId40" Type="http://schemas.openxmlformats.org/officeDocument/2006/relationships/footer" Target="footer16.xml"/><Relationship Id="rId41" Type="http://schemas.openxmlformats.org/officeDocument/2006/relationships/footer" Target="footer17.xml"/><Relationship Id="rId4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Giovanni</dc:creator>
  <dcterms:created xsi:type="dcterms:W3CDTF">2017-05-18T00:17:54Z</dcterms:created>
  <dcterms:modified xsi:type="dcterms:W3CDTF">2017-05-18T00:17:54Z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2015-01-08T00:00:00Z</vt:filetime>
  </property>
  <property fmtid="{D5CDD505-2E9C-101B-9397-08002B2CF9AE}" pid="3" name="Creator">
    <vt:lpwstr>Microsoft® Word 2010</vt:lpwstr>
  </property>
  <property fmtid="{D5CDD505-2E9C-101B-9397-08002B2CF9AE}" pid="4" name="LastSaved">
    <vt:filetime>2017-05-17T00:00:00Z</vt:filetime>
  </property>
</Properties>
</file>