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Heading1"/>
        <w:spacing w:line="115" w:lineRule="auto" w:before="344"/>
        <w:ind w:left="117" w:right="1714" w:firstLine="2701"/>
        <w:jc w:val="left"/>
      </w:pPr>
      <w:r>
        <w:rPr/>
        <w:pict>
          <v:line style="position:absolute;mso-position-horizontal-relative:page;mso-position-vertical-relative:paragraph;z-index:-109864" from="118.949997pt,61.192837pt" to="510.599997pt,61.242837pt" stroked="true" strokeweight="1.5pt" strokecolor="#000000">
            <w10:wrap type="none"/>
          </v:line>
        </w:pict>
      </w:r>
      <w:r>
        <w:rPr/>
        <w:pict>
          <v:line style="position:absolute;mso-position-horizontal-relative:page;mso-position-vertical-relative:paragraph;z-index:-109840" from="118.949997pt,54.642838pt" to="510.599997pt,54.692838pt" stroked="true" strokeweight="3pt" strokecolor="#000000">
            <w10:wrap type="none"/>
          </v:line>
        </w:pict>
      </w:r>
      <w:r>
        <w:rPr/>
        <w:pict>
          <v:line style="position:absolute;mso-position-horizontal-relative:page;mso-position-vertical-relative:paragraph;z-index:-109816" from="146.199997pt,43.692837pt" to="476.749997pt,43.692837pt" stroked="true" strokeweight="1.5pt" strokecolor="#000000">
            <w10:wrap type="none"/>
          </v:line>
        </w:pict>
      </w:r>
      <w:r>
        <w:rPr/>
        <w:pict>
          <v:line style="position:absolute;mso-position-horizontal-relative:page;mso-position-vertical-relative:paragraph;z-index:-109792" from="146.199997pt,70.462837pt" to="476.749997pt,70.462837pt" stroked="true" strokeweight="1.5pt" strokecolor="#000000">
            <w10:wrap type="none"/>
          </v:line>
        </w:pict>
      </w:r>
      <w:r>
        <w:rPr/>
        <w:t>UNIVERSIDAD AUTÓNOMA DEL ESTADO</w:t>
      </w:r>
      <w:r>
        <w:rPr>
          <w:spacing w:val="-10"/>
        </w:rPr>
        <w:t> </w:t>
      </w:r>
      <w:r>
        <w:rPr/>
        <w:t>DE</w:t>
      </w:r>
      <w:r>
        <w:rPr>
          <w:spacing w:val="-3"/>
        </w:rPr>
        <w:t> </w:t>
      </w:r>
      <w:r>
        <w:rPr/>
        <w:t>MÉXICO </w:t>
      </w:r>
      <w:r>
        <w:rPr>
          <w:position w:val="-16"/>
        </w:rPr>
        <w:drawing>
          <wp:inline distT="0" distB="0" distL="0" distR="0">
            <wp:extent cx="1144155" cy="114935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1144155" cy="1149350"/>
                    </a:xfrm>
                    <a:prstGeom prst="rect">
                      <a:avLst/>
                    </a:prstGeom>
                  </pic:spPr>
                </pic:pic>
              </a:graphicData>
            </a:graphic>
          </wp:inline>
        </w:drawing>
      </w:r>
      <w:r>
        <w:rPr>
          <w:position w:val="-16"/>
        </w:rPr>
      </w:r>
      <w:r>
        <w:rPr>
          <w:rFonts w:ascii="Times New Roman" w:hAnsi="Times New Roman"/>
          <w:b w:val="0"/>
        </w:rPr>
        <w:t>                 </w:t>
      </w:r>
      <w:r>
        <w:rPr/>
        <w:t>FACULTAD DE CIENCIAS POLÍTICAS Y</w:t>
      </w:r>
      <w:r>
        <w:rPr>
          <w:spacing w:val="-18"/>
        </w:rPr>
        <w:t> </w:t>
      </w:r>
      <w:r>
        <w:rPr/>
        <w:t>SOCIALES</w:t>
      </w:r>
    </w:p>
    <w:p>
      <w:pPr>
        <w:spacing w:before="213"/>
        <w:ind w:left="2098" w:right="0" w:firstLine="0"/>
        <w:jc w:val="left"/>
        <w:rPr>
          <w:b/>
          <w:sz w:val="24"/>
        </w:rPr>
      </w:pPr>
      <w:r>
        <w:rPr>
          <w:b/>
          <w:sz w:val="24"/>
        </w:rPr>
        <w:t>ESPECIALIDAD EN GÉNERO, VIOLENCIA Y POLÍTICAS PÚBLICAS</w:t>
      </w:r>
    </w:p>
    <w:p>
      <w:pPr>
        <w:pStyle w:val="BodyText"/>
        <w:rPr>
          <w:b/>
          <w:sz w:val="20"/>
        </w:rPr>
      </w:pPr>
    </w:p>
    <w:p>
      <w:pPr>
        <w:pStyle w:val="BodyText"/>
        <w:rPr>
          <w:b/>
          <w:sz w:val="20"/>
        </w:rPr>
      </w:pPr>
    </w:p>
    <w:p>
      <w:pPr>
        <w:pStyle w:val="BodyText"/>
        <w:spacing w:before="11"/>
        <w:rPr>
          <w:b/>
          <w:sz w:val="19"/>
        </w:rPr>
      </w:pPr>
    </w:p>
    <w:p>
      <w:pPr>
        <w:spacing w:line="276" w:lineRule="auto" w:before="69"/>
        <w:ind w:left="1683" w:right="137" w:firstLine="4"/>
        <w:jc w:val="center"/>
        <w:rPr>
          <w:b/>
          <w:sz w:val="24"/>
        </w:rPr>
      </w:pPr>
      <w:r>
        <w:rPr/>
        <w:pict>
          <v:group style="position:absolute;margin-left:16.850pt;margin-top:-30.844118pt;width:81.4pt;height:479.45pt;mso-position-horizontal-relative:page;mso-position-vertical-relative:paragraph;z-index:-109888" coordorigin="337,-617" coordsize="1628,9589">
            <v:shape style="position:absolute;left:337;top:7336;width:1628;height:1636" type="#_x0000_t75" stroked="false">
              <v:imagedata r:id="rId7" o:title=""/>
            </v:shape>
            <v:line style="position:absolute" from="1178,-493" to="1178,7536" stroked="true" strokeweight="3pt" strokecolor="#000000"/>
            <v:shape style="position:absolute;left:917;top:-602;width:566;height:8029" coordorigin="917,-602" coordsize="566,8029" path="m1156,-602l1156,7427m1483,210l1483,6821m917,210l917,6821e" filled="false" stroked="true" strokeweight="1.5pt" strokecolor="#000000">
              <v:path arrowok="t"/>
            </v:shape>
            <w10:wrap type="none"/>
          </v:group>
        </w:pict>
      </w:r>
      <w:r>
        <w:rPr>
          <w:b/>
          <w:sz w:val="24"/>
        </w:rPr>
        <w:t>“PROPUESTA DE IMPLEMENTACIÓN DE ESTRATEGIAS COMPLEMENTARIAS </w:t>
      </w:r>
      <w:r>
        <w:rPr>
          <w:b/>
          <w:spacing w:val="-3"/>
          <w:sz w:val="24"/>
        </w:rPr>
        <w:t>AL </w:t>
      </w:r>
      <w:r>
        <w:rPr>
          <w:b/>
          <w:sz w:val="24"/>
        </w:rPr>
        <w:t>PROGRAMA INSTITUCIONAL DE ACTIVIDADES PARA LA EDUCACIÓN DE VIDA SALUDABLE [PIAEVS] DEL INSTITUTO DE CIENCIAS BÁSICAS E INGENIERÍAS PARA LA PREVENCIÓN Y ATENCIÓN</w:t>
      </w:r>
      <w:r>
        <w:rPr>
          <w:b/>
          <w:spacing w:val="-21"/>
          <w:sz w:val="24"/>
        </w:rPr>
        <w:t> </w:t>
      </w:r>
      <w:r>
        <w:rPr>
          <w:b/>
          <w:sz w:val="24"/>
        </w:rPr>
        <w:t>DE LA VIOLENCIA DE</w:t>
      </w:r>
      <w:r>
        <w:rPr>
          <w:b/>
          <w:spacing w:val="-4"/>
          <w:sz w:val="24"/>
        </w:rPr>
        <w:t> </w:t>
      </w:r>
      <w:r>
        <w:rPr>
          <w:b/>
          <w:sz w:val="24"/>
        </w:rPr>
        <w:t>GÉNERO”</w:t>
      </w:r>
    </w:p>
    <w:p>
      <w:pPr>
        <w:pStyle w:val="BodyText"/>
        <w:rPr>
          <w:b/>
        </w:rPr>
      </w:pPr>
    </w:p>
    <w:p>
      <w:pPr>
        <w:pStyle w:val="BodyText"/>
        <w:rPr>
          <w:b/>
        </w:rPr>
      </w:pPr>
    </w:p>
    <w:p>
      <w:pPr>
        <w:spacing w:line="276" w:lineRule="auto" w:before="166"/>
        <w:ind w:left="2264" w:right="710" w:firstLine="0"/>
        <w:jc w:val="center"/>
        <w:rPr>
          <w:b/>
          <w:sz w:val="24"/>
        </w:rPr>
      </w:pPr>
      <w:r>
        <w:rPr>
          <w:sz w:val="24"/>
        </w:rPr>
        <w:t>QUE PARA OBTENER EL DIPLOMA DE ESPECIALISTA EN </w:t>
      </w:r>
      <w:r>
        <w:rPr>
          <w:b/>
          <w:sz w:val="24"/>
        </w:rPr>
        <w:t>GÉNERO, VIOLENCIA Y POLÍTICAS PÚBLICAS</w:t>
      </w:r>
    </w:p>
    <w:p>
      <w:pPr>
        <w:pStyle w:val="BodyText"/>
        <w:rPr>
          <w:b/>
        </w:rPr>
      </w:pPr>
    </w:p>
    <w:p>
      <w:pPr>
        <w:pStyle w:val="BodyText"/>
        <w:rPr>
          <w:b/>
        </w:rPr>
      </w:pPr>
    </w:p>
    <w:p>
      <w:pPr>
        <w:pStyle w:val="Heading1"/>
        <w:spacing w:before="166"/>
        <w:ind w:left="1811" w:right="710"/>
        <w:jc w:val="center"/>
      </w:pPr>
      <w:r>
        <w:rPr/>
        <w:t>PRESENTA</w:t>
      </w:r>
    </w:p>
    <w:p>
      <w:pPr>
        <w:pStyle w:val="BodyText"/>
        <w:rPr>
          <w:b/>
          <w:sz w:val="21"/>
        </w:rPr>
      </w:pPr>
    </w:p>
    <w:p>
      <w:pPr>
        <w:pStyle w:val="BodyText"/>
        <w:spacing w:before="1"/>
        <w:ind w:left="1808" w:right="710"/>
        <w:jc w:val="center"/>
      </w:pPr>
      <w:r>
        <w:rPr/>
        <w:t>LUIS ALFONSO MUNIVE VALENCIA</w:t>
      </w:r>
    </w:p>
    <w:p>
      <w:pPr>
        <w:pStyle w:val="BodyText"/>
      </w:pPr>
    </w:p>
    <w:p>
      <w:pPr>
        <w:pStyle w:val="BodyText"/>
      </w:pPr>
    </w:p>
    <w:p>
      <w:pPr>
        <w:pStyle w:val="Heading1"/>
        <w:ind w:left="1809" w:right="710"/>
        <w:jc w:val="center"/>
      </w:pPr>
      <w:r>
        <w:rPr/>
        <w:t>TUTORA ACADÉMICA</w:t>
      </w:r>
    </w:p>
    <w:p>
      <w:pPr>
        <w:pStyle w:val="BodyText"/>
        <w:spacing w:before="1"/>
        <w:rPr>
          <w:b/>
          <w:sz w:val="21"/>
        </w:rPr>
      </w:pPr>
    </w:p>
    <w:p>
      <w:pPr>
        <w:pStyle w:val="BodyText"/>
        <w:ind w:left="1812" w:right="710"/>
        <w:jc w:val="center"/>
      </w:pPr>
      <w:r>
        <w:rPr/>
        <w:t>DRA. NORMA BACA TAVIRA</w:t>
      </w:r>
    </w:p>
    <w:p>
      <w:pPr>
        <w:pStyle w:val="BodyText"/>
      </w:pPr>
    </w:p>
    <w:p>
      <w:pPr>
        <w:pStyle w:val="BodyText"/>
      </w:pPr>
    </w:p>
    <w:p>
      <w:pPr>
        <w:pStyle w:val="Heading1"/>
        <w:ind w:left="1817" w:right="710"/>
        <w:jc w:val="center"/>
      </w:pPr>
      <w:r>
        <w:rPr/>
        <w:t>REVISORA</w:t>
      </w:r>
    </w:p>
    <w:p>
      <w:pPr>
        <w:pStyle w:val="BodyText"/>
        <w:spacing w:before="10"/>
        <w:rPr>
          <w:b/>
          <w:sz w:val="20"/>
        </w:rPr>
      </w:pPr>
    </w:p>
    <w:p>
      <w:pPr>
        <w:pStyle w:val="BodyText"/>
        <w:spacing w:line="451" w:lineRule="auto"/>
        <w:ind w:left="3884" w:right="1580" w:hanging="264"/>
      </w:pPr>
      <w:r>
        <w:rPr/>
        <w:t>DRA. MARíA AMÉRICA LUNA MARTÍNEZ TOLUCA, ESTADO DE MÉXICO, ENERO</w:t>
      </w:r>
      <w:r>
        <w:rPr>
          <w:spacing w:val="54"/>
        </w:rPr>
        <w:t> </w:t>
      </w:r>
      <w:r>
        <w:rPr/>
        <w:t>2015.</w:t>
      </w:r>
    </w:p>
    <w:p>
      <w:pPr>
        <w:spacing w:after="0" w:line="451" w:lineRule="auto"/>
        <w:sectPr>
          <w:footerReference w:type="default" r:id="rId5"/>
          <w:type w:val="continuous"/>
          <w:pgSz w:w="12240" w:h="15840"/>
          <w:pgMar w:footer="1014" w:top="1500" w:bottom="1200" w:left="220" w:right="1320"/>
          <w:pgNumType w:start="1"/>
        </w:sectPr>
      </w:pPr>
    </w:p>
    <w:p>
      <w:pPr>
        <w:pStyle w:val="BodyText"/>
        <w:rPr>
          <w:sz w:val="16"/>
        </w:rPr>
      </w:pPr>
    </w:p>
    <w:p>
      <w:pPr>
        <w:spacing w:after="0"/>
        <w:rPr>
          <w:sz w:val="16"/>
        </w:rPr>
        <w:sectPr>
          <w:pgSz w:w="12240" w:h="15840"/>
          <w:pgMar w:header="0" w:footer="1014" w:top="1500" w:bottom="1473" w:left="1340" w:right="1320"/>
        </w:sectPr>
      </w:pPr>
    </w:p>
    <w:sdt>
      <w:sdtPr>
        <w:docPartObj>
          <w:docPartGallery w:val="Table of Contents"/>
          <w:docPartUnique/>
        </w:docPartObj>
      </w:sdtPr>
      <w:sdtEndPr/>
      <w:sdtContent>
        <w:p>
          <w:pPr>
            <w:pStyle w:val="TOC1"/>
            <w:tabs>
              <w:tab w:pos="9453" w:val="right" w:leader="dot"/>
            </w:tabs>
            <w:spacing w:before="70"/>
            <w:rPr>
              <w:rFonts w:ascii="Calibri" w:hAnsi="Calibri"/>
            </w:rPr>
          </w:pPr>
          <w:hyperlink w:history="true" w:anchor="_bookmark0">
            <w:r>
              <w:rPr/>
              <w:t>Introducción</w:t>
            </w:r>
            <w:r>
              <w:rPr>
                <w:rFonts w:ascii="Calibri" w:hAnsi="Calibri"/>
              </w:rPr>
              <w:tab/>
              <w:t>4</w:t>
            </w:r>
          </w:hyperlink>
        </w:p>
        <w:p>
          <w:pPr>
            <w:pStyle w:val="TOC1"/>
            <w:tabs>
              <w:tab w:pos="9453" w:val="right" w:leader="dot"/>
            </w:tabs>
            <w:spacing w:before="142"/>
            <w:rPr>
              <w:rFonts w:ascii="Calibri"/>
            </w:rPr>
          </w:pPr>
          <w:hyperlink w:history="true" w:anchor="_bookmark1">
            <w:r>
              <w:rPr/>
              <w:t>Marco</w:t>
            </w:r>
            <w:r>
              <w:rPr>
                <w:spacing w:val="1"/>
              </w:rPr>
              <w:t> </w:t>
            </w:r>
            <w:r>
              <w:rPr/>
              <w:t>conceptual</w:t>
            </w:r>
            <w:r>
              <w:rPr>
                <w:rFonts w:ascii="Calibri"/>
              </w:rPr>
              <w:tab/>
              <w:t>5</w:t>
            </w:r>
          </w:hyperlink>
        </w:p>
        <w:p>
          <w:pPr>
            <w:pStyle w:val="TOC2"/>
            <w:tabs>
              <w:tab w:pos="9453" w:val="right" w:leader="dot"/>
            </w:tabs>
            <w:rPr>
              <w:rFonts w:ascii="Calibri" w:hAnsi="Calibri"/>
            </w:rPr>
          </w:pPr>
          <w:hyperlink w:history="true" w:anchor="_bookmark2">
            <w:r>
              <w:rPr>
                <w:rFonts w:ascii="Calibri" w:hAnsi="Calibri"/>
              </w:rPr>
              <w:t>El contexto de la Universidad Autónoma del Estado</w:t>
            </w:r>
            <w:r>
              <w:rPr>
                <w:rFonts w:ascii="Calibri" w:hAnsi="Calibri"/>
                <w:spacing w:val="-7"/>
              </w:rPr>
              <w:t> </w:t>
            </w:r>
            <w:r>
              <w:rPr>
                <w:rFonts w:ascii="Calibri" w:hAnsi="Calibri"/>
              </w:rPr>
              <w:t>de</w:t>
            </w:r>
            <w:r>
              <w:rPr>
                <w:rFonts w:ascii="Calibri" w:hAnsi="Calibri"/>
                <w:spacing w:val="-1"/>
              </w:rPr>
              <w:t> </w:t>
            </w:r>
            <w:r>
              <w:rPr>
                <w:rFonts w:ascii="Calibri" w:hAnsi="Calibri"/>
              </w:rPr>
              <w:t>Hidalgo</w:t>
              <w:tab/>
              <w:t>5</w:t>
            </w:r>
          </w:hyperlink>
        </w:p>
        <w:p>
          <w:pPr>
            <w:pStyle w:val="TOC2"/>
            <w:tabs>
              <w:tab w:pos="9453" w:val="right" w:leader="dot"/>
            </w:tabs>
            <w:rPr>
              <w:rFonts w:ascii="Calibri" w:hAnsi="Calibri"/>
            </w:rPr>
          </w:pPr>
          <w:hyperlink w:history="true" w:anchor="_bookmark3">
            <w:r>
              <w:rPr/>
              <w:t>El concepto de</w:t>
            </w:r>
            <w:r>
              <w:rPr>
                <w:spacing w:val="-3"/>
              </w:rPr>
              <w:t> </w:t>
            </w:r>
            <w:r>
              <w:rPr/>
              <w:t>relaciones</w:t>
            </w:r>
            <w:r>
              <w:rPr>
                <w:spacing w:val="-1"/>
              </w:rPr>
              <w:t> </w:t>
            </w:r>
            <w:r>
              <w:rPr/>
              <w:t>erótico-afectivas</w:t>
            </w:r>
            <w:r>
              <w:rPr>
                <w:rFonts w:ascii="Calibri" w:hAnsi="Calibri"/>
              </w:rPr>
              <w:tab/>
              <w:t>7</w:t>
            </w:r>
          </w:hyperlink>
        </w:p>
        <w:p>
          <w:pPr>
            <w:pStyle w:val="TOC2"/>
            <w:tabs>
              <w:tab w:pos="9454" w:val="right" w:leader="dot"/>
            </w:tabs>
            <w:spacing w:before="142"/>
            <w:rPr>
              <w:rFonts w:ascii="Calibri" w:hAnsi="Calibri"/>
            </w:rPr>
          </w:pPr>
          <w:hyperlink w:history="true" w:anchor="_bookmark4">
            <w:r>
              <w:rPr/>
              <w:t>Masculinidad hegemónica y espacios</w:t>
            </w:r>
            <w:r>
              <w:rPr>
                <w:spacing w:val="-3"/>
              </w:rPr>
              <w:t> </w:t>
            </w:r>
            <w:r>
              <w:rPr/>
              <w:t>tradicionalmente</w:t>
            </w:r>
            <w:r>
              <w:rPr>
                <w:spacing w:val="-1"/>
              </w:rPr>
              <w:t> </w:t>
            </w:r>
            <w:r>
              <w:rPr/>
              <w:t>masculinos</w:t>
            </w:r>
            <w:r>
              <w:rPr>
                <w:rFonts w:ascii="Calibri" w:hAnsi="Calibri"/>
              </w:rPr>
              <w:tab/>
              <w:t>11</w:t>
            </w:r>
          </w:hyperlink>
        </w:p>
        <w:p>
          <w:pPr>
            <w:pStyle w:val="TOC2"/>
            <w:tabs>
              <w:tab w:pos="9454" w:val="right" w:leader="dot"/>
            </w:tabs>
            <w:rPr>
              <w:rFonts w:ascii="Calibri" w:hAnsi="Calibri"/>
            </w:rPr>
          </w:pPr>
          <w:hyperlink w:history="true" w:anchor="_bookmark5">
            <w:r>
              <w:rPr/>
              <w:t>Violencia en las relaciones de erótico afectivas entre</w:t>
            </w:r>
            <w:r>
              <w:rPr>
                <w:spacing w:val="-8"/>
              </w:rPr>
              <w:t> </w:t>
            </w:r>
            <w:r>
              <w:rPr/>
              <w:t>jóvenes</w:t>
            </w:r>
            <w:r>
              <w:rPr>
                <w:spacing w:val="-1"/>
              </w:rPr>
              <w:t> </w:t>
            </w:r>
            <w:r>
              <w:rPr/>
              <w:t>universitarios/as</w:t>
            </w:r>
            <w:r>
              <w:rPr>
                <w:rFonts w:ascii="Calibri" w:hAnsi="Calibri"/>
              </w:rPr>
              <w:tab/>
              <w:t>13</w:t>
            </w:r>
          </w:hyperlink>
        </w:p>
        <w:p>
          <w:pPr>
            <w:pStyle w:val="TOC2"/>
            <w:tabs>
              <w:tab w:pos="9454" w:val="right" w:leader="dot"/>
            </w:tabs>
            <w:spacing w:line="278" w:lineRule="auto" w:before="140"/>
            <w:ind w:right="123"/>
            <w:rPr>
              <w:rFonts w:ascii="Calibri" w:hAnsi="Calibri"/>
            </w:rPr>
          </w:pPr>
          <w:hyperlink w:history="true" w:anchor="_bookmark6">
            <w:r>
              <w:rPr/>
              <w:t>La relación de un modelo de masculinidad hegemónica y la violencia de género en espacios</w:t>
            </w:r>
          </w:hyperlink>
          <w:r>
            <w:rPr/>
            <w:t> </w:t>
          </w:r>
          <w:hyperlink w:history="true" w:anchor="_bookmark6">
            <w:r>
              <w:rPr/>
              <w:t>universitarios</w:t>
            </w:r>
            <w:r>
              <w:rPr>
                <w:rFonts w:ascii="Calibri" w:hAnsi="Calibri"/>
              </w:rPr>
              <w:tab/>
              <w:t>15</w:t>
            </w:r>
          </w:hyperlink>
        </w:p>
        <w:p>
          <w:pPr>
            <w:pStyle w:val="TOC4"/>
            <w:tabs>
              <w:tab w:pos="9454" w:val="right" w:leader="dot"/>
            </w:tabs>
            <w:rPr>
              <w:b w:val="0"/>
              <w:i w:val="0"/>
              <w:sz w:val="22"/>
            </w:rPr>
          </w:pPr>
          <w:hyperlink w:history="true" w:anchor="_bookmark7">
            <w:r>
              <w:rPr>
                <w:b w:val="0"/>
                <w:i w:val="0"/>
                <w:sz w:val="22"/>
              </w:rPr>
              <w:t>Casos de acoso sexual reportados por año ante el </w:t>
            </w:r>
            <w:r>
              <w:rPr>
                <w:b w:val="0"/>
                <w:i/>
                <w:sz w:val="22"/>
              </w:rPr>
              <w:t>Defensor Universitario </w:t>
            </w:r>
            <w:r>
              <w:rPr>
                <w:b w:val="0"/>
                <w:i w:val="0"/>
                <w:sz w:val="22"/>
              </w:rPr>
              <w:t>de 2006</w:t>
            </w:r>
            <w:r>
              <w:rPr>
                <w:b w:val="0"/>
                <w:i w:val="0"/>
                <w:spacing w:val="-13"/>
                <w:sz w:val="22"/>
              </w:rPr>
              <w:t> </w:t>
            </w:r>
            <w:r>
              <w:rPr>
                <w:b w:val="0"/>
                <w:i w:val="0"/>
                <w:sz w:val="22"/>
              </w:rPr>
              <w:t>a</w:t>
            </w:r>
            <w:r>
              <w:rPr>
                <w:b w:val="0"/>
                <w:i w:val="0"/>
                <w:spacing w:val="-1"/>
                <w:sz w:val="22"/>
              </w:rPr>
              <w:t> </w:t>
            </w:r>
            <w:r>
              <w:rPr>
                <w:b w:val="0"/>
                <w:i w:val="0"/>
                <w:sz w:val="22"/>
              </w:rPr>
              <w:t>2011</w:t>
              <w:tab/>
              <w:t>18</w:t>
            </w:r>
          </w:hyperlink>
        </w:p>
        <w:p>
          <w:pPr>
            <w:pStyle w:val="TOC2"/>
            <w:tabs>
              <w:tab w:pos="9454" w:val="right" w:leader="dot"/>
            </w:tabs>
            <w:rPr>
              <w:rFonts w:ascii="Calibri" w:hAnsi="Calibri"/>
            </w:rPr>
          </w:pPr>
          <w:hyperlink w:history="true" w:anchor="_bookmark8">
            <w:r>
              <w:rPr/>
              <w:t>Población estudiantil</w:t>
            </w:r>
            <w:r>
              <w:rPr>
                <w:spacing w:val="-1"/>
              </w:rPr>
              <w:t> </w:t>
            </w:r>
            <w:r>
              <w:rPr/>
              <w:t>del</w:t>
            </w:r>
            <w:r>
              <w:rPr>
                <w:spacing w:val="-4"/>
              </w:rPr>
              <w:t> </w:t>
            </w:r>
            <w:r>
              <w:rPr/>
              <w:t>ICBI</w:t>
            </w:r>
            <w:r>
              <w:rPr>
                <w:rFonts w:ascii="Calibri" w:hAnsi="Calibri"/>
              </w:rPr>
              <w:tab/>
              <w:t>18</w:t>
            </w:r>
          </w:hyperlink>
        </w:p>
        <w:p>
          <w:pPr>
            <w:pStyle w:val="TOC3"/>
            <w:tabs>
              <w:tab w:pos="9454" w:val="right" w:leader="dot"/>
            </w:tabs>
            <w:spacing w:line="276" w:lineRule="auto" w:before="142"/>
            <w:ind w:right="123"/>
            <w:rPr>
              <w:rFonts w:ascii="Calibri"/>
            </w:rPr>
          </w:pPr>
          <w:hyperlink w:history="true" w:anchor="_bookmark9">
            <w:r>
              <w:rPr/>
              <w:t>Porcentaje de estudiantes que cursan estudios dentro del ICBI desagregados por sexo y</w:t>
            </w:r>
          </w:hyperlink>
          <w:r>
            <w:rPr/>
            <w:t> </w:t>
          </w:r>
          <w:hyperlink w:history="true" w:anchor="_bookmark9">
            <w:r>
              <w:rPr/>
              <w:t>licenciatura en un periodo de 2010</w:t>
            </w:r>
            <w:r>
              <w:rPr>
                <w:spacing w:val="-5"/>
              </w:rPr>
              <w:t> </w:t>
            </w:r>
            <w:r>
              <w:rPr/>
              <w:t>a</w:t>
            </w:r>
            <w:r>
              <w:rPr>
                <w:spacing w:val="-1"/>
              </w:rPr>
              <w:t> </w:t>
            </w:r>
            <w:r>
              <w:rPr/>
              <w:t>2013</w:t>
            </w:r>
            <w:r>
              <w:rPr>
                <w:rFonts w:ascii="Calibri"/>
              </w:rPr>
              <w:tab/>
              <w:t>19</w:t>
            </w:r>
          </w:hyperlink>
        </w:p>
        <w:p>
          <w:pPr>
            <w:pStyle w:val="TOC3"/>
            <w:tabs>
              <w:tab w:pos="9454" w:val="right" w:leader="dot"/>
            </w:tabs>
            <w:spacing w:line="276" w:lineRule="auto" w:before="100"/>
            <w:ind w:right="123"/>
            <w:rPr>
              <w:rFonts w:ascii="Calibri"/>
            </w:rPr>
          </w:pPr>
          <w:hyperlink w:history="true" w:anchor="_bookmark10">
            <w:r>
              <w:rPr/>
              <w:t>Porcentaje de estudiantes que cursan estudios dentro del ICBI desagregados por sexo y</w:t>
            </w:r>
          </w:hyperlink>
          <w:r>
            <w:rPr/>
            <w:t> </w:t>
          </w:r>
          <w:hyperlink w:history="true" w:anchor="_bookmark10">
            <w:r>
              <w:rPr/>
              <w:t>licenciatura en un periodo de 2010</w:t>
            </w:r>
            <w:r>
              <w:rPr>
                <w:spacing w:val="-5"/>
              </w:rPr>
              <w:t> </w:t>
            </w:r>
            <w:r>
              <w:rPr/>
              <w:t>a</w:t>
            </w:r>
            <w:r>
              <w:rPr>
                <w:spacing w:val="-1"/>
              </w:rPr>
              <w:t> </w:t>
            </w:r>
            <w:r>
              <w:rPr/>
              <w:t>2013</w:t>
            </w:r>
            <w:r>
              <w:rPr>
                <w:rFonts w:ascii="Calibri"/>
              </w:rPr>
              <w:tab/>
              <w:t>19</w:t>
            </w:r>
          </w:hyperlink>
        </w:p>
        <w:p>
          <w:pPr>
            <w:pStyle w:val="TOC1"/>
            <w:tabs>
              <w:tab w:pos="9454" w:val="right" w:leader="dot"/>
            </w:tabs>
            <w:spacing w:before="101"/>
            <w:rPr>
              <w:rFonts w:ascii="Calibri" w:hAnsi="Calibri"/>
            </w:rPr>
          </w:pPr>
          <w:hyperlink w:history="true" w:anchor="_bookmark11">
            <w:r>
              <w:rPr/>
              <w:t>Justificación</w:t>
            </w:r>
            <w:r>
              <w:rPr>
                <w:rFonts w:ascii="Calibri" w:hAnsi="Calibri"/>
              </w:rPr>
              <w:tab/>
              <w:t>21</w:t>
            </w:r>
          </w:hyperlink>
        </w:p>
        <w:p>
          <w:pPr>
            <w:pStyle w:val="TOC1"/>
            <w:tabs>
              <w:tab w:pos="9454" w:val="right" w:leader="dot"/>
            </w:tabs>
            <w:rPr>
              <w:rFonts w:ascii="Calibri" w:hAnsi="Calibri"/>
            </w:rPr>
          </w:pPr>
          <w:hyperlink w:history="true" w:anchor="_bookmark12">
            <w:r>
              <w:rPr/>
              <w:t>Diagnóstico</w:t>
            </w:r>
            <w:r>
              <w:rPr>
                <w:rFonts w:ascii="Calibri" w:hAnsi="Calibri"/>
              </w:rPr>
              <w:tab/>
              <w:t>21</w:t>
            </w:r>
          </w:hyperlink>
        </w:p>
        <w:p>
          <w:pPr>
            <w:pStyle w:val="TOC2"/>
            <w:tabs>
              <w:tab w:pos="9454" w:val="right" w:leader="dot"/>
            </w:tabs>
            <w:spacing w:before="140"/>
            <w:rPr>
              <w:rFonts w:ascii="Calibri" w:hAnsi="Calibri"/>
            </w:rPr>
          </w:pPr>
          <w:hyperlink w:history="true" w:anchor="_bookmark13">
            <w:r>
              <w:rPr/>
              <w:t>Metodología</w:t>
            </w:r>
            <w:r>
              <w:rPr>
                <w:spacing w:val="-1"/>
              </w:rPr>
              <w:t> </w:t>
            </w:r>
            <w:r>
              <w:rPr/>
              <w:t>y</w:t>
            </w:r>
            <w:r>
              <w:rPr>
                <w:spacing w:val="-2"/>
              </w:rPr>
              <w:t> </w:t>
            </w:r>
            <w:r>
              <w:rPr/>
              <w:t>población</w:t>
            </w:r>
            <w:r>
              <w:rPr>
                <w:rFonts w:ascii="Calibri" w:hAnsi="Calibri"/>
              </w:rPr>
              <w:tab/>
              <w:t>21</w:t>
            </w:r>
          </w:hyperlink>
        </w:p>
        <w:p>
          <w:pPr>
            <w:pStyle w:val="TOC2"/>
            <w:tabs>
              <w:tab w:pos="9454" w:val="right" w:leader="dot"/>
            </w:tabs>
            <w:spacing w:before="142"/>
            <w:rPr>
              <w:rFonts w:ascii="Calibri" w:hAnsi="Calibri"/>
            </w:rPr>
          </w:pPr>
          <w:hyperlink w:history="true" w:anchor="_bookmark14">
            <w:r>
              <w:rPr/>
              <w:t>Diseño del cuestionario</w:t>
            </w:r>
            <w:r>
              <w:rPr>
                <w:rFonts w:ascii="Calibri" w:hAnsi="Calibri"/>
              </w:rPr>
              <w:tab/>
              <w:t>22</w:t>
            </w:r>
          </w:hyperlink>
        </w:p>
        <w:p>
          <w:pPr>
            <w:pStyle w:val="TOC3"/>
            <w:tabs>
              <w:tab w:pos="9454" w:val="right" w:leader="dot"/>
            </w:tabs>
            <w:rPr>
              <w:rFonts w:ascii="Calibri" w:hAnsi="Calibri"/>
            </w:rPr>
          </w:pPr>
          <w:hyperlink w:history="true" w:anchor="_bookmark15">
            <w:r>
              <w:rPr/>
              <w:t>Número de personas encuestadas por semestre, sexo en número neto</w:t>
            </w:r>
            <w:r>
              <w:rPr>
                <w:spacing w:val="-11"/>
              </w:rPr>
              <w:t> </w:t>
            </w:r>
            <w:r>
              <w:rPr/>
              <w:t>y</w:t>
            </w:r>
            <w:r>
              <w:rPr>
                <w:spacing w:val="-3"/>
              </w:rPr>
              <w:t> </w:t>
            </w:r>
            <w:r>
              <w:rPr/>
              <w:t>porcentual</w:t>
            </w:r>
            <w:r>
              <w:rPr>
                <w:rFonts w:ascii="Calibri" w:hAnsi="Calibri"/>
              </w:rPr>
              <w:tab/>
              <w:t>23</w:t>
            </w:r>
          </w:hyperlink>
        </w:p>
        <w:p>
          <w:pPr>
            <w:pStyle w:val="TOC3"/>
            <w:tabs>
              <w:tab w:pos="9454" w:val="right" w:leader="dot"/>
            </w:tabs>
            <w:rPr>
              <w:rFonts w:ascii="Calibri" w:hAnsi="Calibri"/>
            </w:rPr>
          </w:pPr>
          <w:hyperlink w:history="true" w:anchor="_bookmark16">
            <w:r>
              <w:rPr>
                <w:rFonts w:ascii="Calibri" w:hAnsi="Calibri"/>
              </w:rPr>
              <w:t>Distribución de estudiantes  encuestadas/os  por sexo semestre</w:t>
            </w:r>
            <w:r>
              <w:rPr>
                <w:rFonts w:ascii="Calibri" w:hAnsi="Calibri"/>
                <w:spacing w:val="-12"/>
              </w:rPr>
              <w:t> </w:t>
            </w:r>
            <w:r>
              <w:rPr>
                <w:rFonts w:ascii="Calibri" w:hAnsi="Calibri"/>
              </w:rPr>
              <w:t>y</w:t>
            </w:r>
            <w:r>
              <w:rPr>
                <w:rFonts w:ascii="Calibri" w:hAnsi="Calibri"/>
                <w:spacing w:val="-3"/>
              </w:rPr>
              <w:t> </w:t>
            </w:r>
            <w:r>
              <w:rPr>
                <w:rFonts w:ascii="Calibri" w:hAnsi="Calibri"/>
              </w:rPr>
              <w:t>licenciatura</w:t>
              <w:tab/>
              <w:t>25</w:t>
            </w:r>
          </w:hyperlink>
        </w:p>
        <w:p>
          <w:pPr>
            <w:pStyle w:val="TOC3"/>
            <w:tabs>
              <w:tab w:pos="9454" w:val="right" w:leader="dot"/>
            </w:tabs>
            <w:spacing w:before="142"/>
            <w:rPr>
              <w:rFonts w:ascii="Calibri"/>
            </w:rPr>
          </w:pPr>
          <w:hyperlink w:history="true" w:anchor="_bookmark17">
            <w:r>
              <w:rPr>
                <w:rFonts w:ascii="Calibri"/>
              </w:rPr>
              <w:t>Respuestas dadas por estudiantes varones a la escala tipo</w:t>
            </w:r>
            <w:r>
              <w:rPr>
                <w:rFonts w:ascii="Calibri"/>
                <w:spacing w:val="-12"/>
              </w:rPr>
              <w:t> </w:t>
            </w:r>
            <w:r>
              <w:rPr>
                <w:rFonts w:ascii="Calibri"/>
              </w:rPr>
              <w:t>Likert</w:t>
            </w:r>
            <w:r>
              <w:rPr>
                <w:rFonts w:ascii="Calibri"/>
                <w:spacing w:val="-4"/>
              </w:rPr>
              <w:t> </w:t>
            </w:r>
            <w:r>
              <w:rPr>
                <w:rFonts w:ascii="Calibri"/>
              </w:rPr>
              <w:t>[porcentajes].</w:t>
              <w:tab/>
              <w:t>26</w:t>
            </w:r>
          </w:hyperlink>
        </w:p>
        <w:p>
          <w:pPr>
            <w:pStyle w:val="TOC3"/>
            <w:tabs>
              <w:tab w:pos="9454" w:val="right" w:leader="dot"/>
            </w:tabs>
            <w:rPr>
              <w:rFonts w:ascii="Calibri"/>
            </w:rPr>
          </w:pPr>
          <w:hyperlink w:history="true" w:anchor="_bookmark18">
            <w:r>
              <w:rPr>
                <w:rFonts w:ascii="Calibri"/>
              </w:rPr>
              <w:t>Respuestas dadas por estudiantes mujeres a la escala tipo</w:t>
            </w:r>
            <w:r>
              <w:rPr>
                <w:rFonts w:ascii="Calibri"/>
                <w:spacing w:val="-15"/>
              </w:rPr>
              <w:t> </w:t>
            </w:r>
            <w:r>
              <w:rPr>
                <w:rFonts w:ascii="Calibri"/>
              </w:rPr>
              <w:t>Likert</w:t>
            </w:r>
            <w:r>
              <w:rPr>
                <w:rFonts w:ascii="Calibri"/>
                <w:spacing w:val="-4"/>
              </w:rPr>
              <w:t> </w:t>
            </w:r>
            <w:r>
              <w:rPr>
                <w:rFonts w:ascii="Calibri"/>
              </w:rPr>
              <w:t>[porcentajes].</w:t>
              <w:tab/>
              <w:t>27</w:t>
            </w:r>
          </w:hyperlink>
        </w:p>
        <w:p>
          <w:pPr>
            <w:pStyle w:val="TOC2"/>
            <w:tabs>
              <w:tab w:pos="9454" w:val="right" w:leader="dot"/>
            </w:tabs>
            <w:spacing w:before="142"/>
            <w:rPr>
              <w:rFonts w:ascii="Calibri"/>
            </w:rPr>
          </w:pPr>
          <w:hyperlink w:history="true" w:anchor="_bookmark19">
            <w:r>
              <w:rPr/>
              <w:t>Inventario de Masculinidad</w:t>
            </w:r>
            <w:r>
              <w:rPr>
                <w:spacing w:val="-1"/>
              </w:rPr>
              <w:t> </w:t>
            </w:r>
            <w:r>
              <w:rPr/>
              <w:t>y</w:t>
            </w:r>
            <w:r>
              <w:rPr>
                <w:spacing w:val="-3"/>
              </w:rPr>
              <w:t> </w:t>
            </w:r>
            <w:r>
              <w:rPr/>
              <w:t>Femineidad-Imafe</w:t>
            </w:r>
            <w:r>
              <w:rPr>
                <w:rFonts w:ascii="Calibri"/>
              </w:rPr>
              <w:tab/>
              <w:t>28</w:t>
            </w:r>
          </w:hyperlink>
        </w:p>
        <w:p>
          <w:pPr>
            <w:pStyle w:val="TOC2"/>
            <w:tabs>
              <w:tab w:pos="9454" w:val="right" w:leader="dot"/>
            </w:tabs>
            <w:spacing w:before="140"/>
            <w:rPr>
              <w:rFonts w:ascii="Calibri" w:hAnsi="Calibri"/>
            </w:rPr>
          </w:pPr>
          <w:hyperlink w:history="true" w:anchor="_bookmark20">
            <w:r>
              <w:rPr/>
              <w:t>Grupo Focal [grupo</w:t>
            </w:r>
            <w:r>
              <w:rPr>
                <w:spacing w:val="-7"/>
              </w:rPr>
              <w:t> </w:t>
            </w:r>
            <w:r>
              <w:rPr/>
              <w:t>de discusión]</w:t>
            </w:r>
            <w:r>
              <w:rPr>
                <w:rFonts w:ascii="Calibri" w:hAnsi="Calibri"/>
              </w:rPr>
              <w:tab/>
              <w:t>29</w:t>
            </w:r>
          </w:hyperlink>
        </w:p>
        <w:p>
          <w:pPr>
            <w:pStyle w:val="TOC2"/>
            <w:tabs>
              <w:tab w:pos="9454" w:val="right" w:leader="dot"/>
            </w:tabs>
            <w:rPr>
              <w:rFonts w:ascii="Calibri" w:hAnsi="Calibri"/>
            </w:rPr>
          </w:pPr>
          <w:hyperlink w:history="true" w:anchor="_bookmark21">
            <w:r>
              <w:rPr/>
              <w:t>Campos Semánticos</w:t>
            </w:r>
            <w:r>
              <w:rPr>
                <w:rFonts w:ascii="Calibri" w:hAnsi="Calibri"/>
              </w:rPr>
              <w:tab/>
              <w:t>31</w:t>
            </w:r>
          </w:hyperlink>
        </w:p>
        <w:p>
          <w:pPr>
            <w:pStyle w:val="TOC3"/>
            <w:tabs>
              <w:tab w:pos="9454" w:val="right" w:leader="dot"/>
            </w:tabs>
            <w:spacing w:before="142"/>
            <w:rPr>
              <w:rFonts w:ascii="Calibri" w:hAnsi="Calibri"/>
            </w:rPr>
          </w:pPr>
          <w:hyperlink w:history="true" w:anchor="_bookmark22">
            <w:r>
              <w:rPr/>
              <w:t>Esquema sobre la representación estudiantil del</w:t>
            </w:r>
            <w:r>
              <w:rPr>
                <w:spacing w:val="-7"/>
              </w:rPr>
              <w:t> </w:t>
            </w:r>
            <w:r>
              <w:rPr/>
              <w:t>“Ser</w:t>
            </w:r>
            <w:r>
              <w:rPr>
                <w:spacing w:val="-2"/>
              </w:rPr>
              <w:t> </w:t>
            </w:r>
            <w:r>
              <w:rPr/>
              <w:t>Ingeniero”</w:t>
            </w:r>
            <w:r>
              <w:rPr>
                <w:rFonts w:ascii="Calibri" w:hAnsi="Calibri"/>
              </w:rPr>
              <w:tab/>
              <w:t>31</w:t>
            </w:r>
          </w:hyperlink>
        </w:p>
        <w:p>
          <w:pPr>
            <w:pStyle w:val="TOC1"/>
            <w:tabs>
              <w:tab w:pos="9454" w:val="right" w:leader="dot"/>
            </w:tabs>
            <w:rPr>
              <w:rFonts w:ascii="Calibri"/>
            </w:rPr>
          </w:pPr>
          <w:hyperlink w:history="true" w:anchor="_bookmark23">
            <w:r>
              <w:rPr/>
              <w:t>Propuesta</w:t>
            </w:r>
            <w:r>
              <w:rPr>
                <w:rFonts w:ascii="Calibri"/>
              </w:rPr>
              <w:tab/>
              <w:t>32</w:t>
            </w:r>
          </w:hyperlink>
        </w:p>
        <w:p>
          <w:pPr>
            <w:pStyle w:val="TOC2"/>
            <w:tabs>
              <w:tab w:pos="9454" w:val="right" w:leader="dot"/>
            </w:tabs>
            <w:rPr>
              <w:rFonts w:ascii="Calibri"/>
            </w:rPr>
          </w:pPr>
          <w:hyperlink w:history="true" w:anchor="_bookmark24">
            <w:r>
              <w:rPr/>
              <w:t>Sesiones taller</w:t>
            </w:r>
            <w:r>
              <w:rPr>
                <w:rFonts w:ascii="Calibri"/>
              </w:rPr>
              <w:tab/>
              <w:t>33</w:t>
            </w:r>
          </w:hyperlink>
        </w:p>
        <w:p>
          <w:pPr>
            <w:pStyle w:val="TOC2"/>
            <w:tabs>
              <w:tab w:pos="9454" w:val="right" w:leader="dot"/>
            </w:tabs>
            <w:spacing w:before="142"/>
            <w:rPr>
              <w:rFonts w:ascii="Calibri" w:hAnsi="Calibri"/>
            </w:rPr>
          </w:pPr>
          <w:hyperlink w:history="true" w:anchor="_bookmark25">
            <w:r>
              <w:rPr/>
              <w:t>Grupos de</w:t>
            </w:r>
            <w:r>
              <w:rPr>
                <w:spacing w:val="-3"/>
              </w:rPr>
              <w:t> </w:t>
            </w:r>
            <w:r>
              <w:rPr/>
              <w:t>atención</w:t>
            </w:r>
            <w:r>
              <w:rPr>
                <w:spacing w:val="-1"/>
              </w:rPr>
              <w:t> </w:t>
            </w:r>
            <w:r>
              <w:rPr/>
              <w:t>psicológica</w:t>
            </w:r>
            <w:r>
              <w:rPr>
                <w:rFonts w:ascii="Calibri" w:hAnsi="Calibri"/>
              </w:rPr>
              <w:tab/>
              <w:t>34</w:t>
            </w:r>
          </w:hyperlink>
        </w:p>
        <w:p>
          <w:pPr>
            <w:pStyle w:val="TOC2"/>
            <w:tabs>
              <w:tab w:pos="9454" w:val="right" w:leader="dot"/>
            </w:tabs>
            <w:rPr>
              <w:rFonts w:ascii="Calibri" w:hAnsi="Calibri"/>
            </w:rPr>
          </w:pPr>
          <w:hyperlink w:history="true" w:anchor="_bookmark26">
            <w:r>
              <w:rPr/>
              <w:t>Campaña Cultural</w:t>
            </w:r>
            <w:r>
              <w:rPr>
                <w:rFonts w:ascii="Calibri" w:hAnsi="Calibri"/>
              </w:rPr>
              <w:tab/>
              <w:t>34</w:t>
            </w:r>
          </w:hyperlink>
        </w:p>
        <w:p>
          <w:pPr>
            <w:pStyle w:val="TOC1"/>
            <w:tabs>
              <w:tab w:pos="9454" w:val="right" w:leader="dot"/>
            </w:tabs>
            <w:rPr>
              <w:rFonts w:ascii="Calibri" w:hAnsi="Calibri"/>
            </w:rPr>
          </w:pPr>
          <w:hyperlink w:history="true" w:anchor="_bookmark27">
            <w:r>
              <w:rPr>
                <w:rFonts w:ascii="Calibri" w:hAnsi="Calibri"/>
              </w:rPr>
              <w:t>Bibliografía</w:t>
              <w:tab/>
              <w:t>36</w:t>
            </w:r>
          </w:hyperlink>
        </w:p>
        <w:p>
          <w:pPr>
            <w:pStyle w:val="TOC1"/>
            <w:tabs>
              <w:tab w:pos="9454" w:val="right" w:leader="dot"/>
            </w:tabs>
            <w:spacing w:before="142"/>
            <w:rPr>
              <w:rFonts w:ascii="Calibri"/>
            </w:rPr>
          </w:pPr>
          <w:hyperlink w:history="true" w:anchor="_bookmark28">
            <w:r>
              <w:rPr/>
              <w:t>Anexo 1</w:t>
            </w:r>
            <w:r>
              <w:rPr>
                <w:rFonts w:ascii="Calibri"/>
              </w:rPr>
              <w:tab/>
              <w:t>42</w:t>
            </w:r>
          </w:hyperlink>
        </w:p>
        <w:p>
          <w:pPr>
            <w:pStyle w:val="TOC1"/>
            <w:tabs>
              <w:tab w:pos="9454" w:val="right" w:leader="dot"/>
            </w:tabs>
            <w:spacing w:before="57"/>
            <w:rPr>
              <w:rFonts w:ascii="Calibri"/>
            </w:rPr>
          </w:pPr>
          <w:hyperlink w:history="true" w:anchor="_bookmark29">
            <w:r>
              <w:rPr/>
              <w:t>Anexo 2.</w:t>
            </w:r>
            <w:r>
              <w:rPr>
                <w:rFonts w:ascii="Calibri"/>
              </w:rPr>
              <w:tab/>
              <w:t>47</w:t>
            </w:r>
          </w:hyperlink>
        </w:p>
      </w:sdtContent>
    </w:sdt>
    <w:p>
      <w:pPr>
        <w:spacing w:after="0"/>
        <w:rPr>
          <w:rFonts w:ascii="Calibri"/>
        </w:rPr>
        <w:sectPr>
          <w:type w:val="continuous"/>
          <w:pgSz w:w="12240" w:h="15840"/>
          <w:pgMar w:top="1380" w:bottom="1473" w:left="1340" w:right="1320"/>
        </w:sectPr>
      </w:pPr>
    </w:p>
    <w:p>
      <w:pPr>
        <w:pStyle w:val="Heading1"/>
        <w:spacing w:before="56"/>
      </w:pPr>
      <w:bookmarkStart w:name="_bookmark0" w:id="1"/>
      <w:bookmarkEnd w:id="1"/>
      <w:r>
        <w:rPr>
          <w:b w:val="0"/>
        </w:rPr>
      </w:r>
      <w:r>
        <w:rPr>
          <w:color w:val="365F91"/>
        </w:rPr>
        <w:t>Introducción</w:t>
      </w:r>
    </w:p>
    <w:p>
      <w:pPr>
        <w:pStyle w:val="BodyText"/>
        <w:rPr>
          <w:b/>
        </w:rPr>
      </w:pPr>
    </w:p>
    <w:p>
      <w:pPr>
        <w:pStyle w:val="BodyText"/>
        <w:spacing w:before="9"/>
        <w:rPr>
          <w:b/>
        </w:rPr>
      </w:pPr>
    </w:p>
    <w:p>
      <w:pPr>
        <w:pStyle w:val="BodyText"/>
        <w:spacing w:line="360" w:lineRule="auto"/>
        <w:ind w:left="100" w:right="117"/>
        <w:jc w:val="both"/>
      </w:pPr>
      <w:r>
        <w:rPr/>
        <w:t>En el siguiente trabajo se abordan en un primer momento algunos conceptos relacionados con la masculinidad hegemónica y el desarrollo de la misma dentro de un ambiente educativo como lo es la Universidad Autónoma del Estado de Hidalgo, se desarrollarán los conceptos relacionados con la concepción estudiantil del “deber ser hombre”, en un primer momento este abordaje se realiza desde los postulados teóricos de algunas investigaciones realizadas desde disciplinas como la psicología, la sociología e incluso la antropología.</w:t>
      </w:r>
    </w:p>
    <w:p>
      <w:pPr>
        <w:pStyle w:val="BodyText"/>
        <w:spacing w:line="360" w:lineRule="auto" w:before="204"/>
        <w:ind w:left="100" w:right="115"/>
        <w:jc w:val="both"/>
      </w:pPr>
      <w:r>
        <w:rPr/>
        <w:t>Aunado a ello se realizó una investigación referente a la situación de la institución conforme al certificado de Modelo de Equidad de Género [MEG] recurriendo a sus anuarios para saber la distribución del cuerpo estudiantil, así como a sus bases de datos referentes a las quejas por acoso que presentan y las estrategias implementadas por la institución para socavar acciones similares posteriores.</w:t>
      </w:r>
    </w:p>
    <w:p>
      <w:pPr>
        <w:pStyle w:val="BodyText"/>
        <w:spacing w:line="360" w:lineRule="auto" w:before="204"/>
        <w:ind w:left="100" w:right="118"/>
        <w:jc w:val="both"/>
      </w:pPr>
      <w:r>
        <w:rPr/>
        <w:t>Posteriormente se explicará la implicación de estos postulados teóricos a través de información de primera mano recabada en los meses de abril y mayo en el Instituto de Ciencias Básicas e Ingenierías de la universidad previamente mencionada. En relación a esta información recabada es que se procedió a la elaboración de un diagnóstico en el que se contemplara la implementación de estrategias institucionales ya realizadas y la compatibilidad de las mismas con una propuesta que se realizará en torno a estrategias con perspectiva de género que facilitara la adquisición de nuevos hábitos y actitudes por parte del estudiantado, contemplando a éste como un agente activo que puede convertirse en promotor de nuevos modelos de relación</w:t>
      </w:r>
      <w:r>
        <w:rPr>
          <w:spacing w:val="-33"/>
        </w:rPr>
        <w:t> </w:t>
      </w:r>
      <w:r>
        <w:rPr/>
        <w:t>interpersonal.</w:t>
      </w:r>
    </w:p>
    <w:p>
      <w:pPr>
        <w:pStyle w:val="BodyText"/>
        <w:spacing w:line="360" w:lineRule="auto" w:before="204"/>
        <w:ind w:left="100" w:right="117"/>
        <w:jc w:val="both"/>
      </w:pPr>
      <w:r>
        <w:rPr/>
        <w:t>Por último se proporciona una serie de estrategias sugeridas que buscan la incorporación de modelos de relación más equitativas y más sanas, partiendo desde la perspectiva de género e incorporando como eje central la teoría de las actitudes de la psicología social.</w:t>
      </w:r>
    </w:p>
    <w:p>
      <w:pPr>
        <w:spacing w:after="0" w:line="360" w:lineRule="auto"/>
        <w:jc w:val="both"/>
        <w:sectPr>
          <w:pgSz w:w="12240" w:h="15840"/>
          <w:pgMar w:header="0" w:footer="1014" w:top="1380" w:bottom="1200" w:left="1340" w:right="1320"/>
        </w:sectPr>
      </w:pPr>
    </w:p>
    <w:p>
      <w:pPr>
        <w:pStyle w:val="Heading1"/>
        <w:spacing w:before="56"/>
        <w:ind w:left="120"/>
      </w:pPr>
      <w:bookmarkStart w:name="_bookmark1" w:id="2"/>
      <w:bookmarkEnd w:id="2"/>
      <w:r>
        <w:rPr>
          <w:b w:val="0"/>
        </w:rPr>
      </w:r>
      <w:r>
        <w:rPr>
          <w:color w:val="365F91"/>
        </w:rPr>
        <w:t>Marco conceptual</w:t>
      </w:r>
    </w:p>
    <w:p>
      <w:pPr>
        <w:pStyle w:val="BodyText"/>
        <w:spacing w:before="3"/>
        <w:rPr>
          <w:b/>
          <w:sz w:val="21"/>
        </w:rPr>
      </w:pPr>
    </w:p>
    <w:p>
      <w:pPr>
        <w:spacing w:before="0"/>
        <w:ind w:left="120" w:right="0" w:firstLine="0"/>
        <w:jc w:val="both"/>
        <w:rPr>
          <w:rFonts w:ascii="Cambria" w:hAnsi="Cambria"/>
          <w:b/>
          <w:sz w:val="26"/>
        </w:rPr>
      </w:pPr>
      <w:bookmarkStart w:name="_bookmark2" w:id="3"/>
      <w:bookmarkEnd w:id="3"/>
      <w:r>
        <w:rPr/>
      </w:r>
      <w:r>
        <w:rPr>
          <w:rFonts w:ascii="Cambria" w:hAnsi="Cambria"/>
          <w:b/>
          <w:color w:val="4F81BC"/>
          <w:sz w:val="26"/>
        </w:rPr>
        <w:t>El contexto de la Universidad Autónoma del Estado de Hidalgo</w:t>
      </w:r>
    </w:p>
    <w:p>
      <w:pPr>
        <w:pStyle w:val="BodyText"/>
        <w:rPr>
          <w:rFonts w:ascii="Cambria"/>
          <w:b/>
          <w:sz w:val="26"/>
        </w:rPr>
      </w:pPr>
    </w:p>
    <w:p>
      <w:pPr>
        <w:pStyle w:val="BodyText"/>
        <w:spacing w:before="3"/>
        <w:rPr>
          <w:rFonts w:ascii="Cambria"/>
          <w:b/>
          <w:sz w:val="21"/>
        </w:rPr>
      </w:pPr>
    </w:p>
    <w:p>
      <w:pPr>
        <w:pStyle w:val="BodyText"/>
        <w:spacing w:line="360" w:lineRule="auto"/>
        <w:ind w:left="120" w:right="116"/>
        <w:jc w:val="both"/>
      </w:pPr>
      <w:r>
        <w:rPr/>
        <w:t>La Universidad Autónoma del Estado de Hidalgo [UAEH] cuenta, desde el año 2010 con el certificado de Modelo Equidad de Género [MEG] otorgado por el Instituto Nacional de las Mujeres [INMUJERES], siendo en ese momento la primera universidad pública reconocida con dicho certificado. El MEG fue otorgado bajo la inscripción de calificación perfecta, situación que nos haría percibir que las políticas internas de la UAEH fomenta la equidad de género dentro de los ambientes</w:t>
      </w:r>
      <w:r>
        <w:rPr>
          <w:spacing w:val="-29"/>
        </w:rPr>
        <w:t> </w:t>
      </w:r>
      <w:r>
        <w:rPr/>
        <w:t>universitarios.</w:t>
      </w:r>
    </w:p>
    <w:p>
      <w:pPr>
        <w:pStyle w:val="BodyText"/>
        <w:spacing w:line="360" w:lineRule="auto" w:before="204"/>
        <w:ind w:left="120" w:right="114"/>
        <w:jc w:val="both"/>
      </w:pPr>
      <w:r>
        <w:rPr/>
        <w:t>Para la obtención de este certificado el INMUJERES estipula que “las organizaciones que deseen adoptar un Sistema de Gestión de Equidad de Género deberán:</w:t>
      </w:r>
    </w:p>
    <w:p>
      <w:pPr>
        <w:pStyle w:val="ListParagraph"/>
        <w:numPr>
          <w:ilvl w:val="0"/>
          <w:numId w:val="1"/>
        </w:numPr>
        <w:tabs>
          <w:tab w:pos="840" w:val="left" w:leader="none"/>
          <w:tab w:pos="841" w:val="left" w:leader="none"/>
        </w:tabs>
        <w:spacing w:line="240" w:lineRule="auto" w:before="205" w:after="0"/>
        <w:ind w:left="840" w:right="0" w:hanging="360"/>
        <w:jc w:val="left"/>
        <w:rPr>
          <w:sz w:val="24"/>
        </w:rPr>
      </w:pPr>
      <w:r>
        <w:rPr>
          <w:sz w:val="24"/>
        </w:rPr>
        <w:t>Realizar un diagnóstico en el que se identifiquen las inequidades</w:t>
      </w:r>
      <w:r>
        <w:rPr>
          <w:spacing w:val="-30"/>
          <w:sz w:val="24"/>
        </w:rPr>
        <w:t> </w:t>
      </w:r>
      <w:r>
        <w:rPr>
          <w:sz w:val="24"/>
        </w:rPr>
        <w:t>existentes.</w:t>
      </w:r>
    </w:p>
    <w:p>
      <w:pPr>
        <w:pStyle w:val="ListParagraph"/>
        <w:numPr>
          <w:ilvl w:val="0"/>
          <w:numId w:val="1"/>
        </w:numPr>
        <w:tabs>
          <w:tab w:pos="841" w:val="left" w:leader="none"/>
        </w:tabs>
        <w:spacing w:line="324" w:lineRule="auto" w:before="135" w:after="0"/>
        <w:ind w:left="840" w:right="124" w:hanging="360"/>
        <w:jc w:val="both"/>
        <w:rPr>
          <w:sz w:val="16"/>
        </w:rPr>
      </w:pPr>
      <w:r>
        <w:rPr>
          <w:sz w:val="24"/>
        </w:rPr>
        <w:t>Implantar y cumplir con los requisitos definidos en el modelo de equidad de género.</w:t>
      </w:r>
      <w:r>
        <w:rPr>
          <w:position w:val="11"/>
          <w:sz w:val="16"/>
        </w:rPr>
        <w:t>1</w:t>
      </w:r>
    </w:p>
    <w:p>
      <w:pPr>
        <w:pStyle w:val="ListParagraph"/>
        <w:numPr>
          <w:ilvl w:val="0"/>
          <w:numId w:val="1"/>
        </w:numPr>
        <w:tabs>
          <w:tab w:pos="841" w:val="left" w:leader="none"/>
        </w:tabs>
        <w:spacing w:line="357" w:lineRule="auto" w:before="31" w:after="0"/>
        <w:ind w:left="840" w:right="117" w:hanging="360"/>
        <w:jc w:val="both"/>
        <w:rPr>
          <w:sz w:val="24"/>
        </w:rPr>
      </w:pPr>
      <w:r>
        <w:rPr>
          <w:sz w:val="24"/>
        </w:rPr>
        <w:t>Incorporar, en un principio, al menos dos estrategias que favorezcan las condiciones de equidad de género y tomen en cuenta el desarrollo de las acciones afirmativas y/o en favor del personal con las que se disminuirá el impacto de las situaciones identificadas como inequitativas. [Instituto Nacional  de las Mujeres,</w:t>
      </w:r>
      <w:r>
        <w:rPr>
          <w:spacing w:val="-7"/>
          <w:sz w:val="24"/>
        </w:rPr>
        <w:t> </w:t>
      </w:r>
      <w:r>
        <w:rPr>
          <w:sz w:val="24"/>
        </w:rPr>
        <w:t>2007].</w:t>
      </w:r>
    </w:p>
    <w:p>
      <w:pPr>
        <w:pStyle w:val="BodyText"/>
        <w:spacing w:line="360" w:lineRule="auto" w:before="207"/>
        <w:ind w:left="120" w:right="119"/>
        <w:jc w:val="both"/>
      </w:pPr>
      <w:r>
        <w:rPr/>
        <w:t>Cabe señalar que, dentro de la revisión realizada para la implementación de este proyecto no se encontró información referente a un diagnóstico elaborado por la UAEH que pueda dar cuenta de la relación existente dentro de la dinámica estudiantil respecto a la perspectiva de género y la subsecuente implementación de políticas para su atención.</w:t>
      </w:r>
    </w:p>
    <w:p>
      <w:pPr>
        <w:pStyle w:val="BodyText"/>
        <w:spacing w:line="360" w:lineRule="auto" w:before="202"/>
        <w:ind w:left="120" w:right="120"/>
        <w:jc w:val="both"/>
      </w:pPr>
      <w:r>
        <w:rPr/>
        <w:t>Bajo el contexto de estos requerimientos dentro de la UAEH a partir del año 2006 surge la figura del </w:t>
      </w:r>
      <w:r>
        <w:rPr>
          <w:i/>
        </w:rPr>
        <w:t>Defensor Universitario</w:t>
      </w:r>
      <w:r>
        <w:rPr/>
        <w:t>, instancia encargada de promover la defensa de los derechos humanos y la promoción de políticas con perspectiva de género. Una de    las</w:t>
      </w:r>
    </w:p>
    <w:p>
      <w:pPr>
        <w:pStyle w:val="BodyText"/>
        <w:spacing w:before="4"/>
        <w:rPr>
          <w:sz w:val="16"/>
        </w:rPr>
      </w:pPr>
      <w:r>
        <w:rPr/>
        <w:pict>
          <v:line style="position:absolute;mso-position-horizontal-relative:page;mso-position-vertical-relative:paragraph;z-index:1144;mso-wrap-distance-left:0;mso-wrap-distance-right:0" from="72.024002pt,11.753921pt" to="216.044002pt,11.753921pt" stroked="true" strokeweight=".71997pt" strokecolor="#000000">
            <w10:wrap type="topAndBottom"/>
          </v:line>
        </w:pict>
      </w:r>
    </w:p>
    <w:p>
      <w:pPr>
        <w:spacing w:before="37"/>
        <w:ind w:left="120" w:right="75" w:firstLine="0"/>
        <w:jc w:val="left"/>
        <w:rPr>
          <w:sz w:val="20"/>
        </w:rPr>
      </w:pPr>
      <w:r>
        <w:rPr>
          <w:position w:val="10"/>
          <w:sz w:val="13"/>
        </w:rPr>
        <w:t>1 </w:t>
      </w:r>
      <w:r>
        <w:rPr>
          <w:sz w:val="20"/>
        </w:rPr>
        <w:t>Para ahondar más en los requerimientos del MEG sugiero revisar Instituto Nacional de las Mujeres, 2007. </w:t>
      </w:r>
      <w:r>
        <w:rPr>
          <w:i/>
          <w:sz w:val="20"/>
        </w:rPr>
        <w:t>Modelo de Equidad de Género MEG:2003</w:t>
      </w:r>
      <w:r>
        <w:rPr>
          <w:sz w:val="20"/>
        </w:rPr>
        <w:t>. México. INMUJERES; Segunda Edición.</w:t>
      </w:r>
    </w:p>
    <w:p>
      <w:pPr>
        <w:spacing w:after="0"/>
        <w:jc w:val="left"/>
        <w:rPr>
          <w:sz w:val="20"/>
        </w:rPr>
        <w:sectPr>
          <w:pgSz w:w="12240" w:h="15840"/>
          <w:pgMar w:header="0" w:footer="1014" w:top="1380" w:bottom="1200" w:left="1320" w:right="1320"/>
        </w:sectPr>
      </w:pPr>
    </w:p>
    <w:p>
      <w:pPr>
        <w:pStyle w:val="BodyText"/>
        <w:spacing w:line="360" w:lineRule="auto" w:before="56"/>
        <w:ind w:left="120" w:right="113"/>
        <w:jc w:val="both"/>
        <w:rPr>
          <w:i/>
        </w:rPr>
      </w:pPr>
      <w:r>
        <w:rPr/>
        <w:t>funciones primordiales del </w:t>
      </w:r>
      <w:r>
        <w:rPr>
          <w:i/>
        </w:rPr>
        <w:t>Defensor Universitario </w:t>
      </w:r>
      <w:r>
        <w:rPr/>
        <w:t>es el impulsar un espacio en el que  se pudieran expresar de manera imparcial quejas con respecto a la atención recibida dentro de la Universidad por parte del personal docente, administrativo, etcétera y prevenir toda forma de hostigamiento sexual que pudiese presentarse en ella, la defensa y promoción de los derechos humanos; aunado a ello el </w:t>
      </w:r>
      <w:r>
        <w:rPr>
          <w:i/>
        </w:rPr>
        <w:t>Defensor Universitario </w:t>
      </w:r>
      <w:r>
        <w:rPr/>
        <w:t>implementa,</w:t>
      </w:r>
      <w:r>
        <w:rPr>
          <w:spacing w:val="31"/>
        </w:rPr>
        <w:t> </w:t>
      </w:r>
      <w:r>
        <w:rPr/>
        <w:t>como</w:t>
      </w:r>
      <w:r>
        <w:rPr>
          <w:spacing w:val="31"/>
        </w:rPr>
        <w:t> </w:t>
      </w:r>
      <w:r>
        <w:rPr/>
        <w:t>parte</w:t>
      </w:r>
      <w:r>
        <w:rPr>
          <w:spacing w:val="31"/>
        </w:rPr>
        <w:t> </w:t>
      </w:r>
      <w:r>
        <w:rPr/>
        <w:t>de</w:t>
      </w:r>
      <w:r>
        <w:rPr>
          <w:spacing w:val="31"/>
        </w:rPr>
        <w:t> </w:t>
      </w:r>
      <w:r>
        <w:rPr/>
        <w:t>sus</w:t>
      </w:r>
      <w:r>
        <w:rPr>
          <w:spacing w:val="29"/>
        </w:rPr>
        <w:t> </w:t>
      </w:r>
      <w:r>
        <w:rPr/>
        <w:t>funciones,</w:t>
      </w:r>
      <w:r>
        <w:rPr>
          <w:spacing w:val="31"/>
        </w:rPr>
        <w:t> </w:t>
      </w:r>
      <w:r>
        <w:rPr/>
        <w:t>la</w:t>
      </w:r>
      <w:r>
        <w:rPr>
          <w:spacing w:val="31"/>
        </w:rPr>
        <w:t> </w:t>
      </w:r>
      <w:r>
        <w:rPr/>
        <w:t>creación</w:t>
      </w:r>
      <w:r>
        <w:rPr>
          <w:spacing w:val="40"/>
        </w:rPr>
        <w:t> </w:t>
      </w:r>
      <w:r>
        <w:rPr/>
        <w:t>de</w:t>
      </w:r>
      <w:r>
        <w:rPr>
          <w:spacing w:val="32"/>
        </w:rPr>
        <w:t> </w:t>
      </w:r>
      <w:r>
        <w:rPr>
          <w:i/>
        </w:rPr>
        <w:t>subcomités</w:t>
      </w:r>
      <w:r>
        <w:rPr>
          <w:i/>
          <w:spacing w:val="31"/>
        </w:rPr>
        <w:t> </w:t>
      </w:r>
      <w:r>
        <w:rPr>
          <w:i/>
        </w:rPr>
        <w:t>de</w:t>
      </w:r>
      <w:r>
        <w:rPr>
          <w:i/>
          <w:spacing w:val="31"/>
        </w:rPr>
        <w:t> </w:t>
      </w:r>
      <w:r>
        <w:rPr>
          <w:i/>
        </w:rPr>
        <w:t>equidad</w:t>
      </w:r>
      <w:r>
        <w:rPr>
          <w:i/>
          <w:spacing w:val="31"/>
        </w:rPr>
        <w:t> </w:t>
      </w:r>
      <w:r>
        <w:rPr>
          <w:i/>
        </w:rPr>
        <w:t>de</w:t>
      </w:r>
    </w:p>
    <w:p>
      <w:pPr>
        <w:pStyle w:val="BodyText"/>
        <w:spacing w:line="281" w:lineRule="exact"/>
        <w:ind w:left="120"/>
        <w:jc w:val="both"/>
      </w:pPr>
      <w:r>
        <w:rPr>
          <w:i/>
        </w:rPr>
        <w:t>género  </w:t>
      </w:r>
      <w:r>
        <w:rPr/>
        <w:t>en algunos institutos</w:t>
      </w:r>
      <w:r>
        <w:rPr>
          <w:position w:val="11"/>
          <w:sz w:val="16"/>
        </w:rPr>
        <w:t>2</w:t>
      </w:r>
      <w:r>
        <w:rPr/>
        <w:t>, cuya finalidad es la operacionalización  de las    políticas</w:t>
      </w:r>
    </w:p>
    <w:p>
      <w:pPr>
        <w:pStyle w:val="BodyText"/>
        <w:spacing w:line="360" w:lineRule="auto" w:before="139"/>
        <w:ind w:left="120" w:right="118"/>
        <w:jc w:val="both"/>
      </w:pPr>
      <w:r>
        <w:rPr/>
        <w:t>universitarias de equidad de género dentro de los mismos. Cabe señalar que a pesar  de la considerable importancia que invisten los subcomités se constató que en el Instituto de Ciencias Básicas e Ingenierías [ICBI] no se cuenta con un subcomité de género.</w:t>
      </w:r>
    </w:p>
    <w:p>
      <w:pPr>
        <w:pStyle w:val="BodyText"/>
        <w:spacing w:line="360" w:lineRule="auto" w:before="204"/>
        <w:ind w:left="120" w:right="115"/>
        <w:jc w:val="both"/>
      </w:pPr>
      <w:r>
        <w:rPr/>
        <w:t>Esta carencia de un subcomité de género dentro del ICBI parece una situación de interés cuando contemplamos que en su inmensa mayoría la población del instituto está integrada por varones [UAEH 2011; 2012; 2013, 2014] y que esto podría constituir un ambiente masculinizado, no sólo en su proporción poblacional, sino en la reproducción de modelos de violencia hacia las mujeres. Como lo señalan Castro y Vázquez [2008] es en espacios altamente masculinizados en los que se pueden observar prácticas de violencia más frecuentes hacia las mujeres, independientemente de que sea un espacio de formación universitario, siendo a la vez lugares en los que se refuerza, e incluso se promueve, un estereotipo de </w:t>
      </w:r>
      <w:r>
        <w:rPr>
          <w:i/>
        </w:rPr>
        <w:t>ser</w:t>
      </w:r>
      <w:r>
        <w:rPr>
          <w:i/>
          <w:spacing w:val="-18"/>
        </w:rPr>
        <w:t> </w:t>
      </w:r>
      <w:r>
        <w:rPr>
          <w:i/>
        </w:rPr>
        <w:t>hombre</w:t>
      </w:r>
      <w:r>
        <w:rPr/>
        <w:t>.</w:t>
      </w:r>
    </w:p>
    <w:p>
      <w:pPr>
        <w:pStyle w:val="BodyText"/>
        <w:spacing w:line="360" w:lineRule="auto" w:before="204"/>
        <w:ind w:left="120" w:right="117"/>
        <w:jc w:val="both"/>
      </w:pPr>
      <w:r>
        <w:rPr/>
        <w:pict>
          <v:line style="position:absolute;mso-position-horizontal-relative:page;mso-position-vertical-relative:paragraph;z-index:1168;mso-wrap-distance-left:0;mso-wrap-distance-right:0" from="72.024002pt,138.365845pt" to="216.044002pt,138.365845pt" stroked="true" strokeweight=".72003pt" strokecolor="#000000">
            <w10:wrap type="topAndBottom"/>
          </v:line>
        </w:pict>
      </w:r>
      <w:r>
        <w:rPr/>
        <w:t>Es interesante destacar que dentro de los compromisos firmados por la UAEH para la certificación del MEG:2003 ninguno de los ocho puntos estipula la atención al estudiantado o la implementación de programas que promuevan acciones con perspectiva de género en el trato entre el personal académico, el estudiantado, es decir, dentro de un fomento a la socialización dentro del mismo ambiente universitario que sea equitativo, situación tal que puede darnos un panorama, bastante general,</w:t>
      </w:r>
      <w:r>
        <w:rPr>
          <w:spacing w:val="44"/>
        </w:rPr>
        <w:t> </w:t>
      </w:r>
      <w:r>
        <w:rPr/>
        <w:t>con</w:t>
      </w:r>
    </w:p>
    <w:p>
      <w:pPr>
        <w:spacing w:before="36"/>
        <w:ind w:left="120" w:right="118" w:firstLine="0"/>
        <w:jc w:val="both"/>
        <w:rPr>
          <w:sz w:val="20"/>
        </w:rPr>
      </w:pPr>
      <w:r>
        <w:rPr>
          <w:position w:val="10"/>
          <w:sz w:val="13"/>
        </w:rPr>
        <w:t>2 </w:t>
      </w:r>
      <w:r>
        <w:rPr>
          <w:sz w:val="20"/>
        </w:rPr>
        <w:t>Cabe señalar que en la UAEH no existen facultades, sino institutos y campus, siendo los primeros equivalentes a las facultades de otras universidades: se imparten estudios de licenciatura, algunas maestrías, y en algunos casos incluso doctorados. Dentro de la zona de Pachuca y área metropolitana  se encuentra el Instituto de Ciencias de la Salud [ICSa], el Instituto de Ciencias Básicas e Ingenierías [ICBI], Instituto de Ciencias Económico-administrativas [ICEA], Instituto de Ciencias Sociales y Humanidades [ICSHu] y el Instituto de Artes [IDA] Los campus son aquellas áreas universitarias que se encuentran fuera del área metropolitana de</w:t>
      </w:r>
      <w:r>
        <w:rPr>
          <w:spacing w:val="-15"/>
          <w:sz w:val="20"/>
        </w:rPr>
        <w:t> </w:t>
      </w:r>
      <w:r>
        <w:rPr>
          <w:sz w:val="20"/>
        </w:rPr>
        <w:t>Pachuca.</w:t>
      </w:r>
    </w:p>
    <w:p>
      <w:pPr>
        <w:spacing w:after="0"/>
        <w:jc w:val="both"/>
        <w:rPr>
          <w:sz w:val="20"/>
        </w:rPr>
        <w:sectPr>
          <w:pgSz w:w="12240" w:h="15840"/>
          <w:pgMar w:header="0" w:footer="1014" w:top="1380" w:bottom="1200" w:left="1320" w:right="1320"/>
        </w:sectPr>
      </w:pPr>
    </w:p>
    <w:p>
      <w:pPr>
        <w:pStyle w:val="BodyText"/>
        <w:spacing w:line="328" w:lineRule="auto" w:before="58"/>
        <w:ind w:left="120" w:right="117"/>
        <w:jc w:val="both"/>
        <w:rPr>
          <w:sz w:val="16"/>
        </w:rPr>
      </w:pPr>
      <w:r>
        <w:rPr/>
        <w:t>respecto a la situación de la reproducción de patrones masculinos hegemónicos dentro del ambiente del ICBI.</w:t>
      </w:r>
      <w:r>
        <w:rPr>
          <w:position w:val="11"/>
          <w:sz w:val="16"/>
        </w:rPr>
        <w:t>3</w:t>
      </w:r>
    </w:p>
    <w:p>
      <w:pPr>
        <w:pStyle w:val="BodyText"/>
        <w:spacing w:line="360" w:lineRule="auto" w:before="223"/>
        <w:ind w:left="120" w:right="114"/>
        <w:jc w:val="both"/>
      </w:pPr>
      <w:r>
        <w:rPr/>
        <w:t>Motivo por el cual me parece de interés el abordar la construcción del </w:t>
      </w:r>
      <w:r>
        <w:rPr>
          <w:i/>
        </w:rPr>
        <w:t>deber  ser </w:t>
      </w:r>
      <w:r>
        <w:rPr>
          <w:i/>
        </w:rPr>
        <w:t>hombre </w:t>
      </w:r>
      <w:r>
        <w:rPr/>
        <w:t>dentro del ICBI y su impacto en las relaciones de</w:t>
      </w:r>
      <w:r>
        <w:rPr>
          <w:spacing w:val="-24"/>
        </w:rPr>
        <w:t> </w:t>
      </w:r>
      <w:r>
        <w:rPr/>
        <w:t>pareja.</w:t>
      </w:r>
    </w:p>
    <w:p>
      <w:pPr>
        <w:pStyle w:val="BodyText"/>
        <w:spacing w:line="360" w:lineRule="auto" w:before="206"/>
        <w:ind w:left="120" w:right="115"/>
        <w:jc w:val="both"/>
      </w:pPr>
      <w:bookmarkStart w:name="_bookmark3" w:id="4"/>
      <w:bookmarkEnd w:id="4"/>
      <w:r>
        <w:rPr/>
      </w:r>
      <w:r>
        <w:rPr/>
        <w:t>Cabe mencionar que la UAEH cuenta, desde el año 2011 con Programa Institucional de Actividades de Educación para una Vida Saludable [PIAEVS] [UAEH, 2011b] en el que se contempla una asignatura de ”</w:t>
      </w:r>
      <w:r>
        <w:rPr>
          <w:i/>
        </w:rPr>
        <w:t>Sexualidad responsable</w:t>
      </w:r>
      <w:r>
        <w:rPr/>
        <w:t>”</w:t>
      </w:r>
      <w:r>
        <w:rPr>
          <w:i/>
        </w:rPr>
        <w:t>, </w:t>
      </w:r>
      <w:r>
        <w:rPr/>
        <w:t>la cual se realiza en el ICBI en tercer semestre, siendo esta asignatura de carácter obligatorio para todas las licenciaturas impartidas en el Instituto.</w:t>
      </w:r>
    </w:p>
    <w:p>
      <w:pPr>
        <w:pStyle w:val="BodyText"/>
        <w:spacing w:line="360" w:lineRule="auto" w:before="202"/>
        <w:ind w:left="120" w:right="114"/>
        <w:jc w:val="both"/>
      </w:pPr>
      <w:r>
        <w:rPr/>
        <w:t>En dicho programa la UAEH contempla como uno de sus objetivos el que “Desarrollar habilidades de comunicación, aserción y resolución de problemas relacionadas con la sexualidad, la negociación y la toma de decisiones en beneficio de su proyecto de vida y su salud física, emocional y social” [UAEH 2011b], estas habilidades se plantean desarrollar en gran medida desde un enfoque social, en el que “las presiones sociales juegan un papel importante” [UAEH 2011b], para el ejercicio de la sexualidad, sin embargo, y a pesar de que el contenido del programa contempla temas como temas como la comunicación, la </w:t>
      </w:r>
      <w:r>
        <w:rPr>
          <w:i/>
        </w:rPr>
        <w:t>promiscuidad</w:t>
      </w:r>
      <w:r>
        <w:rPr/>
        <w:t>, la </w:t>
      </w:r>
      <w:r>
        <w:rPr>
          <w:i/>
        </w:rPr>
        <w:t>monogamia </w:t>
      </w:r>
      <w:r>
        <w:rPr/>
        <w:t>y la diversidad sexual cuando  se realiza una revisión bibliográfica se puede percatar que el único material que contempla la perspectiva de género como un eje fundamental son dos artículos que hablan de la perspectiva de género como un elemento agregado y no fundamental</w:t>
      </w:r>
      <w:r>
        <w:rPr>
          <w:spacing w:val="5"/>
        </w:rPr>
        <w:t> </w:t>
      </w:r>
      <w:r>
        <w:rPr/>
        <w:t>para</w:t>
      </w:r>
    </w:p>
    <w:p>
      <w:pPr>
        <w:pStyle w:val="BodyText"/>
        <w:spacing w:line="328" w:lineRule="auto" w:before="5"/>
        <w:ind w:left="120" w:right="118"/>
        <w:jc w:val="both"/>
        <w:rPr>
          <w:sz w:val="16"/>
        </w:rPr>
      </w:pPr>
      <w:r>
        <w:rPr/>
        <w:t>entender la dinámica en las relaciones erótico-afectivas y la construcción de la identidad de las/os</w:t>
      </w:r>
      <w:r>
        <w:rPr>
          <w:spacing w:val="-9"/>
        </w:rPr>
        <w:t> </w:t>
      </w:r>
      <w:r>
        <w:rPr/>
        <w:t>estudiantes.</w:t>
      </w:r>
      <w:r>
        <w:rPr>
          <w:position w:val="11"/>
          <w:sz w:val="16"/>
        </w:rPr>
        <w:t>4</w:t>
      </w:r>
    </w:p>
    <w:p>
      <w:pPr>
        <w:pStyle w:val="BodyText"/>
        <w:spacing w:line="360" w:lineRule="auto" w:before="223"/>
        <w:ind w:left="120" w:right="117"/>
        <w:jc w:val="both"/>
      </w:pPr>
      <w:r>
        <w:rPr/>
        <w:t>Aunado a lo anterior la asignatura de </w:t>
      </w:r>
      <w:r>
        <w:rPr>
          <w:i/>
        </w:rPr>
        <w:t>sexualidad responsable </w:t>
      </w:r>
      <w:r>
        <w:rPr/>
        <w:t>no contempla al género como un elemento preponderante que pueda influir en el ejercicio de la sexualidad,  los</w:t>
      </w:r>
    </w:p>
    <w:p>
      <w:pPr>
        <w:pStyle w:val="BodyText"/>
        <w:rPr>
          <w:sz w:val="18"/>
        </w:rPr>
      </w:pPr>
      <w:r>
        <w:rPr/>
        <w:pict>
          <v:line style="position:absolute;mso-position-horizontal-relative:page;mso-position-vertical-relative:paragraph;z-index:1192;mso-wrap-distance-left:0;mso-wrap-distance-right:0" from="72.024002pt,12.713926pt" to="216.044002pt,12.713926pt" stroked="true" strokeweight=".71997pt" strokecolor="#000000">
            <w10:wrap type="topAndBottom"/>
          </v:line>
        </w:pict>
      </w:r>
    </w:p>
    <w:p>
      <w:pPr>
        <w:tabs>
          <w:tab w:pos="583" w:val="left" w:leader="none"/>
          <w:tab w:pos="1394" w:val="left" w:leader="none"/>
          <w:tab w:pos="2341" w:val="left" w:leader="none"/>
          <w:tab w:pos="3766" w:val="left" w:leader="none"/>
          <w:tab w:pos="4968" w:val="left" w:leader="none"/>
          <w:tab w:pos="5513" w:val="left" w:leader="none"/>
          <w:tab w:pos="6503" w:val="left" w:leader="none"/>
          <w:tab w:pos="7165" w:val="left" w:leader="none"/>
          <w:tab w:pos="8369" w:val="left" w:leader="none"/>
        </w:tabs>
        <w:spacing w:before="34"/>
        <w:ind w:left="120" w:right="75" w:firstLine="0"/>
        <w:jc w:val="left"/>
        <w:rPr>
          <w:i/>
          <w:sz w:val="20"/>
        </w:rPr>
      </w:pPr>
      <w:r>
        <w:rPr>
          <w:position w:val="10"/>
          <w:sz w:val="13"/>
        </w:rPr>
        <w:t>3</w:t>
        <w:tab/>
      </w:r>
      <w:r>
        <w:rPr>
          <w:sz w:val="20"/>
        </w:rPr>
        <w:t>Para</w:t>
        <w:tab/>
        <w:t>mayor</w:t>
        <w:tab/>
        <w:t>información</w:t>
        <w:tab/>
        <w:t>consultar</w:t>
        <w:tab/>
        <w:t>la</w:t>
        <w:tab/>
        <w:t>página</w:t>
        <w:tab/>
        <w:t>del</w:t>
        <w:tab/>
      </w:r>
      <w:r>
        <w:rPr>
          <w:i/>
          <w:sz w:val="20"/>
        </w:rPr>
        <w:t>Defensor</w:t>
        <w:tab/>
        <w:t>Universitario</w:t>
      </w:r>
    </w:p>
    <w:p>
      <w:pPr>
        <w:spacing w:before="0"/>
        <w:ind w:left="120" w:right="75" w:firstLine="0"/>
        <w:jc w:val="left"/>
        <w:rPr>
          <w:sz w:val="20"/>
        </w:rPr>
      </w:pPr>
      <w:hyperlink r:id="rId8">
        <w:r>
          <w:rPr>
            <w:color w:val="0000FF"/>
            <w:sz w:val="20"/>
            <w:u w:val="single" w:color="0000FF"/>
          </w:rPr>
          <w:t>http://sistemas.uaeh.edu.mx/defensor_universitario/compromiosmeg2003.htm</w:t>
        </w:r>
      </w:hyperlink>
    </w:p>
    <w:p>
      <w:pPr>
        <w:pStyle w:val="BodyText"/>
        <w:spacing w:before="1"/>
        <w:rPr>
          <w:sz w:val="12"/>
        </w:rPr>
      </w:pPr>
    </w:p>
    <w:p>
      <w:pPr>
        <w:spacing w:line="242" w:lineRule="auto" w:before="75"/>
        <w:ind w:left="120" w:right="116" w:firstLine="0"/>
        <w:jc w:val="both"/>
        <w:rPr>
          <w:sz w:val="20"/>
        </w:rPr>
      </w:pPr>
      <w:r>
        <w:rPr>
          <w:rFonts w:ascii="Calibri" w:hAnsi="Calibri"/>
          <w:position w:val="10"/>
          <w:sz w:val="13"/>
        </w:rPr>
        <w:t>4 </w:t>
      </w:r>
      <w:r>
        <w:rPr>
          <w:sz w:val="20"/>
        </w:rPr>
        <w:t>Estos artículos corresponden a los siguientes Ortner, Shery B.y Harriet Whitehead (2006),  “Indagaciones acerca de los significados sexuales”, en Martha Lamas, </w:t>
      </w:r>
      <w:r>
        <w:rPr>
          <w:i/>
          <w:sz w:val="20"/>
        </w:rPr>
        <w:t>El género. la construcción cultural </w:t>
      </w:r>
      <w:r>
        <w:rPr>
          <w:i/>
          <w:sz w:val="20"/>
        </w:rPr>
        <w:t>de la diferencia sexual</w:t>
      </w:r>
      <w:r>
        <w:rPr>
          <w:sz w:val="20"/>
        </w:rPr>
        <w:t>, México:UNAM/PUEG. Y al texto de Robles, O. (2005), “¿Por qué la importancia de la perspectiva de género? Notas introductorias”, en </w:t>
      </w:r>
      <w:r>
        <w:rPr>
          <w:i/>
          <w:sz w:val="20"/>
        </w:rPr>
        <w:t>Revista Chamizal, núms.5-6, año 2</w:t>
      </w:r>
      <w:r>
        <w:rPr>
          <w:sz w:val="20"/>
        </w:rPr>
        <w:t>, México. Universidad Autónoma de Ciudad</w:t>
      </w:r>
      <w:r>
        <w:rPr>
          <w:spacing w:val="-9"/>
          <w:sz w:val="20"/>
        </w:rPr>
        <w:t> </w:t>
      </w:r>
      <w:r>
        <w:rPr>
          <w:sz w:val="20"/>
        </w:rPr>
        <w:t>Juárez.</w:t>
      </w:r>
    </w:p>
    <w:p>
      <w:pPr>
        <w:spacing w:after="0" w:line="242" w:lineRule="auto"/>
        <w:jc w:val="both"/>
        <w:rPr>
          <w:sz w:val="20"/>
        </w:rPr>
        <w:sectPr>
          <w:pgSz w:w="12240" w:h="15840"/>
          <w:pgMar w:header="0" w:footer="1014" w:top="1380" w:bottom="1200" w:left="1320" w:right="1320"/>
        </w:sectPr>
      </w:pPr>
    </w:p>
    <w:p>
      <w:pPr>
        <w:pStyle w:val="BodyText"/>
        <w:spacing w:line="360" w:lineRule="auto" w:before="58"/>
        <w:ind w:left="100" w:right="114"/>
        <w:jc w:val="both"/>
      </w:pPr>
      <w:r>
        <w:rPr/>
        <w:t>procesos de identidad y las relaciones interpersonales, lo cual, como algunos autores han explicado [Castro y Casique, 2010, García Meráz, </w:t>
      </w:r>
      <w:r>
        <w:rPr>
          <w:i/>
        </w:rPr>
        <w:t>et al., </w:t>
      </w:r>
      <w:r>
        <w:rPr/>
        <w:t>2012; Rojas-Solís, 2013, Badinter, 1993 Olavarría, 2004; Kimmel, </w:t>
      </w:r>
      <w:r>
        <w:rPr>
          <w:i/>
        </w:rPr>
        <w:t>s.f.; </w:t>
      </w:r>
      <w:r>
        <w:rPr/>
        <w:t>Seidler, 2000], resulta ser un grave error, pues la categoría de género aporta elementos que permiten identificar la manera en que se genera la conformación de actitudes respecto al cuerpo, el cuidado, la sexualidad, las relaciones erótico-afectivas, la demostración de sentimientos y</w:t>
      </w:r>
      <w:r>
        <w:rPr>
          <w:spacing w:val="-27"/>
        </w:rPr>
        <w:t> </w:t>
      </w:r>
      <w:r>
        <w:rPr/>
        <w:t>afectos.</w:t>
      </w:r>
    </w:p>
    <w:p>
      <w:pPr>
        <w:pStyle w:val="Heading1"/>
        <w:spacing w:before="204"/>
      </w:pPr>
      <w:r>
        <w:rPr>
          <w:color w:val="4F81BC"/>
        </w:rPr>
        <w:t>El concepto de relaciones erótico-afectivas</w:t>
      </w:r>
    </w:p>
    <w:p>
      <w:pPr>
        <w:pStyle w:val="BodyText"/>
        <w:rPr>
          <w:b/>
        </w:rPr>
      </w:pPr>
    </w:p>
    <w:p>
      <w:pPr>
        <w:pStyle w:val="BodyText"/>
        <w:spacing w:before="5"/>
        <w:rPr>
          <w:b/>
        </w:rPr>
      </w:pPr>
    </w:p>
    <w:p>
      <w:pPr>
        <w:pStyle w:val="BodyText"/>
        <w:spacing w:line="360" w:lineRule="auto"/>
        <w:ind w:left="100" w:right="118"/>
        <w:jc w:val="both"/>
      </w:pPr>
      <w:r>
        <w:rPr/>
        <w:t>La conceptualización de </w:t>
      </w:r>
      <w:r>
        <w:rPr>
          <w:i/>
        </w:rPr>
        <w:t>noviazgo </w:t>
      </w:r>
      <w:r>
        <w:rPr/>
        <w:t>dentro del ámbito estudiantil parece constituir una dificultad metodológica pues, como expresaré éste se percibe como una relación demasiado formal, si tenemos en consideración la aplicación del mismo constructo conceptual dentro otros documentos que abordan la problemática de la violencia dentro de una relación erótico-afectiva en los que noviazgo parece ser más apropiada a una relación entre jóvenes, independientemente de sus planes de boda, o la presencia de relaciones sexuales [INEGI , 2011; Castro y Casique, 2010], sin embargo  es  importante tener en consideración que la conceptualización no siempre es entendida de la misma forma por parte de las personas en las que se planea recolectar información, ello quedó en evidencia cuando al momento de establecer un grupo focal para recabar información de índole cualitativa un joven estudiante</w:t>
      </w:r>
      <w:r>
        <w:rPr>
          <w:spacing w:val="-24"/>
        </w:rPr>
        <w:t> </w:t>
      </w:r>
      <w:r>
        <w:rPr/>
        <w:t>comentó:</w:t>
      </w:r>
    </w:p>
    <w:p>
      <w:pPr>
        <w:pStyle w:val="BodyText"/>
        <w:spacing w:line="360" w:lineRule="auto" w:before="204"/>
        <w:ind w:left="1091" w:right="1197"/>
        <w:jc w:val="both"/>
      </w:pPr>
      <w:r>
        <w:rPr/>
        <w:t>¿Y si yo salgo con alguien pero no es mi novia? Digo, salimos. Nos damos besos, tenemos relaciones y todo, pero no somos novios. No es algo </w:t>
      </w:r>
      <w:r>
        <w:rPr>
          <w:i/>
        </w:rPr>
        <w:t>tan formal</w:t>
      </w:r>
      <w:r>
        <w:rPr/>
        <w:t>, más bien es como una relación de amigos, pero pues </w:t>
      </w:r>
      <w:r>
        <w:rPr>
          <w:i/>
        </w:rPr>
        <w:t>nos damos cariño </w:t>
      </w:r>
      <w:r>
        <w:rPr/>
        <w:t>[Michel, 19 años, estudiante de la Licenciatura en Sistemas Computacionales, mayo 2014].</w:t>
      </w:r>
    </w:p>
    <w:p>
      <w:pPr>
        <w:pStyle w:val="BodyText"/>
        <w:spacing w:line="360" w:lineRule="auto" w:before="202"/>
        <w:ind w:left="100" w:right="125"/>
        <w:jc w:val="both"/>
      </w:pPr>
      <w:r>
        <w:rPr/>
        <w:t>Estas afirmaciones por parte del estudiante dejan entrever la forma en la que se conceptualiza una relación sentimental sin la necesidad de visualizarla como noviazgo, esta afirmación se vio acompañada de la siguiente aseveración de otro estudiante:</w:t>
      </w:r>
    </w:p>
    <w:p>
      <w:pPr>
        <w:pStyle w:val="BodyText"/>
        <w:spacing w:line="360" w:lineRule="auto" w:before="204"/>
        <w:ind w:left="1091" w:right="1200"/>
        <w:jc w:val="both"/>
      </w:pPr>
      <w:r>
        <w:rPr/>
        <w:t>Es que decir eso ya como para algo muy formal, igual y no quieres nada </w:t>
      </w:r>
      <w:r>
        <w:rPr>
          <w:i/>
        </w:rPr>
        <w:t>serio</w:t>
      </w:r>
      <w:r>
        <w:rPr/>
        <w:t>, sino más bien como tener con quien salir, pasar el rato y</w:t>
      </w:r>
    </w:p>
    <w:p>
      <w:pPr>
        <w:spacing w:after="0" w:line="360" w:lineRule="auto"/>
        <w:jc w:val="both"/>
        <w:sectPr>
          <w:pgSz w:w="12240" w:h="15840"/>
          <w:pgMar w:header="0" w:footer="1014" w:top="1380" w:bottom="1200" w:left="1340" w:right="1320"/>
        </w:sectPr>
      </w:pPr>
    </w:p>
    <w:p>
      <w:pPr>
        <w:pStyle w:val="BodyText"/>
        <w:spacing w:line="360" w:lineRule="auto" w:before="56"/>
        <w:ind w:left="1091" w:right="1195"/>
        <w:jc w:val="both"/>
      </w:pPr>
      <w:r>
        <w:rPr/>
        <w:t>ya. Hasta la puedes presentar como tu </w:t>
      </w:r>
      <w:r>
        <w:rPr>
          <w:i/>
        </w:rPr>
        <w:t>amiga</w:t>
      </w:r>
      <w:r>
        <w:rPr/>
        <w:t>, o puedes tener </w:t>
      </w:r>
      <w:r>
        <w:rPr>
          <w:i/>
        </w:rPr>
        <w:t>amigas </w:t>
      </w:r>
      <w:r>
        <w:rPr/>
        <w:t>de verdad que también tienes </w:t>
      </w:r>
      <w:r>
        <w:rPr>
          <w:i/>
        </w:rPr>
        <w:t>tus cosas </w:t>
      </w:r>
      <w:r>
        <w:rPr/>
        <w:t>con ella y que igual y pus [</w:t>
      </w:r>
      <w:r>
        <w:rPr>
          <w:i/>
        </w:rPr>
        <w:t>sic</w:t>
      </w:r>
      <w:r>
        <w:rPr/>
        <w:t>] no la quieres, bueno así, no como a una novia [Alex, 18 años, estudiante de la Licenciatura en Sistemas Computacionales, mayo 2014].</w:t>
      </w:r>
    </w:p>
    <w:p>
      <w:pPr>
        <w:pStyle w:val="BodyText"/>
        <w:spacing w:line="360" w:lineRule="auto" w:before="204"/>
        <w:ind w:left="100" w:right="116"/>
        <w:jc w:val="both"/>
      </w:pPr>
      <w:r>
        <w:rPr/>
        <w:t>Una vez más se puede advertir, por una parte, el papel de formalidad que dos estudiantes asocian al concepto de </w:t>
      </w:r>
      <w:r>
        <w:rPr>
          <w:i/>
        </w:rPr>
        <w:t>novia/o</w:t>
      </w:r>
      <w:r>
        <w:rPr/>
        <w:t>, si bien estas dos afirmaciones corresponden a dos varones, parece ser que la concepción de una </w:t>
      </w:r>
      <w:r>
        <w:rPr>
          <w:i/>
        </w:rPr>
        <w:t>relación </w:t>
      </w:r>
      <w:r>
        <w:rPr/>
        <w:t>no necesariamente implica una de noviazgo, por ejemplo este caso:</w:t>
      </w:r>
    </w:p>
    <w:p>
      <w:pPr>
        <w:pStyle w:val="BodyText"/>
        <w:spacing w:line="360" w:lineRule="auto" w:before="202"/>
        <w:ind w:left="1091" w:right="1195"/>
        <w:jc w:val="both"/>
      </w:pPr>
      <w:r>
        <w:rPr/>
        <w:t>Es que sí, salíamos. Pero pues </w:t>
      </w:r>
      <w:r>
        <w:rPr>
          <w:i/>
        </w:rPr>
        <w:t>no éramos nada. </w:t>
      </w:r>
      <w:r>
        <w:rPr/>
        <w:t>Digo la  pasábamos bien, pero no se lo iba a presentar a mis papás, eso nada más cuando ya es más formal, mientras pues nada más salíamos. [Marina, 18 años, estudiante de la Licenciatura en Electrónica, mayo 2014] [Cursivas</w:t>
      </w:r>
      <w:r>
        <w:rPr>
          <w:spacing w:val="-11"/>
        </w:rPr>
        <w:t> </w:t>
      </w:r>
      <w:r>
        <w:rPr/>
        <w:t>mías]</w:t>
      </w:r>
    </w:p>
    <w:p>
      <w:pPr>
        <w:pStyle w:val="BodyText"/>
        <w:spacing w:line="360" w:lineRule="auto" w:before="204"/>
        <w:ind w:left="100" w:right="115"/>
        <w:jc w:val="both"/>
      </w:pPr>
      <w:r>
        <w:rPr/>
        <w:t>En este sentido Castro y Casique [2010: 12] pueden ayudarnos a comprender la forma en que el término de noviazgo es un concepto dinámico: “Hace algunas décadas podría parecer más o menos obvio qué significaba ‘noviazgo’, sobre todo en el ámbito de las clases medias urbanas. En la actualidad como veremos, hay entre los jóvenes varios tipos de </w:t>
      </w:r>
      <w:r>
        <w:rPr>
          <w:i/>
        </w:rPr>
        <w:t>relaciones erótico-afectivas </w:t>
      </w:r>
      <w:r>
        <w:rPr/>
        <w:t>que no son ni matrimonio ni unión libre y a las que muchos de ellos tampoco llaman “noviazgo” […]” [cursivas mías], es decir, la amplitud y variedad de relaciones que se posibilitan en la interacción entre dos personas [en este caso jóvenes universitarios] parece no ser abarcada del todo por el término </w:t>
      </w:r>
      <w:r>
        <w:rPr>
          <w:i/>
        </w:rPr>
        <w:t>noviazgo, </w:t>
      </w:r>
      <w:r>
        <w:rPr/>
        <w:t>como puede constatarse en las afirmaciones de los estudiantes el término “noviazgo” denota una declaración de formalidad, que si bien no necesariamente precede al matrimonio, sí implica un compromiso que muchos no alcanzan a vincular con el relacionarse con alguien de forma afectiva o sexual.</w:t>
      </w:r>
    </w:p>
    <w:p>
      <w:pPr>
        <w:pStyle w:val="BodyText"/>
        <w:spacing w:line="360" w:lineRule="auto" w:before="204"/>
        <w:ind w:left="100" w:right="117"/>
        <w:jc w:val="both"/>
      </w:pPr>
      <w:r>
        <w:rPr/>
        <w:t>De igual forma podemos rescatar que, como bien lo mencionan Castro y Casique  [2010</w:t>
      </w:r>
      <w:r>
        <w:rPr>
          <w:i/>
        </w:rPr>
        <w:t>: </w:t>
      </w:r>
      <w:r>
        <w:rPr/>
        <w:t>18] en la actualidad existen una gran diversidad en las relaciones afectivas, las cuales adquieren diferentes denominaciones, y que  genéricamente podríamos  </w:t>
      </w:r>
      <w:r>
        <w:rPr>
          <w:spacing w:val="61"/>
        </w:rPr>
        <w:t> </w:t>
      </w:r>
      <w:r>
        <w:rPr/>
        <w:t>definir</w:t>
      </w:r>
    </w:p>
    <w:p>
      <w:pPr>
        <w:spacing w:after="0" w:line="360" w:lineRule="auto"/>
        <w:jc w:val="both"/>
        <w:sectPr>
          <w:pgSz w:w="12240" w:h="15840"/>
          <w:pgMar w:header="0" w:footer="1014" w:top="1380" w:bottom="1200" w:left="1340" w:right="1320"/>
        </w:sectPr>
      </w:pPr>
    </w:p>
    <w:p>
      <w:pPr>
        <w:spacing w:line="360" w:lineRule="auto" w:before="56"/>
        <w:ind w:left="100" w:right="113" w:firstLine="0"/>
        <w:jc w:val="both"/>
        <w:rPr>
          <w:sz w:val="24"/>
        </w:rPr>
      </w:pPr>
      <w:r>
        <w:rPr>
          <w:sz w:val="24"/>
        </w:rPr>
        <w:t>como </w:t>
      </w:r>
      <w:r>
        <w:rPr>
          <w:i/>
          <w:sz w:val="24"/>
        </w:rPr>
        <w:t>relaciones erótico-afectivas </w:t>
      </w:r>
      <w:r>
        <w:rPr>
          <w:sz w:val="24"/>
        </w:rPr>
        <w:t>siendo estas preferentemente no denominadas por las personas involucradas como</w:t>
      </w:r>
      <w:r>
        <w:rPr>
          <w:spacing w:val="-13"/>
          <w:sz w:val="24"/>
        </w:rPr>
        <w:t> </w:t>
      </w:r>
      <w:r>
        <w:rPr>
          <w:sz w:val="24"/>
        </w:rPr>
        <w:t>“novios”.</w:t>
      </w:r>
    </w:p>
    <w:p>
      <w:pPr>
        <w:pStyle w:val="BodyText"/>
        <w:spacing w:line="360" w:lineRule="auto" w:before="204"/>
        <w:ind w:left="100" w:right="118"/>
        <w:jc w:val="both"/>
      </w:pPr>
      <w:r>
        <w:rPr/>
        <w:t>Esto parece coincidir con Maureira [2011] quien establece que una relación de pareja [en el sentido genérico, no en el de cohabitación] implica la integración de  componentes cognitivo-afectivos, tales como la pasión, el compromiso [entre ambas partes mientras están juntas], la atracción física e intimidad; es decir, podríamos catalogar las relaciones a partir del vínculo afectivo y la interacción erótica que se establece entre las</w:t>
      </w:r>
      <w:r>
        <w:rPr>
          <w:spacing w:val="-7"/>
        </w:rPr>
        <w:t> </w:t>
      </w:r>
      <w:r>
        <w:rPr/>
        <w:t>personas.</w:t>
      </w:r>
    </w:p>
    <w:p>
      <w:pPr>
        <w:pStyle w:val="BodyText"/>
        <w:spacing w:line="360" w:lineRule="auto" w:before="204"/>
        <w:ind w:left="100" w:right="117"/>
        <w:jc w:val="both"/>
      </w:pPr>
      <w:r>
        <w:rPr/>
        <w:t>La conceptualización de las relaciones erótico-afectivas entre las y los estudiantes  parte del reconocimiento de algunos investigadores en la materia [Castro y Casique, 2010</w:t>
      </w:r>
      <w:r>
        <w:rPr>
          <w:i/>
        </w:rPr>
        <w:t>; </w:t>
      </w:r>
      <w:r>
        <w:rPr/>
        <w:t>García Meráz, </w:t>
      </w:r>
      <w:r>
        <w:rPr>
          <w:i/>
        </w:rPr>
        <w:t>et al., </w:t>
      </w:r>
      <w:r>
        <w:rPr/>
        <w:t>2012; Rojas-Solís, 2013] referente a que la inmensa  mayoría de las investigaciones realizadas alrededor del tema se realizan en Estados Unidos, país en el que el término </w:t>
      </w:r>
      <w:r>
        <w:rPr>
          <w:i/>
        </w:rPr>
        <w:t>dating </w:t>
      </w:r>
      <w:r>
        <w:rPr/>
        <w:t>implica connotaciones diferentes al “ser novios” en México, y que sin embargo hace referencia a una interacción de tipo afectiva entre dos personas [Follingstad, Diane, </w:t>
      </w:r>
      <w:r>
        <w:rPr>
          <w:i/>
        </w:rPr>
        <w:t>et. al., </w:t>
      </w:r>
      <w:r>
        <w:rPr/>
        <w:t>1991]. Bajo esta premisa me parece pertinente considerar el término “relación erótico afectiva” como categoría general de todos los tipos de relación que pudiesen desarrollarse entre las y los estudiantes con quienes se obtuvo la información para el</w:t>
      </w:r>
      <w:r>
        <w:rPr>
          <w:spacing w:val="-13"/>
        </w:rPr>
        <w:t> </w:t>
      </w:r>
      <w:r>
        <w:rPr/>
        <w:t>proyecto.</w:t>
      </w:r>
    </w:p>
    <w:p>
      <w:pPr>
        <w:spacing w:line="360" w:lineRule="auto" w:before="202"/>
        <w:ind w:left="100" w:right="114" w:firstLine="0"/>
        <w:jc w:val="both"/>
        <w:rPr>
          <w:sz w:val="24"/>
        </w:rPr>
      </w:pPr>
      <w:r>
        <w:rPr>
          <w:sz w:val="24"/>
        </w:rPr>
        <w:t>En todo caso optaré por sugerir la definición de </w:t>
      </w:r>
      <w:r>
        <w:rPr>
          <w:i/>
          <w:sz w:val="24"/>
        </w:rPr>
        <w:t>relación erótico-afectiva </w:t>
      </w:r>
      <w:r>
        <w:rPr>
          <w:sz w:val="24"/>
        </w:rPr>
        <w:t>como el genérico de las relaciones entre el estudiantado universitario, siendo la </w:t>
      </w:r>
      <w:r>
        <w:rPr>
          <w:i/>
          <w:sz w:val="24"/>
        </w:rPr>
        <w:t>relación de </w:t>
      </w:r>
      <w:r>
        <w:rPr>
          <w:i/>
          <w:sz w:val="24"/>
        </w:rPr>
        <w:t>noviazgo </w:t>
      </w:r>
      <w:r>
        <w:rPr>
          <w:sz w:val="24"/>
        </w:rPr>
        <w:t>un tipo de relación particular. El genérico de relación erótico- puede ser comprendida a partir de la interacción de tres elementos: </w:t>
      </w:r>
      <w:r>
        <w:rPr>
          <w:i/>
          <w:sz w:val="24"/>
        </w:rPr>
        <w:t>intimidad, compromiso y </w:t>
      </w:r>
      <w:r>
        <w:rPr>
          <w:i/>
          <w:sz w:val="24"/>
        </w:rPr>
        <w:t>pasión </w:t>
      </w:r>
      <w:r>
        <w:rPr>
          <w:sz w:val="24"/>
        </w:rPr>
        <w:t>[Sternber; en Maureira, 2011].</w:t>
      </w:r>
    </w:p>
    <w:p>
      <w:pPr>
        <w:pStyle w:val="BodyText"/>
        <w:spacing w:line="360" w:lineRule="auto" w:before="204"/>
        <w:ind w:left="100" w:right="120"/>
        <w:jc w:val="both"/>
      </w:pPr>
      <w:r>
        <w:rPr/>
        <w:t>Con la finalidad de profundizar en la comprensión de la vivencia de la relaciones  erótico afectivas del estudiantado se realizó un ejercicio realizó de redes semánticas y grupos focales con algunos estudiantes [el cual se expone en el apartado 3.7] del presente trabajo. Como resultado del ejercicio se encontró que la categoría “novio” es diferenciada de la de “relación erótico-afectiva” por parte de los y las estudiantes en su generalidad,</w:t>
      </w:r>
      <w:r>
        <w:rPr>
          <w:spacing w:val="24"/>
        </w:rPr>
        <w:t> </w:t>
      </w:r>
      <w:r>
        <w:rPr/>
        <w:t>por</w:t>
      </w:r>
      <w:r>
        <w:rPr>
          <w:spacing w:val="22"/>
        </w:rPr>
        <w:t> </w:t>
      </w:r>
      <w:r>
        <w:rPr/>
        <w:t>lo</w:t>
      </w:r>
      <w:r>
        <w:rPr>
          <w:spacing w:val="24"/>
        </w:rPr>
        <w:t> </w:t>
      </w:r>
      <w:r>
        <w:rPr/>
        <w:t>que</w:t>
      </w:r>
      <w:r>
        <w:rPr>
          <w:spacing w:val="24"/>
        </w:rPr>
        <w:t> </w:t>
      </w:r>
      <w:r>
        <w:rPr/>
        <w:t>me</w:t>
      </w:r>
      <w:r>
        <w:rPr>
          <w:spacing w:val="22"/>
        </w:rPr>
        <w:t> </w:t>
      </w:r>
      <w:r>
        <w:rPr/>
        <w:t>abocaré</w:t>
      </w:r>
      <w:r>
        <w:rPr>
          <w:spacing w:val="23"/>
        </w:rPr>
        <w:t> </w:t>
      </w:r>
      <w:r>
        <w:rPr/>
        <w:t>a</w:t>
      </w:r>
      <w:r>
        <w:rPr>
          <w:spacing w:val="24"/>
        </w:rPr>
        <w:t> </w:t>
      </w:r>
      <w:r>
        <w:rPr/>
        <w:t>emplear</w:t>
      </w:r>
      <w:r>
        <w:rPr>
          <w:spacing w:val="22"/>
        </w:rPr>
        <w:t> </w:t>
      </w:r>
      <w:r>
        <w:rPr/>
        <w:t>el</w:t>
      </w:r>
      <w:r>
        <w:rPr>
          <w:spacing w:val="23"/>
        </w:rPr>
        <w:t> </w:t>
      </w:r>
      <w:r>
        <w:rPr/>
        <w:t>segundo</w:t>
      </w:r>
      <w:r>
        <w:rPr>
          <w:spacing w:val="24"/>
        </w:rPr>
        <w:t> </w:t>
      </w:r>
      <w:r>
        <w:rPr/>
        <w:t>término</w:t>
      </w:r>
      <w:r>
        <w:rPr>
          <w:spacing w:val="24"/>
        </w:rPr>
        <w:t> </w:t>
      </w:r>
      <w:r>
        <w:rPr/>
        <w:t>como</w:t>
      </w:r>
      <w:r>
        <w:rPr>
          <w:spacing w:val="24"/>
        </w:rPr>
        <w:t> </w:t>
      </w:r>
      <w:r>
        <w:rPr/>
        <w:t>la</w:t>
      </w:r>
      <w:r>
        <w:rPr>
          <w:spacing w:val="24"/>
        </w:rPr>
        <w:t> </w:t>
      </w:r>
      <w:r>
        <w:rPr/>
        <w:t>categoría</w:t>
      </w:r>
    </w:p>
    <w:p>
      <w:pPr>
        <w:spacing w:after="0" w:line="360" w:lineRule="auto"/>
        <w:jc w:val="both"/>
        <w:sectPr>
          <w:footerReference w:type="default" r:id="rId9"/>
          <w:pgSz w:w="12240" w:h="15840"/>
          <w:pgMar w:footer="1014" w:header="0" w:top="1380" w:bottom="1200" w:left="1340" w:right="1320"/>
        </w:sectPr>
      </w:pPr>
    </w:p>
    <w:p>
      <w:pPr>
        <w:pStyle w:val="BodyText"/>
        <w:spacing w:line="360" w:lineRule="auto" w:before="58"/>
        <w:ind w:left="100" w:right="123"/>
        <w:jc w:val="both"/>
      </w:pPr>
      <w:r>
        <w:rPr/>
        <w:t>que describe de mejor forma [en el caso de este proyecto] toda interacción entre dos personas, quienes establecen un vínculo afectivo [mayor o menor según sea el caso], en el que existe atracción [física, intelectual o de algún tipo], tienen algún tipo de interacción física [besos, caricias, relaciones sexuales, entre otras; en conjunto o de forma individual].</w:t>
      </w:r>
    </w:p>
    <w:p>
      <w:pPr>
        <w:pStyle w:val="BodyText"/>
        <w:spacing w:line="360" w:lineRule="auto" w:before="204"/>
        <w:ind w:left="100" w:right="122"/>
        <w:jc w:val="both"/>
      </w:pPr>
      <w:r>
        <w:rPr/>
        <w:t>Castro y Casique [2010] mencionan que el término de “noviazgo” podría suponer una categoría </w:t>
      </w:r>
      <w:r>
        <w:rPr>
          <w:i/>
        </w:rPr>
        <w:t>anticuada </w:t>
      </w:r>
      <w:r>
        <w:rPr/>
        <w:t>a la que los jóvenes atribuyen características mucho más formales de lo que constituirían sus aspiraciones del momento. Cabe destacar que, las  relaciones sexuales no constituyen, como se verá más adelante, un rasgo distintivo para la categorización de un noviazgo, sino una característica de menor</w:t>
      </w:r>
      <w:r>
        <w:rPr>
          <w:spacing w:val="-28"/>
        </w:rPr>
        <w:t> </w:t>
      </w:r>
      <w:r>
        <w:rPr/>
        <w:t>índole.</w:t>
      </w:r>
    </w:p>
    <w:p>
      <w:pPr>
        <w:pStyle w:val="Heading1"/>
        <w:spacing w:before="204"/>
      </w:pPr>
      <w:bookmarkStart w:name="_bookmark4" w:id="5"/>
      <w:bookmarkEnd w:id="5"/>
      <w:r>
        <w:rPr>
          <w:b w:val="0"/>
        </w:rPr>
      </w:r>
      <w:r>
        <w:rPr>
          <w:color w:val="4F81BC"/>
        </w:rPr>
        <w:t>Masculinidad hegemónica y espacios tradicionalmente masculinos</w:t>
      </w:r>
    </w:p>
    <w:p>
      <w:pPr>
        <w:pStyle w:val="BodyText"/>
        <w:rPr>
          <w:b/>
        </w:rPr>
      </w:pPr>
    </w:p>
    <w:p>
      <w:pPr>
        <w:pStyle w:val="BodyText"/>
        <w:spacing w:before="4"/>
        <w:rPr>
          <w:b/>
        </w:rPr>
      </w:pPr>
    </w:p>
    <w:p>
      <w:pPr>
        <w:pStyle w:val="BodyText"/>
        <w:spacing w:line="360" w:lineRule="auto" w:before="1"/>
        <w:ind w:left="100" w:right="114"/>
        <w:jc w:val="both"/>
      </w:pPr>
      <w:r>
        <w:rPr/>
        <w:t>La universidad como lugar encargado de la transmisión del conocimiento supondría un espacio neutro, en el que los patrones de dominación masculina no estarían presentes, sin embargo, son diferentes los postulados [Castro y Vázquez, 2008; Espinar y Ríos, 2002; Lomas, 2004 y García Villanueva, 2008] que nos convencen de lo contrario, determinando que, el espacio universitario juega un papel importante en la reproducción de determinadas prácticas inequitativas respecto a las mujeres. Sin embargo, cabe destacar la poca información encontrada respecto a los </w:t>
      </w:r>
      <w:r>
        <w:rPr>
          <w:i/>
        </w:rPr>
        <w:t>espacios </w:t>
      </w:r>
      <w:r>
        <w:rPr>
          <w:i/>
        </w:rPr>
        <w:t>educativos tradicionalmente masculinos </w:t>
      </w:r>
      <w:r>
        <w:rPr/>
        <w:t>dentro de las universidades y como es que éstos llegan a</w:t>
      </w:r>
      <w:r>
        <w:rPr>
          <w:spacing w:val="-7"/>
        </w:rPr>
        <w:t> </w:t>
      </w:r>
      <w:r>
        <w:rPr/>
        <w:t>construirse.</w:t>
      </w:r>
    </w:p>
    <w:p>
      <w:pPr>
        <w:pStyle w:val="BodyText"/>
        <w:spacing w:line="360" w:lineRule="auto" w:before="202"/>
        <w:ind w:left="100" w:right="117"/>
        <w:jc w:val="both"/>
      </w:pPr>
      <w:r>
        <w:rPr/>
        <w:t>Hablaríamos de un </w:t>
      </w:r>
      <w:r>
        <w:rPr>
          <w:i/>
        </w:rPr>
        <w:t>espacio tradicionalmente masculino </w:t>
      </w:r>
      <w:r>
        <w:rPr/>
        <w:t>como aquel espacio que </w:t>
      </w:r>
      <w:r>
        <w:rPr>
          <w:i/>
        </w:rPr>
        <w:t>reproduce </w:t>
      </w:r>
      <w:r>
        <w:rPr/>
        <w:t>las características de un </w:t>
      </w:r>
      <w:r>
        <w:rPr>
          <w:i/>
        </w:rPr>
        <w:t>discurso masculino hegemónico</w:t>
      </w:r>
      <w:r>
        <w:rPr/>
        <w:t>, entendido éste como aquel que considera una diferenciación radical entre el “ser hombre” y el “ser mujer”, y en el que todo lo catalogado como femenino es considerado como algo inferior, aquí se puede rescatar un postulado de Millet [1975] quien refiere que el </w:t>
      </w:r>
      <w:r>
        <w:rPr>
          <w:i/>
        </w:rPr>
        <w:t>patriarcado </w:t>
      </w:r>
      <w:r>
        <w:rPr/>
        <w:t>como entramado social y cultural tiene su fundamento en la diferencia binaria y en el que una de estas atribuciones siempre constituirá un ente inferior, podemos considerar sus dos atributos principales: el macho debe dominar a la mujer [o</w:t>
      </w:r>
    </w:p>
    <w:p>
      <w:pPr>
        <w:spacing w:after="0" w:line="360" w:lineRule="auto"/>
        <w:jc w:val="both"/>
        <w:sectPr>
          <w:footerReference w:type="default" r:id="rId10"/>
          <w:pgSz w:w="12240" w:h="15840"/>
          <w:pgMar w:footer="1014" w:header="0" w:top="1380" w:bottom="1200" w:left="1340" w:right="1320"/>
          <w:pgNumType w:start="11"/>
        </w:sectPr>
      </w:pPr>
    </w:p>
    <w:p>
      <w:pPr>
        <w:pStyle w:val="BodyText"/>
        <w:spacing w:line="360" w:lineRule="auto" w:before="58"/>
        <w:ind w:left="120" w:right="126"/>
        <w:jc w:val="both"/>
      </w:pPr>
      <w:r>
        <w:rPr/>
        <w:t>en su caso a todo lo femenino] y el macho de mayor edad [experiencia] domina al menor.</w:t>
      </w:r>
    </w:p>
    <w:p>
      <w:pPr>
        <w:pStyle w:val="BodyText"/>
        <w:spacing w:line="360" w:lineRule="auto" w:before="204"/>
        <w:ind w:left="120" w:right="117"/>
        <w:jc w:val="both"/>
      </w:pPr>
      <w:r>
        <w:rPr/>
        <w:t>Es importante considerar que la proporción numérica, si bien puede constituir un rasgo de preponderancia sobre </w:t>
      </w:r>
      <w:r>
        <w:rPr>
          <w:i/>
        </w:rPr>
        <w:t>lo masculino</w:t>
      </w:r>
      <w:r>
        <w:rPr/>
        <w:t>, no es por sí mismo un factor que determine la masculinización de un espacio, sino que estaríamos hablando de un lugar masculinizado, más bien de aquel en el que se gesten o faciliten procesos de </w:t>
      </w:r>
      <w:r>
        <w:rPr>
          <w:i/>
        </w:rPr>
        <w:t>dominación masculina </w:t>
      </w:r>
      <w:r>
        <w:rPr/>
        <w:t>[Bourdieu, 2000; Castro y Vázquez, 2008], esta dominación se elabora en gran medida por aspectos de índole simbólica [Bourdieu, 2000] que generan pautas de comportamiento aprobadas e interiorizadas, las cuales conocemos como </w:t>
      </w:r>
      <w:r>
        <w:rPr>
          <w:i/>
        </w:rPr>
        <w:t>habitus </w:t>
      </w:r>
      <w:r>
        <w:rPr/>
        <w:t>[Bourdieu 1980, en Castro y Vázquez, 2008]</w:t>
      </w:r>
    </w:p>
    <w:p>
      <w:pPr>
        <w:pStyle w:val="BodyText"/>
        <w:spacing w:line="360" w:lineRule="auto" w:before="206"/>
        <w:ind w:left="120" w:right="119"/>
        <w:jc w:val="both"/>
        <w:rPr>
          <w:i/>
        </w:rPr>
      </w:pPr>
      <w:r>
        <w:rPr/>
        <w:t>La mayoría de los estudios referentes a la construcción de un ideal masculino habla de una necesidad reiterada de autoafirmación, o en palabras de Badinter [1993] demostrar que uno es lo verdaderamente hombre, sin embargo, y retomando a esta autora la masculinidad, a diferencia de lo percibido como “lo femenino” [más apegado a lo natural, lo afectivo], no es algo que sea congénito, sino que es resultado de una construcción, y ésta implica la diferencia y anulación de “la otredad” , todo aquello que no satisfaga el canon de lo que se supone debería ser masculino. La constitución de  ser un “verdadero hombre” se caracteriza por una reiterada competencia [con las demás personas y consigo mismo] que tiene por finalidad garantizar el estatus de </w:t>
      </w:r>
      <w:r>
        <w:rPr>
          <w:i/>
        </w:rPr>
        <w:t>hombre.</w:t>
      </w:r>
    </w:p>
    <w:p>
      <w:pPr>
        <w:pStyle w:val="BodyText"/>
        <w:spacing w:line="352" w:lineRule="auto" w:before="206"/>
        <w:ind w:left="120" w:right="114"/>
        <w:jc w:val="both"/>
      </w:pPr>
      <w:r>
        <w:rPr/>
        <w:t>Para comprender esta propensión masculina para el control es necesario abordar la construcción, en primera instancia de un modelo estereotípico sobre el que se estructuraran las prácticas subsecuentes y se les constituirá como “normales”. Son diversos los autores que consideran como pautas generales de este modelo, que se denomina </w:t>
      </w:r>
      <w:r>
        <w:rPr>
          <w:i/>
        </w:rPr>
        <w:t>masculinidad hegemónica </w:t>
      </w:r>
      <w:r>
        <w:rPr/>
        <w:t>[Kimmel, </w:t>
      </w:r>
      <w:r>
        <w:rPr>
          <w:i/>
        </w:rPr>
        <w:t>s.f.</w:t>
      </w:r>
      <w:r>
        <w:rPr/>
        <w:t>; Badinter, 1993] las siguientes</w:t>
      </w:r>
      <w:r>
        <w:rPr>
          <w:i/>
        </w:rPr>
        <w:t>: </w:t>
      </w:r>
      <w:r>
        <w:rPr/>
        <w:t>la diferencia radical del hombre [o lo masculino] con la mujer [o todo lo femenino</w:t>
      </w:r>
      <w:r>
        <w:rPr>
          <w:position w:val="11"/>
          <w:sz w:val="16"/>
        </w:rPr>
        <w:t>5</w:t>
      </w:r>
      <w:r>
        <w:rPr/>
        <w:t>, entre</w:t>
      </w:r>
    </w:p>
    <w:p>
      <w:pPr>
        <w:pStyle w:val="BodyText"/>
        <w:spacing w:line="360" w:lineRule="auto"/>
        <w:ind w:left="120" w:right="114"/>
        <w:jc w:val="both"/>
      </w:pPr>
      <w:r>
        <w:rPr/>
        <w:t>ellos a las personas homosexuales] [Kimmel, </w:t>
      </w:r>
      <w:r>
        <w:rPr>
          <w:i/>
        </w:rPr>
        <w:t>s.f.</w:t>
      </w:r>
      <w:r>
        <w:rPr/>
        <w:t>; Badinter,1993; Bourdieu, 2000</w:t>
      </w:r>
      <w:r>
        <w:rPr>
          <w:i/>
        </w:rPr>
        <w:t>; </w:t>
      </w:r>
      <w:r>
        <w:rPr/>
        <w:t>Fernández-Llebrez,  2004],  la  violencia  como  forma  de  socialización  preponderante</w:t>
      </w:r>
    </w:p>
    <w:p>
      <w:pPr>
        <w:pStyle w:val="BodyText"/>
        <w:spacing w:before="7"/>
        <w:rPr>
          <w:sz w:val="13"/>
        </w:rPr>
      </w:pPr>
      <w:r>
        <w:rPr/>
        <w:pict>
          <v:line style="position:absolute;mso-position-horizontal-relative:page;mso-position-vertical-relative:paragraph;z-index:1216;mso-wrap-distance-left:0;mso-wrap-distance-right:0" from="72.024002pt,10.193923pt" to="216.044002pt,10.193923pt" stroked="true" strokeweight=".71997pt" strokecolor="#000000">
            <w10:wrap type="topAndBottom"/>
          </v:line>
        </w:pict>
      </w:r>
    </w:p>
    <w:p>
      <w:pPr>
        <w:spacing w:before="37"/>
        <w:ind w:left="120" w:right="75" w:firstLine="0"/>
        <w:jc w:val="left"/>
        <w:rPr>
          <w:sz w:val="20"/>
        </w:rPr>
      </w:pPr>
      <w:r>
        <w:rPr>
          <w:position w:val="10"/>
          <w:sz w:val="13"/>
        </w:rPr>
        <w:t>5 </w:t>
      </w:r>
      <w:r>
        <w:rPr>
          <w:sz w:val="20"/>
        </w:rPr>
        <w:t>Algunas de estas características “femeninas” son la bondad, la ternura, un manejo más asertivo de los sentimientos, mayor empatía, una mayor cooperación,</w:t>
      </w:r>
    </w:p>
    <w:p>
      <w:pPr>
        <w:spacing w:after="0"/>
        <w:jc w:val="left"/>
        <w:rPr>
          <w:sz w:val="20"/>
        </w:rPr>
        <w:sectPr>
          <w:pgSz w:w="12240" w:h="15840"/>
          <w:pgMar w:header="0" w:footer="1014" w:top="1380" w:bottom="1200" w:left="1320" w:right="1320"/>
        </w:sectPr>
      </w:pPr>
    </w:p>
    <w:p>
      <w:pPr>
        <w:pStyle w:val="BodyText"/>
        <w:spacing w:line="360" w:lineRule="auto" w:before="56"/>
        <w:ind w:left="100" w:right="114"/>
        <w:jc w:val="both"/>
      </w:pPr>
      <w:r>
        <w:rPr/>
        <w:t>[Kimmel, </w:t>
      </w:r>
      <w:r>
        <w:rPr>
          <w:i/>
        </w:rPr>
        <w:t>s.f.</w:t>
      </w:r>
      <w:r>
        <w:rPr/>
        <w:t>; Badinter,1993; Bourdieu,2000</w:t>
      </w:r>
      <w:r>
        <w:rPr>
          <w:i/>
        </w:rPr>
        <w:t>; </w:t>
      </w:r>
      <w:r>
        <w:rPr/>
        <w:t>Fernández-Llebrez, 2004</w:t>
      </w:r>
      <w:r>
        <w:rPr>
          <w:i/>
        </w:rPr>
        <w:t>; </w:t>
      </w:r>
      <w:r>
        <w:rPr/>
        <w:t>Ramírez Solórzano, 2012; García Meráz, </w:t>
      </w:r>
      <w:r>
        <w:rPr>
          <w:i/>
        </w:rPr>
        <w:t>et al. </w:t>
      </w:r>
      <w:r>
        <w:rPr/>
        <w:t>2012] y en el que el </w:t>
      </w:r>
      <w:r>
        <w:rPr>
          <w:i/>
        </w:rPr>
        <w:t>control </w:t>
      </w:r>
      <w:r>
        <w:rPr/>
        <w:t>constituye un componente preponderante para la construcción de relaciones entre iguales,  pero sobre todo en relaciones de pareja [Bonino, 2004; Bourdieu, 2000]; la negación a expresar los propios sentimientos constituye una característica casi universal en las determinaciones conceptuales de lo que significa ser hombre [Lomas, 2004</w:t>
      </w:r>
      <w:r>
        <w:rPr>
          <w:i/>
        </w:rPr>
        <w:t>; </w:t>
      </w:r>
      <w:r>
        <w:rPr/>
        <w:t>Badinter, 1993</w:t>
      </w:r>
      <w:r>
        <w:rPr>
          <w:i/>
        </w:rPr>
        <w:t>; </w:t>
      </w:r>
      <w:r>
        <w:rPr/>
        <w:t>Kimmel, </w:t>
      </w:r>
      <w:r>
        <w:rPr>
          <w:i/>
        </w:rPr>
        <w:t>s.f.</w:t>
      </w:r>
      <w:r>
        <w:rPr/>
        <w:t>] de acuerdo a algunos otros autores [Badinter, 1993</w:t>
      </w:r>
      <w:r>
        <w:rPr>
          <w:i/>
        </w:rPr>
        <w:t>.; </w:t>
      </w:r>
      <w:r>
        <w:rPr/>
        <w:t>Olavarría, 2004; Kimmel, </w:t>
      </w:r>
      <w:r>
        <w:rPr>
          <w:i/>
        </w:rPr>
        <w:t>s.f.</w:t>
      </w:r>
      <w:r>
        <w:rPr/>
        <w:t>] el reconocimiento y el éxito son también factores que debe considerarse como de suma importancia al momento de intentar abordar  la construcción masculina, parte de este reconocimiento infiere un carácter </w:t>
      </w:r>
      <w:r>
        <w:rPr>
          <w:i/>
        </w:rPr>
        <w:t>público </w:t>
      </w:r>
      <w:r>
        <w:rPr/>
        <w:t>de las acciones y el reconocimiento público de las acciones ejercidas por el varón [Olavarría, 2004]; por último podríamos considerar el empleo de “</w:t>
      </w:r>
      <w:r>
        <w:rPr>
          <w:i/>
        </w:rPr>
        <w:t>la razón” </w:t>
      </w:r>
      <w:r>
        <w:rPr/>
        <w:t>como un dispositivo que se emplea como justificación de lo que es válido [Seidler, 2000; Badinter, 1993] y que aunado a ello sirve como herramienta para desprestigiar y deslegitimar a la pareja [Bonino, 2004] al mismo tiempo que regula toda pasión [Badinter, 1993 Olavarría, 2004; Kimmel, </w:t>
      </w:r>
      <w:r>
        <w:rPr>
          <w:i/>
        </w:rPr>
        <w:t>s.f.; </w:t>
      </w:r>
      <w:r>
        <w:rPr/>
        <w:t>Seidler, 2000] por considerarle a este un rasgo completamente femenino. Esta razón, es una razón construida en base a las percepciones de la masculinidad, en la que no se contempla la posibilidad de una inclusión de otras perspectivas, solo aquella identificada como lógica, científica; sin pautas a subjetividades o “sentimentalismos”.</w:t>
      </w:r>
    </w:p>
    <w:p>
      <w:pPr>
        <w:pStyle w:val="Heading1"/>
        <w:spacing w:before="204"/>
      </w:pPr>
      <w:bookmarkStart w:name="_bookmark5" w:id="6"/>
      <w:bookmarkEnd w:id="6"/>
      <w:r>
        <w:rPr>
          <w:b w:val="0"/>
        </w:rPr>
      </w:r>
      <w:r>
        <w:rPr>
          <w:color w:val="4F81BC"/>
        </w:rPr>
        <w:t>Violencia en las relaciones de erótico afectivas entre jóvenes universitarios/as</w:t>
      </w:r>
    </w:p>
    <w:p>
      <w:pPr>
        <w:pStyle w:val="BodyText"/>
        <w:rPr>
          <w:b/>
        </w:rPr>
      </w:pPr>
    </w:p>
    <w:p>
      <w:pPr>
        <w:pStyle w:val="BodyText"/>
        <w:spacing w:before="7"/>
        <w:rPr>
          <w:b/>
        </w:rPr>
      </w:pPr>
    </w:p>
    <w:p>
      <w:pPr>
        <w:pStyle w:val="BodyText"/>
        <w:spacing w:line="360" w:lineRule="auto" w:before="1"/>
        <w:ind w:left="100" w:right="116"/>
        <w:jc w:val="both"/>
      </w:pPr>
      <w:r>
        <w:rPr/>
        <w:t>Como ya he mencionado son pocos los estudios realizados respecto a la violencia de género dentro de relaciones erótico-afectivas en el contexto de estudiantes universitarios, sin embargo, y a partir de la revisión de algunos datos rescatados de una investigación cuali-cuantitativa con respecto a la percepción de violencia sexual en parejas de estudiantes de la UAEH [García Meráz, </w:t>
      </w:r>
      <w:r>
        <w:rPr>
          <w:i/>
        </w:rPr>
        <w:t>et al. </w:t>
      </w:r>
      <w:r>
        <w:rPr/>
        <w:t>2012; Rojas, 2013; Ramírez y Núñez, 2010; Castro y Casique, 2010; Castro y Vázquez; Mora Pisano, 2011] es que podemos concebir a la universidad como un espacio en el que la reproducción de modelos de interacción desiguales en el que la violencia de género no es un elemento que constituya un elemento</w:t>
      </w:r>
      <w:r>
        <w:rPr>
          <w:spacing w:val="50"/>
        </w:rPr>
        <w:t> </w:t>
      </w:r>
      <w:r>
        <w:rPr/>
        <w:t>a cuestionar, sino</w:t>
      </w:r>
      <w:r>
        <w:rPr>
          <w:spacing w:val="50"/>
        </w:rPr>
        <w:t> </w:t>
      </w:r>
      <w:r>
        <w:rPr/>
        <w:t>que, en muchos casos se incorpora</w:t>
      </w:r>
    </w:p>
    <w:p>
      <w:pPr>
        <w:spacing w:after="0" w:line="360" w:lineRule="auto"/>
        <w:jc w:val="both"/>
        <w:sectPr>
          <w:pgSz w:w="12240" w:h="15840"/>
          <w:pgMar w:header="0" w:footer="1014" w:top="1380" w:bottom="1200" w:left="1340" w:right="1320"/>
        </w:sectPr>
      </w:pPr>
    </w:p>
    <w:p>
      <w:pPr>
        <w:pStyle w:val="BodyText"/>
        <w:spacing w:line="360" w:lineRule="auto" w:before="56"/>
        <w:ind w:left="100" w:right="115"/>
        <w:jc w:val="both"/>
      </w:pPr>
      <w:r>
        <w:rPr/>
        <w:t>como algo que forma parte de la cotidianidad, se </w:t>
      </w:r>
      <w:r>
        <w:rPr>
          <w:i/>
        </w:rPr>
        <w:t>legitima </w:t>
      </w:r>
      <w:r>
        <w:rPr/>
        <w:t>su práctica [Castro y  Vázquez, 2008; García Meráz, </w:t>
      </w:r>
      <w:r>
        <w:rPr>
          <w:i/>
        </w:rPr>
        <w:t>et al. </w:t>
      </w:r>
      <w:r>
        <w:rPr/>
        <w:t>2012; Mora, 2011; Gutiérrez y Duarte, 2012] y en el que la universidad constituye un espacio privilegiado para la acción preventiva/correctiva de las acciones que atentan contra la promoción equitativa entre los</w:t>
      </w:r>
      <w:r>
        <w:rPr>
          <w:spacing w:val="-3"/>
        </w:rPr>
        <w:t> </w:t>
      </w:r>
      <w:r>
        <w:rPr/>
        <w:t>géneros.</w:t>
      </w:r>
    </w:p>
    <w:p>
      <w:pPr>
        <w:pStyle w:val="BodyText"/>
        <w:spacing w:line="360" w:lineRule="auto" w:before="204"/>
        <w:ind w:left="100" w:right="117"/>
        <w:jc w:val="both"/>
      </w:pPr>
      <w:r>
        <w:rPr/>
        <w:t>En el caso de espacios universitarios tradicionalmente masculinos, como es el del ICBI, rescato las experiencias de Mora [2011] en el caso de la Universidad de Chapingo, al igual que Castro y Vázquez [2008], y el de Gutiérrez y Duarte [2012] en el que se hace hincapié en el papel que juegan espacios tradicionalmente masculinos como es el caso de instituciones en que se enseñan licenciaturas de corte lógico-matemático, en este punto me parece pertinente rescatar las aportaciones de Seidler [2000] respecto a la razón, quien menciona qué, en gran medida esta “razón masculina” es empírica, comprobable y no apegada a aspectos emocionales, subjetivos; la razón se basa en cálculos y operaciones lógicas que legitiman las acciones como razones basadas en evidencias. Bajo esta tesis es fácil visualizar que los espacios en los que las matemáticas y un pensamiento lógico-matemático es el punto de arranque de la disciplina presente mayor cantidad de varones.</w:t>
      </w:r>
    </w:p>
    <w:p>
      <w:pPr>
        <w:pStyle w:val="BodyText"/>
        <w:spacing w:line="360" w:lineRule="auto" w:before="204"/>
        <w:ind w:left="100" w:right="124"/>
        <w:jc w:val="both"/>
      </w:pPr>
      <w:r>
        <w:rPr/>
        <w:t>Si bien, he mencionado la poca cantidad de estudios con respecto a la violencia en las relaciones erótico-afectivas, es cierto también que aún más escaso son aquellos que son abordados desde la perspectiva de género, y en el caso de la revisión consultada ninguno aborda la cuestión de la “masculinidad hegemónica” como variable a considerar en relación con la violencia de género en las relaciones erótico</w:t>
      </w:r>
      <w:r>
        <w:rPr>
          <w:spacing w:val="-27"/>
        </w:rPr>
        <w:t> </w:t>
      </w:r>
      <w:r>
        <w:rPr/>
        <w:t>afectivas.</w:t>
      </w:r>
    </w:p>
    <w:p>
      <w:pPr>
        <w:pStyle w:val="BodyText"/>
        <w:spacing w:line="360" w:lineRule="auto" w:before="205"/>
        <w:ind w:left="100" w:right="116"/>
        <w:jc w:val="both"/>
      </w:pPr>
      <w:r>
        <w:rPr/>
        <w:t>La violencia en las relaciones erótico-afectivas se presentan en la mayoría de los estudios [Castro y Vázquez, 2008; García Meráz, </w:t>
      </w:r>
      <w:r>
        <w:rPr>
          <w:i/>
        </w:rPr>
        <w:t>et al. </w:t>
      </w:r>
      <w:r>
        <w:rPr/>
        <w:t>2012; Mora, 2011; Gutiérrez y Duarte, 2012; Ramírez y Núñez, 2010] como resultado de una interacción estructural, es decir, la reproducción de modelos de socialización que paulatinamente se van interiorizando y posteriormente reproduciendo dentro de ambientes de socialización que, como bien destacan los estudios, en el caso de la universidad, prestan poca o  nula atención a dichas prácticas por considerarlas</w:t>
      </w:r>
      <w:r>
        <w:rPr>
          <w:spacing w:val="-22"/>
        </w:rPr>
        <w:t> </w:t>
      </w:r>
      <w:r>
        <w:rPr/>
        <w:t>“normales”.</w:t>
      </w:r>
    </w:p>
    <w:p>
      <w:pPr>
        <w:spacing w:after="0" w:line="360" w:lineRule="auto"/>
        <w:jc w:val="both"/>
        <w:sectPr>
          <w:pgSz w:w="12240" w:h="15840"/>
          <w:pgMar w:header="0" w:footer="1014" w:top="1380" w:bottom="1200" w:left="1340" w:right="1320"/>
        </w:sectPr>
      </w:pPr>
    </w:p>
    <w:p>
      <w:pPr>
        <w:pStyle w:val="BodyText"/>
        <w:spacing w:line="360" w:lineRule="auto" w:before="58"/>
        <w:ind w:left="100" w:right="116"/>
        <w:jc w:val="both"/>
      </w:pPr>
      <w:r>
        <w:rPr/>
        <w:t>Es interesante constatar cómo la violencia en la relación erótico-afectiva no se conceptualiza como tal si no existe la presencia de golpes u ofensas:</w:t>
      </w:r>
    </w:p>
    <w:p>
      <w:pPr>
        <w:pStyle w:val="BodyText"/>
        <w:spacing w:line="360" w:lineRule="auto" w:before="204"/>
        <w:ind w:left="676" w:right="117" w:firstLine="144"/>
        <w:jc w:val="both"/>
      </w:pPr>
      <w:r>
        <w:rPr/>
        <w:t>[…] Es que violencia violencia, pues nada más se me hace que es cuando hay golpes, y eso sí, si a mí me pega yo respondo, porque no me voy a dejar, si él puede yo también. Igual cuando me dice algo feo yo también le respondo, ¿por qué me voy a dejar?, no, que sepa que yo también puedo. Pero eso de revisar las cosas o que me diga que qué estuve haciendo pues se me hace normal, yo también le pregunto con quien salió o qué hizo […] y me gusta cuando me pregunta si ya estoy en mi casa o que le cuente qué hice en el día, es como mostrar interés en las personas. [Yoselyn, 18 años, estudiante de la Licenciatura en Ingeniería Civil, mayo 2014].</w:t>
      </w:r>
    </w:p>
    <w:p>
      <w:pPr>
        <w:pStyle w:val="BodyText"/>
        <w:spacing w:line="360" w:lineRule="auto" w:before="204"/>
        <w:ind w:left="100" w:right="114"/>
        <w:jc w:val="both"/>
      </w:pPr>
      <w:r>
        <w:rPr/>
        <w:t>Es interesante cómo, sin llegar a un análisis profundo, se observan dos “discursos” sobre la violencia por parte del estudiantado, por una parte el oficial que esta reportado en los cuestionarios donde las respuestas de los sujetos indican que no ejercen violencia, o en todo caso que se encuentran en oposición a la misma. Por el otro lado se puede encontrar que el discurso de lo cotidiano [más espontáneo] que se pudo obtener en los grupos de discusión , nos reflejan que la violencia es un componente  que está presente dentro del ambiente universitario e incluso se percibe como elementos naturales le de las relaciones</w:t>
      </w:r>
      <w:r>
        <w:rPr>
          <w:spacing w:val="-13"/>
        </w:rPr>
        <w:t> </w:t>
      </w:r>
      <w:r>
        <w:rPr/>
        <w:t>erótico-afectivas.</w:t>
      </w:r>
    </w:p>
    <w:p>
      <w:pPr>
        <w:pStyle w:val="BodyText"/>
      </w:pPr>
    </w:p>
    <w:p>
      <w:pPr>
        <w:pStyle w:val="BodyText"/>
      </w:pPr>
    </w:p>
    <w:p>
      <w:pPr>
        <w:pStyle w:val="BodyText"/>
        <w:spacing w:before="2"/>
        <w:rPr>
          <w:sz w:val="23"/>
        </w:rPr>
      </w:pPr>
    </w:p>
    <w:p>
      <w:pPr>
        <w:pStyle w:val="Heading1"/>
        <w:spacing w:line="276" w:lineRule="auto" w:before="0"/>
        <w:ind w:left="191" w:right="325" w:hanging="39"/>
        <w:jc w:val="left"/>
      </w:pPr>
      <w:bookmarkStart w:name="_bookmark6" w:id="7"/>
      <w:bookmarkEnd w:id="7"/>
      <w:r>
        <w:rPr>
          <w:b w:val="0"/>
        </w:rPr>
      </w:r>
      <w:r>
        <w:rPr>
          <w:color w:val="4F81BC"/>
        </w:rPr>
        <w:t>La relación de un modelo de masculinidad hegemónica y la violencia de género en espacios universitarios</w:t>
      </w:r>
    </w:p>
    <w:p>
      <w:pPr>
        <w:pStyle w:val="BodyText"/>
        <w:rPr>
          <w:b/>
        </w:rPr>
      </w:pPr>
    </w:p>
    <w:p>
      <w:pPr>
        <w:pStyle w:val="BodyText"/>
        <w:spacing w:before="1"/>
        <w:rPr>
          <w:b/>
          <w:sz w:val="21"/>
        </w:rPr>
      </w:pPr>
    </w:p>
    <w:p>
      <w:pPr>
        <w:pStyle w:val="BodyText"/>
        <w:spacing w:line="360" w:lineRule="auto"/>
        <w:ind w:left="100" w:right="117"/>
        <w:jc w:val="both"/>
      </w:pPr>
      <w:r>
        <w:rPr/>
        <w:t>La masculinidad hegemónica es el resultado de una confluencia de elementos que “construyen” una identidad y en el que la demostración de ser lo “suficientemente hombre” es, en gran medida resultado de prácticas violentas y desafiantes [Badinter, 1993; Kimmel, </w:t>
      </w:r>
      <w:r>
        <w:rPr>
          <w:i/>
        </w:rPr>
        <w:t>s.f.; </w:t>
      </w:r>
      <w:r>
        <w:rPr/>
        <w:t>García, 2008], es como ya he mencionado el rechazo a todo lo femenino, lo homosexual [por considerársele “femenino”], es ostentar el poder y la razón  [Seidler,  2000;  García,  2008]  y  arremeter  de  forma  violenta  a  ante     </w:t>
      </w:r>
      <w:r>
        <w:rPr>
          <w:spacing w:val="52"/>
        </w:rPr>
        <w:t> </w:t>
      </w:r>
      <w:r>
        <w:rPr/>
        <w:t>todo</w:t>
      </w:r>
    </w:p>
    <w:p>
      <w:pPr>
        <w:spacing w:after="0" w:line="360" w:lineRule="auto"/>
        <w:jc w:val="both"/>
        <w:sectPr>
          <w:pgSz w:w="12240" w:h="15840"/>
          <w:pgMar w:header="0" w:footer="1014" w:top="1380" w:bottom="1200" w:left="1340" w:right="1320"/>
        </w:sectPr>
      </w:pPr>
    </w:p>
    <w:p>
      <w:pPr>
        <w:pStyle w:val="BodyText"/>
        <w:spacing w:line="360" w:lineRule="auto" w:before="58"/>
        <w:ind w:left="100" w:right="119"/>
        <w:jc w:val="both"/>
      </w:pPr>
      <w:r>
        <w:rPr/>
        <w:t>cuestionamiento hacia ella. Ahora bien, esta manifestación de la violencia no es, necesariamente, una práctica física, sino que puede manifestarse a partir de mecanismos sutiles, que tengan por objetivo el control y dominio de la otra persona [Bourdieu, 2000; Bonino, 2004; Bonino, </w:t>
      </w:r>
      <w:r>
        <w:rPr>
          <w:i/>
        </w:rPr>
        <w:t>s.f.</w:t>
      </w:r>
      <w:r>
        <w:rPr/>
        <w:t>], estas prácticas sutiles si bien, pueden percibirse como algo “normal”, o “natural” como lo dejan ver algunas expresiones de las algunos/as estudiantes:</w:t>
      </w:r>
    </w:p>
    <w:p>
      <w:pPr>
        <w:pStyle w:val="BodyText"/>
        <w:spacing w:line="360" w:lineRule="auto" w:before="204"/>
        <w:ind w:left="820" w:right="121"/>
        <w:jc w:val="both"/>
      </w:pPr>
      <w:r>
        <w:rPr/>
        <w:t>Yo creo que celar es normal, digo yo lo hago. Él también, y es que eso es una cuestión que demuestra que le importas. Además pues es parte de la relación, de repente si nos andamos preguntando qué hicimos. [Daniela, 19 años, Licenciatura en Ingeniería Industrial, mayo</w:t>
      </w:r>
      <w:r>
        <w:rPr>
          <w:spacing w:val="-14"/>
        </w:rPr>
        <w:t> </w:t>
      </w:r>
      <w:r>
        <w:rPr/>
        <w:t>2014]</w:t>
      </w:r>
    </w:p>
    <w:p>
      <w:pPr>
        <w:pStyle w:val="BodyText"/>
        <w:spacing w:line="360" w:lineRule="auto" w:before="202"/>
        <w:ind w:left="820" w:right="118"/>
        <w:jc w:val="both"/>
      </w:pPr>
      <w:r>
        <w:rPr/>
        <w:t>Pues para mi checar el celular y pedir las contraseñas son las </w:t>
      </w:r>
      <w:r>
        <w:rPr>
          <w:i/>
        </w:rPr>
        <w:t>pruebas de amor </w:t>
      </w:r>
      <w:r>
        <w:rPr/>
        <w:t>del siglo XXI, pues si no tiene nada que esconder no tendrían por qué decir que no, aunque a mí no me gusta que me digan que les enseñe el celular y menos mis claves, pues es que sino imagínese se me quema el arroz [Uriel, 19 años, Licenciatura en Minero-Metalurgia, mayo 2014]</w:t>
      </w:r>
    </w:p>
    <w:p>
      <w:pPr>
        <w:pStyle w:val="BodyText"/>
        <w:spacing w:line="360" w:lineRule="auto" w:before="204"/>
        <w:ind w:left="100" w:right="115"/>
        <w:jc w:val="both"/>
      </w:pPr>
      <w:r>
        <w:rPr/>
        <w:t>Estas prácticas legitimadas dentro del sistema universitario parecen ser constantes a pesar de la formación que se imparte, y en algunos casos parece, incluso existir un reforzamiento de estas prácticas, que, como explican algunos estudios pueden verse reforzadas y abaladas por la institución [Castro y Vázquez, 2008; García </w:t>
      </w:r>
      <w:r>
        <w:rPr>
          <w:i/>
        </w:rPr>
        <w:t>et al.</w:t>
      </w:r>
      <w:r>
        <w:rPr/>
        <w:t>, 2012; Mora, 2011; Gutiérrez y Duarte, 2012; Ramírez y Núñez, 2010]:</w:t>
      </w:r>
    </w:p>
    <w:p>
      <w:pPr>
        <w:pStyle w:val="BodyText"/>
        <w:spacing w:line="360" w:lineRule="auto" w:before="204"/>
        <w:ind w:left="676" w:right="115" w:firstLine="144"/>
        <w:jc w:val="both"/>
      </w:pPr>
      <w:r>
        <w:rPr/>
        <w:t>A mí no me parece violencia eso de que te digan que no saben hacer las cosas  o que digan que las mujeres no podemos con algunas cosas, es normal, digo yo no sé muchas cosas de los carros y no por eso me siento agredida, al contrario, me gusta que me diga [mi novio]: “¿te ayudo chiquita?”, siento bonito cuando lo hace [Gabriela, 22 años, Licenciatura en Minero-Metalurgia, mayo</w:t>
      </w:r>
      <w:r>
        <w:rPr>
          <w:spacing w:val="-21"/>
        </w:rPr>
        <w:t> </w:t>
      </w:r>
      <w:r>
        <w:rPr/>
        <w:t>2014].</w:t>
      </w:r>
    </w:p>
    <w:p>
      <w:pPr>
        <w:pStyle w:val="BodyText"/>
        <w:spacing w:line="360" w:lineRule="auto" w:before="204"/>
        <w:ind w:left="100" w:right="112"/>
        <w:jc w:val="both"/>
      </w:pPr>
      <w:r>
        <w:rPr/>
        <w:t>La violencia se contempla como algo necesario que forma parte de la relación erótico- afectiva y que, se desvincula el control como elemento fundamental de la misma [violencia], siendo entendida ésta solamente como las prácticas más visibles de la misma:</w:t>
      </w:r>
    </w:p>
    <w:p>
      <w:pPr>
        <w:spacing w:after="0" w:line="360" w:lineRule="auto"/>
        <w:jc w:val="both"/>
        <w:sectPr>
          <w:pgSz w:w="12240" w:h="15840"/>
          <w:pgMar w:header="0" w:footer="1014" w:top="1380" w:bottom="1200" w:left="1340" w:right="1320"/>
        </w:sectPr>
      </w:pPr>
    </w:p>
    <w:p>
      <w:pPr>
        <w:pStyle w:val="BodyText"/>
        <w:spacing w:line="360" w:lineRule="auto" w:before="58"/>
        <w:ind w:left="676" w:right="115" w:firstLine="144"/>
        <w:jc w:val="both"/>
      </w:pPr>
      <w:r>
        <w:rPr/>
        <w:t>Pues yo creo que si no hay golpes o groserías no hay violencia. Además ellas son bien pancheras [sic], bien dramáticas, ya todo es violencia, si uno les habla  un poco mal, ¡ya!, es violencia, pero ellas si hacen y deshacen y entonces uno ya no hace nada, yo por eso luego si les digo que están locas, porque están locas [Eleu, 21 años, Licenciatura en Electrónica y Telecomunicaciones, mayo</w:t>
      </w:r>
      <w:r>
        <w:rPr>
          <w:spacing w:val="-29"/>
        </w:rPr>
        <w:t> </w:t>
      </w:r>
      <w:r>
        <w:rPr/>
        <w:t>2014].</w:t>
      </w:r>
    </w:p>
    <w:p>
      <w:pPr>
        <w:pStyle w:val="BodyText"/>
        <w:spacing w:line="360" w:lineRule="auto" w:before="204"/>
        <w:ind w:left="100" w:right="116"/>
        <w:jc w:val="both"/>
      </w:pPr>
      <w:r>
        <w:rPr/>
        <w:t>Rescatar estas expresiones del estudiantado es relevante si tenemos en consideración de la incorporación, en el caso de las mujeres, y el reforzamiento, en el caso de los hombres, de patrones de comportamiento basados en un ideal masculino más tendiente a la hegemonía y [aparente] superioridad del hombre, en vez de una interacción más equitativa y cooperativa. Si se pone atención a esos fragmentos podemos visualizar que la violencia se ha racionalizado y entrado dentro de un discurso “políticamente” correcto, en el que toda otra manifestación se pormenoriza o se banaliza.</w:t>
      </w:r>
    </w:p>
    <w:p>
      <w:pPr>
        <w:pStyle w:val="BodyText"/>
        <w:spacing w:line="360" w:lineRule="auto" w:before="204"/>
        <w:ind w:left="100" w:right="119"/>
        <w:jc w:val="both"/>
      </w:pPr>
      <w:r>
        <w:rPr/>
        <w:t>Lo mencionado con anterioridad puede arrojar luz si se observan los registros con los que cuenta el </w:t>
      </w:r>
      <w:r>
        <w:rPr>
          <w:i/>
        </w:rPr>
        <w:t>Defensor Universitario </w:t>
      </w:r>
      <w:r>
        <w:rPr/>
        <w:t>[organismo encargado de la promoción de los derechos humanos y le prevención de cualquier tipo de hostigamiento dentro de la universidad] respecto a quejas por acoso u hostigamiento sexual, según la cual en  2011 se recibieron únicamente 13 quejas por hostigamiento sexual dentro de toda la universidad [UAEH, </w:t>
      </w:r>
      <w:r>
        <w:rPr>
          <w:i/>
        </w:rPr>
        <w:t>s.f.</w:t>
      </w:r>
      <w:r>
        <w:rPr/>
        <w:t>], esto podría indicarnos una “naturalización” de la violencia de género, producto de una búsqueda por una masculinidad hegemónica si tenemos en consideración que estas quejas no estipulan la distribución por institutos, sino que se proporcionan de forma generalizada, con datos de toda la</w:t>
      </w:r>
      <w:r>
        <w:rPr>
          <w:spacing w:val="-32"/>
        </w:rPr>
        <w:t> </w:t>
      </w:r>
      <w:r>
        <w:rPr/>
        <w:t>universidad.</w:t>
      </w:r>
    </w:p>
    <w:p>
      <w:pPr>
        <w:spacing w:after="0" w:line="360" w:lineRule="auto"/>
        <w:jc w:val="both"/>
        <w:sectPr>
          <w:pgSz w:w="12240" w:h="15840"/>
          <w:pgMar w:header="0" w:footer="1014" w:top="1380" w:bottom="1200" w:left="1340" w:right="1320"/>
        </w:sectPr>
      </w:pPr>
    </w:p>
    <w:p>
      <w:pPr>
        <w:spacing w:before="40"/>
        <w:ind w:left="120" w:right="0" w:firstLine="0"/>
        <w:jc w:val="both"/>
        <w:rPr>
          <w:rFonts w:ascii="Cambria" w:hAnsi="Cambria"/>
          <w:b/>
          <w:sz w:val="22"/>
        </w:rPr>
      </w:pPr>
      <w:r>
        <w:rPr/>
        <w:pict>
          <v:group style="position:absolute;margin-left:71.625pt;margin-top:16.447126pt;width:509.4pt;height:174.65pt;mso-position-horizontal-relative:page;mso-position-vertical-relative:paragraph;z-index:-109648" coordorigin="1433,329" coordsize="10188,3493">
            <v:shape style="position:absolute;left:11016;top:1132;width:377;height:1433" coordorigin="11016,1132" coordsize="377,1433" path="m11016,2565l11393,2565m11016,2279l11393,2279m11016,1993l11393,1993m11016,1705l11393,1705m11016,1420l11393,1420m11016,1132l11393,1132e" filled="false" stroked="true" strokeweight=".72pt" strokecolor="#858585">
              <v:path arrowok="t"/>
            </v:shape>
            <v:shape style="position:absolute;left:1850;top:990;width:9166;height:2376" coordorigin="1850,990" coordsize="9166,2376" path="m1961,3256l1850,3256,1850,3366,1961,3366,1961,3256m7250,990l6749,990,6749,2853,7250,2853,7250,990m11016,990l10514,990,10514,2853,11016,2853,11016,990e" filled="true" fillcolor="#4f81bc" stroked="false">
              <v:path arrowok="t"/>
              <v:fill type="solid"/>
            </v:shape>
            <v:rect style="position:absolute;left:1440;top:336;width:10173;height:3478" filled="false" stroked="true" strokeweight=".75pt" strokecolor="#858585"/>
            <v:shape style="position:absolute;left:4729;top:466;width:203;height:2492" type="#_x0000_t202" filled="false" stroked="false">
              <v:textbox inset="0,0,0,0">
                <w:txbxContent>
                  <w:p>
                    <w:pPr>
                      <w:spacing w:line="203" w:lineRule="exact" w:before="0"/>
                      <w:ind w:left="0" w:right="1" w:firstLine="0"/>
                      <w:jc w:val="center"/>
                      <w:rPr>
                        <w:rFonts w:ascii="Calibri"/>
                        <w:sz w:val="20"/>
                      </w:rPr>
                    </w:pPr>
                    <w:r>
                      <w:rPr>
                        <w:rFonts w:ascii="Calibri"/>
                        <w:w w:val="95"/>
                        <w:sz w:val="20"/>
                      </w:rPr>
                      <w:t>16</w:t>
                    </w:r>
                  </w:p>
                  <w:p>
                    <w:pPr>
                      <w:spacing w:before="42"/>
                      <w:ind w:left="0" w:right="1" w:firstLine="0"/>
                      <w:jc w:val="center"/>
                      <w:rPr>
                        <w:rFonts w:ascii="Calibri"/>
                        <w:sz w:val="20"/>
                      </w:rPr>
                    </w:pPr>
                    <w:r>
                      <w:rPr>
                        <w:rFonts w:ascii="Calibri"/>
                        <w:w w:val="95"/>
                        <w:sz w:val="20"/>
                      </w:rPr>
                      <w:t>14</w:t>
                    </w:r>
                  </w:p>
                  <w:p>
                    <w:pPr>
                      <w:spacing w:before="42"/>
                      <w:ind w:left="0" w:right="1" w:firstLine="0"/>
                      <w:jc w:val="center"/>
                      <w:rPr>
                        <w:rFonts w:ascii="Calibri"/>
                        <w:sz w:val="20"/>
                      </w:rPr>
                    </w:pPr>
                    <w:r>
                      <w:rPr>
                        <w:rFonts w:ascii="Calibri"/>
                        <w:w w:val="95"/>
                        <w:sz w:val="20"/>
                      </w:rPr>
                      <w:t>12</w:t>
                    </w:r>
                  </w:p>
                  <w:p>
                    <w:pPr>
                      <w:spacing w:before="42"/>
                      <w:ind w:left="0" w:right="1" w:firstLine="0"/>
                      <w:jc w:val="center"/>
                      <w:rPr>
                        <w:rFonts w:ascii="Calibri"/>
                        <w:sz w:val="20"/>
                      </w:rPr>
                    </w:pPr>
                    <w:r>
                      <w:rPr>
                        <w:rFonts w:ascii="Calibri"/>
                        <w:w w:val="95"/>
                        <w:sz w:val="20"/>
                      </w:rPr>
                      <w:t>10</w:t>
                    </w:r>
                  </w:p>
                  <w:p>
                    <w:pPr>
                      <w:spacing w:before="42"/>
                      <w:ind w:left="101" w:right="0" w:firstLine="0"/>
                      <w:jc w:val="center"/>
                      <w:rPr>
                        <w:rFonts w:ascii="Calibri"/>
                        <w:sz w:val="20"/>
                      </w:rPr>
                    </w:pPr>
                    <w:r>
                      <w:rPr>
                        <w:rFonts w:ascii="Calibri"/>
                        <w:w w:val="99"/>
                        <w:sz w:val="20"/>
                      </w:rPr>
                      <w:t>8</w:t>
                    </w:r>
                  </w:p>
                  <w:p>
                    <w:pPr>
                      <w:spacing w:before="43"/>
                      <w:ind w:left="101" w:right="0" w:firstLine="0"/>
                      <w:jc w:val="center"/>
                      <w:rPr>
                        <w:rFonts w:ascii="Calibri"/>
                        <w:sz w:val="20"/>
                      </w:rPr>
                    </w:pPr>
                    <w:r>
                      <w:rPr>
                        <w:rFonts w:ascii="Calibri"/>
                        <w:w w:val="99"/>
                        <w:sz w:val="20"/>
                      </w:rPr>
                      <w:t>6</w:t>
                    </w:r>
                  </w:p>
                  <w:p>
                    <w:pPr>
                      <w:spacing w:before="42"/>
                      <w:ind w:left="101" w:right="0" w:firstLine="0"/>
                      <w:jc w:val="center"/>
                      <w:rPr>
                        <w:rFonts w:ascii="Calibri"/>
                        <w:sz w:val="20"/>
                      </w:rPr>
                    </w:pPr>
                    <w:r>
                      <w:rPr>
                        <w:rFonts w:ascii="Calibri"/>
                        <w:w w:val="99"/>
                        <w:sz w:val="20"/>
                      </w:rPr>
                      <w:t>4</w:t>
                    </w:r>
                  </w:p>
                  <w:p>
                    <w:pPr>
                      <w:spacing w:before="42"/>
                      <w:ind w:left="101" w:right="0" w:firstLine="0"/>
                      <w:jc w:val="center"/>
                      <w:rPr>
                        <w:rFonts w:ascii="Calibri"/>
                        <w:sz w:val="20"/>
                      </w:rPr>
                    </w:pPr>
                    <w:r>
                      <w:rPr>
                        <w:rFonts w:ascii="Calibri"/>
                        <w:w w:val="99"/>
                        <w:sz w:val="20"/>
                      </w:rPr>
                      <w:t>2</w:t>
                    </w:r>
                  </w:p>
                  <w:p>
                    <w:pPr>
                      <w:spacing w:line="240" w:lineRule="exact" w:before="42"/>
                      <w:ind w:left="101" w:right="0" w:firstLine="0"/>
                      <w:jc w:val="center"/>
                      <w:rPr>
                        <w:rFonts w:ascii="Calibri"/>
                        <w:sz w:val="20"/>
                      </w:rPr>
                    </w:pPr>
                    <w:r>
                      <w:rPr>
                        <w:rFonts w:ascii="Calibri"/>
                        <w:w w:val="99"/>
                        <w:sz w:val="20"/>
                      </w:rPr>
                      <w:t>0</w:t>
                    </w:r>
                  </w:p>
                </w:txbxContent>
              </v:textbox>
              <w10:wrap type="none"/>
            </v:shape>
            <w10:wrap type="none"/>
          </v:group>
        </w:pict>
      </w:r>
      <w:r>
        <w:rPr/>
        <w:pict>
          <v:shape style="position:absolute;margin-left:85.519997pt;margin-top:48.154911pt;width:12pt;height:74.45pt;mso-position-horizontal-relative:page;mso-position-vertical-relative:paragraph;z-index:-109624" type="#_x0000_t202" filled="false" stroked="false">
            <v:textbox inset="0,0,0,0" style="layout-flow:vertical;mso-layout-flow-alt:bottom-to-top">
              <w:txbxContent>
                <w:p>
                  <w:pPr>
                    <w:spacing w:line="223" w:lineRule="exact" w:before="0"/>
                    <w:ind w:left="20" w:right="-461" w:firstLine="0"/>
                    <w:jc w:val="left"/>
                    <w:rPr>
                      <w:rFonts w:ascii="Calibri" w:hAnsi="Calibri"/>
                      <w:b/>
                      <w:sz w:val="20"/>
                    </w:rPr>
                  </w:pPr>
                  <w:r>
                    <w:rPr>
                      <w:rFonts w:ascii="Calibri" w:hAnsi="Calibri"/>
                      <w:b/>
                      <w:w w:val="99"/>
                      <w:sz w:val="20"/>
                    </w:rPr>
                    <w:t>N</w:t>
                  </w:r>
                  <w:r>
                    <w:rPr>
                      <w:rFonts w:ascii="Calibri" w:hAnsi="Calibri"/>
                      <w:b/>
                      <w:spacing w:val="1"/>
                      <w:w w:val="99"/>
                      <w:sz w:val="20"/>
                    </w:rPr>
                    <w:t>ú</w:t>
                  </w:r>
                  <w:r>
                    <w:rPr>
                      <w:rFonts w:ascii="Calibri" w:hAnsi="Calibri"/>
                      <w:b/>
                      <w:w w:val="99"/>
                      <w:sz w:val="20"/>
                    </w:rPr>
                    <w:t>m</w:t>
                  </w:r>
                  <w:r>
                    <w:rPr>
                      <w:rFonts w:ascii="Calibri" w:hAnsi="Calibri"/>
                      <w:b/>
                      <w:spacing w:val="-1"/>
                      <w:w w:val="99"/>
                      <w:sz w:val="20"/>
                    </w:rPr>
                    <w:t>e</w:t>
                  </w:r>
                  <w:r>
                    <w:rPr>
                      <w:rFonts w:ascii="Calibri" w:hAnsi="Calibri"/>
                      <w:b/>
                      <w:spacing w:val="1"/>
                      <w:w w:val="99"/>
                      <w:sz w:val="20"/>
                    </w:rPr>
                    <w:t>r</w:t>
                  </w:r>
                  <w:r>
                    <w:rPr>
                      <w:rFonts w:ascii="Calibri" w:hAnsi="Calibri"/>
                      <w:b/>
                      <w:w w:val="99"/>
                      <w:sz w:val="20"/>
                    </w:rPr>
                    <w:t>o</w:t>
                  </w:r>
                  <w:r>
                    <w:rPr>
                      <w:rFonts w:ascii="Calibri" w:hAnsi="Calibri"/>
                      <w:b/>
                      <w:spacing w:val="-2"/>
                      <w:sz w:val="20"/>
                    </w:rPr>
                    <w:t> </w:t>
                  </w:r>
                  <w:r>
                    <w:rPr>
                      <w:rFonts w:ascii="Calibri" w:hAnsi="Calibri"/>
                      <w:b/>
                      <w:w w:val="99"/>
                      <w:sz w:val="20"/>
                    </w:rPr>
                    <w:t>de</w:t>
                  </w:r>
                  <w:r>
                    <w:rPr>
                      <w:rFonts w:ascii="Calibri" w:hAnsi="Calibri"/>
                      <w:b/>
                      <w:spacing w:val="-2"/>
                      <w:sz w:val="20"/>
                    </w:rPr>
                    <w:t> </w:t>
                  </w:r>
                  <w:r>
                    <w:rPr>
                      <w:rFonts w:ascii="Calibri" w:hAnsi="Calibri"/>
                      <w:b/>
                      <w:spacing w:val="-1"/>
                      <w:w w:val="99"/>
                      <w:sz w:val="20"/>
                    </w:rPr>
                    <w:t>Cas</w:t>
                  </w:r>
                  <w:r>
                    <w:rPr>
                      <w:rFonts w:ascii="Calibri" w:hAnsi="Calibri"/>
                      <w:b/>
                      <w:w w:val="99"/>
                      <w:sz w:val="20"/>
                    </w:rPr>
                    <w:t>os</w:t>
                  </w:r>
                </w:p>
              </w:txbxContent>
            </v:textbox>
            <w10:wrap type="none"/>
          </v:shape>
        </w:pict>
      </w:r>
      <w:bookmarkStart w:name="_bookmark7" w:id="8"/>
      <w:bookmarkEnd w:id="8"/>
      <w:r>
        <w:rPr/>
      </w:r>
      <w:r>
        <w:rPr>
          <w:rFonts w:ascii="Cambria" w:hAnsi="Cambria"/>
          <w:b/>
          <w:color w:val="4F81BC"/>
          <w:sz w:val="22"/>
        </w:rPr>
        <w:t>Casos de acoso sexual reportados por año ante el </w:t>
      </w:r>
      <w:r>
        <w:rPr>
          <w:rFonts w:ascii="Cambria" w:hAnsi="Cambria"/>
          <w:b/>
          <w:i/>
          <w:color w:val="4F81BC"/>
          <w:sz w:val="22"/>
        </w:rPr>
        <w:t>Defensor Universitario </w:t>
      </w:r>
      <w:r>
        <w:rPr>
          <w:rFonts w:ascii="Cambria" w:hAnsi="Cambria"/>
          <w:b/>
          <w:color w:val="4F81BC"/>
          <w:sz w:val="22"/>
        </w:rPr>
        <w:t>de 2006 a 2011</w:t>
      </w:r>
    </w:p>
    <w:p>
      <w:pPr>
        <w:pStyle w:val="BodyText"/>
        <w:spacing w:before="9"/>
        <w:rPr>
          <w:rFonts w:ascii="Cambria"/>
          <w:b/>
          <w:sz w:val="21"/>
        </w:rPr>
      </w:pPr>
    </w:p>
    <w:tbl>
      <w:tblPr>
        <w:tblW w:w="0" w:type="auto"/>
        <w:jc w:val="left"/>
        <w:tblInd w:w="453" w:type="dxa"/>
        <w:tblBorders>
          <w:top w:val="single" w:sz="6" w:space="0" w:color="858585"/>
          <w:left w:val="single" w:sz="6" w:space="0" w:color="858585"/>
          <w:bottom w:val="single" w:sz="6" w:space="0" w:color="858585"/>
          <w:right w:val="single" w:sz="6" w:space="0" w:color="858585"/>
          <w:insideH w:val="single" w:sz="6" w:space="0" w:color="858585"/>
          <w:insideV w:val="single" w:sz="6" w:space="0" w:color="858585"/>
        </w:tblBorders>
        <w:tblLayout w:type="fixed"/>
        <w:tblCellMar>
          <w:top w:w="0" w:type="dxa"/>
          <w:left w:w="0" w:type="dxa"/>
          <w:bottom w:w="0" w:type="dxa"/>
          <w:right w:w="0" w:type="dxa"/>
        </w:tblCellMar>
        <w:tblLook w:val="01E0"/>
      </w:tblPr>
      <w:tblGrid>
        <w:gridCol w:w="3336"/>
        <w:gridCol w:w="377"/>
        <w:gridCol w:w="502"/>
        <w:gridCol w:w="377"/>
        <w:gridCol w:w="377"/>
        <w:gridCol w:w="502"/>
        <w:gridCol w:w="377"/>
        <w:gridCol w:w="377"/>
        <w:gridCol w:w="502"/>
        <w:gridCol w:w="377"/>
        <w:gridCol w:w="377"/>
        <w:gridCol w:w="502"/>
        <w:gridCol w:w="377"/>
        <w:gridCol w:w="377"/>
        <w:gridCol w:w="878"/>
      </w:tblGrid>
      <w:tr>
        <w:trPr>
          <w:trHeight w:val="286" w:hRule="exact"/>
        </w:trPr>
        <w:tc>
          <w:tcPr>
            <w:tcW w:w="3336" w:type="dxa"/>
            <w:vMerge w:val="restart"/>
            <w:tcBorders>
              <w:top w:val="nil"/>
              <w:left w:val="nil"/>
            </w:tcBorders>
          </w:tcPr>
          <w:p>
            <w:pPr/>
          </w:p>
        </w:tc>
        <w:tc>
          <w:tcPr>
            <w:tcW w:w="6276" w:type="dxa"/>
            <w:gridSpan w:val="14"/>
            <w:tcBorders>
              <w:right w:val="nil"/>
            </w:tcBorders>
          </w:tcPr>
          <w:p>
            <w:pPr/>
          </w:p>
        </w:tc>
      </w:tr>
      <w:tr>
        <w:trPr>
          <w:trHeight w:val="286" w:hRule="exact"/>
        </w:trPr>
        <w:tc>
          <w:tcPr>
            <w:tcW w:w="3336" w:type="dxa"/>
            <w:vMerge/>
            <w:tcBorders>
              <w:left w:val="nil"/>
            </w:tcBorders>
          </w:tcPr>
          <w:p>
            <w:pPr/>
          </w:p>
        </w:tc>
        <w:tc>
          <w:tcPr>
            <w:tcW w:w="1632" w:type="dxa"/>
            <w:gridSpan w:val="4"/>
            <w:tcBorders>
              <w:right w:val="nil"/>
            </w:tcBorders>
          </w:tcPr>
          <w:p>
            <w:pPr/>
          </w:p>
        </w:tc>
        <w:tc>
          <w:tcPr>
            <w:tcW w:w="502" w:type="dxa"/>
            <w:vMerge w:val="restart"/>
            <w:tcBorders>
              <w:left w:val="nil"/>
              <w:right w:val="nil"/>
            </w:tcBorders>
            <w:shd w:val="clear" w:color="auto" w:fill="4F81BC"/>
          </w:tcPr>
          <w:p>
            <w:pPr/>
          </w:p>
        </w:tc>
        <w:tc>
          <w:tcPr>
            <w:tcW w:w="2009" w:type="dxa"/>
            <w:gridSpan w:val="5"/>
            <w:tcBorders>
              <w:left w:val="nil"/>
              <w:right w:val="nil"/>
            </w:tcBorders>
          </w:tcPr>
          <w:p>
            <w:pPr/>
          </w:p>
        </w:tc>
        <w:tc>
          <w:tcPr>
            <w:tcW w:w="502" w:type="dxa"/>
            <w:vMerge w:val="restart"/>
            <w:tcBorders>
              <w:left w:val="nil"/>
              <w:right w:val="nil"/>
            </w:tcBorders>
            <w:shd w:val="clear" w:color="auto" w:fill="4F81BC"/>
          </w:tcPr>
          <w:p>
            <w:pPr/>
          </w:p>
        </w:tc>
        <w:tc>
          <w:tcPr>
            <w:tcW w:w="754" w:type="dxa"/>
            <w:gridSpan w:val="2"/>
            <w:tcBorders>
              <w:left w:val="nil"/>
              <w:right w:val="nil"/>
            </w:tcBorders>
          </w:tcPr>
          <w:p>
            <w:pPr/>
          </w:p>
        </w:tc>
        <w:tc>
          <w:tcPr>
            <w:tcW w:w="878" w:type="dxa"/>
            <w:vMerge w:val="restart"/>
            <w:tcBorders>
              <w:left w:val="nil"/>
              <w:right w:val="nil"/>
            </w:tcBorders>
          </w:tcPr>
          <w:p>
            <w:pPr/>
          </w:p>
        </w:tc>
      </w:tr>
      <w:tr>
        <w:trPr>
          <w:trHeight w:val="288" w:hRule="exact"/>
        </w:trPr>
        <w:tc>
          <w:tcPr>
            <w:tcW w:w="3336" w:type="dxa"/>
            <w:vMerge/>
            <w:tcBorders>
              <w:left w:val="nil"/>
            </w:tcBorders>
          </w:tcPr>
          <w:p>
            <w:pPr/>
          </w:p>
        </w:tc>
        <w:tc>
          <w:tcPr>
            <w:tcW w:w="1632" w:type="dxa"/>
            <w:gridSpan w:val="4"/>
            <w:tcBorders>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val="restart"/>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286" w:hRule="exact"/>
        </w:trPr>
        <w:tc>
          <w:tcPr>
            <w:tcW w:w="3336" w:type="dxa"/>
            <w:vMerge/>
            <w:tcBorders>
              <w:left w:val="nil"/>
            </w:tcBorders>
          </w:tcPr>
          <w:p>
            <w:pPr/>
          </w:p>
        </w:tc>
        <w:tc>
          <w:tcPr>
            <w:tcW w:w="1632" w:type="dxa"/>
            <w:gridSpan w:val="4"/>
            <w:tcBorders>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288" w:hRule="exact"/>
        </w:trPr>
        <w:tc>
          <w:tcPr>
            <w:tcW w:w="3336" w:type="dxa"/>
            <w:vMerge/>
            <w:tcBorders>
              <w:left w:val="nil"/>
            </w:tcBorders>
          </w:tcPr>
          <w:p>
            <w:pPr/>
          </w:p>
        </w:tc>
        <w:tc>
          <w:tcPr>
            <w:tcW w:w="1632" w:type="dxa"/>
            <w:gridSpan w:val="4"/>
            <w:tcBorders>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286" w:hRule="exact"/>
        </w:trPr>
        <w:tc>
          <w:tcPr>
            <w:tcW w:w="3336" w:type="dxa"/>
            <w:vMerge/>
            <w:tcBorders>
              <w:left w:val="nil"/>
            </w:tcBorders>
          </w:tcPr>
          <w:p>
            <w:pPr/>
          </w:p>
        </w:tc>
        <w:tc>
          <w:tcPr>
            <w:tcW w:w="377" w:type="dxa"/>
            <w:tcBorders>
              <w:right w:val="nil"/>
            </w:tcBorders>
          </w:tcPr>
          <w:p>
            <w:pPr/>
          </w:p>
        </w:tc>
        <w:tc>
          <w:tcPr>
            <w:tcW w:w="502" w:type="dxa"/>
            <w:vMerge w:val="restart"/>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286" w:hRule="exact"/>
        </w:trPr>
        <w:tc>
          <w:tcPr>
            <w:tcW w:w="3336" w:type="dxa"/>
            <w:vMerge/>
            <w:tcBorders>
              <w:left w:val="nil"/>
            </w:tcBorders>
          </w:tcPr>
          <w:p>
            <w:pPr/>
          </w:p>
        </w:tc>
        <w:tc>
          <w:tcPr>
            <w:tcW w:w="377" w:type="dxa"/>
            <w:tcBorders>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288" w:hRule="exact"/>
        </w:trPr>
        <w:tc>
          <w:tcPr>
            <w:tcW w:w="3336" w:type="dxa"/>
            <w:vMerge/>
            <w:tcBorders>
              <w:left w:val="nil"/>
            </w:tcBorders>
          </w:tcPr>
          <w:p>
            <w:pPr/>
          </w:p>
        </w:tc>
        <w:tc>
          <w:tcPr>
            <w:tcW w:w="377" w:type="dxa"/>
            <w:tcBorders>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502" w:type="dxa"/>
            <w:vMerge/>
            <w:tcBorders>
              <w:left w:val="nil"/>
              <w:right w:val="nil"/>
            </w:tcBorders>
            <w:shd w:val="clear" w:color="auto" w:fill="4F81BC"/>
          </w:tcPr>
          <w:p>
            <w:pPr/>
          </w:p>
        </w:tc>
        <w:tc>
          <w:tcPr>
            <w:tcW w:w="754" w:type="dxa"/>
            <w:gridSpan w:val="2"/>
            <w:tcBorders>
              <w:left w:val="nil"/>
              <w:right w:val="nil"/>
            </w:tcBorders>
          </w:tcPr>
          <w:p>
            <w:pPr/>
          </w:p>
        </w:tc>
        <w:tc>
          <w:tcPr>
            <w:tcW w:w="878" w:type="dxa"/>
            <w:vMerge/>
            <w:tcBorders>
              <w:left w:val="nil"/>
              <w:right w:val="nil"/>
            </w:tcBorders>
          </w:tcPr>
          <w:p>
            <w:pPr/>
          </w:p>
        </w:tc>
      </w:tr>
      <w:tr>
        <w:trPr>
          <w:trHeight w:val="307" w:hRule="exact"/>
        </w:trPr>
        <w:tc>
          <w:tcPr>
            <w:tcW w:w="3336" w:type="dxa"/>
            <w:vMerge/>
            <w:tcBorders>
              <w:left w:val="nil"/>
            </w:tcBorders>
          </w:tcPr>
          <w:p>
            <w:pPr/>
          </w:p>
        </w:tc>
        <w:tc>
          <w:tcPr>
            <w:tcW w:w="1255" w:type="dxa"/>
            <w:gridSpan w:val="3"/>
          </w:tcPr>
          <w:p>
            <w:pPr>
              <w:pStyle w:val="TableParagraph"/>
              <w:spacing w:before="11"/>
              <w:ind w:left="397" w:right="395"/>
              <w:jc w:val="center"/>
              <w:rPr>
                <w:rFonts w:ascii="Calibri"/>
                <w:sz w:val="20"/>
              </w:rPr>
            </w:pPr>
            <w:r>
              <w:rPr>
                <w:rFonts w:ascii="Calibri"/>
                <w:sz w:val="20"/>
              </w:rPr>
              <w:t>2006</w:t>
            </w:r>
          </w:p>
        </w:tc>
        <w:tc>
          <w:tcPr>
            <w:tcW w:w="1255" w:type="dxa"/>
            <w:gridSpan w:val="3"/>
          </w:tcPr>
          <w:p>
            <w:pPr>
              <w:pStyle w:val="TableParagraph"/>
              <w:spacing w:before="11"/>
              <w:ind w:left="397" w:right="395"/>
              <w:jc w:val="center"/>
              <w:rPr>
                <w:rFonts w:ascii="Calibri"/>
                <w:sz w:val="20"/>
              </w:rPr>
            </w:pPr>
            <w:r>
              <w:rPr>
                <w:rFonts w:ascii="Calibri"/>
                <w:sz w:val="20"/>
              </w:rPr>
              <w:t>2007</w:t>
            </w:r>
          </w:p>
        </w:tc>
        <w:tc>
          <w:tcPr>
            <w:tcW w:w="1255" w:type="dxa"/>
            <w:gridSpan w:val="3"/>
          </w:tcPr>
          <w:p>
            <w:pPr>
              <w:pStyle w:val="TableParagraph"/>
              <w:spacing w:before="11"/>
              <w:ind w:left="398" w:right="395"/>
              <w:jc w:val="center"/>
              <w:rPr>
                <w:rFonts w:ascii="Calibri"/>
                <w:sz w:val="20"/>
              </w:rPr>
            </w:pPr>
            <w:r>
              <w:rPr>
                <w:rFonts w:ascii="Calibri"/>
                <w:sz w:val="20"/>
              </w:rPr>
              <w:t>2008</w:t>
            </w:r>
          </w:p>
        </w:tc>
        <w:tc>
          <w:tcPr>
            <w:tcW w:w="1255" w:type="dxa"/>
            <w:gridSpan w:val="3"/>
          </w:tcPr>
          <w:p>
            <w:pPr>
              <w:pStyle w:val="TableParagraph"/>
              <w:spacing w:before="11"/>
              <w:ind w:left="398" w:right="394"/>
              <w:jc w:val="center"/>
              <w:rPr>
                <w:rFonts w:ascii="Calibri"/>
                <w:sz w:val="20"/>
              </w:rPr>
            </w:pPr>
            <w:r>
              <w:rPr>
                <w:rFonts w:ascii="Calibri"/>
                <w:sz w:val="20"/>
              </w:rPr>
              <w:t>2009</w:t>
            </w:r>
          </w:p>
        </w:tc>
        <w:tc>
          <w:tcPr>
            <w:tcW w:w="1255" w:type="dxa"/>
            <w:gridSpan w:val="2"/>
          </w:tcPr>
          <w:p>
            <w:pPr>
              <w:pStyle w:val="TableParagraph"/>
              <w:spacing w:before="11"/>
              <w:ind w:left="398" w:right="394"/>
              <w:jc w:val="center"/>
              <w:rPr>
                <w:rFonts w:ascii="Calibri"/>
                <w:sz w:val="20"/>
              </w:rPr>
            </w:pPr>
            <w:r>
              <w:rPr>
                <w:rFonts w:ascii="Calibri"/>
                <w:sz w:val="20"/>
              </w:rPr>
              <w:t>2011</w:t>
            </w:r>
          </w:p>
        </w:tc>
      </w:tr>
      <w:tr>
        <w:trPr>
          <w:trHeight w:val="554" w:hRule="exact"/>
        </w:trPr>
        <w:tc>
          <w:tcPr>
            <w:tcW w:w="3336" w:type="dxa"/>
          </w:tcPr>
          <w:p>
            <w:pPr>
              <w:pStyle w:val="TableParagraph"/>
              <w:spacing w:before="9"/>
              <w:ind w:left="1595" w:right="25" w:hanging="1376"/>
              <w:rPr>
                <w:rFonts w:ascii="Calibri" w:hAnsi="Calibri"/>
                <w:sz w:val="20"/>
              </w:rPr>
            </w:pPr>
            <w:r>
              <w:rPr>
                <w:rFonts w:ascii="Calibri" w:hAnsi="Calibri"/>
                <w:sz w:val="20"/>
              </w:rPr>
              <w:t>Casos de acoso sexual reportados por año</w:t>
            </w:r>
          </w:p>
        </w:tc>
        <w:tc>
          <w:tcPr>
            <w:tcW w:w="1255" w:type="dxa"/>
            <w:gridSpan w:val="3"/>
          </w:tcPr>
          <w:p>
            <w:pPr>
              <w:pStyle w:val="TableParagraph"/>
              <w:spacing w:before="136"/>
              <w:ind w:left="1"/>
              <w:jc w:val="center"/>
              <w:rPr>
                <w:rFonts w:ascii="Calibri"/>
                <w:sz w:val="20"/>
              </w:rPr>
            </w:pPr>
            <w:r>
              <w:rPr>
                <w:rFonts w:ascii="Calibri"/>
                <w:w w:val="99"/>
                <w:sz w:val="20"/>
              </w:rPr>
              <w:t>6</w:t>
            </w:r>
          </w:p>
        </w:tc>
        <w:tc>
          <w:tcPr>
            <w:tcW w:w="1255" w:type="dxa"/>
            <w:gridSpan w:val="3"/>
          </w:tcPr>
          <w:p>
            <w:pPr>
              <w:pStyle w:val="TableParagraph"/>
              <w:spacing w:before="136"/>
              <w:ind w:left="396" w:right="395"/>
              <w:jc w:val="center"/>
              <w:rPr>
                <w:rFonts w:ascii="Calibri"/>
                <w:sz w:val="20"/>
              </w:rPr>
            </w:pPr>
            <w:r>
              <w:rPr>
                <w:rFonts w:ascii="Calibri"/>
                <w:sz w:val="20"/>
              </w:rPr>
              <w:t>13</w:t>
            </w:r>
          </w:p>
        </w:tc>
        <w:tc>
          <w:tcPr>
            <w:tcW w:w="1255" w:type="dxa"/>
            <w:gridSpan w:val="3"/>
          </w:tcPr>
          <w:p>
            <w:pPr>
              <w:pStyle w:val="TableParagraph"/>
              <w:spacing w:before="136"/>
              <w:ind w:left="396" w:right="395"/>
              <w:jc w:val="center"/>
              <w:rPr>
                <w:rFonts w:ascii="Calibri"/>
                <w:sz w:val="20"/>
              </w:rPr>
            </w:pPr>
            <w:r>
              <w:rPr>
                <w:rFonts w:ascii="Calibri"/>
                <w:sz w:val="20"/>
              </w:rPr>
              <w:t>12</w:t>
            </w:r>
          </w:p>
        </w:tc>
        <w:tc>
          <w:tcPr>
            <w:tcW w:w="1255" w:type="dxa"/>
            <w:gridSpan w:val="3"/>
          </w:tcPr>
          <w:p>
            <w:pPr>
              <w:pStyle w:val="TableParagraph"/>
              <w:spacing w:before="136"/>
              <w:ind w:left="397" w:right="395"/>
              <w:jc w:val="center"/>
              <w:rPr>
                <w:rFonts w:ascii="Calibri"/>
                <w:sz w:val="20"/>
              </w:rPr>
            </w:pPr>
            <w:r>
              <w:rPr>
                <w:rFonts w:ascii="Calibri"/>
                <w:sz w:val="20"/>
              </w:rPr>
              <w:t>14</w:t>
            </w:r>
          </w:p>
        </w:tc>
        <w:tc>
          <w:tcPr>
            <w:tcW w:w="1255" w:type="dxa"/>
            <w:gridSpan w:val="2"/>
          </w:tcPr>
          <w:p>
            <w:pPr>
              <w:pStyle w:val="TableParagraph"/>
              <w:spacing w:before="136"/>
              <w:ind w:left="397" w:right="395"/>
              <w:jc w:val="center"/>
              <w:rPr>
                <w:rFonts w:ascii="Calibri"/>
                <w:sz w:val="20"/>
              </w:rPr>
            </w:pPr>
            <w:r>
              <w:rPr>
                <w:rFonts w:ascii="Calibri"/>
                <w:sz w:val="20"/>
              </w:rPr>
              <w:t>13</w:t>
            </w:r>
          </w:p>
        </w:tc>
      </w:tr>
    </w:tbl>
    <w:p>
      <w:pPr>
        <w:pStyle w:val="BodyText"/>
        <w:rPr>
          <w:rFonts w:ascii="Cambria"/>
          <w:b/>
          <w:sz w:val="22"/>
        </w:rPr>
      </w:pPr>
    </w:p>
    <w:p>
      <w:pPr>
        <w:spacing w:before="196"/>
        <w:ind w:left="120" w:right="0" w:firstLine="0"/>
        <w:jc w:val="both"/>
        <w:rPr>
          <w:b/>
          <w:sz w:val="18"/>
        </w:rPr>
      </w:pPr>
      <w:r>
        <w:rPr>
          <w:b/>
          <w:color w:val="4F81BC"/>
          <w:sz w:val="18"/>
        </w:rPr>
        <w:t>Figure 1 Elaboración propia con base en información de la UAEH [s.f.]</w:t>
      </w:r>
    </w:p>
    <w:p>
      <w:pPr>
        <w:pStyle w:val="BodyText"/>
        <w:spacing w:before="9"/>
        <w:rPr>
          <w:b/>
          <w:sz w:val="17"/>
        </w:rPr>
      </w:pPr>
    </w:p>
    <w:p>
      <w:pPr>
        <w:pStyle w:val="Heading1"/>
        <w:spacing w:before="0"/>
        <w:ind w:left="120"/>
      </w:pPr>
      <w:bookmarkStart w:name="_bookmark8" w:id="9"/>
      <w:bookmarkEnd w:id="9"/>
      <w:r>
        <w:rPr>
          <w:b w:val="0"/>
        </w:rPr>
      </w:r>
      <w:r>
        <w:rPr>
          <w:color w:val="4F81BC"/>
        </w:rPr>
        <w:t>Población estudiantil del ICBI</w:t>
      </w:r>
    </w:p>
    <w:p>
      <w:pPr>
        <w:pStyle w:val="BodyText"/>
        <w:rPr>
          <w:b/>
        </w:rPr>
      </w:pPr>
    </w:p>
    <w:p>
      <w:pPr>
        <w:pStyle w:val="BodyText"/>
        <w:spacing w:before="7"/>
        <w:rPr>
          <w:b/>
        </w:rPr>
      </w:pPr>
    </w:p>
    <w:p>
      <w:pPr>
        <w:pStyle w:val="BodyText"/>
        <w:spacing w:line="360" w:lineRule="auto"/>
        <w:ind w:left="120" w:right="1443"/>
        <w:jc w:val="both"/>
      </w:pPr>
      <w:r>
        <w:rPr/>
        <w:t>Partiendo de los datos recabados por los anuarios presentados por la UAEH [2011, 2012, 2013, 2014] es que podemos visualizar que la población estudiantil en las ingenierías del ICBI cuenta con una mayor presencia masculina, entendiendo éste como un elemento que permita justificar la implementación del proyecto [en una  primera instancia] en dichos espacios. Hablaríamos claramente de un espacio </w:t>
      </w:r>
      <w:r>
        <w:rPr>
          <w:i/>
        </w:rPr>
        <w:t>masculinizado </w:t>
      </w:r>
      <w:r>
        <w:rPr/>
        <w:t>a partir de la alta presencia de estudiantes varones en el mismo</w:t>
      </w:r>
      <w:r>
        <w:rPr>
          <w:spacing w:val="-25"/>
        </w:rPr>
        <w:t> </w:t>
      </w:r>
      <w:r>
        <w:rPr/>
        <w:t>espacio.</w:t>
      </w:r>
    </w:p>
    <w:p>
      <w:pPr>
        <w:pStyle w:val="BodyText"/>
        <w:spacing w:line="360" w:lineRule="auto" w:before="206"/>
        <w:ind w:left="120" w:right="1432"/>
        <w:jc w:val="both"/>
      </w:pPr>
      <w:r>
        <w:rPr/>
        <w:t>Como se observa a lo largo de estos cuatro años las ingenierías con un fuerte porcentaje de población masculina son las de sistemas computacionales, minero- metalurgia, ingeniería civil, ingeniería industrial, electrónica y telecomunicaciones. Representando en casos extremos el doble de la población femenina.</w:t>
      </w:r>
    </w:p>
    <w:p>
      <w:pPr>
        <w:spacing w:after="0" w:line="360" w:lineRule="auto"/>
        <w:jc w:val="both"/>
        <w:sectPr>
          <w:pgSz w:w="12240" w:h="15840"/>
          <w:pgMar w:header="0" w:footer="1014" w:top="1400" w:bottom="1200" w:left="1320" w:right="0"/>
        </w:sectPr>
      </w:pPr>
    </w:p>
    <w:p>
      <w:pPr>
        <w:tabs>
          <w:tab w:pos="2103" w:val="left" w:leader="none"/>
          <w:tab w:pos="3135" w:val="left" w:leader="none"/>
          <w:tab w:pos="4181" w:val="left" w:leader="none"/>
          <w:tab w:pos="5767" w:val="left" w:leader="none"/>
          <w:tab w:pos="6801" w:val="left" w:leader="none"/>
          <w:tab w:pos="8068" w:val="left" w:leader="none"/>
          <w:tab w:pos="8968" w:val="left" w:leader="none"/>
        </w:tabs>
        <w:spacing w:line="360" w:lineRule="auto" w:before="55" w:after="8"/>
        <w:ind w:left="100" w:right="118" w:firstLine="0"/>
        <w:jc w:val="both"/>
        <w:rPr>
          <w:b/>
          <w:sz w:val="22"/>
        </w:rPr>
      </w:pPr>
      <w:bookmarkStart w:name="_bookmark9" w:id="10"/>
      <w:bookmarkEnd w:id="10"/>
      <w:r>
        <w:rPr/>
      </w:r>
      <w:r>
        <w:rPr>
          <w:b/>
          <w:color w:val="4F81BC"/>
          <w:sz w:val="22"/>
        </w:rPr>
        <w:t>Porcentaje de estudiantes que cursan estudios dentro del ICBI desagregados por sexo y licenciatura</w:t>
        <w:tab/>
        <w:t>en</w:t>
        <w:tab/>
        <w:t>un</w:t>
        <w:tab/>
        <w:t>periodo</w:t>
        <w:tab/>
        <w:t>de</w:t>
        <w:tab/>
        <w:t>2010</w:t>
        <w:tab/>
        <w:t>a</w:t>
        <w:tab/>
        <w:t>2013</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68"/>
        <w:gridCol w:w="1168"/>
        <w:gridCol w:w="1168"/>
        <w:gridCol w:w="1168"/>
        <w:gridCol w:w="1168"/>
        <w:gridCol w:w="1168"/>
        <w:gridCol w:w="1168"/>
        <w:gridCol w:w="1168"/>
      </w:tblGrid>
      <w:tr>
        <w:trPr>
          <w:trHeight w:val="1165" w:hRule="exact"/>
        </w:trPr>
        <w:tc>
          <w:tcPr>
            <w:tcW w:w="1168" w:type="dxa"/>
          </w:tcPr>
          <w:p>
            <w:pPr/>
          </w:p>
        </w:tc>
        <w:tc>
          <w:tcPr>
            <w:tcW w:w="1168" w:type="dxa"/>
            <w:tcBorders>
              <w:right w:val="single" w:sz="6" w:space="0" w:color="000000"/>
            </w:tcBorders>
            <w:shd w:val="clear" w:color="auto" w:fill="B7DEE8"/>
          </w:tcPr>
          <w:p>
            <w:pPr>
              <w:pStyle w:val="TableParagraph"/>
              <w:rPr>
                <w:b/>
                <w:sz w:val="22"/>
              </w:rPr>
            </w:pPr>
          </w:p>
          <w:p>
            <w:pPr>
              <w:pStyle w:val="TableParagraph"/>
              <w:rPr>
                <w:b/>
                <w:sz w:val="22"/>
              </w:rPr>
            </w:pPr>
          </w:p>
          <w:p>
            <w:pPr>
              <w:pStyle w:val="TableParagraph"/>
              <w:spacing w:before="8"/>
              <w:rPr>
                <w:b/>
                <w:sz w:val="32"/>
              </w:rPr>
            </w:pPr>
          </w:p>
          <w:p>
            <w:pPr>
              <w:pStyle w:val="TableParagraph"/>
              <w:spacing w:before="1"/>
              <w:ind w:left="29"/>
              <w:rPr>
                <w:rFonts w:ascii="Calibri" w:hAnsi="Calibri"/>
                <w:sz w:val="22"/>
              </w:rPr>
            </w:pPr>
            <w:r>
              <w:rPr>
                <w:rFonts w:ascii="Calibri" w:hAnsi="Calibri"/>
                <w:sz w:val="22"/>
              </w:rPr>
              <w:t>Ingeniería</w:t>
            </w:r>
          </w:p>
        </w:tc>
        <w:tc>
          <w:tcPr>
            <w:tcW w:w="1168" w:type="dxa"/>
            <w:tcBorders>
              <w:left w:val="single" w:sz="6" w:space="0" w:color="000000"/>
            </w:tcBorders>
            <w:shd w:val="clear" w:color="auto" w:fill="528DD4"/>
          </w:tcPr>
          <w:p>
            <w:pPr>
              <w:pStyle w:val="TableParagraph"/>
              <w:rPr>
                <w:b/>
                <w:sz w:val="22"/>
              </w:rPr>
            </w:pPr>
          </w:p>
          <w:p>
            <w:pPr>
              <w:pStyle w:val="TableParagraph"/>
              <w:spacing w:before="5"/>
              <w:rPr>
                <w:b/>
                <w:sz w:val="29"/>
              </w:rPr>
            </w:pPr>
          </w:p>
          <w:p>
            <w:pPr>
              <w:pStyle w:val="TableParagraph"/>
              <w:spacing w:line="259" w:lineRule="auto"/>
              <w:ind w:left="29" w:right="84"/>
              <w:rPr>
                <w:rFonts w:ascii="Calibri" w:hAnsi="Calibri"/>
                <w:sz w:val="22"/>
              </w:rPr>
            </w:pPr>
            <w:r>
              <w:rPr>
                <w:rFonts w:ascii="Calibri" w:hAnsi="Calibri"/>
                <w:sz w:val="22"/>
              </w:rPr>
              <w:t>Física y tecnologías</w:t>
            </w:r>
          </w:p>
        </w:tc>
        <w:tc>
          <w:tcPr>
            <w:tcW w:w="1168" w:type="dxa"/>
            <w:shd w:val="clear" w:color="auto" w:fill="528DD4"/>
          </w:tcPr>
          <w:p>
            <w:pPr>
              <w:pStyle w:val="TableParagraph"/>
              <w:spacing w:before="1"/>
              <w:rPr>
                <w:b/>
                <w:sz w:val="26"/>
              </w:rPr>
            </w:pPr>
          </w:p>
          <w:p>
            <w:pPr>
              <w:pStyle w:val="TableParagraph"/>
              <w:spacing w:line="259" w:lineRule="auto"/>
              <w:ind w:left="29" w:right="102"/>
              <w:rPr>
                <w:rFonts w:ascii="Calibri"/>
                <w:sz w:val="22"/>
              </w:rPr>
            </w:pPr>
            <w:r>
              <w:rPr>
                <w:rFonts w:ascii="Calibri"/>
                <w:sz w:val="22"/>
              </w:rPr>
              <w:t>Ciencias de los materiales</w:t>
            </w:r>
          </w:p>
        </w:tc>
        <w:tc>
          <w:tcPr>
            <w:tcW w:w="1168" w:type="dxa"/>
            <w:shd w:val="clear" w:color="auto" w:fill="528DD4"/>
          </w:tcPr>
          <w:p>
            <w:pPr>
              <w:pStyle w:val="TableParagraph"/>
              <w:spacing w:line="259" w:lineRule="auto" w:before="9"/>
              <w:ind w:left="29" w:right="95"/>
              <w:rPr>
                <w:rFonts w:ascii="Calibri" w:hAnsi="Calibri"/>
                <w:sz w:val="22"/>
              </w:rPr>
            </w:pPr>
            <w:r>
              <w:rPr>
                <w:rFonts w:ascii="Calibri" w:hAnsi="Calibri"/>
                <w:sz w:val="22"/>
              </w:rPr>
              <w:t>Electrónica y telecomuni caciones</w:t>
            </w:r>
          </w:p>
        </w:tc>
        <w:tc>
          <w:tcPr>
            <w:tcW w:w="1168" w:type="dxa"/>
            <w:tcBorders>
              <w:right w:val="single" w:sz="6" w:space="0" w:color="000000"/>
            </w:tcBorders>
            <w:shd w:val="clear" w:color="auto" w:fill="528DD4"/>
          </w:tcPr>
          <w:p>
            <w:pPr>
              <w:pStyle w:val="TableParagraph"/>
              <w:rPr>
                <w:b/>
                <w:sz w:val="22"/>
              </w:rPr>
            </w:pPr>
          </w:p>
          <w:p>
            <w:pPr>
              <w:pStyle w:val="TableParagraph"/>
              <w:spacing w:before="5"/>
              <w:rPr>
                <w:b/>
                <w:sz w:val="29"/>
              </w:rPr>
            </w:pPr>
          </w:p>
          <w:p>
            <w:pPr>
              <w:pStyle w:val="TableParagraph"/>
              <w:spacing w:line="259" w:lineRule="auto"/>
              <w:ind w:left="29" w:right="202"/>
              <w:rPr>
                <w:rFonts w:ascii="Calibri" w:hAnsi="Calibri"/>
                <w:sz w:val="22"/>
              </w:rPr>
            </w:pPr>
            <w:r>
              <w:rPr>
                <w:rFonts w:ascii="Calibri" w:hAnsi="Calibri"/>
                <w:sz w:val="22"/>
              </w:rPr>
              <w:t>Geología ambiental</w:t>
            </w:r>
          </w:p>
        </w:tc>
        <w:tc>
          <w:tcPr>
            <w:tcW w:w="1168" w:type="dxa"/>
            <w:tcBorders>
              <w:left w:val="single" w:sz="6" w:space="0" w:color="000000"/>
            </w:tcBorders>
            <w:shd w:val="clear" w:color="auto" w:fill="528DD4"/>
          </w:tcPr>
          <w:p>
            <w:pPr>
              <w:pStyle w:val="TableParagraph"/>
              <w:rPr>
                <w:b/>
                <w:sz w:val="22"/>
              </w:rPr>
            </w:pPr>
          </w:p>
          <w:p>
            <w:pPr>
              <w:pStyle w:val="TableParagraph"/>
              <w:rPr>
                <w:b/>
                <w:sz w:val="22"/>
              </w:rPr>
            </w:pPr>
          </w:p>
          <w:p>
            <w:pPr>
              <w:pStyle w:val="TableParagraph"/>
              <w:spacing w:before="8"/>
              <w:rPr>
                <w:b/>
                <w:sz w:val="32"/>
              </w:rPr>
            </w:pPr>
          </w:p>
          <w:p>
            <w:pPr>
              <w:pStyle w:val="TableParagraph"/>
              <w:spacing w:before="1"/>
              <w:ind w:left="29" w:right="202"/>
              <w:rPr>
                <w:rFonts w:ascii="Calibri"/>
                <w:sz w:val="22"/>
              </w:rPr>
            </w:pPr>
            <w:r>
              <w:rPr>
                <w:rFonts w:ascii="Calibri"/>
                <w:sz w:val="22"/>
              </w:rPr>
              <w:t>Industrial</w:t>
            </w:r>
          </w:p>
        </w:tc>
        <w:tc>
          <w:tcPr>
            <w:tcW w:w="1168" w:type="dxa"/>
            <w:shd w:val="clear" w:color="auto" w:fill="528DD4"/>
          </w:tcPr>
          <w:p>
            <w:pPr>
              <w:pStyle w:val="TableParagraph"/>
              <w:rPr>
                <w:b/>
                <w:sz w:val="22"/>
              </w:rPr>
            </w:pPr>
          </w:p>
          <w:p>
            <w:pPr>
              <w:pStyle w:val="TableParagraph"/>
              <w:spacing w:before="5"/>
              <w:rPr>
                <w:b/>
                <w:sz w:val="29"/>
              </w:rPr>
            </w:pPr>
          </w:p>
          <w:p>
            <w:pPr>
              <w:pStyle w:val="TableParagraph"/>
              <w:spacing w:line="259" w:lineRule="auto"/>
              <w:ind w:left="29" w:right="138"/>
              <w:rPr>
                <w:rFonts w:ascii="Calibri"/>
                <w:sz w:val="22"/>
              </w:rPr>
            </w:pPr>
            <w:r>
              <w:rPr>
                <w:rFonts w:ascii="Calibri"/>
                <w:sz w:val="22"/>
              </w:rPr>
              <w:t>Minero metalurgia</w:t>
            </w:r>
          </w:p>
        </w:tc>
      </w:tr>
      <w:tr>
        <w:trPr>
          <w:trHeight w:val="291" w:hRule="exact"/>
        </w:trPr>
        <w:tc>
          <w:tcPr>
            <w:tcW w:w="1168" w:type="dxa"/>
            <w:vMerge w:val="restart"/>
            <w:tcBorders>
              <w:left w:val="nil"/>
            </w:tcBorders>
            <w:shd w:val="clear" w:color="auto" w:fill="B09FC6"/>
          </w:tcPr>
          <w:p>
            <w:pPr>
              <w:pStyle w:val="TableParagraph"/>
              <w:spacing w:before="1"/>
              <w:rPr>
                <w:b/>
                <w:sz w:val="26"/>
              </w:rPr>
            </w:pPr>
          </w:p>
          <w:p>
            <w:pPr>
              <w:pStyle w:val="TableParagraph"/>
              <w:ind w:left="386"/>
              <w:rPr>
                <w:rFonts w:ascii="Calibri"/>
                <w:sz w:val="22"/>
              </w:rPr>
            </w:pPr>
            <w:r>
              <w:rPr>
                <w:rFonts w:ascii="Calibri"/>
                <w:sz w:val="22"/>
              </w:rPr>
              <w:t>2010</w:t>
            </w:r>
          </w:p>
        </w:tc>
        <w:tc>
          <w:tcPr>
            <w:tcW w:w="1168" w:type="dxa"/>
            <w:tcBorders>
              <w:bottom w:val="single" w:sz="6" w:space="0" w:color="000000"/>
              <w:right w:val="single" w:sz="6" w:space="0" w:color="000000"/>
            </w:tcBorders>
            <w:shd w:val="clear" w:color="auto" w:fill="B09FC6"/>
          </w:tcPr>
          <w:p>
            <w:pPr>
              <w:pStyle w:val="TableParagraph"/>
              <w:spacing w:before="9"/>
              <w:ind w:left="29"/>
              <w:rPr>
                <w:rFonts w:ascii="Calibri"/>
                <w:sz w:val="22"/>
              </w:rPr>
            </w:pPr>
            <w:r>
              <w:rPr>
                <w:rFonts w:ascii="Calibri"/>
                <w:sz w:val="22"/>
              </w:rPr>
              <w:t>Hombres</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72.97</w:t>
            </w:r>
          </w:p>
        </w:tc>
        <w:tc>
          <w:tcPr>
            <w:tcW w:w="1168" w:type="dxa"/>
            <w:tcBorders>
              <w:bottom w:val="single" w:sz="6" w:space="0" w:color="000000"/>
            </w:tcBorders>
            <w:shd w:val="clear" w:color="auto" w:fill="B09FC6"/>
          </w:tcPr>
          <w:p>
            <w:pPr>
              <w:pStyle w:val="TableParagraph"/>
              <w:spacing w:before="9"/>
              <w:ind w:right="18"/>
              <w:jc w:val="right"/>
              <w:rPr>
                <w:rFonts w:ascii="Calibri"/>
                <w:sz w:val="22"/>
              </w:rPr>
            </w:pPr>
            <w:r>
              <w:rPr>
                <w:rFonts w:ascii="Calibri"/>
                <w:sz w:val="22"/>
              </w:rPr>
              <w:t>70.49</w:t>
            </w:r>
          </w:p>
        </w:tc>
        <w:tc>
          <w:tcPr>
            <w:tcW w:w="1168" w:type="dxa"/>
            <w:tcBorders>
              <w:bottom w:val="single" w:sz="6" w:space="0" w:color="000000"/>
            </w:tcBorders>
          </w:tcPr>
          <w:p>
            <w:pPr>
              <w:pStyle w:val="TableParagraph"/>
              <w:spacing w:before="9"/>
              <w:ind w:right="19"/>
              <w:jc w:val="right"/>
              <w:rPr>
                <w:rFonts w:ascii="Calibri"/>
                <w:sz w:val="22"/>
              </w:rPr>
            </w:pPr>
            <w:r>
              <w:rPr>
                <w:rFonts w:ascii="Calibri"/>
                <w:sz w:val="22"/>
              </w:rPr>
              <w:t>84.59</w:t>
            </w:r>
          </w:p>
        </w:tc>
        <w:tc>
          <w:tcPr>
            <w:tcW w:w="1168" w:type="dxa"/>
            <w:tcBorders>
              <w:bottom w:val="single" w:sz="6" w:space="0" w:color="000000"/>
              <w:right w:val="single" w:sz="6" w:space="0" w:color="000000"/>
            </w:tcBorders>
            <w:shd w:val="clear" w:color="auto" w:fill="B09FC6"/>
          </w:tcPr>
          <w:p>
            <w:pPr>
              <w:pStyle w:val="TableParagraph"/>
              <w:spacing w:before="9"/>
              <w:ind w:right="18"/>
              <w:jc w:val="right"/>
              <w:rPr>
                <w:rFonts w:ascii="Calibri"/>
                <w:sz w:val="22"/>
              </w:rPr>
            </w:pPr>
            <w:r>
              <w:rPr>
                <w:rFonts w:ascii="Calibri"/>
                <w:sz w:val="22"/>
              </w:rPr>
              <w:t>49.73</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77.5</w:t>
            </w:r>
          </w:p>
        </w:tc>
        <w:tc>
          <w:tcPr>
            <w:tcW w:w="1168" w:type="dxa"/>
            <w:tcBorders>
              <w:bottom w:val="single" w:sz="6" w:space="0" w:color="000000"/>
            </w:tcBorders>
            <w:shd w:val="clear" w:color="auto" w:fill="B09FC6"/>
          </w:tcPr>
          <w:p>
            <w:pPr>
              <w:pStyle w:val="TableParagraph"/>
              <w:spacing w:before="9"/>
              <w:ind w:right="18"/>
              <w:jc w:val="right"/>
              <w:rPr>
                <w:rFonts w:ascii="Calibri"/>
                <w:sz w:val="22"/>
              </w:rPr>
            </w:pPr>
            <w:r>
              <w:rPr>
                <w:rFonts w:ascii="Calibri"/>
                <w:sz w:val="22"/>
              </w:rPr>
              <w:t>76.3</w:t>
            </w:r>
          </w:p>
        </w:tc>
      </w:tr>
      <w:tr>
        <w:trPr>
          <w:trHeight w:val="291" w:hRule="exact"/>
        </w:trPr>
        <w:tc>
          <w:tcPr>
            <w:tcW w:w="1168" w:type="dxa"/>
            <w:vMerge/>
            <w:tcBorders>
              <w:left w:val="nil"/>
            </w:tcBorders>
            <w:shd w:val="clear" w:color="auto" w:fill="B09FC6"/>
          </w:tcPr>
          <w:p>
            <w:pPr/>
          </w:p>
        </w:tc>
        <w:tc>
          <w:tcPr>
            <w:tcW w:w="1168" w:type="dxa"/>
            <w:tcBorders>
              <w:top w:val="single" w:sz="6" w:space="0" w:color="000000"/>
              <w:right w:val="single" w:sz="6" w:space="0" w:color="000000"/>
            </w:tcBorders>
            <w:shd w:val="clear" w:color="auto" w:fill="B09FC6"/>
          </w:tcPr>
          <w:p>
            <w:pPr>
              <w:pStyle w:val="TableParagraph"/>
              <w:spacing w:before="8"/>
              <w:ind w:left="29"/>
              <w:rPr>
                <w:rFonts w:ascii="Calibri"/>
                <w:sz w:val="22"/>
              </w:rPr>
            </w:pPr>
            <w:r>
              <w:rPr>
                <w:rFonts w:ascii="Calibri"/>
                <w:sz w:val="22"/>
              </w:rPr>
              <w:t>Mujeres</w:t>
            </w:r>
          </w:p>
        </w:tc>
        <w:tc>
          <w:tcPr>
            <w:tcW w:w="1168" w:type="dxa"/>
            <w:tcBorders>
              <w:top w:val="single" w:sz="6" w:space="0" w:color="000000"/>
              <w:left w:val="single" w:sz="6" w:space="0" w:color="000000"/>
            </w:tcBorders>
          </w:tcPr>
          <w:p>
            <w:pPr>
              <w:pStyle w:val="TableParagraph"/>
              <w:spacing w:before="8"/>
              <w:ind w:right="18"/>
              <w:jc w:val="right"/>
              <w:rPr>
                <w:rFonts w:ascii="Calibri"/>
                <w:sz w:val="22"/>
              </w:rPr>
            </w:pPr>
            <w:r>
              <w:rPr>
                <w:rFonts w:ascii="Calibri"/>
                <w:sz w:val="22"/>
              </w:rPr>
              <w:t>27.03</w:t>
            </w:r>
          </w:p>
        </w:tc>
        <w:tc>
          <w:tcPr>
            <w:tcW w:w="1168" w:type="dxa"/>
            <w:tcBorders>
              <w:top w:val="single" w:sz="6" w:space="0" w:color="000000"/>
            </w:tcBorders>
            <w:shd w:val="clear" w:color="auto" w:fill="B09FC6"/>
          </w:tcPr>
          <w:p>
            <w:pPr>
              <w:pStyle w:val="TableParagraph"/>
              <w:spacing w:before="8"/>
              <w:ind w:right="18"/>
              <w:jc w:val="right"/>
              <w:rPr>
                <w:rFonts w:ascii="Calibri"/>
                <w:sz w:val="22"/>
              </w:rPr>
            </w:pPr>
            <w:r>
              <w:rPr>
                <w:rFonts w:ascii="Calibri"/>
                <w:sz w:val="22"/>
              </w:rPr>
              <w:t>29.51</w:t>
            </w:r>
          </w:p>
        </w:tc>
        <w:tc>
          <w:tcPr>
            <w:tcW w:w="1168" w:type="dxa"/>
            <w:tcBorders>
              <w:top w:val="single" w:sz="6" w:space="0" w:color="000000"/>
            </w:tcBorders>
          </w:tcPr>
          <w:p>
            <w:pPr>
              <w:pStyle w:val="TableParagraph"/>
              <w:spacing w:before="8"/>
              <w:ind w:right="19"/>
              <w:jc w:val="right"/>
              <w:rPr>
                <w:rFonts w:ascii="Calibri"/>
                <w:sz w:val="22"/>
              </w:rPr>
            </w:pPr>
            <w:r>
              <w:rPr>
                <w:rFonts w:ascii="Calibri"/>
                <w:sz w:val="22"/>
              </w:rPr>
              <w:t>15.41</w:t>
            </w:r>
          </w:p>
        </w:tc>
        <w:tc>
          <w:tcPr>
            <w:tcW w:w="1168" w:type="dxa"/>
            <w:tcBorders>
              <w:top w:val="single" w:sz="6" w:space="0" w:color="000000"/>
              <w:right w:val="single" w:sz="6" w:space="0" w:color="000000"/>
            </w:tcBorders>
            <w:shd w:val="clear" w:color="auto" w:fill="B09FC6"/>
          </w:tcPr>
          <w:p>
            <w:pPr>
              <w:pStyle w:val="TableParagraph"/>
              <w:spacing w:before="8"/>
              <w:ind w:right="18"/>
              <w:jc w:val="right"/>
              <w:rPr>
                <w:rFonts w:ascii="Calibri"/>
                <w:sz w:val="22"/>
              </w:rPr>
            </w:pPr>
            <w:r>
              <w:rPr>
                <w:rFonts w:ascii="Calibri"/>
                <w:sz w:val="22"/>
              </w:rPr>
              <w:t>50.27</w:t>
            </w:r>
          </w:p>
        </w:tc>
        <w:tc>
          <w:tcPr>
            <w:tcW w:w="1168" w:type="dxa"/>
            <w:tcBorders>
              <w:top w:val="single" w:sz="6" w:space="0" w:color="000000"/>
              <w:left w:val="single" w:sz="6" w:space="0" w:color="000000"/>
            </w:tcBorders>
          </w:tcPr>
          <w:p>
            <w:pPr>
              <w:pStyle w:val="TableParagraph"/>
              <w:spacing w:before="8"/>
              <w:ind w:right="18"/>
              <w:jc w:val="right"/>
              <w:rPr>
                <w:rFonts w:ascii="Calibri"/>
                <w:sz w:val="22"/>
              </w:rPr>
            </w:pPr>
            <w:r>
              <w:rPr>
                <w:rFonts w:ascii="Calibri"/>
                <w:sz w:val="22"/>
              </w:rPr>
              <w:t>22.5</w:t>
            </w:r>
          </w:p>
        </w:tc>
        <w:tc>
          <w:tcPr>
            <w:tcW w:w="1168" w:type="dxa"/>
            <w:tcBorders>
              <w:top w:val="single" w:sz="6" w:space="0" w:color="000000"/>
            </w:tcBorders>
            <w:shd w:val="clear" w:color="auto" w:fill="B09FC6"/>
          </w:tcPr>
          <w:p>
            <w:pPr>
              <w:pStyle w:val="TableParagraph"/>
              <w:spacing w:before="8"/>
              <w:ind w:right="18"/>
              <w:jc w:val="right"/>
              <w:rPr>
                <w:rFonts w:ascii="Calibri"/>
                <w:sz w:val="22"/>
              </w:rPr>
            </w:pPr>
            <w:r>
              <w:rPr>
                <w:rFonts w:ascii="Calibri"/>
                <w:sz w:val="22"/>
              </w:rPr>
              <w:t>23.7</w:t>
            </w:r>
          </w:p>
        </w:tc>
      </w:tr>
      <w:tr>
        <w:trPr>
          <w:trHeight w:val="291" w:hRule="exact"/>
        </w:trPr>
        <w:tc>
          <w:tcPr>
            <w:tcW w:w="1168" w:type="dxa"/>
            <w:vMerge w:val="restart"/>
            <w:tcBorders>
              <w:left w:val="nil"/>
            </w:tcBorders>
            <w:shd w:val="clear" w:color="auto" w:fill="8DB4E1"/>
          </w:tcPr>
          <w:p>
            <w:pPr>
              <w:pStyle w:val="TableParagraph"/>
              <w:spacing w:before="1"/>
              <w:rPr>
                <w:b/>
                <w:sz w:val="26"/>
              </w:rPr>
            </w:pPr>
          </w:p>
          <w:p>
            <w:pPr>
              <w:pStyle w:val="TableParagraph"/>
              <w:ind w:left="386"/>
              <w:rPr>
                <w:rFonts w:ascii="Calibri"/>
                <w:sz w:val="22"/>
              </w:rPr>
            </w:pPr>
            <w:r>
              <w:rPr>
                <w:rFonts w:ascii="Calibri"/>
                <w:sz w:val="22"/>
              </w:rPr>
              <w:t>2011</w:t>
            </w:r>
          </w:p>
        </w:tc>
        <w:tc>
          <w:tcPr>
            <w:tcW w:w="1168" w:type="dxa"/>
            <w:tcBorders>
              <w:bottom w:val="single" w:sz="6" w:space="0" w:color="000000"/>
              <w:right w:val="single" w:sz="6" w:space="0" w:color="000000"/>
            </w:tcBorders>
            <w:shd w:val="clear" w:color="auto" w:fill="8DB4E1"/>
          </w:tcPr>
          <w:p>
            <w:pPr>
              <w:pStyle w:val="TableParagraph"/>
              <w:spacing w:before="9"/>
              <w:ind w:left="29"/>
              <w:rPr>
                <w:rFonts w:ascii="Calibri"/>
                <w:sz w:val="22"/>
              </w:rPr>
            </w:pPr>
            <w:r>
              <w:rPr>
                <w:rFonts w:ascii="Calibri"/>
                <w:sz w:val="22"/>
              </w:rPr>
              <w:t>Hombres</w:t>
            </w:r>
          </w:p>
        </w:tc>
        <w:tc>
          <w:tcPr>
            <w:tcW w:w="1168" w:type="dxa"/>
            <w:tcBorders>
              <w:left w:val="single" w:sz="6" w:space="0" w:color="000000"/>
              <w:bottom w:val="single" w:sz="6" w:space="0" w:color="000000"/>
            </w:tcBorders>
            <w:shd w:val="clear" w:color="auto" w:fill="8DB4E1"/>
          </w:tcPr>
          <w:p>
            <w:pPr>
              <w:pStyle w:val="TableParagraph"/>
              <w:spacing w:before="9"/>
              <w:ind w:right="18"/>
              <w:jc w:val="right"/>
              <w:rPr>
                <w:rFonts w:ascii="Calibri"/>
                <w:sz w:val="22"/>
              </w:rPr>
            </w:pPr>
            <w:r>
              <w:rPr>
                <w:rFonts w:ascii="Calibri"/>
                <w:sz w:val="22"/>
              </w:rPr>
              <w:t>69.23</w:t>
            </w:r>
          </w:p>
        </w:tc>
        <w:tc>
          <w:tcPr>
            <w:tcW w:w="1168" w:type="dxa"/>
            <w:tcBorders>
              <w:bottom w:val="single" w:sz="6" w:space="0" w:color="000000"/>
            </w:tcBorders>
          </w:tcPr>
          <w:p>
            <w:pPr>
              <w:pStyle w:val="TableParagraph"/>
              <w:spacing w:before="9"/>
              <w:ind w:right="18"/>
              <w:jc w:val="right"/>
              <w:rPr>
                <w:rFonts w:ascii="Calibri"/>
                <w:sz w:val="22"/>
              </w:rPr>
            </w:pPr>
            <w:r>
              <w:rPr>
                <w:rFonts w:ascii="Calibri"/>
                <w:sz w:val="22"/>
              </w:rPr>
              <w:t>73.44</w:t>
            </w:r>
          </w:p>
        </w:tc>
        <w:tc>
          <w:tcPr>
            <w:tcW w:w="1168" w:type="dxa"/>
            <w:tcBorders>
              <w:bottom w:val="single" w:sz="6" w:space="0" w:color="000000"/>
            </w:tcBorders>
            <w:shd w:val="clear" w:color="auto" w:fill="8DB4E1"/>
          </w:tcPr>
          <w:p>
            <w:pPr>
              <w:pStyle w:val="TableParagraph"/>
              <w:spacing w:before="9"/>
              <w:ind w:right="19"/>
              <w:jc w:val="right"/>
              <w:rPr>
                <w:rFonts w:ascii="Calibri"/>
                <w:sz w:val="22"/>
              </w:rPr>
            </w:pPr>
            <w:r>
              <w:rPr>
                <w:rFonts w:ascii="Calibri"/>
                <w:sz w:val="22"/>
              </w:rPr>
              <w:t>84.97</w:t>
            </w:r>
          </w:p>
        </w:tc>
        <w:tc>
          <w:tcPr>
            <w:tcW w:w="1168" w:type="dxa"/>
            <w:tcBorders>
              <w:bottom w:val="single" w:sz="6" w:space="0" w:color="000000"/>
              <w:right w:val="single" w:sz="6" w:space="0" w:color="000000"/>
            </w:tcBorders>
          </w:tcPr>
          <w:p>
            <w:pPr>
              <w:pStyle w:val="TableParagraph"/>
              <w:spacing w:before="9"/>
              <w:ind w:right="18"/>
              <w:jc w:val="right"/>
              <w:rPr>
                <w:rFonts w:ascii="Calibri"/>
                <w:sz w:val="22"/>
              </w:rPr>
            </w:pPr>
            <w:r>
              <w:rPr>
                <w:rFonts w:ascii="Calibri"/>
                <w:sz w:val="22"/>
              </w:rPr>
              <w:t>48.97</w:t>
            </w:r>
          </w:p>
        </w:tc>
        <w:tc>
          <w:tcPr>
            <w:tcW w:w="1168" w:type="dxa"/>
            <w:tcBorders>
              <w:left w:val="single" w:sz="6" w:space="0" w:color="000000"/>
              <w:bottom w:val="single" w:sz="6" w:space="0" w:color="000000"/>
            </w:tcBorders>
            <w:shd w:val="clear" w:color="auto" w:fill="8DB4E1"/>
          </w:tcPr>
          <w:p>
            <w:pPr>
              <w:pStyle w:val="TableParagraph"/>
              <w:spacing w:before="9"/>
              <w:ind w:right="18"/>
              <w:jc w:val="right"/>
              <w:rPr>
                <w:rFonts w:ascii="Calibri"/>
                <w:sz w:val="22"/>
              </w:rPr>
            </w:pPr>
            <w:r>
              <w:rPr>
                <w:rFonts w:ascii="Calibri"/>
                <w:sz w:val="22"/>
              </w:rPr>
              <w:t>78.06</w:t>
            </w:r>
          </w:p>
        </w:tc>
        <w:tc>
          <w:tcPr>
            <w:tcW w:w="1168" w:type="dxa"/>
            <w:tcBorders>
              <w:bottom w:val="single" w:sz="6" w:space="0" w:color="000000"/>
            </w:tcBorders>
          </w:tcPr>
          <w:p>
            <w:pPr>
              <w:pStyle w:val="TableParagraph"/>
              <w:spacing w:before="9"/>
              <w:ind w:right="18"/>
              <w:jc w:val="right"/>
              <w:rPr>
                <w:rFonts w:ascii="Calibri"/>
                <w:sz w:val="22"/>
              </w:rPr>
            </w:pPr>
            <w:r>
              <w:rPr>
                <w:rFonts w:ascii="Calibri"/>
                <w:sz w:val="22"/>
              </w:rPr>
              <w:t>75.15</w:t>
            </w:r>
          </w:p>
        </w:tc>
      </w:tr>
      <w:tr>
        <w:trPr>
          <w:trHeight w:val="291" w:hRule="exact"/>
        </w:trPr>
        <w:tc>
          <w:tcPr>
            <w:tcW w:w="1168" w:type="dxa"/>
            <w:vMerge/>
            <w:tcBorders>
              <w:left w:val="nil"/>
            </w:tcBorders>
            <w:shd w:val="clear" w:color="auto" w:fill="8DB4E1"/>
          </w:tcPr>
          <w:p>
            <w:pPr/>
          </w:p>
        </w:tc>
        <w:tc>
          <w:tcPr>
            <w:tcW w:w="1168" w:type="dxa"/>
            <w:tcBorders>
              <w:top w:val="single" w:sz="6" w:space="0" w:color="000000"/>
              <w:right w:val="single" w:sz="6" w:space="0" w:color="000000"/>
            </w:tcBorders>
            <w:shd w:val="clear" w:color="auto" w:fill="8DB4E1"/>
          </w:tcPr>
          <w:p>
            <w:pPr>
              <w:pStyle w:val="TableParagraph"/>
              <w:spacing w:before="8"/>
              <w:ind w:left="29"/>
              <w:rPr>
                <w:rFonts w:ascii="Calibri"/>
                <w:sz w:val="22"/>
              </w:rPr>
            </w:pPr>
            <w:r>
              <w:rPr>
                <w:rFonts w:ascii="Calibri"/>
                <w:sz w:val="22"/>
              </w:rPr>
              <w:t>Mujeres</w:t>
            </w:r>
          </w:p>
        </w:tc>
        <w:tc>
          <w:tcPr>
            <w:tcW w:w="1168" w:type="dxa"/>
            <w:tcBorders>
              <w:top w:val="single" w:sz="6" w:space="0" w:color="000000"/>
              <w:left w:val="single" w:sz="6" w:space="0" w:color="000000"/>
            </w:tcBorders>
          </w:tcPr>
          <w:p>
            <w:pPr>
              <w:pStyle w:val="TableParagraph"/>
              <w:spacing w:before="8"/>
              <w:ind w:right="18"/>
              <w:jc w:val="right"/>
              <w:rPr>
                <w:rFonts w:ascii="Calibri"/>
                <w:sz w:val="22"/>
              </w:rPr>
            </w:pPr>
            <w:r>
              <w:rPr>
                <w:rFonts w:ascii="Calibri"/>
                <w:sz w:val="22"/>
              </w:rPr>
              <w:t>30.77</w:t>
            </w:r>
          </w:p>
        </w:tc>
        <w:tc>
          <w:tcPr>
            <w:tcW w:w="1168" w:type="dxa"/>
            <w:tcBorders>
              <w:top w:val="single" w:sz="6" w:space="0" w:color="000000"/>
            </w:tcBorders>
            <w:shd w:val="clear" w:color="auto" w:fill="8DB4E1"/>
          </w:tcPr>
          <w:p>
            <w:pPr>
              <w:pStyle w:val="TableParagraph"/>
              <w:spacing w:before="8"/>
              <w:ind w:right="18"/>
              <w:jc w:val="right"/>
              <w:rPr>
                <w:rFonts w:ascii="Calibri"/>
                <w:sz w:val="22"/>
              </w:rPr>
            </w:pPr>
            <w:r>
              <w:rPr>
                <w:rFonts w:ascii="Calibri"/>
                <w:sz w:val="22"/>
              </w:rPr>
              <w:t>26.56</w:t>
            </w:r>
          </w:p>
        </w:tc>
        <w:tc>
          <w:tcPr>
            <w:tcW w:w="1168" w:type="dxa"/>
            <w:tcBorders>
              <w:top w:val="single" w:sz="6" w:space="0" w:color="000000"/>
            </w:tcBorders>
            <w:shd w:val="clear" w:color="auto" w:fill="8DB4E1"/>
          </w:tcPr>
          <w:p>
            <w:pPr>
              <w:pStyle w:val="TableParagraph"/>
              <w:spacing w:before="8"/>
              <w:ind w:right="19"/>
              <w:jc w:val="right"/>
              <w:rPr>
                <w:rFonts w:ascii="Calibri"/>
                <w:sz w:val="22"/>
              </w:rPr>
            </w:pPr>
            <w:r>
              <w:rPr>
                <w:rFonts w:ascii="Calibri"/>
                <w:sz w:val="22"/>
              </w:rPr>
              <w:t>15.03</w:t>
            </w:r>
          </w:p>
        </w:tc>
        <w:tc>
          <w:tcPr>
            <w:tcW w:w="1168" w:type="dxa"/>
            <w:tcBorders>
              <w:top w:val="single" w:sz="6" w:space="0" w:color="000000"/>
              <w:right w:val="single" w:sz="6" w:space="0" w:color="000000"/>
            </w:tcBorders>
            <w:shd w:val="clear" w:color="auto" w:fill="8DB4E1"/>
          </w:tcPr>
          <w:p>
            <w:pPr>
              <w:pStyle w:val="TableParagraph"/>
              <w:spacing w:before="8"/>
              <w:ind w:right="18"/>
              <w:jc w:val="right"/>
              <w:rPr>
                <w:rFonts w:ascii="Calibri"/>
                <w:sz w:val="22"/>
              </w:rPr>
            </w:pPr>
            <w:r>
              <w:rPr>
                <w:rFonts w:ascii="Calibri"/>
                <w:sz w:val="22"/>
              </w:rPr>
              <w:t>51.03</w:t>
            </w:r>
          </w:p>
        </w:tc>
        <w:tc>
          <w:tcPr>
            <w:tcW w:w="1168" w:type="dxa"/>
            <w:tcBorders>
              <w:top w:val="single" w:sz="6" w:space="0" w:color="000000"/>
              <w:left w:val="single" w:sz="6" w:space="0" w:color="000000"/>
            </w:tcBorders>
            <w:shd w:val="clear" w:color="auto" w:fill="8DB4E1"/>
          </w:tcPr>
          <w:p>
            <w:pPr>
              <w:pStyle w:val="TableParagraph"/>
              <w:spacing w:before="8"/>
              <w:ind w:right="18"/>
              <w:jc w:val="right"/>
              <w:rPr>
                <w:rFonts w:ascii="Calibri"/>
                <w:sz w:val="22"/>
              </w:rPr>
            </w:pPr>
            <w:r>
              <w:rPr>
                <w:rFonts w:ascii="Calibri"/>
                <w:sz w:val="22"/>
              </w:rPr>
              <w:t>21.94</w:t>
            </w:r>
          </w:p>
        </w:tc>
        <w:tc>
          <w:tcPr>
            <w:tcW w:w="1168" w:type="dxa"/>
            <w:tcBorders>
              <w:top w:val="single" w:sz="6" w:space="0" w:color="000000"/>
            </w:tcBorders>
            <w:shd w:val="clear" w:color="auto" w:fill="8DB4E1"/>
          </w:tcPr>
          <w:p>
            <w:pPr>
              <w:pStyle w:val="TableParagraph"/>
              <w:spacing w:before="8"/>
              <w:ind w:right="18"/>
              <w:jc w:val="right"/>
              <w:rPr>
                <w:rFonts w:ascii="Calibri"/>
                <w:sz w:val="22"/>
              </w:rPr>
            </w:pPr>
            <w:r>
              <w:rPr>
                <w:rFonts w:ascii="Calibri"/>
                <w:sz w:val="22"/>
              </w:rPr>
              <w:t>24.85</w:t>
            </w:r>
          </w:p>
        </w:tc>
      </w:tr>
      <w:tr>
        <w:trPr>
          <w:trHeight w:val="291" w:hRule="exact"/>
        </w:trPr>
        <w:tc>
          <w:tcPr>
            <w:tcW w:w="1168" w:type="dxa"/>
            <w:vMerge w:val="restart"/>
            <w:tcBorders>
              <w:left w:val="nil"/>
            </w:tcBorders>
            <w:shd w:val="clear" w:color="auto" w:fill="B09FC6"/>
          </w:tcPr>
          <w:p>
            <w:pPr>
              <w:pStyle w:val="TableParagraph"/>
              <w:spacing w:before="1"/>
              <w:rPr>
                <w:b/>
                <w:sz w:val="26"/>
              </w:rPr>
            </w:pPr>
          </w:p>
          <w:p>
            <w:pPr>
              <w:pStyle w:val="TableParagraph"/>
              <w:ind w:left="386"/>
              <w:rPr>
                <w:rFonts w:ascii="Calibri"/>
                <w:sz w:val="22"/>
              </w:rPr>
            </w:pPr>
            <w:r>
              <w:rPr>
                <w:rFonts w:ascii="Calibri"/>
                <w:sz w:val="22"/>
              </w:rPr>
              <w:t>2012</w:t>
            </w:r>
          </w:p>
        </w:tc>
        <w:tc>
          <w:tcPr>
            <w:tcW w:w="1168" w:type="dxa"/>
            <w:tcBorders>
              <w:bottom w:val="single" w:sz="6" w:space="0" w:color="000000"/>
              <w:right w:val="single" w:sz="6" w:space="0" w:color="000000"/>
            </w:tcBorders>
            <w:shd w:val="clear" w:color="auto" w:fill="B09FC6"/>
          </w:tcPr>
          <w:p>
            <w:pPr>
              <w:pStyle w:val="TableParagraph"/>
              <w:spacing w:before="9"/>
              <w:ind w:left="29"/>
              <w:rPr>
                <w:rFonts w:ascii="Calibri"/>
                <w:sz w:val="22"/>
              </w:rPr>
            </w:pPr>
            <w:r>
              <w:rPr>
                <w:rFonts w:ascii="Calibri"/>
                <w:sz w:val="22"/>
              </w:rPr>
              <w:t>Hombres</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63.08</w:t>
            </w:r>
          </w:p>
        </w:tc>
        <w:tc>
          <w:tcPr>
            <w:tcW w:w="1168" w:type="dxa"/>
            <w:tcBorders>
              <w:bottom w:val="single" w:sz="6" w:space="0" w:color="000000"/>
            </w:tcBorders>
            <w:shd w:val="clear" w:color="auto" w:fill="B09FC6"/>
          </w:tcPr>
          <w:p>
            <w:pPr>
              <w:pStyle w:val="TableParagraph"/>
              <w:spacing w:before="9"/>
              <w:ind w:right="18"/>
              <w:jc w:val="right"/>
              <w:rPr>
                <w:rFonts w:ascii="Calibri"/>
                <w:sz w:val="22"/>
              </w:rPr>
            </w:pPr>
            <w:r>
              <w:rPr>
                <w:rFonts w:ascii="Calibri"/>
                <w:sz w:val="22"/>
              </w:rPr>
              <w:t>71.93</w:t>
            </w:r>
          </w:p>
        </w:tc>
        <w:tc>
          <w:tcPr>
            <w:tcW w:w="1168" w:type="dxa"/>
            <w:tcBorders>
              <w:bottom w:val="single" w:sz="6" w:space="0" w:color="000000"/>
            </w:tcBorders>
          </w:tcPr>
          <w:p>
            <w:pPr>
              <w:pStyle w:val="TableParagraph"/>
              <w:spacing w:before="9"/>
              <w:ind w:right="19"/>
              <w:jc w:val="right"/>
              <w:rPr>
                <w:rFonts w:ascii="Calibri"/>
                <w:sz w:val="22"/>
              </w:rPr>
            </w:pPr>
            <w:r>
              <w:rPr>
                <w:rFonts w:ascii="Calibri"/>
                <w:sz w:val="22"/>
              </w:rPr>
              <w:t>85.45</w:t>
            </w:r>
          </w:p>
        </w:tc>
        <w:tc>
          <w:tcPr>
            <w:tcW w:w="1168" w:type="dxa"/>
            <w:tcBorders>
              <w:bottom w:val="single" w:sz="6" w:space="0" w:color="000000"/>
              <w:right w:val="single" w:sz="6" w:space="0" w:color="000000"/>
            </w:tcBorders>
            <w:shd w:val="clear" w:color="auto" w:fill="B09FC6"/>
          </w:tcPr>
          <w:p>
            <w:pPr>
              <w:pStyle w:val="TableParagraph"/>
              <w:spacing w:before="9"/>
              <w:ind w:right="18"/>
              <w:jc w:val="right"/>
              <w:rPr>
                <w:rFonts w:ascii="Calibri"/>
                <w:sz w:val="22"/>
              </w:rPr>
            </w:pPr>
            <w:r>
              <w:rPr>
                <w:rFonts w:ascii="Calibri"/>
                <w:sz w:val="22"/>
              </w:rPr>
              <w:t>43.78</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78.7</w:t>
            </w:r>
          </w:p>
        </w:tc>
        <w:tc>
          <w:tcPr>
            <w:tcW w:w="1168" w:type="dxa"/>
            <w:tcBorders>
              <w:bottom w:val="single" w:sz="6" w:space="0" w:color="000000"/>
            </w:tcBorders>
            <w:shd w:val="clear" w:color="auto" w:fill="B09FC6"/>
          </w:tcPr>
          <w:p>
            <w:pPr>
              <w:pStyle w:val="TableParagraph"/>
              <w:spacing w:before="9"/>
              <w:ind w:right="18"/>
              <w:jc w:val="right"/>
              <w:rPr>
                <w:rFonts w:ascii="Calibri"/>
                <w:sz w:val="22"/>
              </w:rPr>
            </w:pPr>
            <w:r>
              <w:rPr>
                <w:rFonts w:ascii="Calibri"/>
                <w:sz w:val="22"/>
              </w:rPr>
              <w:t>73.94</w:t>
            </w:r>
          </w:p>
        </w:tc>
      </w:tr>
      <w:tr>
        <w:trPr>
          <w:trHeight w:val="291" w:hRule="exact"/>
        </w:trPr>
        <w:tc>
          <w:tcPr>
            <w:tcW w:w="1168" w:type="dxa"/>
            <w:vMerge/>
            <w:tcBorders>
              <w:left w:val="nil"/>
            </w:tcBorders>
            <w:shd w:val="clear" w:color="auto" w:fill="B09FC6"/>
          </w:tcPr>
          <w:p>
            <w:pPr/>
          </w:p>
        </w:tc>
        <w:tc>
          <w:tcPr>
            <w:tcW w:w="1168" w:type="dxa"/>
            <w:tcBorders>
              <w:top w:val="single" w:sz="6" w:space="0" w:color="000000"/>
              <w:right w:val="single" w:sz="6" w:space="0" w:color="000000"/>
            </w:tcBorders>
            <w:shd w:val="clear" w:color="auto" w:fill="B09FC6"/>
          </w:tcPr>
          <w:p>
            <w:pPr>
              <w:pStyle w:val="TableParagraph"/>
              <w:spacing w:before="8"/>
              <w:ind w:left="29"/>
              <w:rPr>
                <w:rFonts w:ascii="Calibri"/>
                <w:sz w:val="22"/>
              </w:rPr>
            </w:pPr>
            <w:r>
              <w:rPr>
                <w:rFonts w:ascii="Calibri"/>
                <w:sz w:val="22"/>
              </w:rPr>
              <w:t>Mujeres</w:t>
            </w:r>
          </w:p>
        </w:tc>
        <w:tc>
          <w:tcPr>
            <w:tcW w:w="1168" w:type="dxa"/>
            <w:tcBorders>
              <w:top w:val="single" w:sz="6" w:space="0" w:color="000000"/>
              <w:left w:val="single" w:sz="6" w:space="0" w:color="000000"/>
            </w:tcBorders>
            <w:shd w:val="clear" w:color="auto" w:fill="B09FC6"/>
          </w:tcPr>
          <w:p>
            <w:pPr>
              <w:pStyle w:val="TableParagraph"/>
              <w:spacing w:before="8"/>
              <w:ind w:right="18"/>
              <w:jc w:val="right"/>
              <w:rPr>
                <w:rFonts w:ascii="Calibri"/>
                <w:sz w:val="22"/>
              </w:rPr>
            </w:pPr>
            <w:r>
              <w:rPr>
                <w:rFonts w:ascii="Calibri"/>
                <w:sz w:val="22"/>
              </w:rPr>
              <w:t>36.92</w:t>
            </w:r>
          </w:p>
        </w:tc>
        <w:tc>
          <w:tcPr>
            <w:tcW w:w="1168" w:type="dxa"/>
            <w:tcBorders>
              <w:top w:val="single" w:sz="6" w:space="0" w:color="000000"/>
            </w:tcBorders>
            <w:shd w:val="clear" w:color="auto" w:fill="B09FC6"/>
          </w:tcPr>
          <w:p>
            <w:pPr>
              <w:pStyle w:val="TableParagraph"/>
              <w:spacing w:before="8"/>
              <w:ind w:right="18"/>
              <w:jc w:val="right"/>
              <w:rPr>
                <w:rFonts w:ascii="Calibri"/>
                <w:sz w:val="22"/>
              </w:rPr>
            </w:pPr>
            <w:r>
              <w:rPr>
                <w:rFonts w:ascii="Calibri"/>
                <w:sz w:val="22"/>
              </w:rPr>
              <w:t>28.07</w:t>
            </w:r>
          </w:p>
        </w:tc>
        <w:tc>
          <w:tcPr>
            <w:tcW w:w="1168" w:type="dxa"/>
            <w:tcBorders>
              <w:top w:val="single" w:sz="6" w:space="0" w:color="000000"/>
            </w:tcBorders>
            <w:shd w:val="clear" w:color="auto" w:fill="B09FC6"/>
          </w:tcPr>
          <w:p>
            <w:pPr>
              <w:pStyle w:val="TableParagraph"/>
              <w:spacing w:before="8"/>
              <w:ind w:right="19"/>
              <w:jc w:val="right"/>
              <w:rPr>
                <w:rFonts w:ascii="Calibri"/>
                <w:sz w:val="22"/>
              </w:rPr>
            </w:pPr>
            <w:r>
              <w:rPr>
                <w:rFonts w:ascii="Calibri"/>
                <w:sz w:val="22"/>
              </w:rPr>
              <w:t>14.55</w:t>
            </w:r>
          </w:p>
        </w:tc>
        <w:tc>
          <w:tcPr>
            <w:tcW w:w="1168" w:type="dxa"/>
            <w:tcBorders>
              <w:top w:val="single" w:sz="6" w:space="0" w:color="000000"/>
              <w:right w:val="single" w:sz="6" w:space="0" w:color="000000"/>
            </w:tcBorders>
            <w:shd w:val="clear" w:color="auto" w:fill="B09FC6"/>
          </w:tcPr>
          <w:p>
            <w:pPr>
              <w:pStyle w:val="TableParagraph"/>
              <w:spacing w:before="8"/>
              <w:ind w:right="18"/>
              <w:jc w:val="right"/>
              <w:rPr>
                <w:rFonts w:ascii="Calibri"/>
                <w:sz w:val="22"/>
              </w:rPr>
            </w:pPr>
            <w:r>
              <w:rPr>
                <w:rFonts w:ascii="Calibri"/>
                <w:sz w:val="22"/>
              </w:rPr>
              <w:t>56.22</w:t>
            </w:r>
          </w:p>
        </w:tc>
        <w:tc>
          <w:tcPr>
            <w:tcW w:w="1168" w:type="dxa"/>
            <w:tcBorders>
              <w:top w:val="single" w:sz="6" w:space="0" w:color="000000"/>
              <w:left w:val="single" w:sz="6" w:space="0" w:color="000000"/>
            </w:tcBorders>
            <w:shd w:val="clear" w:color="auto" w:fill="B09FC6"/>
          </w:tcPr>
          <w:p>
            <w:pPr>
              <w:pStyle w:val="TableParagraph"/>
              <w:spacing w:before="8"/>
              <w:ind w:right="18"/>
              <w:jc w:val="right"/>
              <w:rPr>
                <w:rFonts w:ascii="Calibri"/>
                <w:sz w:val="22"/>
              </w:rPr>
            </w:pPr>
            <w:r>
              <w:rPr>
                <w:rFonts w:ascii="Calibri"/>
                <w:sz w:val="22"/>
              </w:rPr>
              <w:t>21.3</w:t>
            </w:r>
          </w:p>
        </w:tc>
        <w:tc>
          <w:tcPr>
            <w:tcW w:w="1168" w:type="dxa"/>
            <w:tcBorders>
              <w:top w:val="single" w:sz="6" w:space="0" w:color="000000"/>
            </w:tcBorders>
            <w:shd w:val="clear" w:color="auto" w:fill="B09FC6"/>
          </w:tcPr>
          <w:p>
            <w:pPr>
              <w:pStyle w:val="TableParagraph"/>
              <w:spacing w:before="8"/>
              <w:ind w:right="18"/>
              <w:jc w:val="right"/>
              <w:rPr>
                <w:rFonts w:ascii="Calibri"/>
                <w:sz w:val="22"/>
              </w:rPr>
            </w:pPr>
            <w:r>
              <w:rPr>
                <w:rFonts w:ascii="Calibri"/>
                <w:sz w:val="22"/>
              </w:rPr>
              <w:t>26.06</w:t>
            </w:r>
          </w:p>
        </w:tc>
      </w:tr>
      <w:tr>
        <w:trPr>
          <w:trHeight w:val="291" w:hRule="exact"/>
        </w:trPr>
        <w:tc>
          <w:tcPr>
            <w:tcW w:w="1168" w:type="dxa"/>
            <w:vMerge w:val="restart"/>
            <w:tcBorders>
              <w:left w:val="nil"/>
            </w:tcBorders>
            <w:shd w:val="clear" w:color="auto" w:fill="8DB4E1"/>
          </w:tcPr>
          <w:p>
            <w:pPr>
              <w:pStyle w:val="TableParagraph"/>
              <w:spacing w:before="1"/>
              <w:rPr>
                <w:b/>
                <w:sz w:val="26"/>
              </w:rPr>
            </w:pPr>
          </w:p>
          <w:p>
            <w:pPr>
              <w:pStyle w:val="TableParagraph"/>
              <w:ind w:left="386"/>
              <w:rPr>
                <w:rFonts w:ascii="Calibri"/>
                <w:sz w:val="22"/>
              </w:rPr>
            </w:pPr>
            <w:r>
              <w:rPr>
                <w:rFonts w:ascii="Calibri"/>
                <w:sz w:val="22"/>
              </w:rPr>
              <w:t>2013</w:t>
            </w:r>
          </w:p>
        </w:tc>
        <w:tc>
          <w:tcPr>
            <w:tcW w:w="1168" w:type="dxa"/>
            <w:tcBorders>
              <w:bottom w:val="single" w:sz="6" w:space="0" w:color="000000"/>
              <w:right w:val="single" w:sz="6" w:space="0" w:color="000000"/>
            </w:tcBorders>
            <w:shd w:val="clear" w:color="auto" w:fill="8DB4E1"/>
          </w:tcPr>
          <w:p>
            <w:pPr>
              <w:pStyle w:val="TableParagraph"/>
              <w:spacing w:before="9"/>
              <w:ind w:left="29"/>
              <w:rPr>
                <w:rFonts w:ascii="Calibri"/>
                <w:sz w:val="22"/>
              </w:rPr>
            </w:pPr>
            <w:r>
              <w:rPr>
                <w:rFonts w:ascii="Calibri"/>
                <w:sz w:val="22"/>
              </w:rPr>
              <w:t>Hombres</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72.34</w:t>
            </w:r>
          </w:p>
        </w:tc>
        <w:tc>
          <w:tcPr>
            <w:tcW w:w="1168" w:type="dxa"/>
            <w:tcBorders>
              <w:bottom w:val="single" w:sz="6" w:space="0" w:color="000000"/>
            </w:tcBorders>
            <w:shd w:val="clear" w:color="auto" w:fill="8DB4E1"/>
          </w:tcPr>
          <w:p>
            <w:pPr>
              <w:pStyle w:val="TableParagraph"/>
              <w:spacing w:before="9"/>
              <w:ind w:right="27"/>
              <w:jc w:val="right"/>
              <w:rPr>
                <w:rFonts w:ascii="Calibri"/>
                <w:sz w:val="22"/>
              </w:rPr>
            </w:pPr>
            <w:r>
              <w:rPr>
                <w:rFonts w:ascii="Calibri"/>
                <w:sz w:val="22"/>
              </w:rPr>
              <w:t>70</w:t>
            </w:r>
          </w:p>
        </w:tc>
        <w:tc>
          <w:tcPr>
            <w:tcW w:w="1168" w:type="dxa"/>
            <w:tcBorders>
              <w:bottom w:val="single" w:sz="6" w:space="0" w:color="000000"/>
            </w:tcBorders>
          </w:tcPr>
          <w:p>
            <w:pPr>
              <w:pStyle w:val="TableParagraph"/>
              <w:spacing w:before="9"/>
              <w:ind w:right="19"/>
              <w:jc w:val="right"/>
              <w:rPr>
                <w:rFonts w:ascii="Calibri"/>
                <w:sz w:val="22"/>
              </w:rPr>
            </w:pPr>
            <w:r>
              <w:rPr>
                <w:rFonts w:ascii="Calibri"/>
                <w:sz w:val="22"/>
              </w:rPr>
              <w:t>84.45</w:t>
            </w:r>
          </w:p>
        </w:tc>
        <w:tc>
          <w:tcPr>
            <w:tcW w:w="1168" w:type="dxa"/>
            <w:tcBorders>
              <w:bottom w:val="single" w:sz="6" w:space="0" w:color="000000"/>
              <w:right w:val="single" w:sz="6" w:space="0" w:color="000000"/>
            </w:tcBorders>
            <w:shd w:val="clear" w:color="auto" w:fill="8DB4E1"/>
          </w:tcPr>
          <w:p>
            <w:pPr>
              <w:pStyle w:val="TableParagraph"/>
              <w:spacing w:before="9"/>
              <w:ind w:right="18"/>
              <w:jc w:val="right"/>
              <w:rPr>
                <w:rFonts w:ascii="Calibri"/>
                <w:sz w:val="22"/>
              </w:rPr>
            </w:pPr>
            <w:r>
              <w:rPr>
                <w:rFonts w:ascii="Calibri"/>
                <w:sz w:val="22"/>
              </w:rPr>
              <w:t>47.7</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76.74</w:t>
            </w:r>
          </w:p>
        </w:tc>
        <w:tc>
          <w:tcPr>
            <w:tcW w:w="1168" w:type="dxa"/>
            <w:tcBorders>
              <w:bottom w:val="single" w:sz="6" w:space="0" w:color="000000"/>
            </w:tcBorders>
            <w:shd w:val="clear" w:color="auto" w:fill="8DB4E1"/>
          </w:tcPr>
          <w:p>
            <w:pPr>
              <w:pStyle w:val="TableParagraph"/>
              <w:spacing w:before="9"/>
              <w:ind w:right="18"/>
              <w:jc w:val="right"/>
              <w:rPr>
                <w:rFonts w:ascii="Calibri"/>
                <w:sz w:val="22"/>
              </w:rPr>
            </w:pPr>
            <w:r>
              <w:rPr>
                <w:rFonts w:ascii="Calibri"/>
                <w:sz w:val="22"/>
              </w:rPr>
              <w:t>73.71</w:t>
            </w:r>
          </w:p>
        </w:tc>
      </w:tr>
      <w:tr>
        <w:trPr>
          <w:trHeight w:val="291" w:hRule="exact"/>
        </w:trPr>
        <w:tc>
          <w:tcPr>
            <w:tcW w:w="1168" w:type="dxa"/>
            <w:vMerge/>
            <w:tcBorders>
              <w:left w:val="nil"/>
            </w:tcBorders>
            <w:shd w:val="clear" w:color="auto" w:fill="8DB4E1"/>
          </w:tcPr>
          <w:p>
            <w:pPr/>
          </w:p>
        </w:tc>
        <w:tc>
          <w:tcPr>
            <w:tcW w:w="1168" w:type="dxa"/>
            <w:tcBorders>
              <w:top w:val="single" w:sz="6" w:space="0" w:color="000000"/>
              <w:right w:val="single" w:sz="6" w:space="0" w:color="000000"/>
            </w:tcBorders>
            <w:shd w:val="clear" w:color="auto" w:fill="8DB4E1"/>
          </w:tcPr>
          <w:p>
            <w:pPr>
              <w:pStyle w:val="TableParagraph"/>
              <w:spacing w:before="8"/>
              <w:ind w:left="29"/>
              <w:rPr>
                <w:rFonts w:ascii="Calibri"/>
                <w:sz w:val="22"/>
              </w:rPr>
            </w:pPr>
            <w:r>
              <w:rPr>
                <w:rFonts w:ascii="Calibri"/>
                <w:sz w:val="22"/>
              </w:rPr>
              <w:t>Mujeres</w:t>
            </w:r>
          </w:p>
        </w:tc>
        <w:tc>
          <w:tcPr>
            <w:tcW w:w="1168" w:type="dxa"/>
            <w:tcBorders>
              <w:top w:val="single" w:sz="6" w:space="0" w:color="000000"/>
              <w:left w:val="single" w:sz="6" w:space="0" w:color="000000"/>
            </w:tcBorders>
            <w:shd w:val="clear" w:color="auto" w:fill="8DB4E1"/>
          </w:tcPr>
          <w:p>
            <w:pPr>
              <w:pStyle w:val="TableParagraph"/>
              <w:spacing w:before="8"/>
              <w:ind w:right="18"/>
              <w:jc w:val="right"/>
              <w:rPr>
                <w:rFonts w:ascii="Calibri"/>
                <w:sz w:val="22"/>
              </w:rPr>
            </w:pPr>
            <w:r>
              <w:rPr>
                <w:rFonts w:ascii="Calibri"/>
                <w:sz w:val="22"/>
              </w:rPr>
              <w:t>27.66</w:t>
            </w:r>
          </w:p>
        </w:tc>
        <w:tc>
          <w:tcPr>
            <w:tcW w:w="1168" w:type="dxa"/>
            <w:tcBorders>
              <w:top w:val="single" w:sz="6" w:space="0" w:color="000000"/>
            </w:tcBorders>
            <w:shd w:val="clear" w:color="auto" w:fill="8DB4E1"/>
          </w:tcPr>
          <w:p>
            <w:pPr>
              <w:pStyle w:val="TableParagraph"/>
              <w:spacing w:before="8"/>
              <w:ind w:right="27"/>
              <w:jc w:val="right"/>
              <w:rPr>
                <w:rFonts w:ascii="Calibri"/>
                <w:sz w:val="22"/>
              </w:rPr>
            </w:pPr>
            <w:r>
              <w:rPr>
                <w:rFonts w:ascii="Calibri"/>
                <w:sz w:val="22"/>
              </w:rPr>
              <w:t>30</w:t>
            </w:r>
          </w:p>
        </w:tc>
        <w:tc>
          <w:tcPr>
            <w:tcW w:w="1168" w:type="dxa"/>
            <w:tcBorders>
              <w:top w:val="single" w:sz="6" w:space="0" w:color="000000"/>
            </w:tcBorders>
            <w:shd w:val="clear" w:color="auto" w:fill="8DB4E1"/>
          </w:tcPr>
          <w:p>
            <w:pPr>
              <w:pStyle w:val="TableParagraph"/>
              <w:spacing w:before="8"/>
              <w:ind w:right="19"/>
              <w:jc w:val="right"/>
              <w:rPr>
                <w:rFonts w:ascii="Calibri"/>
                <w:sz w:val="22"/>
              </w:rPr>
            </w:pPr>
            <w:r>
              <w:rPr>
                <w:rFonts w:ascii="Calibri"/>
                <w:sz w:val="22"/>
              </w:rPr>
              <w:t>15.55</w:t>
            </w:r>
          </w:p>
        </w:tc>
        <w:tc>
          <w:tcPr>
            <w:tcW w:w="1168" w:type="dxa"/>
            <w:tcBorders>
              <w:top w:val="single" w:sz="6" w:space="0" w:color="000000"/>
              <w:right w:val="single" w:sz="6" w:space="0" w:color="000000"/>
            </w:tcBorders>
            <w:shd w:val="clear" w:color="auto" w:fill="8DB4E1"/>
          </w:tcPr>
          <w:p>
            <w:pPr>
              <w:pStyle w:val="TableParagraph"/>
              <w:spacing w:before="8"/>
              <w:ind w:right="18"/>
              <w:jc w:val="right"/>
              <w:rPr>
                <w:rFonts w:ascii="Calibri"/>
                <w:sz w:val="22"/>
              </w:rPr>
            </w:pPr>
            <w:r>
              <w:rPr>
                <w:rFonts w:ascii="Calibri"/>
                <w:sz w:val="22"/>
              </w:rPr>
              <w:t>52.3</w:t>
            </w:r>
          </w:p>
        </w:tc>
        <w:tc>
          <w:tcPr>
            <w:tcW w:w="1168" w:type="dxa"/>
            <w:tcBorders>
              <w:top w:val="single" w:sz="6" w:space="0" w:color="000000"/>
              <w:left w:val="single" w:sz="6" w:space="0" w:color="000000"/>
            </w:tcBorders>
            <w:shd w:val="clear" w:color="auto" w:fill="8DB4E1"/>
          </w:tcPr>
          <w:p>
            <w:pPr>
              <w:pStyle w:val="TableParagraph"/>
              <w:spacing w:before="8"/>
              <w:ind w:right="18"/>
              <w:jc w:val="right"/>
              <w:rPr>
                <w:rFonts w:ascii="Calibri"/>
                <w:sz w:val="22"/>
              </w:rPr>
            </w:pPr>
            <w:r>
              <w:rPr>
                <w:rFonts w:ascii="Calibri"/>
                <w:sz w:val="22"/>
              </w:rPr>
              <w:t>23.26</w:t>
            </w:r>
          </w:p>
        </w:tc>
        <w:tc>
          <w:tcPr>
            <w:tcW w:w="1168" w:type="dxa"/>
            <w:tcBorders>
              <w:top w:val="single" w:sz="6" w:space="0" w:color="000000"/>
            </w:tcBorders>
            <w:shd w:val="clear" w:color="auto" w:fill="8DB4E1"/>
          </w:tcPr>
          <w:p>
            <w:pPr>
              <w:pStyle w:val="TableParagraph"/>
              <w:spacing w:before="8"/>
              <w:ind w:right="18"/>
              <w:jc w:val="right"/>
              <w:rPr>
                <w:rFonts w:ascii="Calibri"/>
                <w:sz w:val="22"/>
              </w:rPr>
            </w:pPr>
            <w:r>
              <w:rPr>
                <w:rFonts w:ascii="Calibri"/>
                <w:sz w:val="22"/>
              </w:rPr>
              <w:t>26.29</w:t>
            </w:r>
          </w:p>
        </w:tc>
      </w:tr>
    </w:tbl>
    <w:p>
      <w:pPr>
        <w:pStyle w:val="BodyText"/>
        <w:rPr>
          <w:b/>
          <w:sz w:val="28"/>
        </w:rPr>
      </w:pPr>
    </w:p>
    <w:p>
      <w:pPr>
        <w:spacing w:before="0"/>
        <w:ind w:left="100" w:right="0" w:firstLine="0"/>
        <w:jc w:val="both"/>
        <w:rPr>
          <w:b/>
          <w:sz w:val="18"/>
        </w:rPr>
      </w:pPr>
      <w:r>
        <w:rPr>
          <w:b/>
          <w:color w:val="4F81BC"/>
          <w:sz w:val="18"/>
        </w:rPr>
        <w:t>Figure 2Elaboración propia con base a información de la UAEH [2011, 2012, 2013, 2014].</w:t>
      </w:r>
    </w:p>
    <w:p>
      <w:pPr>
        <w:pStyle w:val="BodyText"/>
        <w:rPr>
          <w:b/>
          <w:sz w:val="18"/>
        </w:rPr>
      </w:pPr>
    </w:p>
    <w:p>
      <w:pPr>
        <w:pStyle w:val="BodyText"/>
        <w:rPr>
          <w:b/>
          <w:sz w:val="18"/>
        </w:rPr>
      </w:pPr>
    </w:p>
    <w:p>
      <w:pPr>
        <w:pStyle w:val="BodyText"/>
        <w:spacing w:before="6"/>
        <w:rPr>
          <w:b/>
          <w:sz w:val="25"/>
        </w:rPr>
      </w:pPr>
    </w:p>
    <w:p>
      <w:pPr>
        <w:spacing w:line="278" w:lineRule="auto" w:before="1"/>
        <w:ind w:left="100" w:right="207" w:firstLine="0"/>
        <w:jc w:val="both"/>
        <w:rPr>
          <w:b/>
          <w:sz w:val="22"/>
        </w:rPr>
      </w:pPr>
      <w:bookmarkStart w:name="_bookmark10" w:id="11"/>
      <w:bookmarkEnd w:id="11"/>
      <w:r>
        <w:rPr/>
      </w:r>
      <w:r>
        <w:rPr>
          <w:b/>
          <w:color w:val="4F81BC"/>
          <w:sz w:val="22"/>
        </w:rPr>
        <w:t>Porcentaje de estudiantes que cursan estudios dentro del ICBI desagregados por sexo y licenciatura en un periodo de 2010 a 2013</w:t>
      </w: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68"/>
        <w:gridCol w:w="1168"/>
        <w:gridCol w:w="1168"/>
        <w:gridCol w:w="1168"/>
        <w:gridCol w:w="1168"/>
        <w:gridCol w:w="1168"/>
        <w:gridCol w:w="1168"/>
        <w:gridCol w:w="1168"/>
      </w:tblGrid>
      <w:tr>
        <w:trPr>
          <w:trHeight w:val="876" w:hRule="exact"/>
        </w:trPr>
        <w:tc>
          <w:tcPr>
            <w:tcW w:w="1168" w:type="dxa"/>
          </w:tcPr>
          <w:p>
            <w:pPr/>
          </w:p>
        </w:tc>
        <w:tc>
          <w:tcPr>
            <w:tcW w:w="1168" w:type="dxa"/>
            <w:tcBorders>
              <w:right w:val="single" w:sz="6" w:space="0" w:color="000000"/>
            </w:tcBorders>
            <w:shd w:val="clear" w:color="auto" w:fill="B7DEE8"/>
          </w:tcPr>
          <w:p>
            <w:pPr>
              <w:pStyle w:val="TableParagraph"/>
              <w:rPr>
                <w:b/>
                <w:sz w:val="22"/>
              </w:rPr>
            </w:pPr>
          </w:p>
          <w:p>
            <w:pPr>
              <w:pStyle w:val="TableParagraph"/>
              <w:spacing w:before="7"/>
              <w:rPr>
                <w:b/>
                <w:sz w:val="29"/>
              </w:rPr>
            </w:pPr>
          </w:p>
          <w:p>
            <w:pPr>
              <w:pStyle w:val="TableParagraph"/>
              <w:ind w:left="29" w:right="84"/>
              <w:rPr>
                <w:rFonts w:ascii="Calibri" w:hAnsi="Calibri"/>
                <w:sz w:val="22"/>
              </w:rPr>
            </w:pPr>
            <w:r>
              <w:rPr>
                <w:rFonts w:ascii="Calibri" w:hAnsi="Calibri"/>
                <w:sz w:val="22"/>
              </w:rPr>
              <w:t>Ingeniería</w:t>
            </w:r>
          </w:p>
        </w:tc>
        <w:tc>
          <w:tcPr>
            <w:tcW w:w="1168" w:type="dxa"/>
            <w:tcBorders>
              <w:left w:val="single" w:sz="6" w:space="0" w:color="000000"/>
            </w:tcBorders>
            <w:shd w:val="clear" w:color="auto" w:fill="528DD4"/>
          </w:tcPr>
          <w:p>
            <w:pPr>
              <w:pStyle w:val="TableParagraph"/>
              <w:rPr>
                <w:b/>
                <w:sz w:val="22"/>
              </w:rPr>
            </w:pPr>
          </w:p>
          <w:p>
            <w:pPr>
              <w:pStyle w:val="TableParagraph"/>
              <w:spacing w:before="7"/>
              <w:rPr>
                <w:b/>
                <w:sz w:val="29"/>
              </w:rPr>
            </w:pPr>
          </w:p>
          <w:p>
            <w:pPr>
              <w:pStyle w:val="TableParagraph"/>
              <w:ind w:left="29"/>
              <w:rPr>
                <w:rFonts w:ascii="Calibri"/>
                <w:sz w:val="22"/>
              </w:rPr>
            </w:pPr>
            <w:r>
              <w:rPr>
                <w:rFonts w:ascii="Calibri"/>
                <w:sz w:val="22"/>
              </w:rPr>
              <w:t>Civil</w:t>
            </w:r>
          </w:p>
        </w:tc>
        <w:tc>
          <w:tcPr>
            <w:tcW w:w="1168" w:type="dxa"/>
            <w:shd w:val="clear" w:color="auto" w:fill="528DD4"/>
          </w:tcPr>
          <w:p>
            <w:pPr>
              <w:pStyle w:val="TableParagraph"/>
              <w:spacing w:before="2"/>
              <w:rPr>
                <w:b/>
                <w:sz w:val="26"/>
              </w:rPr>
            </w:pPr>
          </w:p>
          <w:p>
            <w:pPr>
              <w:pStyle w:val="TableParagraph"/>
              <w:spacing w:line="261" w:lineRule="auto"/>
              <w:ind w:left="29"/>
              <w:rPr>
                <w:rFonts w:ascii="Calibri" w:hAnsi="Calibri"/>
                <w:sz w:val="22"/>
              </w:rPr>
            </w:pPr>
            <w:r>
              <w:rPr>
                <w:rFonts w:ascii="Calibri" w:hAnsi="Calibri"/>
                <w:sz w:val="22"/>
              </w:rPr>
              <w:t>Matemática s</w:t>
            </w:r>
          </w:p>
        </w:tc>
        <w:tc>
          <w:tcPr>
            <w:tcW w:w="1168" w:type="dxa"/>
            <w:shd w:val="clear" w:color="auto" w:fill="528DD4"/>
          </w:tcPr>
          <w:p>
            <w:pPr>
              <w:pStyle w:val="TableParagraph"/>
              <w:rPr>
                <w:b/>
                <w:sz w:val="22"/>
              </w:rPr>
            </w:pPr>
          </w:p>
          <w:p>
            <w:pPr>
              <w:pStyle w:val="TableParagraph"/>
              <w:spacing w:before="7"/>
              <w:rPr>
                <w:b/>
                <w:sz w:val="29"/>
              </w:rPr>
            </w:pPr>
          </w:p>
          <w:p>
            <w:pPr>
              <w:pStyle w:val="TableParagraph"/>
              <w:ind w:left="29"/>
              <w:rPr>
                <w:rFonts w:ascii="Calibri" w:hAnsi="Calibri"/>
                <w:sz w:val="22"/>
              </w:rPr>
            </w:pPr>
            <w:r>
              <w:rPr>
                <w:rFonts w:ascii="Calibri" w:hAnsi="Calibri"/>
                <w:sz w:val="22"/>
              </w:rPr>
              <w:t>Química</w:t>
            </w:r>
          </w:p>
        </w:tc>
        <w:tc>
          <w:tcPr>
            <w:tcW w:w="1168" w:type="dxa"/>
            <w:tcBorders>
              <w:right w:val="single" w:sz="6" w:space="0" w:color="000000"/>
            </w:tcBorders>
            <w:shd w:val="clear" w:color="auto" w:fill="528DD4"/>
          </w:tcPr>
          <w:p>
            <w:pPr>
              <w:pStyle w:val="TableParagraph"/>
              <w:spacing w:line="261" w:lineRule="auto" w:before="9"/>
              <w:ind w:left="29"/>
              <w:rPr>
                <w:rFonts w:ascii="Calibri"/>
                <w:sz w:val="22"/>
              </w:rPr>
            </w:pPr>
            <w:r>
              <w:rPr>
                <w:rFonts w:ascii="Calibri"/>
                <w:sz w:val="22"/>
              </w:rPr>
              <w:t>Sistemas computacio nales</w:t>
            </w:r>
          </w:p>
        </w:tc>
        <w:tc>
          <w:tcPr>
            <w:tcW w:w="1168" w:type="dxa"/>
            <w:tcBorders>
              <w:left w:val="single" w:sz="6" w:space="0" w:color="000000"/>
            </w:tcBorders>
            <w:shd w:val="clear" w:color="auto" w:fill="528DD4"/>
          </w:tcPr>
          <w:p>
            <w:pPr>
              <w:pStyle w:val="TableParagraph"/>
              <w:rPr>
                <w:b/>
                <w:sz w:val="22"/>
              </w:rPr>
            </w:pPr>
          </w:p>
          <w:p>
            <w:pPr>
              <w:pStyle w:val="TableParagraph"/>
              <w:spacing w:before="7"/>
              <w:rPr>
                <w:b/>
                <w:sz w:val="29"/>
              </w:rPr>
            </w:pPr>
          </w:p>
          <w:p>
            <w:pPr>
              <w:pStyle w:val="TableParagraph"/>
              <w:ind w:left="29"/>
              <w:rPr>
                <w:rFonts w:ascii="Calibri" w:hAnsi="Calibri"/>
                <w:sz w:val="22"/>
              </w:rPr>
            </w:pPr>
            <w:r>
              <w:rPr>
                <w:rFonts w:ascii="Calibri" w:hAnsi="Calibri"/>
                <w:sz w:val="22"/>
              </w:rPr>
              <w:t>Biología</w:t>
            </w:r>
          </w:p>
        </w:tc>
        <w:tc>
          <w:tcPr>
            <w:tcW w:w="1168" w:type="dxa"/>
            <w:shd w:val="clear" w:color="auto" w:fill="528DD4"/>
          </w:tcPr>
          <w:p>
            <w:pPr>
              <w:pStyle w:val="TableParagraph"/>
              <w:spacing w:before="2"/>
              <w:rPr>
                <w:b/>
                <w:sz w:val="26"/>
              </w:rPr>
            </w:pPr>
          </w:p>
          <w:p>
            <w:pPr>
              <w:pStyle w:val="TableParagraph"/>
              <w:spacing w:line="261" w:lineRule="auto"/>
              <w:ind w:left="29"/>
              <w:rPr>
                <w:rFonts w:ascii="Calibri" w:hAnsi="Calibri"/>
                <w:sz w:val="22"/>
              </w:rPr>
            </w:pPr>
            <w:r>
              <w:rPr>
                <w:rFonts w:ascii="Calibri" w:hAnsi="Calibri"/>
                <w:sz w:val="22"/>
              </w:rPr>
              <w:t>Química en Alimentos</w:t>
            </w:r>
          </w:p>
        </w:tc>
      </w:tr>
      <w:tr>
        <w:trPr>
          <w:trHeight w:val="292" w:hRule="exact"/>
        </w:trPr>
        <w:tc>
          <w:tcPr>
            <w:tcW w:w="1168" w:type="dxa"/>
            <w:vMerge w:val="restart"/>
            <w:tcBorders>
              <w:left w:val="nil"/>
            </w:tcBorders>
            <w:shd w:val="clear" w:color="auto" w:fill="B09FC6"/>
          </w:tcPr>
          <w:p>
            <w:pPr>
              <w:pStyle w:val="TableParagraph"/>
              <w:spacing w:before="2"/>
              <w:rPr>
                <w:b/>
                <w:sz w:val="26"/>
              </w:rPr>
            </w:pPr>
          </w:p>
          <w:p>
            <w:pPr>
              <w:pStyle w:val="TableParagraph"/>
              <w:ind w:left="386"/>
              <w:rPr>
                <w:rFonts w:ascii="Calibri"/>
                <w:sz w:val="22"/>
              </w:rPr>
            </w:pPr>
            <w:r>
              <w:rPr>
                <w:rFonts w:ascii="Calibri"/>
                <w:sz w:val="22"/>
              </w:rPr>
              <w:t>2010</w:t>
            </w:r>
          </w:p>
        </w:tc>
        <w:tc>
          <w:tcPr>
            <w:tcW w:w="1168" w:type="dxa"/>
            <w:tcBorders>
              <w:right w:val="single" w:sz="6" w:space="0" w:color="000000"/>
            </w:tcBorders>
            <w:shd w:val="clear" w:color="auto" w:fill="B09FC6"/>
          </w:tcPr>
          <w:p>
            <w:pPr>
              <w:pStyle w:val="TableParagraph"/>
              <w:spacing w:before="9"/>
              <w:ind w:left="29" w:right="84"/>
              <w:rPr>
                <w:rFonts w:ascii="Calibri"/>
                <w:sz w:val="22"/>
              </w:rPr>
            </w:pPr>
            <w:r>
              <w:rPr>
                <w:rFonts w:ascii="Calibri"/>
                <w:sz w:val="22"/>
              </w:rPr>
              <w:t>Hombres</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83.4</w:t>
            </w:r>
          </w:p>
        </w:tc>
        <w:tc>
          <w:tcPr>
            <w:tcW w:w="1168" w:type="dxa"/>
            <w:shd w:val="clear" w:color="auto" w:fill="B09FC6"/>
          </w:tcPr>
          <w:p>
            <w:pPr>
              <w:pStyle w:val="TableParagraph"/>
              <w:spacing w:before="9"/>
              <w:ind w:right="18"/>
              <w:jc w:val="right"/>
              <w:rPr>
                <w:rFonts w:ascii="Calibri"/>
                <w:sz w:val="22"/>
              </w:rPr>
            </w:pPr>
            <w:r>
              <w:rPr>
                <w:rFonts w:ascii="Calibri"/>
                <w:sz w:val="22"/>
              </w:rPr>
              <w:t>57.97</w:t>
            </w:r>
          </w:p>
        </w:tc>
        <w:tc>
          <w:tcPr>
            <w:tcW w:w="1168" w:type="dxa"/>
          </w:tcPr>
          <w:p>
            <w:pPr>
              <w:pStyle w:val="TableParagraph"/>
              <w:spacing w:before="9"/>
              <w:ind w:right="19"/>
              <w:jc w:val="right"/>
              <w:rPr>
                <w:rFonts w:ascii="Calibri"/>
                <w:sz w:val="22"/>
              </w:rPr>
            </w:pPr>
            <w:r>
              <w:rPr>
                <w:rFonts w:ascii="Calibri"/>
                <w:sz w:val="22"/>
              </w:rPr>
              <w:t>43.35</w:t>
            </w:r>
          </w:p>
        </w:tc>
        <w:tc>
          <w:tcPr>
            <w:tcW w:w="1168" w:type="dxa"/>
            <w:tcBorders>
              <w:right w:val="single" w:sz="6" w:space="0" w:color="000000"/>
            </w:tcBorders>
            <w:shd w:val="clear" w:color="auto" w:fill="B09FC6"/>
          </w:tcPr>
          <w:p>
            <w:pPr>
              <w:pStyle w:val="TableParagraph"/>
              <w:spacing w:before="9"/>
              <w:ind w:right="18"/>
              <w:jc w:val="right"/>
              <w:rPr>
                <w:rFonts w:ascii="Calibri"/>
                <w:sz w:val="22"/>
              </w:rPr>
            </w:pPr>
            <w:r>
              <w:rPr>
                <w:rFonts w:ascii="Calibri"/>
                <w:sz w:val="22"/>
              </w:rPr>
              <w:t>69.95</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42.36</w:t>
            </w:r>
          </w:p>
        </w:tc>
        <w:tc>
          <w:tcPr>
            <w:tcW w:w="1168" w:type="dxa"/>
            <w:shd w:val="clear" w:color="auto" w:fill="B09FC6"/>
          </w:tcPr>
          <w:p>
            <w:pPr>
              <w:pStyle w:val="TableParagraph"/>
              <w:spacing w:before="9"/>
              <w:ind w:right="18"/>
              <w:jc w:val="right"/>
              <w:rPr>
                <w:rFonts w:ascii="Calibri"/>
                <w:sz w:val="22"/>
              </w:rPr>
            </w:pPr>
            <w:r>
              <w:rPr>
                <w:rFonts w:ascii="Calibri"/>
                <w:sz w:val="22"/>
              </w:rPr>
              <w:t>35.98</w:t>
            </w:r>
          </w:p>
        </w:tc>
      </w:tr>
      <w:tr>
        <w:trPr>
          <w:trHeight w:val="292" w:hRule="exact"/>
        </w:trPr>
        <w:tc>
          <w:tcPr>
            <w:tcW w:w="1168" w:type="dxa"/>
            <w:vMerge/>
            <w:tcBorders>
              <w:left w:val="nil"/>
            </w:tcBorders>
            <w:shd w:val="clear" w:color="auto" w:fill="B09FC6"/>
          </w:tcPr>
          <w:p>
            <w:pPr/>
          </w:p>
        </w:tc>
        <w:tc>
          <w:tcPr>
            <w:tcW w:w="1168" w:type="dxa"/>
            <w:tcBorders>
              <w:right w:val="single" w:sz="6" w:space="0" w:color="000000"/>
            </w:tcBorders>
            <w:shd w:val="clear" w:color="auto" w:fill="B09FC6"/>
          </w:tcPr>
          <w:p>
            <w:pPr>
              <w:pStyle w:val="TableParagraph"/>
              <w:spacing w:before="9"/>
              <w:ind w:left="29" w:right="84"/>
              <w:rPr>
                <w:rFonts w:ascii="Calibri"/>
                <w:sz w:val="22"/>
              </w:rPr>
            </w:pPr>
            <w:r>
              <w:rPr>
                <w:rFonts w:ascii="Calibri"/>
                <w:sz w:val="22"/>
              </w:rPr>
              <w:t>Mujeres</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16.6</w:t>
            </w:r>
          </w:p>
        </w:tc>
        <w:tc>
          <w:tcPr>
            <w:tcW w:w="1168" w:type="dxa"/>
            <w:shd w:val="clear" w:color="auto" w:fill="B09FC6"/>
          </w:tcPr>
          <w:p>
            <w:pPr>
              <w:pStyle w:val="TableParagraph"/>
              <w:spacing w:before="9"/>
              <w:ind w:right="18"/>
              <w:jc w:val="right"/>
              <w:rPr>
                <w:rFonts w:ascii="Calibri"/>
                <w:sz w:val="22"/>
              </w:rPr>
            </w:pPr>
            <w:r>
              <w:rPr>
                <w:rFonts w:ascii="Calibri"/>
                <w:sz w:val="22"/>
              </w:rPr>
              <w:t>42.03</w:t>
            </w:r>
          </w:p>
        </w:tc>
        <w:tc>
          <w:tcPr>
            <w:tcW w:w="1168" w:type="dxa"/>
          </w:tcPr>
          <w:p>
            <w:pPr>
              <w:pStyle w:val="TableParagraph"/>
              <w:spacing w:before="9"/>
              <w:ind w:right="19"/>
              <w:jc w:val="right"/>
              <w:rPr>
                <w:rFonts w:ascii="Calibri"/>
                <w:sz w:val="22"/>
              </w:rPr>
            </w:pPr>
            <w:r>
              <w:rPr>
                <w:rFonts w:ascii="Calibri"/>
                <w:sz w:val="22"/>
              </w:rPr>
              <w:t>56.65</w:t>
            </w:r>
          </w:p>
        </w:tc>
        <w:tc>
          <w:tcPr>
            <w:tcW w:w="1168" w:type="dxa"/>
            <w:tcBorders>
              <w:right w:val="single" w:sz="6" w:space="0" w:color="000000"/>
            </w:tcBorders>
            <w:shd w:val="clear" w:color="auto" w:fill="B09FC6"/>
          </w:tcPr>
          <w:p>
            <w:pPr>
              <w:pStyle w:val="TableParagraph"/>
              <w:spacing w:before="9"/>
              <w:ind w:right="18"/>
              <w:jc w:val="right"/>
              <w:rPr>
                <w:rFonts w:ascii="Calibri"/>
                <w:sz w:val="22"/>
              </w:rPr>
            </w:pPr>
            <w:r>
              <w:rPr>
                <w:rFonts w:ascii="Calibri"/>
                <w:sz w:val="22"/>
              </w:rPr>
              <w:t>30.05</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57.64</w:t>
            </w:r>
          </w:p>
        </w:tc>
        <w:tc>
          <w:tcPr>
            <w:tcW w:w="1168" w:type="dxa"/>
            <w:shd w:val="clear" w:color="auto" w:fill="B09FC6"/>
          </w:tcPr>
          <w:p>
            <w:pPr>
              <w:pStyle w:val="TableParagraph"/>
              <w:spacing w:before="9"/>
              <w:ind w:right="18"/>
              <w:jc w:val="right"/>
              <w:rPr>
                <w:rFonts w:ascii="Calibri"/>
                <w:sz w:val="22"/>
              </w:rPr>
            </w:pPr>
            <w:r>
              <w:rPr>
                <w:rFonts w:ascii="Calibri"/>
                <w:sz w:val="22"/>
              </w:rPr>
              <w:t>64.02</w:t>
            </w:r>
          </w:p>
        </w:tc>
      </w:tr>
      <w:tr>
        <w:trPr>
          <w:trHeight w:val="292" w:hRule="exact"/>
        </w:trPr>
        <w:tc>
          <w:tcPr>
            <w:tcW w:w="1168" w:type="dxa"/>
            <w:vMerge w:val="restart"/>
            <w:tcBorders>
              <w:left w:val="nil"/>
            </w:tcBorders>
            <w:shd w:val="clear" w:color="auto" w:fill="8DB4E1"/>
          </w:tcPr>
          <w:p>
            <w:pPr>
              <w:pStyle w:val="TableParagraph"/>
              <w:spacing w:before="2"/>
              <w:rPr>
                <w:b/>
                <w:sz w:val="26"/>
              </w:rPr>
            </w:pPr>
          </w:p>
          <w:p>
            <w:pPr>
              <w:pStyle w:val="TableParagraph"/>
              <w:ind w:left="386"/>
              <w:rPr>
                <w:rFonts w:ascii="Calibri"/>
                <w:sz w:val="22"/>
              </w:rPr>
            </w:pPr>
            <w:r>
              <w:rPr>
                <w:rFonts w:ascii="Calibri"/>
                <w:sz w:val="22"/>
              </w:rPr>
              <w:t>2011</w:t>
            </w:r>
          </w:p>
        </w:tc>
        <w:tc>
          <w:tcPr>
            <w:tcW w:w="1168" w:type="dxa"/>
            <w:tcBorders>
              <w:bottom w:val="single" w:sz="6" w:space="0" w:color="000000"/>
              <w:right w:val="single" w:sz="6" w:space="0" w:color="000000"/>
            </w:tcBorders>
            <w:shd w:val="clear" w:color="auto" w:fill="8DB4E1"/>
          </w:tcPr>
          <w:p>
            <w:pPr>
              <w:pStyle w:val="TableParagraph"/>
              <w:spacing w:before="9"/>
              <w:ind w:left="29" w:right="84"/>
              <w:rPr>
                <w:rFonts w:ascii="Calibri"/>
                <w:sz w:val="22"/>
              </w:rPr>
            </w:pPr>
            <w:r>
              <w:rPr>
                <w:rFonts w:ascii="Calibri"/>
                <w:sz w:val="22"/>
              </w:rPr>
              <w:t>Hombres</w:t>
            </w:r>
          </w:p>
        </w:tc>
        <w:tc>
          <w:tcPr>
            <w:tcW w:w="1168" w:type="dxa"/>
            <w:tcBorders>
              <w:left w:val="single" w:sz="6" w:space="0" w:color="000000"/>
              <w:bottom w:val="single" w:sz="6" w:space="0" w:color="000000"/>
            </w:tcBorders>
            <w:shd w:val="clear" w:color="auto" w:fill="8DB4E1"/>
          </w:tcPr>
          <w:p>
            <w:pPr>
              <w:pStyle w:val="TableParagraph"/>
              <w:spacing w:before="9"/>
              <w:ind w:right="18"/>
              <w:jc w:val="right"/>
              <w:rPr>
                <w:rFonts w:ascii="Calibri"/>
                <w:sz w:val="22"/>
              </w:rPr>
            </w:pPr>
            <w:r>
              <w:rPr>
                <w:rFonts w:ascii="Calibri"/>
                <w:sz w:val="22"/>
              </w:rPr>
              <w:t>80.4</w:t>
            </w:r>
          </w:p>
        </w:tc>
        <w:tc>
          <w:tcPr>
            <w:tcW w:w="1168" w:type="dxa"/>
            <w:tcBorders>
              <w:bottom w:val="single" w:sz="6" w:space="0" w:color="000000"/>
            </w:tcBorders>
          </w:tcPr>
          <w:p>
            <w:pPr>
              <w:pStyle w:val="TableParagraph"/>
              <w:spacing w:before="9"/>
              <w:ind w:right="27"/>
              <w:jc w:val="right"/>
              <w:rPr>
                <w:rFonts w:ascii="Calibri"/>
                <w:sz w:val="22"/>
              </w:rPr>
            </w:pPr>
            <w:r>
              <w:rPr>
                <w:rFonts w:ascii="Calibri"/>
                <w:w w:val="95"/>
                <w:sz w:val="22"/>
              </w:rPr>
              <w:t>50</w:t>
            </w:r>
          </w:p>
        </w:tc>
        <w:tc>
          <w:tcPr>
            <w:tcW w:w="1168" w:type="dxa"/>
            <w:tcBorders>
              <w:bottom w:val="single" w:sz="6" w:space="0" w:color="000000"/>
            </w:tcBorders>
            <w:shd w:val="clear" w:color="auto" w:fill="8DB4E1"/>
          </w:tcPr>
          <w:p>
            <w:pPr>
              <w:pStyle w:val="TableParagraph"/>
              <w:spacing w:before="9"/>
              <w:ind w:right="19"/>
              <w:jc w:val="right"/>
              <w:rPr>
                <w:rFonts w:ascii="Calibri"/>
                <w:sz w:val="22"/>
              </w:rPr>
            </w:pPr>
            <w:r>
              <w:rPr>
                <w:rFonts w:ascii="Calibri"/>
                <w:sz w:val="22"/>
              </w:rPr>
              <w:t>45.87</w:t>
            </w:r>
          </w:p>
        </w:tc>
        <w:tc>
          <w:tcPr>
            <w:tcW w:w="1168" w:type="dxa"/>
            <w:tcBorders>
              <w:bottom w:val="single" w:sz="6" w:space="0" w:color="000000"/>
              <w:right w:val="single" w:sz="6" w:space="0" w:color="000000"/>
            </w:tcBorders>
            <w:shd w:val="clear" w:color="auto" w:fill="8DB4E1"/>
          </w:tcPr>
          <w:p>
            <w:pPr>
              <w:pStyle w:val="TableParagraph"/>
              <w:spacing w:before="9"/>
              <w:ind w:right="18"/>
              <w:jc w:val="right"/>
              <w:rPr>
                <w:rFonts w:ascii="Calibri"/>
                <w:sz w:val="22"/>
              </w:rPr>
            </w:pPr>
            <w:r>
              <w:rPr>
                <w:rFonts w:ascii="Calibri"/>
                <w:sz w:val="22"/>
              </w:rPr>
              <w:t>72.45</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42.07</w:t>
            </w:r>
          </w:p>
        </w:tc>
        <w:tc>
          <w:tcPr>
            <w:tcW w:w="1168" w:type="dxa"/>
            <w:tcBorders>
              <w:bottom w:val="single" w:sz="6" w:space="0" w:color="000000"/>
            </w:tcBorders>
            <w:shd w:val="clear" w:color="auto" w:fill="8DB4E1"/>
          </w:tcPr>
          <w:p>
            <w:pPr>
              <w:pStyle w:val="TableParagraph"/>
              <w:spacing w:before="9"/>
              <w:ind w:right="18"/>
              <w:jc w:val="right"/>
              <w:rPr>
                <w:rFonts w:ascii="Calibri"/>
                <w:sz w:val="22"/>
              </w:rPr>
            </w:pPr>
            <w:r>
              <w:rPr>
                <w:rFonts w:ascii="Calibri"/>
                <w:sz w:val="22"/>
              </w:rPr>
              <w:t>36.78</w:t>
            </w:r>
          </w:p>
        </w:tc>
      </w:tr>
      <w:tr>
        <w:trPr>
          <w:trHeight w:val="292" w:hRule="exact"/>
        </w:trPr>
        <w:tc>
          <w:tcPr>
            <w:tcW w:w="1168" w:type="dxa"/>
            <w:vMerge/>
            <w:tcBorders>
              <w:left w:val="nil"/>
            </w:tcBorders>
            <w:shd w:val="clear" w:color="auto" w:fill="8DB4E1"/>
          </w:tcPr>
          <w:p>
            <w:pPr/>
          </w:p>
        </w:tc>
        <w:tc>
          <w:tcPr>
            <w:tcW w:w="1168" w:type="dxa"/>
            <w:tcBorders>
              <w:top w:val="single" w:sz="6" w:space="0" w:color="000000"/>
              <w:right w:val="single" w:sz="6" w:space="0" w:color="000000"/>
            </w:tcBorders>
            <w:shd w:val="clear" w:color="auto" w:fill="8DB4E1"/>
          </w:tcPr>
          <w:p>
            <w:pPr>
              <w:pStyle w:val="TableParagraph"/>
              <w:spacing w:before="9"/>
              <w:ind w:left="29" w:right="84"/>
              <w:rPr>
                <w:rFonts w:ascii="Calibri"/>
                <w:sz w:val="22"/>
              </w:rPr>
            </w:pPr>
            <w:r>
              <w:rPr>
                <w:rFonts w:ascii="Calibri"/>
                <w:sz w:val="22"/>
              </w:rPr>
              <w:t>Mujeres</w:t>
            </w:r>
          </w:p>
        </w:tc>
        <w:tc>
          <w:tcPr>
            <w:tcW w:w="1168" w:type="dxa"/>
            <w:tcBorders>
              <w:top w:val="single" w:sz="6" w:space="0" w:color="000000"/>
              <w:left w:val="single" w:sz="6" w:space="0" w:color="000000"/>
            </w:tcBorders>
            <w:shd w:val="clear" w:color="auto" w:fill="8DB4E1"/>
          </w:tcPr>
          <w:p>
            <w:pPr>
              <w:pStyle w:val="TableParagraph"/>
              <w:spacing w:before="9"/>
              <w:ind w:right="18"/>
              <w:jc w:val="right"/>
              <w:rPr>
                <w:rFonts w:ascii="Calibri"/>
                <w:sz w:val="22"/>
              </w:rPr>
            </w:pPr>
            <w:r>
              <w:rPr>
                <w:rFonts w:ascii="Calibri"/>
                <w:sz w:val="22"/>
              </w:rPr>
              <w:t>19.6</w:t>
            </w:r>
          </w:p>
        </w:tc>
        <w:tc>
          <w:tcPr>
            <w:tcW w:w="1168" w:type="dxa"/>
            <w:tcBorders>
              <w:top w:val="single" w:sz="6" w:space="0" w:color="000000"/>
            </w:tcBorders>
            <w:shd w:val="clear" w:color="auto" w:fill="8DB4E1"/>
          </w:tcPr>
          <w:p>
            <w:pPr>
              <w:pStyle w:val="TableParagraph"/>
              <w:spacing w:before="9"/>
              <w:ind w:right="27"/>
              <w:jc w:val="right"/>
              <w:rPr>
                <w:rFonts w:ascii="Calibri"/>
                <w:sz w:val="22"/>
              </w:rPr>
            </w:pPr>
            <w:r>
              <w:rPr>
                <w:rFonts w:ascii="Calibri"/>
                <w:w w:val="95"/>
                <w:sz w:val="22"/>
              </w:rPr>
              <w:t>50</w:t>
            </w:r>
          </w:p>
        </w:tc>
        <w:tc>
          <w:tcPr>
            <w:tcW w:w="1168" w:type="dxa"/>
            <w:tcBorders>
              <w:top w:val="single" w:sz="6" w:space="0" w:color="000000"/>
            </w:tcBorders>
            <w:shd w:val="clear" w:color="auto" w:fill="8DB4E1"/>
          </w:tcPr>
          <w:p>
            <w:pPr>
              <w:pStyle w:val="TableParagraph"/>
              <w:spacing w:before="9"/>
              <w:ind w:right="19"/>
              <w:jc w:val="right"/>
              <w:rPr>
                <w:rFonts w:ascii="Calibri"/>
                <w:sz w:val="22"/>
              </w:rPr>
            </w:pPr>
            <w:r>
              <w:rPr>
                <w:rFonts w:ascii="Calibri"/>
                <w:sz w:val="22"/>
              </w:rPr>
              <w:t>54.13</w:t>
            </w:r>
          </w:p>
        </w:tc>
        <w:tc>
          <w:tcPr>
            <w:tcW w:w="1168" w:type="dxa"/>
            <w:tcBorders>
              <w:top w:val="single" w:sz="6" w:space="0" w:color="000000"/>
              <w:right w:val="single" w:sz="6" w:space="0" w:color="000000"/>
            </w:tcBorders>
            <w:shd w:val="clear" w:color="auto" w:fill="8DB4E1"/>
          </w:tcPr>
          <w:p>
            <w:pPr>
              <w:pStyle w:val="TableParagraph"/>
              <w:spacing w:before="9"/>
              <w:ind w:right="18"/>
              <w:jc w:val="right"/>
              <w:rPr>
                <w:rFonts w:ascii="Calibri"/>
                <w:sz w:val="22"/>
              </w:rPr>
            </w:pPr>
            <w:r>
              <w:rPr>
                <w:rFonts w:ascii="Calibri"/>
                <w:sz w:val="22"/>
              </w:rPr>
              <w:t>27.55</w:t>
            </w:r>
          </w:p>
        </w:tc>
        <w:tc>
          <w:tcPr>
            <w:tcW w:w="1168" w:type="dxa"/>
            <w:tcBorders>
              <w:top w:val="single" w:sz="6" w:space="0" w:color="000000"/>
              <w:left w:val="single" w:sz="6" w:space="0" w:color="000000"/>
            </w:tcBorders>
            <w:shd w:val="clear" w:color="auto" w:fill="8DB4E1"/>
          </w:tcPr>
          <w:p>
            <w:pPr>
              <w:pStyle w:val="TableParagraph"/>
              <w:spacing w:before="9"/>
              <w:ind w:right="18"/>
              <w:jc w:val="right"/>
              <w:rPr>
                <w:rFonts w:ascii="Calibri"/>
                <w:sz w:val="22"/>
              </w:rPr>
            </w:pPr>
            <w:r>
              <w:rPr>
                <w:rFonts w:ascii="Calibri"/>
                <w:sz w:val="22"/>
              </w:rPr>
              <w:t>57.93</w:t>
            </w:r>
          </w:p>
        </w:tc>
        <w:tc>
          <w:tcPr>
            <w:tcW w:w="1168" w:type="dxa"/>
            <w:tcBorders>
              <w:top w:val="single" w:sz="6" w:space="0" w:color="000000"/>
            </w:tcBorders>
            <w:shd w:val="clear" w:color="auto" w:fill="8DB4E1"/>
          </w:tcPr>
          <w:p>
            <w:pPr>
              <w:pStyle w:val="TableParagraph"/>
              <w:spacing w:before="9"/>
              <w:ind w:right="18"/>
              <w:jc w:val="right"/>
              <w:rPr>
                <w:rFonts w:ascii="Calibri"/>
                <w:sz w:val="22"/>
              </w:rPr>
            </w:pPr>
            <w:r>
              <w:rPr>
                <w:rFonts w:ascii="Calibri"/>
                <w:sz w:val="22"/>
              </w:rPr>
              <w:t>63.22</w:t>
            </w:r>
          </w:p>
        </w:tc>
      </w:tr>
      <w:tr>
        <w:trPr>
          <w:trHeight w:val="292" w:hRule="exact"/>
        </w:trPr>
        <w:tc>
          <w:tcPr>
            <w:tcW w:w="1168" w:type="dxa"/>
            <w:vMerge w:val="restart"/>
            <w:tcBorders>
              <w:left w:val="nil"/>
            </w:tcBorders>
            <w:shd w:val="clear" w:color="auto" w:fill="B09FC6"/>
          </w:tcPr>
          <w:p>
            <w:pPr>
              <w:pStyle w:val="TableParagraph"/>
              <w:spacing w:before="2"/>
              <w:rPr>
                <w:b/>
                <w:sz w:val="26"/>
              </w:rPr>
            </w:pPr>
          </w:p>
          <w:p>
            <w:pPr>
              <w:pStyle w:val="TableParagraph"/>
              <w:ind w:left="386"/>
              <w:rPr>
                <w:rFonts w:ascii="Calibri"/>
                <w:sz w:val="22"/>
              </w:rPr>
            </w:pPr>
            <w:r>
              <w:rPr>
                <w:rFonts w:ascii="Calibri"/>
                <w:sz w:val="22"/>
              </w:rPr>
              <w:t>2012</w:t>
            </w:r>
          </w:p>
        </w:tc>
        <w:tc>
          <w:tcPr>
            <w:tcW w:w="1168" w:type="dxa"/>
            <w:tcBorders>
              <w:right w:val="single" w:sz="6" w:space="0" w:color="000000"/>
            </w:tcBorders>
            <w:shd w:val="clear" w:color="auto" w:fill="B09FC6"/>
          </w:tcPr>
          <w:p>
            <w:pPr>
              <w:pStyle w:val="TableParagraph"/>
              <w:spacing w:before="9"/>
              <w:ind w:left="29" w:right="84"/>
              <w:rPr>
                <w:rFonts w:ascii="Calibri"/>
                <w:sz w:val="22"/>
              </w:rPr>
            </w:pPr>
            <w:r>
              <w:rPr>
                <w:rFonts w:ascii="Calibri"/>
                <w:sz w:val="22"/>
              </w:rPr>
              <w:t>Hombres</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80.67</w:t>
            </w:r>
          </w:p>
        </w:tc>
        <w:tc>
          <w:tcPr>
            <w:tcW w:w="1168" w:type="dxa"/>
            <w:shd w:val="clear" w:color="auto" w:fill="B09FC6"/>
          </w:tcPr>
          <w:p>
            <w:pPr>
              <w:pStyle w:val="TableParagraph"/>
              <w:spacing w:before="9"/>
              <w:ind w:right="18"/>
              <w:jc w:val="right"/>
              <w:rPr>
                <w:rFonts w:ascii="Calibri"/>
                <w:sz w:val="22"/>
              </w:rPr>
            </w:pPr>
            <w:r>
              <w:rPr>
                <w:rFonts w:ascii="Calibri"/>
                <w:sz w:val="22"/>
              </w:rPr>
              <w:t>50.49</w:t>
            </w:r>
          </w:p>
        </w:tc>
        <w:tc>
          <w:tcPr>
            <w:tcW w:w="1168" w:type="dxa"/>
          </w:tcPr>
          <w:p>
            <w:pPr>
              <w:pStyle w:val="TableParagraph"/>
              <w:spacing w:before="9"/>
              <w:ind w:right="19"/>
              <w:jc w:val="right"/>
              <w:rPr>
                <w:rFonts w:ascii="Calibri"/>
                <w:sz w:val="22"/>
              </w:rPr>
            </w:pPr>
            <w:r>
              <w:rPr>
                <w:rFonts w:ascii="Calibri"/>
                <w:sz w:val="22"/>
              </w:rPr>
              <w:t>46.78</w:t>
            </w:r>
          </w:p>
        </w:tc>
        <w:tc>
          <w:tcPr>
            <w:tcW w:w="1168" w:type="dxa"/>
            <w:tcBorders>
              <w:right w:val="single" w:sz="6" w:space="0" w:color="000000"/>
            </w:tcBorders>
            <w:shd w:val="clear" w:color="auto" w:fill="B09FC6"/>
          </w:tcPr>
          <w:p>
            <w:pPr>
              <w:pStyle w:val="TableParagraph"/>
              <w:spacing w:before="9"/>
              <w:ind w:right="18"/>
              <w:jc w:val="right"/>
              <w:rPr>
                <w:rFonts w:ascii="Calibri"/>
                <w:sz w:val="22"/>
              </w:rPr>
            </w:pPr>
            <w:r>
              <w:rPr>
                <w:rFonts w:ascii="Calibri"/>
                <w:sz w:val="22"/>
              </w:rPr>
              <w:t>73.86</w:t>
            </w:r>
          </w:p>
        </w:tc>
        <w:tc>
          <w:tcPr>
            <w:tcW w:w="1168" w:type="dxa"/>
            <w:tcBorders>
              <w:left w:val="single" w:sz="6" w:space="0" w:color="000000"/>
            </w:tcBorders>
          </w:tcPr>
          <w:p>
            <w:pPr>
              <w:pStyle w:val="TableParagraph"/>
              <w:spacing w:before="9"/>
              <w:ind w:right="18"/>
              <w:jc w:val="right"/>
              <w:rPr>
                <w:rFonts w:ascii="Calibri"/>
                <w:sz w:val="22"/>
              </w:rPr>
            </w:pPr>
            <w:r>
              <w:rPr>
                <w:rFonts w:ascii="Calibri"/>
                <w:sz w:val="22"/>
              </w:rPr>
              <w:t>40.82</w:t>
            </w:r>
          </w:p>
        </w:tc>
        <w:tc>
          <w:tcPr>
            <w:tcW w:w="1168" w:type="dxa"/>
            <w:shd w:val="clear" w:color="auto" w:fill="B09FC6"/>
          </w:tcPr>
          <w:p>
            <w:pPr>
              <w:pStyle w:val="TableParagraph"/>
              <w:spacing w:before="9"/>
              <w:ind w:right="18"/>
              <w:jc w:val="right"/>
              <w:rPr>
                <w:rFonts w:ascii="Calibri"/>
                <w:sz w:val="22"/>
              </w:rPr>
            </w:pPr>
            <w:r>
              <w:rPr>
                <w:rFonts w:ascii="Calibri"/>
                <w:sz w:val="22"/>
              </w:rPr>
              <w:t>38.82</w:t>
            </w:r>
          </w:p>
        </w:tc>
      </w:tr>
      <w:tr>
        <w:trPr>
          <w:trHeight w:val="292" w:hRule="exact"/>
        </w:trPr>
        <w:tc>
          <w:tcPr>
            <w:tcW w:w="1168" w:type="dxa"/>
            <w:vMerge/>
            <w:tcBorders>
              <w:left w:val="nil"/>
            </w:tcBorders>
            <w:shd w:val="clear" w:color="auto" w:fill="B09FC6"/>
          </w:tcPr>
          <w:p>
            <w:pPr/>
          </w:p>
        </w:tc>
        <w:tc>
          <w:tcPr>
            <w:tcW w:w="1168" w:type="dxa"/>
            <w:tcBorders>
              <w:right w:val="single" w:sz="6" w:space="0" w:color="000000"/>
            </w:tcBorders>
            <w:shd w:val="clear" w:color="auto" w:fill="B09FC6"/>
          </w:tcPr>
          <w:p>
            <w:pPr>
              <w:pStyle w:val="TableParagraph"/>
              <w:spacing w:before="9"/>
              <w:ind w:left="29" w:right="84"/>
              <w:rPr>
                <w:rFonts w:ascii="Calibri"/>
                <w:sz w:val="22"/>
              </w:rPr>
            </w:pPr>
            <w:r>
              <w:rPr>
                <w:rFonts w:ascii="Calibri"/>
                <w:sz w:val="22"/>
              </w:rPr>
              <w:t>Mujeres</w:t>
            </w:r>
          </w:p>
        </w:tc>
        <w:tc>
          <w:tcPr>
            <w:tcW w:w="1168" w:type="dxa"/>
            <w:tcBorders>
              <w:left w:val="single" w:sz="6" w:space="0" w:color="000000"/>
            </w:tcBorders>
            <w:shd w:val="clear" w:color="auto" w:fill="B09FC6"/>
          </w:tcPr>
          <w:p>
            <w:pPr>
              <w:pStyle w:val="TableParagraph"/>
              <w:spacing w:before="9"/>
              <w:ind w:right="18"/>
              <w:jc w:val="right"/>
              <w:rPr>
                <w:rFonts w:ascii="Calibri"/>
                <w:sz w:val="22"/>
              </w:rPr>
            </w:pPr>
            <w:r>
              <w:rPr>
                <w:rFonts w:ascii="Calibri"/>
                <w:sz w:val="22"/>
              </w:rPr>
              <w:t>19.33</w:t>
            </w:r>
          </w:p>
        </w:tc>
        <w:tc>
          <w:tcPr>
            <w:tcW w:w="1168" w:type="dxa"/>
            <w:shd w:val="clear" w:color="auto" w:fill="B09FC6"/>
          </w:tcPr>
          <w:p>
            <w:pPr>
              <w:pStyle w:val="TableParagraph"/>
              <w:spacing w:before="9"/>
              <w:ind w:right="18"/>
              <w:jc w:val="right"/>
              <w:rPr>
                <w:rFonts w:ascii="Calibri"/>
                <w:sz w:val="22"/>
              </w:rPr>
            </w:pPr>
            <w:r>
              <w:rPr>
                <w:rFonts w:ascii="Calibri"/>
                <w:sz w:val="22"/>
              </w:rPr>
              <w:t>49.51</w:t>
            </w:r>
          </w:p>
        </w:tc>
        <w:tc>
          <w:tcPr>
            <w:tcW w:w="1168" w:type="dxa"/>
            <w:shd w:val="clear" w:color="auto" w:fill="B09FC6"/>
          </w:tcPr>
          <w:p>
            <w:pPr>
              <w:pStyle w:val="TableParagraph"/>
              <w:spacing w:before="9"/>
              <w:ind w:right="19"/>
              <w:jc w:val="right"/>
              <w:rPr>
                <w:rFonts w:ascii="Calibri"/>
                <w:sz w:val="22"/>
              </w:rPr>
            </w:pPr>
            <w:r>
              <w:rPr>
                <w:rFonts w:ascii="Calibri"/>
                <w:sz w:val="22"/>
              </w:rPr>
              <w:t>53.22</w:t>
            </w:r>
          </w:p>
        </w:tc>
        <w:tc>
          <w:tcPr>
            <w:tcW w:w="1168" w:type="dxa"/>
            <w:tcBorders>
              <w:right w:val="single" w:sz="6" w:space="0" w:color="000000"/>
            </w:tcBorders>
            <w:shd w:val="clear" w:color="auto" w:fill="B09FC6"/>
          </w:tcPr>
          <w:p>
            <w:pPr>
              <w:pStyle w:val="TableParagraph"/>
              <w:spacing w:before="9"/>
              <w:ind w:right="18"/>
              <w:jc w:val="right"/>
              <w:rPr>
                <w:rFonts w:ascii="Calibri"/>
                <w:sz w:val="22"/>
              </w:rPr>
            </w:pPr>
            <w:r>
              <w:rPr>
                <w:rFonts w:ascii="Calibri"/>
                <w:sz w:val="22"/>
              </w:rPr>
              <w:t>26.14</w:t>
            </w:r>
          </w:p>
        </w:tc>
        <w:tc>
          <w:tcPr>
            <w:tcW w:w="1168" w:type="dxa"/>
            <w:tcBorders>
              <w:left w:val="single" w:sz="6" w:space="0" w:color="000000"/>
            </w:tcBorders>
            <w:shd w:val="clear" w:color="auto" w:fill="B09FC6"/>
          </w:tcPr>
          <w:p>
            <w:pPr>
              <w:pStyle w:val="TableParagraph"/>
              <w:spacing w:before="9"/>
              <w:ind w:right="18"/>
              <w:jc w:val="right"/>
              <w:rPr>
                <w:rFonts w:ascii="Calibri"/>
                <w:sz w:val="22"/>
              </w:rPr>
            </w:pPr>
            <w:r>
              <w:rPr>
                <w:rFonts w:ascii="Calibri"/>
                <w:sz w:val="22"/>
              </w:rPr>
              <w:t>59.18</w:t>
            </w:r>
          </w:p>
        </w:tc>
        <w:tc>
          <w:tcPr>
            <w:tcW w:w="1168" w:type="dxa"/>
            <w:shd w:val="clear" w:color="auto" w:fill="B09FC6"/>
          </w:tcPr>
          <w:p>
            <w:pPr>
              <w:pStyle w:val="TableParagraph"/>
              <w:spacing w:before="9"/>
              <w:ind w:right="18"/>
              <w:jc w:val="right"/>
              <w:rPr>
                <w:rFonts w:ascii="Calibri"/>
                <w:sz w:val="22"/>
              </w:rPr>
            </w:pPr>
            <w:r>
              <w:rPr>
                <w:rFonts w:ascii="Calibri"/>
                <w:sz w:val="22"/>
              </w:rPr>
              <w:t>61.18</w:t>
            </w:r>
          </w:p>
        </w:tc>
      </w:tr>
      <w:tr>
        <w:trPr>
          <w:trHeight w:val="292" w:hRule="exact"/>
        </w:trPr>
        <w:tc>
          <w:tcPr>
            <w:tcW w:w="1168" w:type="dxa"/>
            <w:vMerge w:val="restart"/>
            <w:tcBorders>
              <w:left w:val="nil"/>
            </w:tcBorders>
            <w:shd w:val="clear" w:color="auto" w:fill="8DB4E1"/>
          </w:tcPr>
          <w:p>
            <w:pPr>
              <w:pStyle w:val="TableParagraph"/>
              <w:spacing w:before="2"/>
              <w:rPr>
                <w:b/>
                <w:sz w:val="26"/>
              </w:rPr>
            </w:pPr>
          </w:p>
          <w:p>
            <w:pPr>
              <w:pStyle w:val="TableParagraph"/>
              <w:ind w:left="386"/>
              <w:rPr>
                <w:rFonts w:ascii="Calibri"/>
                <w:sz w:val="22"/>
              </w:rPr>
            </w:pPr>
            <w:r>
              <w:rPr>
                <w:rFonts w:ascii="Calibri"/>
                <w:sz w:val="22"/>
              </w:rPr>
              <w:t>2013</w:t>
            </w:r>
          </w:p>
        </w:tc>
        <w:tc>
          <w:tcPr>
            <w:tcW w:w="1168" w:type="dxa"/>
            <w:tcBorders>
              <w:bottom w:val="single" w:sz="6" w:space="0" w:color="000000"/>
              <w:right w:val="single" w:sz="6" w:space="0" w:color="000000"/>
            </w:tcBorders>
            <w:shd w:val="clear" w:color="auto" w:fill="8DB4E1"/>
          </w:tcPr>
          <w:p>
            <w:pPr>
              <w:pStyle w:val="TableParagraph"/>
              <w:spacing w:before="9"/>
              <w:ind w:left="29" w:right="84"/>
              <w:rPr>
                <w:rFonts w:ascii="Calibri"/>
                <w:sz w:val="22"/>
              </w:rPr>
            </w:pPr>
            <w:r>
              <w:rPr>
                <w:rFonts w:ascii="Calibri"/>
                <w:sz w:val="22"/>
              </w:rPr>
              <w:t>Hombres</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80.04</w:t>
            </w:r>
          </w:p>
        </w:tc>
        <w:tc>
          <w:tcPr>
            <w:tcW w:w="1168" w:type="dxa"/>
            <w:tcBorders>
              <w:bottom w:val="single" w:sz="6" w:space="0" w:color="000000"/>
            </w:tcBorders>
            <w:shd w:val="clear" w:color="auto" w:fill="8DB4E1"/>
          </w:tcPr>
          <w:p>
            <w:pPr>
              <w:pStyle w:val="TableParagraph"/>
              <w:spacing w:before="9"/>
              <w:ind w:right="18"/>
              <w:jc w:val="right"/>
              <w:rPr>
                <w:rFonts w:ascii="Calibri"/>
                <w:sz w:val="22"/>
              </w:rPr>
            </w:pPr>
            <w:r>
              <w:rPr>
                <w:rFonts w:ascii="Calibri"/>
                <w:sz w:val="22"/>
              </w:rPr>
              <w:t>51.22</w:t>
            </w:r>
          </w:p>
        </w:tc>
        <w:tc>
          <w:tcPr>
            <w:tcW w:w="1168" w:type="dxa"/>
            <w:tcBorders>
              <w:bottom w:val="single" w:sz="6" w:space="0" w:color="000000"/>
            </w:tcBorders>
          </w:tcPr>
          <w:p>
            <w:pPr>
              <w:pStyle w:val="TableParagraph"/>
              <w:spacing w:before="9"/>
              <w:ind w:right="19"/>
              <w:jc w:val="right"/>
              <w:rPr>
                <w:rFonts w:ascii="Calibri"/>
                <w:sz w:val="22"/>
              </w:rPr>
            </w:pPr>
            <w:r>
              <w:rPr>
                <w:rFonts w:ascii="Calibri"/>
                <w:sz w:val="22"/>
              </w:rPr>
              <w:t>43.78</w:t>
            </w:r>
          </w:p>
        </w:tc>
        <w:tc>
          <w:tcPr>
            <w:tcW w:w="1168" w:type="dxa"/>
            <w:tcBorders>
              <w:bottom w:val="single" w:sz="6" w:space="0" w:color="000000"/>
              <w:right w:val="single" w:sz="6" w:space="0" w:color="000000"/>
            </w:tcBorders>
            <w:shd w:val="clear" w:color="auto" w:fill="8DB4E1"/>
          </w:tcPr>
          <w:p>
            <w:pPr>
              <w:pStyle w:val="TableParagraph"/>
              <w:spacing w:before="9"/>
              <w:ind w:right="18"/>
              <w:jc w:val="right"/>
              <w:rPr>
                <w:rFonts w:ascii="Calibri"/>
                <w:sz w:val="22"/>
              </w:rPr>
            </w:pPr>
            <w:r>
              <w:rPr>
                <w:rFonts w:ascii="Calibri"/>
                <w:sz w:val="22"/>
              </w:rPr>
              <w:t>74.68</w:t>
            </w:r>
          </w:p>
        </w:tc>
        <w:tc>
          <w:tcPr>
            <w:tcW w:w="1168" w:type="dxa"/>
            <w:tcBorders>
              <w:left w:val="single" w:sz="6" w:space="0" w:color="000000"/>
              <w:bottom w:val="single" w:sz="6" w:space="0" w:color="000000"/>
            </w:tcBorders>
          </w:tcPr>
          <w:p>
            <w:pPr>
              <w:pStyle w:val="TableParagraph"/>
              <w:spacing w:before="9"/>
              <w:ind w:right="18"/>
              <w:jc w:val="right"/>
              <w:rPr>
                <w:rFonts w:ascii="Calibri"/>
                <w:sz w:val="22"/>
              </w:rPr>
            </w:pPr>
            <w:r>
              <w:rPr>
                <w:rFonts w:ascii="Calibri"/>
                <w:sz w:val="22"/>
              </w:rPr>
              <w:t>40.62</w:t>
            </w:r>
          </w:p>
        </w:tc>
        <w:tc>
          <w:tcPr>
            <w:tcW w:w="1168" w:type="dxa"/>
            <w:tcBorders>
              <w:bottom w:val="single" w:sz="6" w:space="0" w:color="000000"/>
            </w:tcBorders>
            <w:shd w:val="clear" w:color="auto" w:fill="8DB4E1"/>
          </w:tcPr>
          <w:p>
            <w:pPr>
              <w:pStyle w:val="TableParagraph"/>
              <w:spacing w:before="9"/>
              <w:ind w:right="18"/>
              <w:jc w:val="right"/>
              <w:rPr>
                <w:rFonts w:ascii="Calibri"/>
                <w:sz w:val="22"/>
              </w:rPr>
            </w:pPr>
            <w:r>
              <w:rPr>
                <w:rFonts w:ascii="Calibri"/>
                <w:sz w:val="22"/>
              </w:rPr>
              <w:t>36.84</w:t>
            </w:r>
          </w:p>
        </w:tc>
      </w:tr>
      <w:tr>
        <w:trPr>
          <w:trHeight w:val="292" w:hRule="exact"/>
        </w:trPr>
        <w:tc>
          <w:tcPr>
            <w:tcW w:w="1168" w:type="dxa"/>
            <w:vMerge/>
            <w:tcBorders>
              <w:left w:val="nil"/>
            </w:tcBorders>
            <w:shd w:val="clear" w:color="auto" w:fill="8DB4E1"/>
          </w:tcPr>
          <w:p>
            <w:pPr/>
          </w:p>
        </w:tc>
        <w:tc>
          <w:tcPr>
            <w:tcW w:w="1168" w:type="dxa"/>
            <w:tcBorders>
              <w:top w:val="single" w:sz="6" w:space="0" w:color="000000"/>
              <w:right w:val="single" w:sz="6" w:space="0" w:color="000000"/>
            </w:tcBorders>
            <w:shd w:val="clear" w:color="auto" w:fill="8DB4E1"/>
          </w:tcPr>
          <w:p>
            <w:pPr>
              <w:pStyle w:val="TableParagraph"/>
              <w:spacing w:before="9"/>
              <w:ind w:left="29" w:right="84"/>
              <w:rPr>
                <w:rFonts w:ascii="Calibri"/>
                <w:sz w:val="22"/>
              </w:rPr>
            </w:pPr>
            <w:r>
              <w:rPr>
                <w:rFonts w:ascii="Calibri"/>
                <w:sz w:val="22"/>
              </w:rPr>
              <w:t>Mujeres</w:t>
            </w:r>
          </w:p>
        </w:tc>
        <w:tc>
          <w:tcPr>
            <w:tcW w:w="1168" w:type="dxa"/>
            <w:tcBorders>
              <w:top w:val="single" w:sz="6" w:space="0" w:color="000000"/>
              <w:left w:val="single" w:sz="6" w:space="0" w:color="000000"/>
            </w:tcBorders>
            <w:shd w:val="clear" w:color="auto" w:fill="8DB4E1"/>
          </w:tcPr>
          <w:p>
            <w:pPr>
              <w:pStyle w:val="TableParagraph"/>
              <w:spacing w:before="9"/>
              <w:ind w:right="18"/>
              <w:jc w:val="right"/>
              <w:rPr>
                <w:rFonts w:ascii="Calibri"/>
                <w:sz w:val="22"/>
              </w:rPr>
            </w:pPr>
            <w:r>
              <w:rPr>
                <w:rFonts w:ascii="Calibri"/>
                <w:sz w:val="22"/>
              </w:rPr>
              <w:t>19.96</w:t>
            </w:r>
          </w:p>
        </w:tc>
        <w:tc>
          <w:tcPr>
            <w:tcW w:w="1168" w:type="dxa"/>
            <w:tcBorders>
              <w:top w:val="single" w:sz="6" w:space="0" w:color="000000"/>
            </w:tcBorders>
            <w:shd w:val="clear" w:color="auto" w:fill="8DB4E1"/>
          </w:tcPr>
          <w:p>
            <w:pPr>
              <w:pStyle w:val="TableParagraph"/>
              <w:spacing w:before="9"/>
              <w:ind w:right="18"/>
              <w:jc w:val="right"/>
              <w:rPr>
                <w:rFonts w:ascii="Calibri"/>
                <w:sz w:val="22"/>
              </w:rPr>
            </w:pPr>
            <w:r>
              <w:rPr>
                <w:rFonts w:ascii="Calibri"/>
                <w:sz w:val="22"/>
              </w:rPr>
              <w:t>48.78</w:t>
            </w:r>
          </w:p>
        </w:tc>
        <w:tc>
          <w:tcPr>
            <w:tcW w:w="1168" w:type="dxa"/>
            <w:tcBorders>
              <w:top w:val="single" w:sz="6" w:space="0" w:color="000000"/>
            </w:tcBorders>
            <w:shd w:val="clear" w:color="auto" w:fill="8DB4E1"/>
          </w:tcPr>
          <w:p>
            <w:pPr>
              <w:pStyle w:val="TableParagraph"/>
              <w:spacing w:before="9"/>
              <w:ind w:right="19"/>
              <w:jc w:val="right"/>
              <w:rPr>
                <w:rFonts w:ascii="Calibri"/>
                <w:sz w:val="22"/>
              </w:rPr>
            </w:pPr>
            <w:r>
              <w:rPr>
                <w:rFonts w:ascii="Calibri"/>
                <w:sz w:val="22"/>
              </w:rPr>
              <w:t>56.22</w:t>
            </w:r>
          </w:p>
        </w:tc>
        <w:tc>
          <w:tcPr>
            <w:tcW w:w="1168" w:type="dxa"/>
            <w:tcBorders>
              <w:top w:val="single" w:sz="6" w:space="0" w:color="000000"/>
              <w:right w:val="single" w:sz="6" w:space="0" w:color="000000"/>
            </w:tcBorders>
            <w:shd w:val="clear" w:color="auto" w:fill="8DB4E1"/>
          </w:tcPr>
          <w:p>
            <w:pPr>
              <w:pStyle w:val="TableParagraph"/>
              <w:spacing w:before="9"/>
              <w:ind w:right="18"/>
              <w:jc w:val="right"/>
              <w:rPr>
                <w:rFonts w:ascii="Calibri"/>
                <w:sz w:val="22"/>
              </w:rPr>
            </w:pPr>
            <w:r>
              <w:rPr>
                <w:rFonts w:ascii="Calibri"/>
                <w:sz w:val="22"/>
              </w:rPr>
              <w:t>25.32</w:t>
            </w:r>
          </w:p>
        </w:tc>
        <w:tc>
          <w:tcPr>
            <w:tcW w:w="1168" w:type="dxa"/>
            <w:tcBorders>
              <w:top w:val="single" w:sz="6" w:space="0" w:color="000000"/>
              <w:left w:val="single" w:sz="6" w:space="0" w:color="000000"/>
            </w:tcBorders>
            <w:shd w:val="clear" w:color="auto" w:fill="8DB4E1"/>
          </w:tcPr>
          <w:p>
            <w:pPr>
              <w:pStyle w:val="TableParagraph"/>
              <w:spacing w:before="9"/>
              <w:ind w:right="18"/>
              <w:jc w:val="right"/>
              <w:rPr>
                <w:rFonts w:ascii="Calibri"/>
                <w:sz w:val="22"/>
              </w:rPr>
            </w:pPr>
            <w:r>
              <w:rPr>
                <w:rFonts w:ascii="Calibri"/>
                <w:sz w:val="22"/>
              </w:rPr>
              <w:t>59.38</w:t>
            </w:r>
          </w:p>
        </w:tc>
        <w:tc>
          <w:tcPr>
            <w:tcW w:w="1168" w:type="dxa"/>
            <w:tcBorders>
              <w:top w:val="single" w:sz="6" w:space="0" w:color="000000"/>
            </w:tcBorders>
            <w:shd w:val="clear" w:color="auto" w:fill="8DB4E1"/>
          </w:tcPr>
          <w:p>
            <w:pPr>
              <w:pStyle w:val="TableParagraph"/>
              <w:spacing w:before="9"/>
              <w:ind w:right="18"/>
              <w:jc w:val="right"/>
              <w:rPr>
                <w:rFonts w:ascii="Calibri"/>
                <w:sz w:val="22"/>
              </w:rPr>
            </w:pPr>
            <w:r>
              <w:rPr>
                <w:rFonts w:ascii="Calibri"/>
                <w:sz w:val="22"/>
              </w:rPr>
              <w:t>63.16</w:t>
            </w:r>
          </w:p>
        </w:tc>
      </w:tr>
    </w:tbl>
    <w:p>
      <w:pPr>
        <w:pStyle w:val="BodyText"/>
        <w:spacing w:before="5"/>
        <w:rPr>
          <w:b/>
          <w:sz w:val="21"/>
        </w:rPr>
      </w:pPr>
    </w:p>
    <w:p>
      <w:pPr>
        <w:spacing w:before="0"/>
        <w:ind w:left="100" w:right="0" w:firstLine="0"/>
        <w:jc w:val="both"/>
        <w:rPr>
          <w:b/>
          <w:sz w:val="18"/>
        </w:rPr>
      </w:pPr>
      <w:r>
        <w:rPr>
          <w:b/>
          <w:color w:val="4F81BC"/>
          <w:sz w:val="18"/>
        </w:rPr>
        <w:t>Figure 3 Elaboración propia con base a información de la UAEH [2011, 2012, 2013, 2014].</w:t>
      </w:r>
    </w:p>
    <w:p>
      <w:pPr>
        <w:pStyle w:val="BodyText"/>
        <w:spacing w:before="9"/>
        <w:rPr>
          <w:b/>
          <w:sz w:val="17"/>
        </w:rPr>
      </w:pPr>
    </w:p>
    <w:p>
      <w:pPr>
        <w:pStyle w:val="BodyText"/>
        <w:spacing w:line="360" w:lineRule="auto"/>
        <w:ind w:left="100" w:right="116"/>
        <w:jc w:val="both"/>
      </w:pPr>
      <w:r>
        <w:rPr/>
        <w:t>Aunado a lo anteriormente mencionado es interesante revisar que nuevamente, ingenierías más “cercanas a la naturaleza”, como podrían ser biología o geología ambiental presentan una amplia presencia femenina, tal vez esto pueda explicarse a partir de nociones en las que la mujer representa aspectos de la naturaleza [Seidler, 2000; Badinter, 1993</w:t>
      </w:r>
      <w:r>
        <w:rPr>
          <w:i/>
        </w:rPr>
        <w:t>; </w:t>
      </w:r>
      <w:r>
        <w:rPr/>
        <w:t>Conway </w:t>
      </w:r>
      <w:r>
        <w:rPr>
          <w:i/>
        </w:rPr>
        <w:t>et al.</w:t>
      </w:r>
      <w:r>
        <w:rPr/>
        <w:t>, 1987, en Lamas, 2003], si bien la ingeniería de minero-metalurgia constituye un contacto con la naturaleza esta labor demanda un trabajo  físico  mayor,  motivo  por  el  cual  pueda  concebirse  como  un  trabajo  </w:t>
      </w:r>
      <w:r>
        <w:rPr>
          <w:spacing w:val="52"/>
        </w:rPr>
        <w:t> </w:t>
      </w:r>
      <w:r>
        <w:rPr/>
        <w:t>para</w:t>
      </w:r>
    </w:p>
    <w:p>
      <w:pPr>
        <w:spacing w:after="0" w:line="360" w:lineRule="auto"/>
        <w:jc w:val="both"/>
        <w:sectPr>
          <w:pgSz w:w="12240" w:h="15840"/>
          <w:pgMar w:header="0" w:footer="1014" w:top="1380" w:bottom="1200" w:left="1340" w:right="1320"/>
        </w:sectPr>
      </w:pPr>
    </w:p>
    <w:p>
      <w:pPr>
        <w:pStyle w:val="BodyText"/>
        <w:spacing w:line="360" w:lineRule="auto" w:before="58"/>
        <w:ind w:left="100" w:right="118"/>
        <w:jc w:val="both"/>
      </w:pPr>
      <w:r>
        <w:rPr/>
        <w:t>“hombres” en correspondencia con una división sexual del trabajo tradicional[Lamas,2003; Conway </w:t>
      </w:r>
      <w:r>
        <w:rPr>
          <w:i/>
        </w:rPr>
        <w:t>et al.,</w:t>
      </w:r>
      <w:r>
        <w:rPr/>
        <w:t>1987], pero nada mejor que las percepciones del mismo estudiantado [al preguntarse cuál es la diferencia entre geología ambiental y minero-metalurgia un alumno respondió lo siguiente]:</w:t>
      </w:r>
    </w:p>
    <w:p>
      <w:pPr>
        <w:pStyle w:val="BodyText"/>
        <w:spacing w:line="360" w:lineRule="auto" w:before="202"/>
        <w:ind w:left="820" w:right="114" w:firstLine="451"/>
        <w:jc w:val="both"/>
      </w:pPr>
      <w:r>
        <w:rPr/>
        <w:t>Pues es que Geología ambiental es más… más </w:t>
      </w:r>
      <w:r>
        <w:rPr>
          <w:i/>
        </w:rPr>
        <w:t>como para mujeres</w:t>
      </w:r>
      <w:r>
        <w:rPr/>
        <w:t>, solo ven las piedras y eso, Minería es más pesado [sic], allí sí, tenemos que bajar a las minas, luego nos ponemos unos madrazos buenos, además somos más hombres. Y pues es que sí, tan solo el equipo, </w:t>
      </w:r>
      <w:r>
        <w:rPr>
          <w:i/>
        </w:rPr>
        <w:t>no cualquiera lo carga, </w:t>
      </w:r>
      <w:r>
        <w:rPr/>
        <w:t>incluso los metalurgos son bien </w:t>
      </w:r>
      <w:r>
        <w:rPr>
          <w:i/>
        </w:rPr>
        <w:t>delicados</w:t>
      </w:r>
      <w:r>
        <w:rPr/>
        <w:t>, ellos nada más extraen el material. Los buenos somos los mineros, nosotros hacemos toda la chamba [sic]. [Jonathan, 21 años, Licenciatura en Minero Metalurgia, mayo</w:t>
      </w:r>
      <w:r>
        <w:rPr>
          <w:spacing w:val="-11"/>
        </w:rPr>
        <w:t> </w:t>
      </w:r>
      <w:r>
        <w:rPr/>
        <w:t>2014]</w:t>
      </w:r>
    </w:p>
    <w:p>
      <w:pPr>
        <w:pStyle w:val="BodyText"/>
        <w:spacing w:line="360" w:lineRule="auto" w:before="204"/>
        <w:ind w:left="100" w:right="117"/>
        <w:jc w:val="both"/>
      </w:pPr>
      <w:r>
        <w:rPr/>
        <w:t>Este tipo de declaraciones, aunado a lo que se ha planteado desde una perspectiva teórica parece evidenciar que, aun dentro del mismo instituto existe una marcada diferencia entre las disciplinas, siendo unas caracterizadas como “más femeninas” o “delicadas” que aquellas “masculinas” o “pesadas”, como se puede rescatar del siguiente fragmento rescatado de un estudiante al preguntársele la diferencia entre Arquitectura e Ingeniería Civil:</w:t>
      </w:r>
    </w:p>
    <w:p>
      <w:pPr>
        <w:spacing w:line="360" w:lineRule="auto" w:before="202"/>
        <w:ind w:left="820" w:right="115" w:firstLine="0"/>
        <w:jc w:val="both"/>
        <w:rPr>
          <w:sz w:val="24"/>
        </w:rPr>
      </w:pPr>
      <w:r>
        <w:rPr>
          <w:sz w:val="24"/>
        </w:rPr>
        <w:t>¡¿Pues qué?! </w:t>
      </w:r>
      <w:r>
        <w:rPr>
          <w:i/>
          <w:sz w:val="24"/>
        </w:rPr>
        <w:t>Me vio cara de puto </w:t>
      </w:r>
      <w:r>
        <w:rPr>
          <w:sz w:val="24"/>
        </w:rPr>
        <w:t>[</w:t>
      </w:r>
      <w:r>
        <w:rPr>
          <w:i/>
          <w:sz w:val="24"/>
        </w:rPr>
        <w:t>risas</w:t>
      </w:r>
      <w:r>
        <w:rPr>
          <w:sz w:val="24"/>
        </w:rPr>
        <w:t>], ¿o qué? No, los de civil </w:t>
      </w:r>
      <w:r>
        <w:rPr>
          <w:i/>
          <w:sz w:val="24"/>
        </w:rPr>
        <w:t>sí somos </w:t>
      </w:r>
      <w:r>
        <w:rPr>
          <w:i/>
          <w:sz w:val="24"/>
        </w:rPr>
        <w:t>hombres</w:t>
      </w:r>
      <w:r>
        <w:rPr>
          <w:sz w:val="24"/>
        </w:rPr>
        <w:t>, nos metemos a la obra, los </w:t>
      </w:r>
      <w:r>
        <w:rPr>
          <w:i/>
          <w:sz w:val="24"/>
        </w:rPr>
        <w:t>otros </w:t>
      </w:r>
      <w:r>
        <w:rPr>
          <w:sz w:val="24"/>
        </w:rPr>
        <w:t>solo hacen dibujitos, ¿por qué cree que </w:t>
      </w:r>
      <w:r>
        <w:rPr>
          <w:i/>
          <w:sz w:val="24"/>
        </w:rPr>
        <w:t>hay más mujeres</w:t>
      </w:r>
      <w:r>
        <w:rPr>
          <w:sz w:val="24"/>
        </w:rPr>
        <w:t>?, eso sí hay unas chavas bien </w:t>
      </w:r>
      <w:r>
        <w:rPr>
          <w:i/>
          <w:sz w:val="24"/>
        </w:rPr>
        <w:t>buenas</w:t>
      </w:r>
      <w:r>
        <w:rPr>
          <w:sz w:val="24"/>
        </w:rPr>
        <w:t>. Pero sí, los civiles [sic] sí somos hombres, nos metemos a obra, los otros son bien jotos, nada más dirigen, uno sí hace las cosas, las maneja y todo. Además </w:t>
      </w:r>
      <w:r>
        <w:rPr>
          <w:i/>
          <w:sz w:val="24"/>
        </w:rPr>
        <w:t>nosotros somos </w:t>
      </w:r>
      <w:r>
        <w:rPr>
          <w:i/>
          <w:sz w:val="24"/>
        </w:rPr>
        <w:t>ingenieros</w:t>
      </w:r>
      <w:r>
        <w:rPr>
          <w:sz w:val="24"/>
        </w:rPr>
        <w:t>, ellos no. [“El </w:t>
      </w:r>
      <w:r>
        <w:rPr>
          <w:i/>
          <w:sz w:val="24"/>
        </w:rPr>
        <w:t>Veracruz</w:t>
      </w:r>
      <w:r>
        <w:rPr>
          <w:sz w:val="24"/>
        </w:rPr>
        <w:t>”, 23 años, estudiante de la Licenciatura en Ingeniería Civil, abril 2014].</w:t>
      </w:r>
    </w:p>
    <w:p>
      <w:pPr>
        <w:pStyle w:val="BodyText"/>
        <w:spacing w:line="360" w:lineRule="auto" w:before="204"/>
        <w:ind w:left="100" w:right="123"/>
        <w:jc w:val="both"/>
      </w:pPr>
      <w:r>
        <w:rPr/>
        <w:t>El prestigio y la diferencia/discriminación se constituyen como los modelos a seguir y formar una </w:t>
      </w:r>
      <w:r>
        <w:rPr>
          <w:i/>
        </w:rPr>
        <w:t>identidad </w:t>
      </w:r>
      <w:r>
        <w:rPr/>
        <w:t>dentro de las instalaciones del instituto. Este proceso de identidad parece verse reflejado en las estadísticas sobre la distribución por género aún dentro  de</w:t>
      </w:r>
      <w:r>
        <w:rPr>
          <w:spacing w:val="39"/>
        </w:rPr>
        <w:t> </w:t>
      </w:r>
      <w:r>
        <w:rPr/>
        <w:t>las</w:t>
      </w:r>
      <w:r>
        <w:rPr>
          <w:spacing w:val="38"/>
        </w:rPr>
        <w:t> </w:t>
      </w:r>
      <w:r>
        <w:rPr/>
        <w:t>ingenierías,</w:t>
      </w:r>
      <w:r>
        <w:rPr>
          <w:spacing w:val="38"/>
        </w:rPr>
        <w:t> </w:t>
      </w:r>
      <w:r>
        <w:rPr/>
        <w:t>generando</w:t>
      </w:r>
      <w:r>
        <w:rPr>
          <w:spacing w:val="39"/>
        </w:rPr>
        <w:t> </w:t>
      </w:r>
      <w:r>
        <w:rPr/>
        <w:t>una</w:t>
      </w:r>
      <w:r>
        <w:rPr>
          <w:spacing w:val="39"/>
        </w:rPr>
        <w:t> </w:t>
      </w:r>
      <w:r>
        <w:rPr/>
        <w:t>percepción</w:t>
      </w:r>
      <w:r>
        <w:rPr>
          <w:spacing w:val="39"/>
        </w:rPr>
        <w:t> </w:t>
      </w:r>
      <w:r>
        <w:rPr/>
        <w:t>a</w:t>
      </w:r>
      <w:r>
        <w:rPr>
          <w:spacing w:val="39"/>
        </w:rPr>
        <w:t> </w:t>
      </w:r>
      <w:r>
        <w:rPr/>
        <w:t>las</w:t>
      </w:r>
      <w:r>
        <w:rPr>
          <w:spacing w:val="38"/>
        </w:rPr>
        <w:t> </w:t>
      </w:r>
      <w:r>
        <w:rPr/>
        <w:t>mismas</w:t>
      </w:r>
      <w:r>
        <w:rPr>
          <w:spacing w:val="38"/>
        </w:rPr>
        <w:t> </w:t>
      </w:r>
      <w:r>
        <w:rPr/>
        <w:t>de</w:t>
      </w:r>
      <w:r>
        <w:rPr>
          <w:spacing w:val="39"/>
        </w:rPr>
        <w:t> </w:t>
      </w:r>
      <w:r>
        <w:rPr/>
        <w:t>“masculino”,</w:t>
      </w:r>
      <w:r>
        <w:rPr>
          <w:spacing w:val="38"/>
        </w:rPr>
        <w:t> </w:t>
      </w:r>
      <w:r>
        <w:rPr/>
        <w:t>“no</w:t>
      </w:r>
      <w:r>
        <w:rPr>
          <w:spacing w:val="39"/>
        </w:rPr>
        <w:t> </w:t>
      </w:r>
      <w:r>
        <w:rPr/>
        <w:t>tan</w:t>
      </w:r>
    </w:p>
    <w:p>
      <w:pPr>
        <w:spacing w:after="0" w:line="360" w:lineRule="auto"/>
        <w:jc w:val="both"/>
        <w:sectPr>
          <w:footerReference w:type="default" r:id="rId11"/>
          <w:pgSz w:w="12240" w:h="15840"/>
          <w:pgMar w:footer="1014" w:header="0" w:top="1380" w:bottom="1200" w:left="1340" w:right="1320"/>
        </w:sectPr>
      </w:pPr>
    </w:p>
    <w:p>
      <w:pPr>
        <w:pStyle w:val="BodyText"/>
        <w:spacing w:line="360" w:lineRule="auto" w:before="58"/>
        <w:ind w:left="120" w:right="125"/>
        <w:jc w:val="both"/>
      </w:pPr>
      <w:r>
        <w:rPr/>
        <w:t>masculino”, qué, de alguna forma afecta la forma en cómo se establecen las relaciones dentro del espacio universitario.</w:t>
      </w:r>
    </w:p>
    <w:p>
      <w:pPr>
        <w:pStyle w:val="BodyText"/>
      </w:pPr>
    </w:p>
    <w:p>
      <w:pPr>
        <w:pStyle w:val="Heading1"/>
        <w:ind w:left="120"/>
      </w:pPr>
      <w:bookmarkStart w:name="_bookmark11" w:id="12"/>
      <w:bookmarkEnd w:id="12"/>
      <w:r>
        <w:rPr>
          <w:b w:val="0"/>
        </w:rPr>
      </w:r>
      <w:r>
        <w:rPr>
          <w:color w:val="365F91"/>
        </w:rPr>
        <w:t>Justificación</w:t>
      </w:r>
    </w:p>
    <w:p>
      <w:pPr>
        <w:pStyle w:val="BodyText"/>
        <w:rPr>
          <w:b/>
        </w:rPr>
      </w:pPr>
    </w:p>
    <w:p>
      <w:pPr>
        <w:pStyle w:val="BodyText"/>
        <w:spacing w:before="9"/>
        <w:rPr>
          <w:b/>
        </w:rPr>
      </w:pPr>
    </w:p>
    <w:p>
      <w:pPr>
        <w:pStyle w:val="BodyText"/>
        <w:spacing w:line="360" w:lineRule="auto"/>
        <w:ind w:left="120" w:right="116"/>
        <w:jc w:val="both"/>
      </w:pPr>
      <w:r>
        <w:rPr/>
        <w:t>Una vez llegado a este punto podemos visualizar a la universidad, en este caso el espacio correspondiente al ICBI como un espacio que cuenta con un gran número de varones estudiantes, los cuales se encuentran en un proceso de </w:t>
      </w:r>
      <w:r>
        <w:rPr>
          <w:i/>
        </w:rPr>
        <w:t>reforzamiento </w:t>
      </w:r>
      <w:r>
        <w:rPr/>
        <w:t>de conductas que atentan contra la integridad de las mujeres en general. Dicho reforzamiento se realiza por parte de sus pares [compañeros de escuela] y por  personal</w:t>
      </w:r>
      <w:r>
        <w:rPr>
          <w:spacing w:val="-8"/>
        </w:rPr>
        <w:t> </w:t>
      </w:r>
      <w:r>
        <w:rPr/>
        <w:t>docente.</w:t>
      </w:r>
    </w:p>
    <w:p>
      <w:pPr>
        <w:pStyle w:val="BodyText"/>
        <w:spacing w:line="360" w:lineRule="auto" w:before="204"/>
        <w:ind w:left="120" w:right="123"/>
        <w:jc w:val="both"/>
      </w:pPr>
      <w:r>
        <w:rPr/>
        <w:t>Éste consistiría en el principal motivo para implementar un programa que permita la incorporación de nuevos modelos de relación entre iguales, y en general, con las personas inmersas en la cotidianidad.</w:t>
      </w:r>
    </w:p>
    <w:p>
      <w:pPr>
        <w:pStyle w:val="BodyText"/>
      </w:pPr>
    </w:p>
    <w:p>
      <w:pPr>
        <w:pStyle w:val="Heading1"/>
        <w:spacing w:line="451" w:lineRule="auto" w:before="207"/>
        <w:ind w:left="120" w:right="6665"/>
        <w:jc w:val="left"/>
      </w:pPr>
      <w:bookmarkStart w:name="_bookmark12" w:id="13"/>
      <w:bookmarkEnd w:id="13"/>
      <w:r>
        <w:rPr>
          <w:b w:val="0"/>
        </w:rPr>
      </w:r>
      <w:r>
        <w:rPr>
          <w:color w:val="365F91"/>
        </w:rPr>
        <w:t>Diagnóstico </w:t>
      </w:r>
      <w:bookmarkStart w:name="_bookmark13" w:id="14"/>
      <w:bookmarkEnd w:id="14"/>
      <w:r>
        <w:rPr>
          <w:color w:val="365F91"/>
        </w:rPr>
      </w:r>
      <w:r>
        <w:rPr>
          <w:color w:val="4F81BC"/>
        </w:rPr>
        <w:t>Metodología y</w:t>
      </w:r>
      <w:r>
        <w:rPr>
          <w:color w:val="4F81BC"/>
          <w:spacing w:val="-6"/>
        </w:rPr>
        <w:t> </w:t>
      </w:r>
      <w:r>
        <w:rPr>
          <w:color w:val="4F81BC"/>
        </w:rPr>
        <w:t>población</w:t>
      </w:r>
    </w:p>
    <w:p>
      <w:pPr>
        <w:pStyle w:val="BodyText"/>
        <w:spacing w:before="1"/>
        <w:rPr>
          <w:b/>
          <w:sz w:val="28"/>
        </w:rPr>
      </w:pPr>
    </w:p>
    <w:p>
      <w:pPr>
        <w:pStyle w:val="BodyText"/>
        <w:spacing w:line="360" w:lineRule="auto"/>
        <w:ind w:left="120" w:right="116"/>
        <w:jc w:val="both"/>
      </w:pPr>
      <w:r>
        <w:rPr/>
        <w:t>Para recabar los datos pertinentes a esta investigación </w:t>
      </w:r>
      <w:r>
        <w:rPr>
          <w:spacing w:val="3"/>
        </w:rPr>
        <w:t>se </w:t>
      </w:r>
      <w:r>
        <w:rPr/>
        <w:t>procedió a la aplicación de 145 formatos del Inventario de Masculinidad y Femineidad-Imafe [Lara, 1993] para la comprensión de las percepciones de masculinidad/feminidad del alumnado de segundo semestre de las licenciaturas en Ingeniería en Sistemas Computacionales, en Ingeniería en Minero-Metalurgia, Ingeniería Civil, Ingeniería Industrial, Ingeniería en Telecomunicaciones,  Ingeniería  en  Electrónica.  Así  como  la  misma  cantidad     </w:t>
      </w:r>
      <w:r>
        <w:rPr>
          <w:spacing w:val="22"/>
        </w:rPr>
        <w:t> </w:t>
      </w:r>
      <w:r>
        <w:rPr/>
        <w:t>de</w:t>
      </w:r>
    </w:p>
    <w:p>
      <w:pPr>
        <w:pStyle w:val="BodyText"/>
        <w:spacing w:line="281" w:lineRule="exact"/>
        <w:ind w:left="120"/>
        <w:jc w:val="both"/>
      </w:pPr>
      <w:r>
        <w:rPr/>
        <w:t>cuestionarios,  los  cuales  intentaban  conocer, por medio  de  una escala  tipo </w:t>
      </w:r>
      <w:r>
        <w:rPr>
          <w:spacing w:val="54"/>
        </w:rPr>
        <w:t> </w:t>
      </w:r>
      <w:r>
        <w:rPr/>
        <w:t>Likert</w:t>
      </w:r>
      <w:r>
        <w:rPr>
          <w:position w:val="11"/>
          <w:sz w:val="16"/>
        </w:rPr>
        <w:t>6</w:t>
      </w:r>
      <w:r>
        <w:rPr/>
        <w:t>,</w:t>
      </w:r>
    </w:p>
    <w:p>
      <w:pPr>
        <w:pStyle w:val="BodyText"/>
        <w:spacing w:line="360" w:lineRule="auto" w:before="137"/>
        <w:ind w:left="120" w:right="120"/>
        <w:jc w:val="both"/>
      </w:pPr>
      <w:r>
        <w:rPr/>
        <w:pict>
          <v:line style="position:absolute;mso-position-horizontal-relative:page;mso-position-vertical-relative:paragraph;z-index:1312;mso-wrap-distance-left:0;mso-wrap-distance-right:0" from="72.024002pt,52.065876pt" to="216.044002pt,52.065876pt" stroked="true" strokeweight=".71997pt" strokecolor="#000000">
            <w10:wrap type="topAndBottom"/>
          </v:line>
        </w:pict>
      </w:r>
      <w:r>
        <w:rPr/>
        <w:t>nociones generales sobre la presencia de violencia en la última relación de pareja que el/la estudiante haya tenido.</w:t>
      </w:r>
    </w:p>
    <w:p>
      <w:pPr>
        <w:spacing w:before="36"/>
        <w:ind w:left="120" w:right="124" w:firstLine="0"/>
        <w:jc w:val="both"/>
        <w:rPr>
          <w:sz w:val="20"/>
        </w:rPr>
      </w:pPr>
      <w:r>
        <w:rPr>
          <w:position w:val="10"/>
          <w:sz w:val="13"/>
        </w:rPr>
        <w:t>6 </w:t>
      </w:r>
      <w:r>
        <w:rPr>
          <w:sz w:val="20"/>
        </w:rPr>
        <w:t>Una escala de tipo Likert consiste en una serie de afirmaciones que pretenden recabar información de las personas respecto a su actitud, valores, hacia una acción, hecho o conducta e incluso la frecuencia con que realizan alguna acción, etcétera. Esta escala se construye en base a una serie de afirmaciones, en las que se le proporcionan a la persona una variada cantidad de opciones de respuesta tratando de no limitar sus opciones a una postura</w:t>
      </w:r>
      <w:r>
        <w:rPr>
          <w:spacing w:val="-14"/>
          <w:sz w:val="20"/>
        </w:rPr>
        <w:t> </w:t>
      </w:r>
      <w:r>
        <w:rPr>
          <w:sz w:val="20"/>
        </w:rPr>
        <w:t>binaria.</w:t>
      </w:r>
    </w:p>
    <w:p>
      <w:pPr>
        <w:spacing w:after="0"/>
        <w:jc w:val="both"/>
        <w:rPr>
          <w:sz w:val="20"/>
        </w:rPr>
        <w:sectPr>
          <w:footerReference w:type="default" r:id="rId12"/>
          <w:pgSz w:w="12240" w:h="15840"/>
          <w:pgMar w:footer="1014" w:header="0" w:top="1380" w:bottom="1200" w:left="1320" w:right="1320"/>
        </w:sectPr>
      </w:pPr>
    </w:p>
    <w:p>
      <w:pPr>
        <w:pStyle w:val="BodyText"/>
        <w:spacing w:line="360" w:lineRule="auto" w:before="58"/>
        <w:ind w:left="120" w:right="112"/>
        <w:jc w:val="both"/>
      </w:pPr>
      <w:r>
        <w:rPr/>
        <w:t>De igual forma se aplicó un total de 87 cuestionarios e inventarios de masculinidad- femineidad-Imafe al estudiantado de octavo semestre de las mismas licenciaturas. Esto se realizó con la finalidad de recabar datos que permitiesen contrastar las nociones de lo que significa ser </w:t>
      </w:r>
      <w:r>
        <w:rPr>
          <w:i/>
        </w:rPr>
        <w:t>un hombre </w:t>
      </w:r>
      <w:r>
        <w:rPr/>
        <w:t>y cómo estás puede modificarse, o perdurar, de acuerdo a determinados espacios masculinizados.</w:t>
      </w:r>
    </w:p>
    <w:p>
      <w:pPr>
        <w:pStyle w:val="BodyText"/>
        <w:spacing w:line="350" w:lineRule="auto" w:before="204"/>
        <w:ind w:left="120" w:right="114"/>
        <w:jc w:val="both"/>
      </w:pPr>
      <w:r>
        <w:rPr/>
        <w:t>Cabe destacar que las aplicaciones se realizaron a estudiantes que no estuviesen casadas/os</w:t>
      </w:r>
      <w:r>
        <w:rPr>
          <w:position w:val="11"/>
          <w:sz w:val="16"/>
        </w:rPr>
        <w:t>7</w:t>
      </w:r>
      <w:r>
        <w:rPr/>
        <w:t>, que sostuvieran una relación de erótico-afectiva [sin vivir juntos] o que la hubiesen sostenido en el último año, sin importar la duración de la misma. Se dejaron de lado aspectos como el lugar de procedencia puesto que se concibe que si bien la</w:t>
      </w:r>
    </w:p>
    <w:p>
      <w:pPr>
        <w:pStyle w:val="BodyText"/>
        <w:spacing w:line="360" w:lineRule="auto" w:before="16"/>
        <w:ind w:left="120" w:right="117"/>
        <w:jc w:val="both"/>
      </w:pPr>
      <w:r>
        <w:rPr/>
        <w:t>UAEH alberga población de diversos municipios es en este espacio en donde pasan la mayor parte del tiempo a la semana, aunado a ello no se consideraron aspectos de situación económica, o edad de la pareja. Un último criterio de aplicación fue el referente al de la orientación sexual, puesto que la recabación de esta información implicaría una constitución de análisis diferente a la que se pretende realizar dentro de este proyecto.</w:t>
      </w:r>
    </w:p>
    <w:p>
      <w:pPr>
        <w:pStyle w:val="BodyText"/>
        <w:spacing w:line="360" w:lineRule="auto" w:before="204"/>
        <w:ind w:left="120" w:right="120"/>
        <w:jc w:val="both"/>
      </w:pPr>
      <w:r>
        <w:rPr/>
        <w:t>La aplicación de estos instrumentos se realizó dentro de las aulas en las que el estudiantado se encontraba y siempre contando con la aprobación del profesorado. La aplicación, salvo las características mencionadas, tenía como finalidad recabar la  mayor cantidad de estudiantes posibles dentro </w:t>
      </w:r>
      <w:r>
        <w:rPr>
          <w:spacing w:val="2"/>
        </w:rPr>
        <w:t>del </w:t>
      </w:r>
      <w:r>
        <w:rPr/>
        <w:t>instituto. Aunado a ello se realizaron tres grupos focales de quince personas, hombres, de segundo semestre; un grupo focal de doce personas, mujeres, de segundo semestre; dos grupos de quince personas, hombres, de octavo semestre; y un grupo de 14 personas, mujeres de octavo  semestre. De igual se trabajaron con campos semánticos con estas</w:t>
      </w:r>
      <w:r>
        <w:rPr>
          <w:spacing w:val="-27"/>
        </w:rPr>
        <w:t> </w:t>
      </w:r>
      <w:r>
        <w:rPr/>
        <w:t>personas.</w:t>
      </w:r>
    </w:p>
    <w:p>
      <w:pPr>
        <w:pStyle w:val="BodyText"/>
      </w:pPr>
    </w:p>
    <w:p>
      <w:pPr>
        <w:pStyle w:val="BodyText"/>
      </w:pPr>
    </w:p>
    <w:p>
      <w:pPr>
        <w:pStyle w:val="BodyText"/>
        <w:spacing w:before="2"/>
        <w:rPr>
          <w:sz w:val="23"/>
        </w:rPr>
      </w:pPr>
    </w:p>
    <w:p>
      <w:pPr>
        <w:pStyle w:val="Heading1"/>
        <w:spacing w:before="0"/>
        <w:ind w:left="120"/>
      </w:pPr>
      <w:bookmarkStart w:name="_bookmark14" w:id="15"/>
      <w:bookmarkEnd w:id="15"/>
      <w:r>
        <w:rPr>
          <w:b w:val="0"/>
        </w:rPr>
      </w:r>
      <w:r>
        <w:rPr>
          <w:color w:val="4F81BC"/>
        </w:rPr>
        <w:t>Diseño del cuestionario</w:t>
      </w:r>
    </w:p>
    <w:p>
      <w:pPr>
        <w:pStyle w:val="BodyText"/>
        <w:rPr>
          <w:b/>
          <w:sz w:val="20"/>
        </w:rPr>
      </w:pPr>
    </w:p>
    <w:p>
      <w:pPr>
        <w:pStyle w:val="BodyText"/>
        <w:rPr>
          <w:b/>
          <w:sz w:val="20"/>
        </w:rPr>
      </w:pPr>
    </w:p>
    <w:p>
      <w:pPr>
        <w:pStyle w:val="BodyText"/>
        <w:spacing w:before="8"/>
        <w:rPr>
          <w:b/>
          <w:sz w:val="14"/>
        </w:rPr>
      </w:pPr>
      <w:r>
        <w:rPr/>
        <w:pict>
          <v:line style="position:absolute;mso-position-horizontal-relative:page;mso-position-vertical-relative:paragraph;z-index:1336;mso-wrap-distance-left:0;mso-wrap-distance-right:0" from="72.024002pt,10.818965pt" to="216.044002pt,10.818965pt" stroked="true" strokeweight=".72003pt" strokecolor="#000000">
            <w10:wrap type="topAndBottom"/>
          </v:line>
        </w:pict>
      </w:r>
    </w:p>
    <w:p>
      <w:pPr>
        <w:spacing w:line="242" w:lineRule="auto" w:before="39"/>
        <w:ind w:left="120" w:right="118" w:firstLine="0"/>
        <w:jc w:val="both"/>
        <w:rPr>
          <w:sz w:val="20"/>
        </w:rPr>
      </w:pPr>
      <w:r>
        <w:rPr>
          <w:rFonts w:ascii="Calibri" w:hAnsi="Calibri"/>
          <w:position w:val="10"/>
          <w:sz w:val="13"/>
        </w:rPr>
        <w:t>7 </w:t>
      </w:r>
      <w:r>
        <w:rPr>
          <w:sz w:val="20"/>
        </w:rPr>
        <w:t>De todas las personas encuestadas solamente 5 hombres y 8 mujeres se encontraban en un estado civil de casado/a. Esto da claridad respecto a que el espacio educativo y la población estudiantil se preponderantemente constituida por personas solteras, lo cual implica una dinámica de pareja por completo diferente a la que se constituye en otro ámbitos como lo puede ser en el hogar [cuando dos personas viven juntas], en el trabajo,</w:t>
      </w:r>
      <w:r>
        <w:rPr>
          <w:spacing w:val="-15"/>
          <w:sz w:val="20"/>
        </w:rPr>
        <w:t> </w:t>
      </w:r>
      <w:r>
        <w:rPr>
          <w:sz w:val="20"/>
        </w:rPr>
        <w:t>etcétera.</w:t>
      </w:r>
    </w:p>
    <w:p>
      <w:pPr>
        <w:spacing w:after="0" w:line="242" w:lineRule="auto"/>
        <w:jc w:val="both"/>
        <w:rPr>
          <w:sz w:val="20"/>
        </w:rPr>
        <w:sectPr>
          <w:footerReference w:type="default" r:id="rId13"/>
          <w:pgSz w:w="12240" w:h="15840"/>
          <w:pgMar w:footer="1014" w:header="0" w:top="1380" w:bottom="1200" w:left="1320" w:right="1320"/>
          <w:pgNumType w:start="22"/>
        </w:sectPr>
      </w:pPr>
    </w:p>
    <w:p>
      <w:pPr>
        <w:pStyle w:val="BodyText"/>
        <w:spacing w:line="360" w:lineRule="auto" w:before="58"/>
        <w:ind w:left="100" w:right="119"/>
        <w:jc w:val="both"/>
      </w:pPr>
      <w:r>
        <w:rPr/>
        <w:t>Se elaboró un breve cuestionario de veintiséis reactivos, basados en las premisas del violentómetro [Instituto Politécnico Nacional, </w:t>
      </w:r>
      <w:r>
        <w:rPr>
          <w:i/>
        </w:rPr>
        <w:t>s.f.</w:t>
      </w:r>
      <w:r>
        <w:rPr/>
        <w:t>]. El cuestionario fue elaborado en un formato escala de Likert en el que se asignaron cuatro posibilidades de respuesta con una ponderación numérica: siempre [3], frecuentemente [2], rara vez [1] y nunca [0]. El cuestionario se basa en afirmaciones que buscan recabar datos respecto a la frecuencia con que las personas ejercen, o han sido objeto de dicho ejercicio [en el caso de las mujeres], de violencia, desde los golpes, hasta formas más sutiles como chantaje emocional, etcétera [anexo</w:t>
      </w:r>
      <w:r>
        <w:rPr>
          <w:spacing w:val="-11"/>
        </w:rPr>
        <w:t> </w:t>
      </w:r>
      <w:r>
        <w:rPr/>
        <w:t>1].</w:t>
      </w:r>
    </w:p>
    <w:p>
      <w:pPr>
        <w:pStyle w:val="BodyText"/>
        <w:spacing w:line="360" w:lineRule="auto" w:before="5"/>
        <w:ind w:left="100" w:right="115"/>
        <w:jc w:val="both"/>
      </w:pPr>
      <w:r>
        <w:rPr/>
        <w:t>La aplicación del cuestionario se realizó dentro de las aulas, en presencia de las y los profesores. Cabe destacar que el cuestionario fue dirigido a las acciones que realizan los varones, y las afirmaciones fueron elaboradas de tal forma que ellos al leerlas describieran sus acciones. Al momento de proporcionar el cuestionario a las mujeres se les indicó que, al leer las afirmaciones pensaran si su pareja había generado alguna de esas situaciones en la relación y con qué frecuencia. En ambos casos se les pidió que, en caso de no tener alguna relación afectiva al momento, respondieran con base a la última relación que tuvieron.</w:t>
      </w:r>
    </w:p>
    <w:p>
      <w:pPr>
        <w:pStyle w:val="BodyText"/>
        <w:spacing w:before="204"/>
        <w:ind w:left="100"/>
        <w:jc w:val="both"/>
      </w:pPr>
      <w:r>
        <w:rPr/>
        <w:t>A continuación expondré algunos de los datos recabados.</w:t>
      </w:r>
    </w:p>
    <w:p>
      <w:pPr>
        <w:pStyle w:val="BodyText"/>
        <w:spacing w:before="6"/>
        <w:rPr>
          <w:sz w:val="29"/>
        </w:rPr>
      </w:pPr>
    </w:p>
    <w:p>
      <w:pPr>
        <w:spacing w:before="0"/>
        <w:ind w:left="100" w:right="0" w:firstLine="0"/>
        <w:jc w:val="both"/>
        <w:rPr>
          <w:rFonts w:ascii="Calibri" w:hAnsi="Calibri"/>
          <w:sz w:val="22"/>
        </w:rPr>
      </w:pPr>
      <w:bookmarkStart w:name="_bookmark15" w:id="16"/>
      <w:bookmarkEnd w:id="16"/>
      <w:r>
        <w:rPr/>
      </w:r>
      <w:r>
        <w:rPr>
          <w:b/>
          <w:color w:val="4F81BC"/>
          <w:sz w:val="22"/>
        </w:rPr>
        <w:t>Número de personas encuestadas por semestre, sexo en número neto y porcentual</w:t>
      </w:r>
      <w:r>
        <w:rPr>
          <w:rFonts w:ascii="Calibri" w:hAnsi="Calibri"/>
          <w:sz w:val="22"/>
        </w:rPr>
        <w:t>.</w:t>
      </w:r>
    </w:p>
    <w:p>
      <w:pPr>
        <w:pStyle w:val="BodyText"/>
        <w:spacing w:before="3"/>
        <w:rPr>
          <w:rFonts w:ascii="Calibri"/>
          <w:sz w:val="27"/>
        </w:rPr>
      </w:pPr>
    </w:p>
    <w:tbl>
      <w:tblPr>
        <w:tblW w:w="0" w:type="auto"/>
        <w:jc w:val="left"/>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00"/>
        <w:gridCol w:w="1200"/>
        <w:gridCol w:w="1200"/>
        <w:gridCol w:w="1200"/>
        <w:gridCol w:w="1200"/>
        <w:gridCol w:w="1200"/>
      </w:tblGrid>
      <w:tr>
        <w:trPr>
          <w:trHeight w:val="900" w:hRule="exact"/>
        </w:trPr>
        <w:tc>
          <w:tcPr>
            <w:tcW w:w="1200" w:type="dxa"/>
          </w:tcPr>
          <w:p>
            <w:pPr>
              <w:pStyle w:val="TableParagraph"/>
              <w:spacing w:before="1"/>
              <w:rPr>
                <w:rFonts w:ascii="Calibri"/>
                <w:sz w:val="26"/>
              </w:rPr>
            </w:pPr>
          </w:p>
          <w:p>
            <w:pPr>
              <w:pStyle w:val="TableParagraph"/>
              <w:ind w:left="41" w:right="63"/>
              <w:jc w:val="center"/>
              <w:rPr>
                <w:b/>
                <w:sz w:val="22"/>
              </w:rPr>
            </w:pPr>
            <w:r>
              <w:rPr>
                <w:b/>
                <w:w w:val="105"/>
                <w:sz w:val="22"/>
              </w:rPr>
              <w:t>Semestre</w:t>
            </w:r>
          </w:p>
        </w:tc>
        <w:tc>
          <w:tcPr>
            <w:tcW w:w="1200" w:type="dxa"/>
          </w:tcPr>
          <w:p>
            <w:pPr>
              <w:pStyle w:val="TableParagraph"/>
              <w:spacing w:line="285" w:lineRule="auto" w:before="18"/>
              <w:ind w:left="29" w:right="38" w:firstLine="16"/>
              <w:jc w:val="center"/>
              <w:rPr>
                <w:b/>
                <w:sz w:val="22"/>
              </w:rPr>
            </w:pPr>
            <w:r>
              <w:rPr>
                <w:b/>
                <w:sz w:val="22"/>
              </w:rPr>
              <w:t>Personas encuestad </w:t>
            </w:r>
            <w:r>
              <w:rPr>
                <w:b/>
                <w:w w:val="105"/>
                <w:sz w:val="22"/>
              </w:rPr>
              <w:t>as</w:t>
            </w:r>
          </w:p>
        </w:tc>
        <w:tc>
          <w:tcPr>
            <w:tcW w:w="1200" w:type="dxa"/>
          </w:tcPr>
          <w:p>
            <w:pPr>
              <w:pStyle w:val="TableParagraph"/>
              <w:spacing w:line="285" w:lineRule="auto" w:before="168"/>
              <w:ind w:left="254" w:right="107" w:hanging="150"/>
              <w:rPr>
                <w:b/>
                <w:sz w:val="22"/>
              </w:rPr>
            </w:pPr>
            <w:r>
              <w:rPr>
                <w:b/>
                <w:sz w:val="22"/>
              </w:rPr>
              <w:t>Hombres </w:t>
            </w:r>
            <w:r>
              <w:rPr>
                <w:b/>
                <w:w w:val="105"/>
                <w:sz w:val="22"/>
              </w:rPr>
              <w:t>[núm.]</w:t>
            </w:r>
          </w:p>
        </w:tc>
        <w:tc>
          <w:tcPr>
            <w:tcW w:w="1200" w:type="dxa"/>
          </w:tcPr>
          <w:p>
            <w:pPr>
              <w:pStyle w:val="TableParagraph"/>
              <w:spacing w:line="285" w:lineRule="auto" w:before="168"/>
              <w:ind w:left="420" w:right="106" w:hanging="315"/>
              <w:rPr>
                <w:b/>
                <w:sz w:val="22"/>
              </w:rPr>
            </w:pPr>
            <w:r>
              <w:rPr>
                <w:b/>
                <w:sz w:val="22"/>
              </w:rPr>
              <w:t>Hombres </w:t>
            </w:r>
            <w:r>
              <w:rPr>
                <w:b/>
                <w:w w:val="105"/>
                <w:sz w:val="22"/>
              </w:rPr>
              <w:t>[%]</w:t>
            </w:r>
          </w:p>
        </w:tc>
        <w:tc>
          <w:tcPr>
            <w:tcW w:w="1200" w:type="dxa"/>
          </w:tcPr>
          <w:p>
            <w:pPr>
              <w:pStyle w:val="TableParagraph"/>
              <w:spacing w:line="285" w:lineRule="auto" w:before="168"/>
              <w:ind w:left="254" w:right="106" w:hanging="105"/>
              <w:rPr>
                <w:b/>
                <w:sz w:val="22"/>
              </w:rPr>
            </w:pPr>
            <w:r>
              <w:rPr>
                <w:b/>
                <w:sz w:val="22"/>
              </w:rPr>
              <w:t>Mujeres </w:t>
            </w:r>
            <w:r>
              <w:rPr>
                <w:b/>
                <w:w w:val="105"/>
                <w:sz w:val="22"/>
              </w:rPr>
              <w:t>[núm.]</w:t>
            </w:r>
          </w:p>
        </w:tc>
        <w:tc>
          <w:tcPr>
            <w:tcW w:w="1200" w:type="dxa"/>
          </w:tcPr>
          <w:p>
            <w:pPr>
              <w:pStyle w:val="TableParagraph"/>
              <w:spacing w:line="285" w:lineRule="auto" w:before="168"/>
              <w:ind w:left="419" w:right="106" w:hanging="270"/>
              <w:rPr>
                <w:b/>
                <w:sz w:val="22"/>
              </w:rPr>
            </w:pPr>
            <w:r>
              <w:rPr>
                <w:b/>
                <w:sz w:val="22"/>
              </w:rPr>
              <w:t>Mujeres </w:t>
            </w:r>
            <w:r>
              <w:rPr>
                <w:b/>
                <w:w w:val="105"/>
                <w:sz w:val="22"/>
              </w:rPr>
              <w:t>[%]</w:t>
            </w:r>
          </w:p>
        </w:tc>
      </w:tr>
      <w:tr>
        <w:trPr>
          <w:trHeight w:val="300" w:hRule="exact"/>
        </w:trPr>
        <w:tc>
          <w:tcPr>
            <w:tcW w:w="1200" w:type="dxa"/>
            <w:shd w:val="clear" w:color="auto" w:fill="B09FC6"/>
          </w:tcPr>
          <w:p>
            <w:pPr>
              <w:pStyle w:val="TableParagraph"/>
              <w:spacing w:before="18"/>
              <w:ind w:left="41" w:right="55"/>
              <w:jc w:val="center"/>
              <w:rPr>
                <w:sz w:val="22"/>
              </w:rPr>
            </w:pPr>
            <w:r>
              <w:rPr>
                <w:w w:val="105"/>
                <w:sz w:val="22"/>
              </w:rPr>
              <w:t>2do.</w:t>
            </w:r>
          </w:p>
        </w:tc>
        <w:tc>
          <w:tcPr>
            <w:tcW w:w="1200" w:type="dxa"/>
            <w:shd w:val="clear" w:color="auto" w:fill="B09FC6"/>
          </w:tcPr>
          <w:p>
            <w:pPr>
              <w:pStyle w:val="TableParagraph"/>
              <w:spacing w:before="18"/>
              <w:ind w:right="417"/>
              <w:jc w:val="right"/>
              <w:rPr>
                <w:b/>
                <w:sz w:val="22"/>
              </w:rPr>
            </w:pPr>
            <w:r>
              <w:rPr>
                <w:b/>
                <w:sz w:val="22"/>
              </w:rPr>
              <w:t>145</w:t>
            </w:r>
          </w:p>
        </w:tc>
        <w:tc>
          <w:tcPr>
            <w:tcW w:w="1200" w:type="dxa"/>
            <w:shd w:val="clear" w:color="auto" w:fill="B09FC6"/>
          </w:tcPr>
          <w:p>
            <w:pPr>
              <w:pStyle w:val="TableParagraph"/>
              <w:spacing w:before="18"/>
              <w:ind w:right="417"/>
              <w:jc w:val="right"/>
              <w:rPr>
                <w:sz w:val="22"/>
              </w:rPr>
            </w:pPr>
            <w:r>
              <w:rPr>
                <w:sz w:val="22"/>
              </w:rPr>
              <w:t>106</w:t>
            </w:r>
          </w:p>
        </w:tc>
        <w:tc>
          <w:tcPr>
            <w:tcW w:w="1200" w:type="dxa"/>
            <w:shd w:val="clear" w:color="auto" w:fill="B09FC6"/>
          </w:tcPr>
          <w:p>
            <w:pPr>
              <w:pStyle w:val="TableParagraph"/>
              <w:spacing w:before="18"/>
              <w:ind w:left="41" w:right="34"/>
              <w:jc w:val="center"/>
              <w:rPr>
                <w:sz w:val="22"/>
              </w:rPr>
            </w:pPr>
            <w:r>
              <w:rPr>
                <w:w w:val="105"/>
                <w:sz w:val="22"/>
              </w:rPr>
              <w:t>73.79%</w:t>
            </w:r>
          </w:p>
        </w:tc>
        <w:tc>
          <w:tcPr>
            <w:tcW w:w="1200" w:type="dxa"/>
            <w:shd w:val="clear" w:color="auto" w:fill="B09FC6"/>
          </w:tcPr>
          <w:p>
            <w:pPr>
              <w:pStyle w:val="TableParagraph"/>
              <w:spacing w:before="18"/>
              <w:ind w:left="41" w:right="53"/>
              <w:jc w:val="center"/>
              <w:rPr>
                <w:sz w:val="22"/>
              </w:rPr>
            </w:pPr>
            <w:r>
              <w:rPr>
                <w:w w:val="105"/>
                <w:sz w:val="22"/>
              </w:rPr>
              <w:t>38</w:t>
            </w:r>
          </w:p>
        </w:tc>
        <w:tc>
          <w:tcPr>
            <w:tcW w:w="1200" w:type="dxa"/>
            <w:shd w:val="clear" w:color="auto" w:fill="B09FC6"/>
          </w:tcPr>
          <w:p>
            <w:pPr>
              <w:pStyle w:val="TableParagraph"/>
              <w:spacing w:before="18"/>
              <w:ind w:left="41" w:right="34"/>
              <w:jc w:val="center"/>
              <w:rPr>
                <w:sz w:val="22"/>
              </w:rPr>
            </w:pPr>
            <w:r>
              <w:rPr>
                <w:w w:val="105"/>
                <w:sz w:val="22"/>
              </w:rPr>
              <w:t>26.21%</w:t>
            </w:r>
          </w:p>
        </w:tc>
      </w:tr>
      <w:tr>
        <w:trPr>
          <w:trHeight w:val="300" w:hRule="exact"/>
        </w:trPr>
        <w:tc>
          <w:tcPr>
            <w:tcW w:w="1200" w:type="dxa"/>
          </w:tcPr>
          <w:p>
            <w:pPr>
              <w:pStyle w:val="TableParagraph"/>
              <w:spacing w:before="18"/>
              <w:ind w:left="41" w:right="38"/>
              <w:jc w:val="center"/>
              <w:rPr>
                <w:sz w:val="22"/>
              </w:rPr>
            </w:pPr>
            <w:r>
              <w:rPr>
                <w:w w:val="105"/>
                <w:sz w:val="22"/>
              </w:rPr>
              <w:t>8vo.</w:t>
            </w:r>
          </w:p>
        </w:tc>
        <w:tc>
          <w:tcPr>
            <w:tcW w:w="1200" w:type="dxa"/>
          </w:tcPr>
          <w:p>
            <w:pPr>
              <w:pStyle w:val="TableParagraph"/>
              <w:spacing w:before="18"/>
              <w:ind w:right="477"/>
              <w:jc w:val="right"/>
              <w:rPr>
                <w:b/>
                <w:sz w:val="22"/>
              </w:rPr>
            </w:pPr>
            <w:r>
              <w:rPr>
                <w:b/>
                <w:sz w:val="22"/>
              </w:rPr>
              <w:t>87</w:t>
            </w:r>
          </w:p>
        </w:tc>
        <w:tc>
          <w:tcPr>
            <w:tcW w:w="1200" w:type="dxa"/>
          </w:tcPr>
          <w:p>
            <w:pPr>
              <w:pStyle w:val="TableParagraph"/>
              <w:spacing w:before="18"/>
              <w:ind w:right="477"/>
              <w:jc w:val="right"/>
              <w:rPr>
                <w:sz w:val="22"/>
              </w:rPr>
            </w:pPr>
            <w:r>
              <w:rPr>
                <w:sz w:val="22"/>
              </w:rPr>
              <w:t>70</w:t>
            </w:r>
          </w:p>
        </w:tc>
        <w:tc>
          <w:tcPr>
            <w:tcW w:w="1200" w:type="dxa"/>
          </w:tcPr>
          <w:p>
            <w:pPr>
              <w:pStyle w:val="TableParagraph"/>
              <w:spacing w:before="18"/>
              <w:ind w:left="41" w:right="34"/>
              <w:jc w:val="center"/>
              <w:rPr>
                <w:sz w:val="22"/>
              </w:rPr>
            </w:pPr>
            <w:r>
              <w:rPr>
                <w:w w:val="105"/>
                <w:sz w:val="22"/>
              </w:rPr>
              <w:t>80.46%</w:t>
            </w:r>
          </w:p>
        </w:tc>
        <w:tc>
          <w:tcPr>
            <w:tcW w:w="1200" w:type="dxa"/>
          </w:tcPr>
          <w:p>
            <w:pPr>
              <w:pStyle w:val="TableParagraph"/>
              <w:spacing w:before="18"/>
              <w:ind w:left="41" w:right="53"/>
              <w:jc w:val="center"/>
              <w:rPr>
                <w:sz w:val="22"/>
              </w:rPr>
            </w:pPr>
            <w:r>
              <w:rPr>
                <w:w w:val="105"/>
                <w:sz w:val="22"/>
              </w:rPr>
              <w:t>17</w:t>
            </w:r>
          </w:p>
        </w:tc>
        <w:tc>
          <w:tcPr>
            <w:tcW w:w="1200" w:type="dxa"/>
          </w:tcPr>
          <w:p>
            <w:pPr>
              <w:pStyle w:val="TableParagraph"/>
              <w:spacing w:before="18"/>
              <w:ind w:left="41" w:right="34"/>
              <w:jc w:val="center"/>
              <w:rPr>
                <w:sz w:val="22"/>
              </w:rPr>
            </w:pPr>
            <w:r>
              <w:rPr>
                <w:w w:val="105"/>
                <w:sz w:val="22"/>
              </w:rPr>
              <w:t>19.54%</w:t>
            </w:r>
          </w:p>
        </w:tc>
      </w:tr>
      <w:tr>
        <w:trPr>
          <w:trHeight w:val="300" w:hRule="exact"/>
        </w:trPr>
        <w:tc>
          <w:tcPr>
            <w:tcW w:w="1200" w:type="dxa"/>
            <w:tcBorders>
              <w:bottom w:val="single" w:sz="6" w:space="0" w:color="000000"/>
            </w:tcBorders>
            <w:shd w:val="clear" w:color="auto" w:fill="B09FC6"/>
          </w:tcPr>
          <w:p>
            <w:pPr>
              <w:pStyle w:val="TableParagraph"/>
              <w:spacing w:before="15"/>
              <w:ind w:left="41" w:right="43"/>
              <w:jc w:val="center"/>
              <w:rPr>
                <w:rFonts w:ascii="Calibri"/>
                <w:b/>
                <w:sz w:val="22"/>
              </w:rPr>
            </w:pPr>
            <w:r>
              <w:rPr>
                <w:rFonts w:ascii="Calibri"/>
                <w:b/>
                <w:w w:val="105"/>
                <w:sz w:val="22"/>
              </w:rPr>
              <w:t>Total</w:t>
            </w:r>
          </w:p>
        </w:tc>
        <w:tc>
          <w:tcPr>
            <w:tcW w:w="1200" w:type="dxa"/>
            <w:tcBorders>
              <w:bottom w:val="single" w:sz="6" w:space="0" w:color="000000"/>
            </w:tcBorders>
            <w:shd w:val="clear" w:color="auto" w:fill="B09FC6"/>
          </w:tcPr>
          <w:p>
            <w:pPr>
              <w:pStyle w:val="TableParagraph"/>
              <w:spacing w:before="18"/>
              <w:ind w:right="417"/>
              <w:jc w:val="right"/>
              <w:rPr>
                <w:b/>
                <w:sz w:val="22"/>
              </w:rPr>
            </w:pPr>
            <w:r>
              <w:rPr>
                <w:b/>
                <w:sz w:val="22"/>
              </w:rPr>
              <w:t>232</w:t>
            </w:r>
          </w:p>
        </w:tc>
        <w:tc>
          <w:tcPr>
            <w:tcW w:w="1200" w:type="dxa"/>
            <w:tcBorders>
              <w:bottom w:val="single" w:sz="6" w:space="0" w:color="000000"/>
            </w:tcBorders>
            <w:shd w:val="clear" w:color="auto" w:fill="B09FC6"/>
          </w:tcPr>
          <w:p>
            <w:pPr>
              <w:pStyle w:val="TableParagraph"/>
              <w:spacing w:before="18"/>
              <w:ind w:right="417"/>
              <w:jc w:val="right"/>
              <w:rPr>
                <w:b/>
                <w:sz w:val="22"/>
              </w:rPr>
            </w:pPr>
            <w:r>
              <w:rPr>
                <w:b/>
                <w:sz w:val="22"/>
              </w:rPr>
              <w:t>176</w:t>
            </w:r>
          </w:p>
        </w:tc>
        <w:tc>
          <w:tcPr>
            <w:tcW w:w="1200" w:type="dxa"/>
            <w:tcBorders>
              <w:bottom w:val="single" w:sz="6" w:space="0" w:color="000000"/>
            </w:tcBorders>
            <w:shd w:val="clear" w:color="auto" w:fill="B09FC6"/>
          </w:tcPr>
          <w:p>
            <w:pPr>
              <w:pStyle w:val="TableParagraph"/>
              <w:spacing w:before="18"/>
              <w:ind w:left="41" w:right="34"/>
              <w:jc w:val="center"/>
              <w:rPr>
                <w:b/>
                <w:sz w:val="22"/>
              </w:rPr>
            </w:pPr>
            <w:r>
              <w:rPr>
                <w:b/>
                <w:w w:val="105"/>
                <w:sz w:val="22"/>
              </w:rPr>
              <w:t>75.90%</w:t>
            </w:r>
          </w:p>
        </w:tc>
        <w:tc>
          <w:tcPr>
            <w:tcW w:w="1200" w:type="dxa"/>
            <w:tcBorders>
              <w:bottom w:val="single" w:sz="6" w:space="0" w:color="000000"/>
            </w:tcBorders>
            <w:shd w:val="clear" w:color="auto" w:fill="B09FC6"/>
          </w:tcPr>
          <w:p>
            <w:pPr>
              <w:pStyle w:val="TableParagraph"/>
              <w:spacing w:before="18"/>
              <w:ind w:left="41" w:right="53"/>
              <w:jc w:val="center"/>
              <w:rPr>
                <w:b/>
                <w:sz w:val="22"/>
              </w:rPr>
            </w:pPr>
            <w:r>
              <w:rPr>
                <w:b/>
                <w:w w:val="105"/>
                <w:sz w:val="22"/>
              </w:rPr>
              <w:t>56</w:t>
            </w:r>
          </w:p>
        </w:tc>
        <w:tc>
          <w:tcPr>
            <w:tcW w:w="1200" w:type="dxa"/>
            <w:tcBorders>
              <w:bottom w:val="single" w:sz="6" w:space="0" w:color="000000"/>
            </w:tcBorders>
            <w:shd w:val="clear" w:color="auto" w:fill="B09FC6"/>
          </w:tcPr>
          <w:p>
            <w:pPr>
              <w:pStyle w:val="TableParagraph"/>
              <w:spacing w:before="18"/>
              <w:ind w:left="41" w:right="34"/>
              <w:jc w:val="center"/>
              <w:rPr>
                <w:b/>
                <w:sz w:val="22"/>
              </w:rPr>
            </w:pPr>
            <w:r>
              <w:rPr>
                <w:b/>
                <w:w w:val="105"/>
                <w:sz w:val="22"/>
              </w:rPr>
              <w:t>24.10%</w:t>
            </w:r>
          </w:p>
        </w:tc>
      </w:tr>
    </w:tbl>
    <w:p>
      <w:pPr>
        <w:pStyle w:val="BodyText"/>
        <w:spacing w:before="4"/>
        <w:rPr>
          <w:rFonts w:ascii="Calibri"/>
          <w:sz w:val="17"/>
        </w:rPr>
      </w:pPr>
    </w:p>
    <w:p>
      <w:pPr>
        <w:spacing w:before="0"/>
        <w:ind w:left="100" w:right="0" w:firstLine="0"/>
        <w:jc w:val="both"/>
        <w:rPr>
          <w:b/>
          <w:sz w:val="18"/>
        </w:rPr>
      </w:pPr>
      <w:r>
        <w:rPr>
          <w:b/>
          <w:color w:val="4F81BC"/>
          <w:sz w:val="18"/>
        </w:rPr>
        <w:t>Figure 4 Elaboración propia con base en trabajo de campo [Munive, 2014].</w:t>
      </w:r>
    </w:p>
    <w:p>
      <w:pPr>
        <w:pStyle w:val="BodyText"/>
        <w:rPr>
          <w:b/>
          <w:sz w:val="18"/>
        </w:rPr>
      </w:pPr>
    </w:p>
    <w:p>
      <w:pPr>
        <w:pStyle w:val="BodyText"/>
        <w:rPr>
          <w:b/>
          <w:sz w:val="18"/>
        </w:rPr>
      </w:pPr>
    </w:p>
    <w:p>
      <w:pPr>
        <w:pStyle w:val="BodyText"/>
        <w:spacing w:before="1"/>
        <w:rPr>
          <w:b/>
          <w:sz w:val="18"/>
        </w:rPr>
      </w:pPr>
    </w:p>
    <w:p>
      <w:pPr>
        <w:pStyle w:val="BodyText"/>
        <w:spacing w:line="360" w:lineRule="auto"/>
        <w:ind w:left="100" w:right="115"/>
        <w:jc w:val="both"/>
      </w:pPr>
      <w:r>
        <w:rPr/>
        <w:t>Estos primeros datos sobre las personas encuestadas nos refleja lo que con anterioridad se ha intentado demostrar, la población masculina es preponderantemente mayor, y que conforme se avance en el proceso de formación la presencia de alumnas dentro del instituto disminuye. Pero, si analizamos la distribución de mujeres y hombres dentro   de   las   diferentes   licenciaturas   parece   confirmarse   la   premisa   de </w:t>
      </w:r>
      <w:r>
        <w:rPr>
          <w:spacing w:val="58"/>
        </w:rPr>
        <w:t> </w:t>
      </w:r>
      <w:r>
        <w:rPr/>
        <w:t>una</w:t>
      </w:r>
    </w:p>
    <w:p>
      <w:pPr>
        <w:spacing w:after="0" w:line="360" w:lineRule="auto"/>
        <w:jc w:val="both"/>
        <w:sectPr>
          <w:pgSz w:w="12240" w:h="15840"/>
          <w:pgMar w:header="0" w:footer="1014" w:top="1380" w:bottom="1200" w:left="1340" w:right="1320"/>
        </w:sectPr>
      </w:pPr>
    </w:p>
    <w:p>
      <w:pPr>
        <w:pStyle w:val="BodyText"/>
        <w:spacing w:line="360" w:lineRule="auto" w:before="58"/>
        <w:ind w:left="220" w:right="506"/>
        <w:jc w:val="both"/>
      </w:pPr>
      <w:r>
        <w:rPr/>
        <w:t>concentración mayormente masculina en disciplinas de mayor “prestigio” bajo los criterios masculinos hegemónicos.</w:t>
      </w:r>
    </w:p>
    <w:p>
      <w:pPr>
        <w:pStyle w:val="BodyText"/>
        <w:spacing w:before="6"/>
        <w:rPr>
          <w:sz w:val="27"/>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08"/>
        <w:gridCol w:w="1224"/>
        <w:gridCol w:w="1444"/>
        <w:gridCol w:w="1187"/>
        <w:gridCol w:w="1186"/>
        <w:gridCol w:w="1062"/>
        <w:gridCol w:w="1319"/>
      </w:tblGrid>
      <w:tr>
        <w:trPr>
          <w:trHeight w:val="1158" w:hRule="exact"/>
        </w:trPr>
        <w:tc>
          <w:tcPr>
            <w:tcW w:w="2408" w:type="dxa"/>
            <w:shd w:val="clear" w:color="auto" w:fill="4F81BC"/>
          </w:tcPr>
          <w:p>
            <w:pPr>
              <w:pStyle w:val="TableParagraph"/>
              <w:spacing w:before="11"/>
              <w:ind w:left="108"/>
              <w:rPr>
                <w:b/>
                <w:sz w:val="22"/>
              </w:rPr>
            </w:pPr>
            <w:r>
              <w:rPr>
                <w:b/>
                <w:color w:val="FFFFFF"/>
                <w:sz w:val="22"/>
              </w:rPr>
              <w:t>Licenciatura</w:t>
            </w:r>
          </w:p>
        </w:tc>
        <w:tc>
          <w:tcPr>
            <w:tcW w:w="1224" w:type="dxa"/>
            <w:shd w:val="clear" w:color="auto" w:fill="4F81BC"/>
          </w:tcPr>
          <w:p>
            <w:pPr>
              <w:pStyle w:val="TableParagraph"/>
              <w:spacing w:before="11"/>
              <w:ind w:left="96" w:right="96"/>
              <w:jc w:val="center"/>
              <w:rPr>
                <w:b/>
                <w:sz w:val="22"/>
              </w:rPr>
            </w:pPr>
            <w:r>
              <w:rPr>
                <w:b/>
                <w:color w:val="FFFFFF"/>
                <w:sz w:val="22"/>
              </w:rPr>
              <w:t>Semestre</w:t>
            </w:r>
          </w:p>
        </w:tc>
        <w:tc>
          <w:tcPr>
            <w:tcW w:w="1444" w:type="dxa"/>
            <w:shd w:val="clear" w:color="auto" w:fill="4F81BC"/>
          </w:tcPr>
          <w:p>
            <w:pPr>
              <w:pStyle w:val="TableParagraph"/>
              <w:spacing w:line="360" w:lineRule="auto" w:before="11"/>
              <w:ind w:left="115" w:right="98"/>
              <w:rPr>
                <w:b/>
                <w:sz w:val="22"/>
              </w:rPr>
            </w:pPr>
            <w:r>
              <w:rPr>
                <w:b/>
                <w:color w:val="FFFFFF"/>
                <w:sz w:val="22"/>
              </w:rPr>
              <w:t>Población total encuestada</w:t>
            </w:r>
          </w:p>
        </w:tc>
        <w:tc>
          <w:tcPr>
            <w:tcW w:w="1187" w:type="dxa"/>
            <w:shd w:val="clear" w:color="auto" w:fill="4F81BC"/>
          </w:tcPr>
          <w:p>
            <w:pPr>
              <w:pStyle w:val="TableParagraph"/>
              <w:spacing w:line="360" w:lineRule="auto" w:before="11"/>
              <w:ind w:left="116" w:right="97"/>
              <w:rPr>
                <w:b/>
                <w:sz w:val="22"/>
              </w:rPr>
            </w:pPr>
            <w:r>
              <w:rPr>
                <w:b/>
                <w:color w:val="FFFFFF"/>
                <w:sz w:val="22"/>
              </w:rPr>
              <w:t>Hombres [núm.]</w:t>
            </w:r>
          </w:p>
        </w:tc>
        <w:tc>
          <w:tcPr>
            <w:tcW w:w="1186" w:type="dxa"/>
            <w:shd w:val="clear" w:color="auto" w:fill="4F81BC"/>
          </w:tcPr>
          <w:p>
            <w:pPr>
              <w:pStyle w:val="TableParagraph"/>
              <w:spacing w:line="360" w:lineRule="auto" w:before="11"/>
              <w:ind w:left="115" w:right="97"/>
              <w:rPr>
                <w:b/>
                <w:sz w:val="22"/>
              </w:rPr>
            </w:pPr>
            <w:r>
              <w:rPr>
                <w:b/>
                <w:color w:val="FFFFFF"/>
                <w:sz w:val="22"/>
              </w:rPr>
              <w:t>Hombres [%]</w:t>
            </w:r>
          </w:p>
        </w:tc>
        <w:tc>
          <w:tcPr>
            <w:tcW w:w="1062" w:type="dxa"/>
            <w:shd w:val="clear" w:color="auto" w:fill="4F81BC"/>
          </w:tcPr>
          <w:p>
            <w:pPr>
              <w:pStyle w:val="TableParagraph"/>
              <w:spacing w:line="360" w:lineRule="auto" w:before="11"/>
              <w:ind w:left="114" w:right="96"/>
              <w:rPr>
                <w:b/>
                <w:sz w:val="22"/>
              </w:rPr>
            </w:pPr>
            <w:r>
              <w:rPr>
                <w:b/>
                <w:color w:val="FFFFFF"/>
                <w:sz w:val="22"/>
              </w:rPr>
              <w:t>Mujeres [núm.]</w:t>
            </w:r>
          </w:p>
        </w:tc>
        <w:tc>
          <w:tcPr>
            <w:tcW w:w="1319" w:type="dxa"/>
            <w:shd w:val="clear" w:color="auto" w:fill="4F81BC"/>
          </w:tcPr>
          <w:p>
            <w:pPr>
              <w:pStyle w:val="TableParagraph"/>
              <w:spacing w:line="360" w:lineRule="auto" w:before="11"/>
              <w:ind w:left="114" w:right="353"/>
              <w:rPr>
                <w:b/>
                <w:sz w:val="22"/>
              </w:rPr>
            </w:pPr>
            <w:r>
              <w:rPr>
                <w:b/>
                <w:color w:val="FFFFFF"/>
                <w:sz w:val="22"/>
              </w:rPr>
              <w:t>Mujeres [%]</w:t>
            </w:r>
          </w:p>
        </w:tc>
      </w:tr>
      <w:tr>
        <w:trPr>
          <w:trHeight w:val="780" w:hRule="exact"/>
        </w:trPr>
        <w:tc>
          <w:tcPr>
            <w:tcW w:w="2408" w:type="dxa"/>
            <w:tcBorders>
              <w:top w:val="single" w:sz="8" w:space="0" w:color="4F81BC"/>
              <w:left w:val="single" w:sz="8" w:space="0" w:color="4F81BC"/>
              <w:bottom w:val="single" w:sz="8" w:space="0" w:color="4F81BC"/>
            </w:tcBorders>
          </w:tcPr>
          <w:p>
            <w:pPr>
              <w:pStyle w:val="TableParagraph"/>
              <w:spacing w:line="362" w:lineRule="auto" w:before="1"/>
              <w:ind w:left="281" w:right="263" w:firstLine="463"/>
              <w:rPr>
                <w:b/>
                <w:sz w:val="22"/>
              </w:rPr>
            </w:pPr>
            <w:r>
              <w:rPr>
                <w:b/>
                <w:sz w:val="22"/>
              </w:rPr>
              <w:t>Ciencias Computacionales</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3"/>
              <w:ind w:left="607" w:right="98"/>
              <w:rPr>
                <w:sz w:val="22"/>
              </w:rPr>
            </w:pPr>
            <w:r>
              <w:rPr>
                <w:sz w:val="22"/>
              </w:rPr>
              <w:t>37</w:t>
            </w:r>
          </w:p>
        </w:tc>
        <w:tc>
          <w:tcPr>
            <w:tcW w:w="1187" w:type="dxa"/>
            <w:tcBorders>
              <w:top w:val="single" w:sz="8" w:space="0" w:color="4F81BC"/>
              <w:bottom w:val="single" w:sz="8" w:space="0" w:color="4F81BC"/>
            </w:tcBorders>
          </w:tcPr>
          <w:p>
            <w:pPr>
              <w:pStyle w:val="TableParagraph"/>
              <w:spacing w:before="3"/>
              <w:ind w:left="458" w:right="444"/>
              <w:jc w:val="center"/>
              <w:rPr>
                <w:sz w:val="22"/>
              </w:rPr>
            </w:pPr>
            <w:r>
              <w:rPr>
                <w:sz w:val="22"/>
              </w:rPr>
              <w:t>27</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72.97%</w:t>
            </w:r>
          </w:p>
        </w:tc>
        <w:tc>
          <w:tcPr>
            <w:tcW w:w="1062" w:type="dxa"/>
            <w:tcBorders>
              <w:top w:val="single" w:sz="8" w:space="0" w:color="4F81BC"/>
              <w:bottom w:val="single" w:sz="8" w:space="0" w:color="4F81BC"/>
            </w:tcBorders>
          </w:tcPr>
          <w:p>
            <w:pPr>
              <w:pStyle w:val="TableParagraph"/>
              <w:spacing w:before="3"/>
              <w:ind w:left="394" w:right="382"/>
              <w:jc w:val="center"/>
              <w:rPr>
                <w:sz w:val="22"/>
              </w:rPr>
            </w:pPr>
            <w:r>
              <w:rPr>
                <w:sz w:val="22"/>
              </w:rPr>
              <w:t>10</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27.03%</w:t>
            </w:r>
          </w:p>
        </w:tc>
      </w:tr>
      <w:tr>
        <w:trPr>
          <w:trHeight w:val="778" w:hRule="exact"/>
        </w:trPr>
        <w:tc>
          <w:tcPr>
            <w:tcW w:w="2408" w:type="dxa"/>
            <w:tcBorders>
              <w:top w:val="single" w:sz="8" w:space="0" w:color="4F81BC"/>
              <w:left w:val="single" w:sz="8" w:space="0" w:color="4F81BC"/>
              <w:bottom w:val="single" w:sz="8" w:space="0" w:color="4F81BC"/>
            </w:tcBorders>
          </w:tcPr>
          <w:p>
            <w:pPr>
              <w:pStyle w:val="TableParagraph"/>
              <w:spacing w:line="360" w:lineRule="auto" w:before="1"/>
              <w:ind w:left="281" w:right="263" w:firstLine="463"/>
              <w:rPr>
                <w:b/>
                <w:sz w:val="22"/>
              </w:rPr>
            </w:pPr>
            <w:r>
              <w:rPr>
                <w:b/>
                <w:sz w:val="22"/>
              </w:rPr>
              <w:t>Ciencias Computacionales</w:t>
            </w:r>
          </w:p>
        </w:tc>
        <w:tc>
          <w:tcPr>
            <w:tcW w:w="1224" w:type="dxa"/>
            <w:tcBorders>
              <w:top w:val="single" w:sz="8" w:space="0" w:color="4F81BC"/>
              <w:bottom w:val="single" w:sz="8" w:space="0" w:color="4F81BC"/>
            </w:tcBorders>
          </w:tcPr>
          <w:p>
            <w:pPr>
              <w:pStyle w:val="TableParagraph"/>
              <w:spacing w:before="4"/>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4"/>
              <w:ind w:left="607" w:right="98"/>
              <w:rPr>
                <w:sz w:val="22"/>
              </w:rPr>
            </w:pPr>
            <w:r>
              <w:rPr>
                <w:sz w:val="22"/>
              </w:rPr>
              <w:t>15</w:t>
            </w:r>
          </w:p>
        </w:tc>
        <w:tc>
          <w:tcPr>
            <w:tcW w:w="1187" w:type="dxa"/>
            <w:tcBorders>
              <w:top w:val="single" w:sz="8" w:space="0" w:color="4F81BC"/>
              <w:bottom w:val="single" w:sz="8" w:space="0" w:color="4F81BC"/>
            </w:tcBorders>
          </w:tcPr>
          <w:p>
            <w:pPr>
              <w:pStyle w:val="TableParagraph"/>
              <w:spacing w:before="4"/>
              <w:ind w:left="458" w:right="444"/>
              <w:jc w:val="center"/>
              <w:rPr>
                <w:sz w:val="22"/>
              </w:rPr>
            </w:pPr>
            <w:r>
              <w:rPr>
                <w:sz w:val="22"/>
              </w:rPr>
              <w:t>14</w:t>
            </w:r>
          </w:p>
        </w:tc>
        <w:tc>
          <w:tcPr>
            <w:tcW w:w="1186" w:type="dxa"/>
            <w:tcBorders>
              <w:top w:val="single" w:sz="8" w:space="0" w:color="4F81BC"/>
              <w:bottom w:val="single" w:sz="8" w:space="0" w:color="4F81BC"/>
            </w:tcBorders>
          </w:tcPr>
          <w:p>
            <w:pPr>
              <w:pStyle w:val="TableParagraph"/>
              <w:spacing w:before="4"/>
              <w:ind w:left="206" w:right="193"/>
              <w:jc w:val="center"/>
              <w:rPr>
                <w:sz w:val="22"/>
              </w:rPr>
            </w:pPr>
            <w:r>
              <w:rPr>
                <w:sz w:val="22"/>
              </w:rPr>
              <w:t>93.33%</w:t>
            </w:r>
          </w:p>
        </w:tc>
        <w:tc>
          <w:tcPr>
            <w:tcW w:w="1062" w:type="dxa"/>
            <w:tcBorders>
              <w:top w:val="single" w:sz="8" w:space="0" w:color="4F81BC"/>
              <w:bottom w:val="single" w:sz="8" w:space="0" w:color="4F81BC"/>
            </w:tcBorders>
          </w:tcPr>
          <w:p>
            <w:pPr>
              <w:pStyle w:val="TableParagraph"/>
              <w:spacing w:before="4"/>
              <w:ind w:left="10"/>
              <w:jc w:val="center"/>
              <w:rPr>
                <w:sz w:val="22"/>
              </w:rPr>
            </w:pPr>
            <w:r>
              <w:rPr>
                <w:w w:val="100"/>
                <w:sz w:val="22"/>
              </w:rPr>
              <w:t>1</w:t>
            </w:r>
          </w:p>
        </w:tc>
        <w:tc>
          <w:tcPr>
            <w:tcW w:w="1319" w:type="dxa"/>
            <w:tcBorders>
              <w:top w:val="single" w:sz="8" w:space="0" w:color="4F81BC"/>
              <w:bottom w:val="single" w:sz="8" w:space="0" w:color="4F81BC"/>
              <w:right w:val="single" w:sz="8" w:space="0" w:color="4F81BC"/>
            </w:tcBorders>
          </w:tcPr>
          <w:p>
            <w:pPr>
              <w:pStyle w:val="TableParagraph"/>
              <w:spacing w:before="4"/>
              <w:ind w:left="268" w:right="253"/>
              <w:jc w:val="center"/>
              <w:rPr>
                <w:sz w:val="22"/>
              </w:rPr>
            </w:pPr>
            <w:r>
              <w:rPr>
                <w:sz w:val="22"/>
              </w:rPr>
              <w:t>6.67%</w:t>
            </w:r>
          </w:p>
        </w:tc>
      </w:tr>
      <w:tr>
        <w:trPr>
          <w:trHeight w:val="401" w:hRule="exact"/>
        </w:trPr>
        <w:tc>
          <w:tcPr>
            <w:tcW w:w="2408" w:type="dxa"/>
            <w:tcBorders>
              <w:top w:val="single" w:sz="8" w:space="0" w:color="4F81BC"/>
              <w:left w:val="single" w:sz="8" w:space="0" w:color="4F81BC"/>
              <w:bottom w:val="single" w:sz="8" w:space="0" w:color="4F81BC"/>
            </w:tcBorders>
          </w:tcPr>
          <w:p>
            <w:pPr>
              <w:pStyle w:val="TableParagraph"/>
              <w:spacing w:before="3"/>
              <w:ind w:left="415" w:right="263"/>
              <w:rPr>
                <w:b/>
                <w:sz w:val="22"/>
              </w:rPr>
            </w:pPr>
            <w:r>
              <w:rPr>
                <w:b/>
                <w:sz w:val="22"/>
              </w:rPr>
              <w:t>Ingeniería Civil</w:t>
            </w:r>
          </w:p>
        </w:tc>
        <w:tc>
          <w:tcPr>
            <w:tcW w:w="1224" w:type="dxa"/>
            <w:tcBorders>
              <w:top w:val="single" w:sz="8" w:space="0" w:color="4F81BC"/>
              <w:bottom w:val="single" w:sz="8" w:space="0" w:color="4F81BC"/>
            </w:tcBorders>
          </w:tcPr>
          <w:p>
            <w:pPr>
              <w:pStyle w:val="TableParagraph"/>
              <w:spacing w:before="5"/>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5"/>
              <w:ind w:left="607" w:right="98"/>
              <w:rPr>
                <w:sz w:val="22"/>
              </w:rPr>
            </w:pPr>
            <w:r>
              <w:rPr>
                <w:sz w:val="22"/>
              </w:rPr>
              <w:t>13</w:t>
            </w:r>
          </w:p>
        </w:tc>
        <w:tc>
          <w:tcPr>
            <w:tcW w:w="1187" w:type="dxa"/>
            <w:tcBorders>
              <w:top w:val="single" w:sz="8" w:space="0" w:color="4F81BC"/>
              <w:bottom w:val="single" w:sz="8" w:space="0" w:color="4F81BC"/>
            </w:tcBorders>
          </w:tcPr>
          <w:p>
            <w:pPr>
              <w:pStyle w:val="TableParagraph"/>
              <w:spacing w:before="5"/>
              <w:ind w:left="13"/>
              <w:jc w:val="center"/>
              <w:rPr>
                <w:sz w:val="22"/>
              </w:rPr>
            </w:pPr>
            <w:r>
              <w:rPr>
                <w:w w:val="100"/>
                <w:sz w:val="22"/>
              </w:rPr>
              <w:t>8</w:t>
            </w:r>
          </w:p>
        </w:tc>
        <w:tc>
          <w:tcPr>
            <w:tcW w:w="1186" w:type="dxa"/>
            <w:tcBorders>
              <w:top w:val="single" w:sz="8" w:space="0" w:color="4F81BC"/>
              <w:bottom w:val="single" w:sz="8" w:space="0" w:color="4F81BC"/>
            </w:tcBorders>
          </w:tcPr>
          <w:p>
            <w:pPr>
              <w:pStyle w:val="TableParagraph"/>
              <w:spacing w:before="5"/>
              <w:ind w:left="206" w:right="193"/>
              <w:jc w:val="center"/>
              <w:rPr>
                <w:sz w:val="22"/>
              </w:rPr>
            </w:pPr>
            <w:r>
              <w:rPr>
                <w:sz w:val="22"/>
              </w:rPr>
              <w:t>61.54%</w:t>
            </w:r>
          </w:p>
        </w:tc>
        <w:tc>
          <w:tcPr>
            <w:tcW w:w="1062" w:type="dxa"/>
            <w:tcBorders>
              <w:top w:val="single" w:sz="8" w:space="0" w:color="4F81BC"/>
              <w:bottom w:val="single" w:sz="8" w:space="0" w:color="4F81BC"/>
            </w:tcBorders>
          </w:tcPr>
          <w:p>
            <w:pPr>
              <w:pStyle w:val="TableParagraph"/>
              <w:spacing w:before="5"/>
              <w:ind w:left="10"/>
              <w:jc w:val="center"/>
              <w:rPr>
                <w:sz w:val="22"/>
              </w:rPr>
            </w:pPr>
            <w:r>
              <w:rPr>
                <w:w w:val="100"/>
                <w:sz w:val="22"/>
              </w:rPr>
              <w:t>5</w:t>
            </w:r>
          </w:p>
        </w:tc>
        <w:tc>
          <w:tcPr>
            <w:tcW w:w="1319" w:type="dxa"/>
            <w:tcBorders>
              <w:top w:val="single" w:sz="8" w:space="0" w:color="4F81BC"/>
              <w:bottom w:val="single" w:sz="8" w:space="0" w:color="4F81BC"/>
              <w:right w:val="single" w:sz="8" w:space="0" w:color="4F81BC"/>
            </w:tcBorders>
          </w:tcPr>
          <w:p>
            <w:pPr>
              <w:pStyle w:val="TableParagraph"/>
              <w:spacing w:before="5"/>
              <w:ind w:left="270" w:right="253"/>
              <w:jc w:val="center"/>
              <w:rPr>
                <w:sz w:val="22"/>
              </w:rPr>
            </w:pPr>
            <w:r>
              <w:rPr>
                <w:sz w:val="22"/>
              </w:rPr>
              <w:t>38.46%</w:t>
            </w:r>
          </w:p>
        </w:tc>
      </w:tr>
      <w:tr>
        <w:trPr>
          <w:trHeight w:val="398" w:hRule="exact"/>
        </w:trPr>
        <w:tc>
          <w:tcPr>
            <w:tcW w:w="2408" w:type="dxa"/>
            <w:tcBorders>
              <w:top w:val="single" w:sz="8" w:space="0" w:color="4F81BC"/>
              <w:left w:val="single" w:sz="8" w:space="0" w:color="4F81BC"/>
              <w:bottom w:val="single" w:sz="8" w:space="0" w:color="4F81BC"/>
            </w:tcBorders>
          </w:tcPr>
          <w:p>
            <w:pPr>
              <w:pStyle w:val="TableParagraph"/>
              <w:spacing w:before="1"/>
              <w:ind w:left="415" w:right="263"/>
              <w:rPr>
                <w:b/>
                <w:sz w:val="22"/>
              </w:rPr>
            </w:pPr>
            <w:r>
              <w:rPr>
                <w:b/>
                <w:sz w:val="22"/>
              </w:rPr>
              <w:t>Ingeniería Civil</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3"/>
              <w:ind w:left="669"/>
              <w:rPr>
                <w:sz w:val="22"/>
              </w:rPr>
            </w:pPr>
            <w:r>
              <w:rPr>
                <w:w w:val="100"/>
                <w:sz w:val="22"/>
              </w:rPr>
              <w:t>7</w:t>
            </w:r>
          </w:p>
        </w:tc>
        <w:tc>
          <w:tcPr>
            <w:tcW w:w="1187" w:type="dxa"/>
            <w:tcBorders>
              <w:top w:val="single" w:sz="8" w:space="0" w:color="4F81BC"/>
              <w:bottom w:val="single" w:sz="8" w:space="0" w:color="4F81BC"/>
            </w:tcBorders>
          </w:tcPr>
          <w:p>
            <w:pPr>
              <w:pStyle w:val="TableParagraph"/>
              <w:spacing w:before="3"/>
              <w:ind w:left="13"/>
              <w:jc w:val="center"/>
              <w:rPr>
                <w:sz w:val="22"/>
              </w:rPr>
            </w:pPr>
            <w:r>
              <w:rPr>
                <w:w w:val="100"/>
                <w:sz w:val="22"/>
              </w:rPr>
              <w:t>6</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75%</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1</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25%</w:t>
            </w:r>
          </w:p>
        </w:tc>
      </w:tr>
      <w:tr>
        <w:trPr>
          <w:trHeight w:val="401" w:hRule="exact"/>
        </w:trPr>
        <w:tc>
          <w:tcPr>
            <w:tcW w:w="2408" w:type="dxa"/>
            <w:tcBorders>
              <w:top w:val="single" w:sz="8" w:space="0" w:color="4F81BC"/>
              <w:left w:val="single" w:sz="8" w:space="0" w:color="4F81BC"/>
              <w:bottom w:val="single" w:sz="8" w:space="0" w:color="4F81BC"/>
            </w:tcBorders>
          </w:tcPr>
          <w:p>
            <w:pPr>
              <w:pStyle w:val="TableParagraph"/>
              <w:spacing w:before="1"/>
              <w:ind w:left="605" w:right="263"/>
              <w:rPr>
                <w:b/>
                <w:sz w:val="22"/>
              </w:rPr>
            </w:pPr>
            <w:r>
              <w:rPr>
                <w:b/>
                <w:sz w:val="22"/>
              </w:rPr>
              <w:t>Electrónica</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3"/>
              <w:ind w:left="607" w:right="98"/>
              <w:rPr>
                <w:sz w:val="22"/>
              </w:rPr>
            </w:pPr>
            <w:r>
              <w:rPr>
                <w:sz w:val="22"/>
              </w:rPr>
              <w:t>14</w:t>
            </w:r>
          </w:p>
        </w:tc>
        <w:tc>
          <w:tcPr>
            <w:tcW w:w="1187" w:type="dxa"/>
            <w:tcBorders>
              <w:top w:val="single" w:sz="8" w:space="0" w:color="4F81BC"/>
              <w:bottom w:val="single" w:sz="8" w:space="0" w:color="4F81BC"/>
            </w:tcBorders>
          </w:tcPr>
          <w:p>
            <w:pPr>
              <w:pStyle w:val="TableParagraph"/>
              <w:spacing w:before="3"/>
              <w:ind w:left="458" w:right="444"/>
              <w:jc w:val="center"/>
              <w:rPr>
                <w:sz w:val="22"/>
              </w:rPr>
            </w:pPr>
            <w:r>
              <w:rPr>
                <w:sz w:val="22"/>
              </w:rPr>
              <w:t>12</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85.71%</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2</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14.29%</w:t>
            </w:r>
          </w:p>
        </w:tc>
      </w:tr>
      <w:tr>
        <w:trPr>
          <w:trHeight w:val="398" w:hRule="exact"/>
        </w:trPr>
        <w:tc>
          <w:tcPr>
            <w:tcW w:w="2408" w:type="dxa"/>
            <w:tcBorders>
              <w:top w:val="single" w:sz="8" w:space="0" w:color="4F81BC"/>
              <w:left w:val="single" w:sz="8" w:space="0" w:color="4F81BC"/>
              <w:bottom w:val="single" w:sz="8" w:space="0" w:color="4F81BC"/>
            </w:tcBorders>
          </w:tcPr>
          <w:p>
            <w:pPr>
              <w:pStyle w:val="TableParagraph"/>
              <w:spacing w:before="1"/>
              <w:ind w:left="605" w:right="263"/>
              <w:rPr>
                <w:b/>
                <w:sz w:val="22"/>
              </w:rPr>
            </w:pPr>
            <w:r>
              <w:rPr>
                <w:b/>
                <w:sz w:val="22"/>
              </w:rPr>
              <w:t>Electrónica</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3"/>
              <w:ind w:left="669"/>
              <w:rPr>
                <w:sz w:val="22"/>
              </w:rPr>
            </w:pPr>
            <w:r>
              <w:rPr>
                <w:w w:val="100"/>
                <w:sz w:val="22"/>
              </w:rPr>
              <w:t>7</w:t>
            </w:r>
          </w:p>
        </w:tc>
        <w:tc>
          <w:tcPr>
            <w:tcW w:w="1187" w:type="dxa"/>
            <w:tcBorders>
              <w:top w:val="single" w:sz="8" w:space="0" w:color="4F81BC"/>
              <w:bottom w:val="single" w:sz="8" w:space="0" w:color="4F81BC"/>
            </w:tcBorders>
          </w:tcPr>
          <w:p>
            <w:pPr>
              <w:pStyle w:val="TableParagraph"/>
              <w:spacing w:before="3"/>
              <w:ind w:left="13"/>
              <w:jc w:val="center"/>
              <w:rPr>
                <w:sz w:val="22"/>
              </w:rPr>
            </w:pPr>
            <w:r>
              <w:rPr>
                <w:w w:val="100"/>
                <w:sz w:val="22"/>
              </w:rPr>
              <w:t>6</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85.71%</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1</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14.29%</w:t>
            </w:r>
          </w:p>
        </w:tc>
      </w:tr>
      <w:tr>
        <w:trPr>
          <w:trHeight w:val="398" w:hRule="exact"/>
        </w:trPr>
        <w:tc>
          <w:tcPr>
            <w:tcW w:w="2408" w:type="dxa"/>
            <w:tcBorders>
              <w:top w:val="single" w:sz="8" w:space="0" w:color="4F81BC"/>
              <w:left w:val="single" w:sz="8" w:space="0" w:color="4F81BC"/>
              <w:bottom w:val="single" w:sz="8" w:space="0" w:color="4F81BC"/>
            </w:tcBorders>
          </w:tcPr>
          <w:p>
            <w:pPr>
              <w:pStyle w:val="TableParagraph"/>
              <w:spacing w:before="1"/>
              <w:ind w:left="701" w:right="263"/>
              <w:rPr>
                <w:b/>
                <w:sz w:val="22"/>
              </w:rPr>
            </w:pPr>
            <w:r>
              <w:rPr>
                <w:b/>
                <w:sz w:val="22"/>
              </w:rPr>
              <w:t>Industrial</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3"/>
              <w:ind w:left="607" w:right="98"/>
              <w:rPr>
                <w:sz w:val="22"/>
              </w:rPr>
            </w:pPr>
            <w:r>
              <w:rPr>
                <w:sz w:val="22"/>
              </w:rPr>
              <w:t>29</w:t>
            </w:r>
          </w:p>
        </w:tc>
        <w:tc>
          <w:tcPr>
            <w:tcW w:w="1187" w:type="dxa"/>
            <w:tcBorders>
              <w:top w:val="single" w:sz="8" w:space="0" w:color="4F81BC"/>
              <w:bottom w:val="single" w:sz="8" w:space="0" w:color="4F81BC"/>
            </w:tcBorders>
          </w:tcPr>
          <w:p>
            <w:pPr>
              <w:pStyle w:val="TableParagraph"/>
              <w:spacing w:before="3"/>
              <w:ind w:left="458" w:right="444"/>
              <w:jc w:val="center"/>
              <w:rPr>
                <w:sz w:val="22"/>
              </w:rPr>
            </w:pPr>
            <w:r>
              <w:rPr>
                <w:sz w:val="22"/>
              </w:rPr>
              <w:t>22</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75.86%</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7</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24.14%</w:t>
            </w:r>
          </w:p>
        </w:tc>
      </w:tr>
      <w:tr>
        <w:trPr>
          <w:trHeight w:val="401" w:hRule="exact"/>
        </w:trPr>
        <w:tc>
          <w:tcPr>
            <w:tcW w:w="2408" w:type="dxa"/>
            <w:tcBorders>
              <w:top w:val="single" w:sz="8" w:space="0" w:color="4F81BC"/>
              <w:left w:val="single" w:sz="8" w:space="0" w:color="4F81BC"/>
              <w:bottom w:val="single" w:sz="8" w:space="0" w:color="4F81BC"/>
            </w:tcBorders>
          </w:tcPr>
          <w:p>
            <w:pPr>
              <w:pStyle w:val="TableParagraph"/>
              <w:spacing w:before="3"/>
              <w:ind w:left="701" w:right="263"/>
              <w:rPr>
                <w:b/>
                <w:sz w:val="22"/>
              </w:rPr>
            </w:pPr>
            <w:r>
              <w:rPr>
                <w:b/>
                <w:sz w:val="22"/>
              </w:rPr>
              <w:t>Industrial</w:t>
            </w:r>
          </w:p>
        </w:tc>
        <w:tc>
          <w:tcPr>
            <w:tcW w:w="1224" w:type="dxa"/>
            <w:tcBorders>
              <w:top w:val="single" w:sz="8" w:space="0" w:color="4F81BC"/>
              <w:bottom w:val="single" w:sz="8" w:space="0" w:color="4F81BC"/>
            </w:tcBorders>
          </w:tcPr>
          <w:p>
            <w:pPr>
              <w:pStyle w:val="TableParagraph"/>
              <w:spacing w:before="5"/>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5"/>
              <w:ind w:left="607" w:right="98"/>
              <w:rPr>
                <w:sz w:val="22"/>
              </w:rPr>
            </w:pPr>
            <w:r>
              <w:rPr>
                <w:sz w:val="22"/>
              </w:rPr>
              <w:t>27</w:t>
            </w:r>
          </w:p>
        </w:tc>
        <w:tc>
          <w:tcPr>
            <w:tcW w:w="1187" w:type="dxa"/>
            <w:tcBorders>
              <w:top w:val="single" w:sz="8" w:space="0" w:color="4F81BC"/>
              <w:bottom w:val="single" w:sz="8" w:space="0" w:color="4F81BC"/>
            </w:tcBorders>
          </w:tcPr>
          <w:p>
            <w:pPr>
              <w:pStyle w:val="TableParagraph"/>
              <w:spacing w:before="5"/>
              <w:ind w:left="458" w:right="444"/>
              <w:jc w:val="center"/>
              <w:rPr>
                <w:sz w:val="22"/>
              </w:rPr>
            </w:pPr>
            <w:r>
              <w:rPr>
                <w:sz w:val="22"/>
              </w:rPr>
              <w:t>21</w:t>
            </w:r>
          </w:p>
        </w:tc>
        <w:tc>
          <w:tcPr>
            <w:tcW w:w="1186" w:type="dxa"/>
            <w:tcBorders>
              <w:top w:val="single" w:sz="8" w:space="0" w:color="4F81BC"/>
              <w:bottom w:val="single" w:sz="8" w:space="0" w:color="4F81BC"/>
            </w:tcBorders>
          </w:tcPr>
          <w:p>
            <w:pPr>
              <w:pStyle w:val="TableParagraph"/>
              <w:spacing w:before="5"/>
              <w:ind w:left="206" w:right="193"/>
              <w:jc w:val="center"/>
              <w:rPr>
                <w:sz w:val="22"/>
              </w:rPr>
            </w:pPr>
            <w:r>
              <w:rPr>
                <w:sz w:val="22"/>
              </w:rPr>
              <w:t>77.78%</w:t>
            </w:r>
          </w:p>
        </w:tc>
        <w:tc>
          <w:tcPr>
            <w:tcW w:w="1062" w:type="dxa"/>
            <w:tcBorders>
              <w:top w:val="single" w:sz="8" w:space="0" w:color="4F81BC"/>
              <w:bottom w:val="single" w:sz="8" w:space="0" w:color="4F81BC"/>
            </w:tcBorders>
          </w:tcPr>
          <w:p>
            <w:pPr>
              <w:pStyle w:val="TableParagraph"/>
              <w:spacing w:before="5"/>
              <w:ind w:left="10"/>
              <w:jc w:val="center"/>
              <w:rPr>
                <w:sz w:val="22"/>
              </w:rPr>
            </w:pPr>
            <w:r>
              <w:rPr>
                <w:w w:val="100"/>
                <w:sz w:val="22"/>
              </w:rPr>
              <w:t>6</w:t>
            </w:r>
          </w:p>
        </w:tc>
        <w:tc>
          <w:tcPr>
            <w:tcW w:w="1319" w:type="dxa"/>
            <w:tcBorders>
              <w:top w:val="single" w:sz="8" w:space="0" w:color="4F81BC"/>
              <w:bottom w:val="single" w:sz="8" w:space="0" w:color="4F81BC"/>
              <w:right w:val="single" w:sz="8" w:space="0" w:color="4F81BC"/>
            </w:tcBorders>
          </w:tcPr>
          <w:p>
            <w:pPr>
              <w:pStyle w:val="TableParagraph"/>
              <w:spacing w:before="5"/>
              <w:ind w:left="270" w:right="253"/>
              <w:jc w:val="center"/>
              <w:rPr>
                <w:sz w:val="22"/>
              </w:rPr>
            </w:pPr>
            <w:r>
              <w:rPr>
                <w:sz w:val="22"/>
              </w:rPr>
              <w:t>22.22%</w:t>
            </w:r>
          </w:p>
        </w:tc>
      </w:tr>
      <w:tr>
        <w:trPr>
          <w:trHeight w:val="399" w:hRule="exact"/>
        </w:trPr>
        <w:tc>
          <w:tcPr>
            <w:tcW w:w="2408" w:type="dxa"/>
            <w:tcBorders>
              <w:top w:val="single" w:sz="8" w:space="0" w:color="4F81BC"/>
              <w:left w:val="single" w:sz="8" w:space="0" w:color="4F81BC"/>
              <w:bottom w:val="single" w:sz="8" w:space="0" w:color="4F81BC"/>
            </w:tcBorders>
          </w:tcPr>
          <w:p>
            <w:pPr>
              <w:pStyle w:val="TableParagraph"/>
              <w:spacing w:before="1"/>
              <w:ind w:left="257"/>
              <w:rPr>
                <w:b/>
                <w:sz w:val="22"/>
              </w:rPr>
            </w:pPr>
            <w:r>
              <w:rPr>
                <w:b/>
                <w:sz w:val="22"/>
              </w:rPr>
              <w:t>Minero Metalurgia</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3"/>
              <w:ind w:left="607" w:right="98"/>
              <w:rPr>
                <w:sz w:val="22"/>
              </w:rPr>
            </w:pPr>
            <w:r>
              <w:rPr>
                <w:sz w:val="22"/>
              </w:rPr>
              <w:t>21</w:t>
            </w:r>
          </w:p>
        </w:tc>
        <w:tc>
          <w:tcPr>
            <w:tcW w:w="1187" w:type="dxa"/>
            <w:tcBorders>
              <w:top w:val="single" w:sz="8" w:space="0" w:color="4F81BC"/>
              <w:bottom w:val="single" w:sz="8" w:space="0" w:color="4F81BC"/>
            </w:tcBorders>
          </w:tcPr>
          <w:p>
            <w:pPr>
              <w:pStyle w:val="TableParagraph"/>
              <w:spacing w:before="3"/>
              <w:ind w:left="458" w:right="444"/>
              <w:jc w:val="center"/>
              <w:rPr>
                <w:sz w:val="22"/>
              </w:rPr>
            </w:pPr>
            <w:r>
              <w:rPr>
                <w:sz w:val="22"/>
              </w:rPr>
              <w:t>15</w:t>
            </w:r>
          </w:p>
        </w:tc>
        <w:tc>
          <w:tcPr>
            <w:tcW w:w="1186" w:type="dxa"/>
            <w:tcBorders>
              <w:top w:val="single" w:sz="8" w:space="0" w:color="4F81BC"/>
              <w:bottom w:val="single" w:sz="8" w:space="0" w:color="4F81BC"/>
            </w:tcBorders>
          </w:tcPr>
          <w:p>
            <w:pPr>
              <w:pStyle w:val="TableParagraph"/>
              <w:spacing w:before="3"/>
              <w:ind w:left="206" w:right="190"/>
              <w:jc w:val="center"/>
              <w:rPr>
                <w:sz w:val="22"/>
              </w:rPr>
            </w:pPr>
            <w:r>
              <w:rPr>
                <w:sz w:val="22"/>
              </w:rPr>
              <w:t>71.4%</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6</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28.56%</w:t>
            </w:r>
          </w:p>
        </w:tc>
      </w:tr>
      <w:tr>
        <w:trPr>
          <w:trHeight w:val="401" w:hRule="exact"/>
        </w:trPr>
        <w:tc>
          <w:tcPr>
            <w:tcW w:w="2408" w:type="dxa"/>
            <w:tcBorders>
              <w:top w:val="single" w:sz="8" w:space="0" w:color="4F81BC"/>
              <w:left w:val="single" w:sz="8" w:space="0" w:color="4F81BC"/>
              <w:bottom w:val="single" w:sz="8" w:space="0" w:color="4F81BC"/>
            </w:tcBorders>
          </w:tcPr>
          <w:p>
            <w:pPr>
              <w:pStyle w:val="TableParagraph"/>
              <w:spacing w:before="3"/>
              <w:ind w:left="257"/>
              <w:rPr>
                <w:b/>
                <w:sz w:val="22"/>
              </w:rPr>
            </w:pPr>
            <w:r>
              <w:rPr>
                <w:b/>
                <w:sz w:val="22"/>
              </w:rPr>
              <w:t>Minero Metalurgia</w:t>
            </w:r>
          </w:p>
        </w:tc>
        <w:tc>
          <w:tcPr>
            <w:tcW w:w="1224" w:type="dxa"/>
            <w:tcBorders>
              <w:top w:val="single" w:sz="8" w:space="0" w:color="4F81BC"/>
              <w:bottom w:val="single" w:sz="8" w:space="0" w:color="4F81BC"/>
            </w:tcBorders>
          </w:tcPr>
          <w:p>
            <w:pPr>
              <w:pStyle w:val="TableParagraph"/>
              <w:spacing w:before="5"/>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5"/>
              <w:ind w:left="607" w:right="98"/>
              <w:rPr>
                <w:sz w:val="22"/>
              </w:rPr>
            </w:pPr>
            <w:r>
              <w:rPr>
                <w:sz w:val="22"/>
              </w:rPr>
              <w:t>17</w:t>
            </w:r>
          </w:p>
        </w:tc>
        <w:tc>
          <w:tcPr>
            <w:tcW w:w="1187" w:type="dxa"/>
            <w:tcBorders>
              <w:top w:val="single" w:sz="8" w:space="0" w:color="4F81BC"/>
              <w:bottom w:val="single" w:sz="8" w:space="0" w:color="4F81BC"/>
            </w:tcBorders>
          </w:tcPr>
          <w:p>
            <w:pPr>
              <w:pStyle w:val="TableParagraph"/>
              <w:spacing w:before="5"/>
              <w:ind w:left="458" w:right="444"/>
              <w:jc w:val="center"/>
              <w:rPr>
                <w:sz w:val="22"/>
              </w:rPr>
            </w:pPr>
            <w:r>
              <w:rPr>
                <w:sz w:val="22"/>
              </w:rPr>
              <w:t>14</w:t>
            </w:r>
          </w:p>
        </w:tc>
        <w:tc>
          <w:tcPr>
            <w:tcW w:w="1186" w:type="dxa"/>
            <w:tcBorders>
              <w:top w:val="single" w:sz="8" w:space="0" w:color="4F81BC"/>
              <w:bottom w:val="single" w:sz="8" w:space="0" w:color="4F81BC"/>
            </w:tcBorders>
          </w:tcPr>
          <w:p>
            <w:pPr>
              <w:pStyle w:val="TableParagraph"/>
              <w:spacing w:before="5"/>
              <w:ind w:left="206" w:right="193"/>
              <w:jc w:val="center"/>
              <w:rPr>
                <w:sz w:val="22"/>
              </w:rPr>
            </w:pPr>
            <w:r>
              <w:rPr>
                <w:sz w:val="22"/>
              </w:rPr>
              <w:t>82.35%</w:t>
            </w:r>
          </w:p>
        </w:tc>
        <w:tc>
          <w:tcPr>
            <w:tcW w:w="1062" w:type="dxa"/>
            <w:tcBorders>
              <w:top w:val="single" w:sz="8" w:space="0" w:color="4F81BC"/>
              <w:bottom w:val="single" w:sz="8" w:space="0" w:color="4F81BC"/>
            </w:tcBorders>
          </w:tcPr>
          <w:p>
            <w:pPr>
              <w:pStyle w:val="TableParagraph"/>
              <w:spacing w:before="5"/>
              <w:ind w:left="10"/>
              <w:jc w:val="center"/>
              <w:rPr>
                <w:sz w:val="22"/>
              </w:rPr>
            </w:pPr>
            <w:r>
              <w:rPr>
                <w:w w:val="100"/>
                <w:sz w:val="22"/>
              </w:rPr>
              <w:t>3</w:t>
            </w:r>
          </w:p>
        </w:tc>
        <w:tc>
          <w:tcPr>
            <w:tcW w:w="1319" w:type="dxa"/>
            <w:tcBorders>
              <w:top w:val="single" w:sz="8" w:space="0" w:color="4F81BC"/>
              <w:bottom w:val="single" w:sz="8" w:space="0" w:color="4F81BC"/>
              <w:right w:val="single" w:sz="8" w:space="0" w:color="4F81BC"/>
            </w:tcBorders>
          </w:tcPr>
          <w:p>
            <w:pPr>
              <w:pStyle w:val="TableParagraph"/>
              <w:spacing w:before="5"/>
              <w:ind w:left="270" w:right="253"/>
              <w:jc w:val="center"/>
              <w:rPr>
                <w:sz w:val="22"/>
              </w:rPr>
            </w:pPr>
            <w:r>
              <w:rPr>
                <w:sz w:val="22"/>
              </w:rPr>
              <w:t>17.65%</w:t>
            </w:r>
          </w:p>
        </w:tc>
      </w:tr>
      <w:tr>
        <w:trPr>
          <w:trHeight w:val="398" w:hRule="exact"/>
        </w:trPr>
        <w:tc>
          <w:tcPr>
            <w:tcW w:w="2408" w:type="dxa"/>
            <w:tcBorders>
              <w:top w:val="single" w:sz="8" w:space="0" w:color="4F81BC"/>
              <w:left w:val="single" w:sz="8" w:space="0" w:color="4F81BC"/>
              <w:bottom w:val="single" w:sz="8" w:space="0" w:color="4F81BC"/>
            </w:tcBorders>
          </w:tcPr>
          <w:p>
            <w:pPr>
              <w:pStyle w:val="TableParagraph"/>
              <w:spacing w:before="1"/>
              <w:ind w:left="115"/>
              <w:rPr>
                <w:b/>
                <w:sz w:val="22"/>
              </w:rPr>
            </w:pPr>
            <w:r>
              <w:rPr>
                <w:b/>
                <w:sz w:val="22"/>
              </w:rPr>
              <w:t>Telecomunicaciones</w:t>
            </w:r>
          </w:p>
        </w:tc>
        <w:tc>
          <w:tcPr>
            <w:tcW w:w="1224" w:type="dxa"/>
            <w:tcBorders>
              <w:top w:val="single" w:sz="8" w:space="0" w:color="4F81BC"/>
              <w:bottom w:val="single" w:sz="8" w:space="0" w:color="4F81BC"/>
            </w:tcBorders>
          </w:tcPr>
          <w:p>
            <w:pPr>
              <w:pStyle w:val="TableParagraph"/>
              <w:spacing w:before="3"/>
              <w:ind w:left="12"/>
              <w:jc w:val="center"/>
              <w:rPr>
                <w:sz w:val="22"/>
              </w:rPr>
            </w:pPr>
            <w:r>
              <w:rPr>
                <w:w w:val="100"/>
                <w:sz w:val="22"/>
              </w:rPr>
              <w:t>2</w:t>
            </w:r>
          </w:p>
        </w:tc>
        <w:tc>
          <w:tcPr>
            <w:tcW w:w="1444" w:type="dxa"/>
            <w:tcBorders>
              <w:top w:val="single" w:sz="8" w:space="0" w:color="4F81BC"/>
              <w:bottom w:val="single" w:sz="8" w:space="0" w:color="4F81BC"/>
            </w:tcBorders>
          </w:tcPr>
          <w:p>
            <w:pPr>
              <w:pStyle w:val="TableParagraph"/>
              <w:spacing w:before="3"/>
              <w:ind w:left="607" w:right="98"/>
              <w:rPr>
                <w:sz w:val="22"/>
              </w:rPr>
            </w:pPr>
            <w:r>
              <w:rPr>
                <w:sz w:val="22"/>
              </w:rPr>
              <w:t>31</w:t>
            </w:r>
          </w:p>
        </w:tc>
        <w:tc>
          <w:tcPr>
            <w:tcW w:w="1187" w:type="dxa"/>
            <w:tcBorders>
              <w:top w:val="single" w:sz="8" w:space="0" w:color="4F81BC"/>
              <w:bottom w:val="single" w:sz="8" w:space="0" w:color="4F81BC"/>
            </w:tcBorders>
          </w:tcPr>
          <w:p>
            <w:pPr>
              <w:pStyle w:val="TableParagraph"/>
              <w:spacing w:before="3"/>
              <w:ind w:left="458" w:right="444"/>
              <w:jc w:val="center"/>
              <w:rPr>
                <w:sz w:val="22"/>
              </w:rPr>
            </w:pPr>
            <w:r>
              <w:rPr>
                <w:sz w:val="22"/>
              </w:rPr>
              <w:t>23</w:t>
            </w:r>
          </w:p>
        </w:tc>
        <w:tc>
          <w:tcPr>
            <w:tcW w:w="1186" w:type="dxa"/>
            <w:tcBorders>
              <w:top w:val="single" w:sz="8" w:space="0" w:color="4F81BC"/>
              <w:bottom w:val="single" w:sz="8" w:space="0" w:color="4F81BC"/>
            </w:tcBorders>
          </w:tcPr>
          <w:p>
            <w:pPr>
              <w:pStyle w:val="TableParagraph"/>
              <w:spacing w:before="3"/>
              <w:ind w:left="206" w:right="193"/>
              <w:jc w:val="center"/>
              <w:rPr>
                <w:sz w:val="22"/>
              </w:rPr>
            </w:pPr>
            <w:r>
              <w:rPr>
                <w:sz w:val="22"/>
              </w:rPr>
              <w:t>74.19%</w:t>
            </w:r>
          </w:p>
        </w:tc>
        <w:tc>
          <w:tcPr>
            <w:tcW w:w="1062" w:type="dxa"/>
            <w:tcBorders>
              <w:top w:val="single" w:sz="8" w:space="0" w:color="4F81BC"/>
              <w:bottom w:val="single" w:sz="8" w:space="0" w:color="4F81BC"/>
            </w:tcBorders>
          </w:tcPr>
          <w:p>
            <w:pPr>
              <w:pStyle w:val="TableParagraph"/>
              <w:spacing w:before="3"/>
              <w:ind w:left="10"/>
              <w:jc w:val="center"/>
              <w:rPr>
                <w:sz w:val="22"/>
              </w:rPr>
            </w:pPr>
            <w:r>
              <w:rPr>
                <w:w w:val="100"/>
                <w:sz w:val="22"/>
              </w:rPr>
              <w:t>8</w:t>
            </w:r>
          </w:p>
        </w:tc>
        <w:tc>
          <w:tcPr>
            <w:tcW w:w="1319" w:type="dxa"/>
            <w:tcBorders>
              <w:top w:val="single" w:sz="8" w:space="0" w:color="4F81BC"/>
              <w:bottom w:val="single" w:sz="8" w:space="0" w:color="4F81BC"/>
              <w:right w:val="single" w:sz="8" w:space="0" w:color="4F81BC"/>
            </w:tcBorders>
          </w:tcPr>
          <w:p>
            <w:pPr>
              <w:pStyle w:val="TableParagraph"/>
              <w:spacing w:before="3"/>
              <w:ind w:left="270" w:right="253"/>
              <w:jc w:val="center"/>
              <w:rPr>
                <w:sz w:val="22"/>
              </w:rPr>
            </w:pPr>
            <w:r>
              <w:rPr>
                <w:sz w:val="22"/>
              </w:rPr>
              <w:t>25.81%</w:t>
            </w:r>
          </w:p>
        </w:tc>
      </w:tr>
      <w:tr>
        <w:trPr>
          <w:trHeight w:val="401" w:hRule="exact"/>
        </w:trPr>
        <w:tc>
          <w:tcPr>
            <w:tcW w:w="2408" w:type="dxa"/>
            <w:tcBorders>
              <w:top w:val="single" w:sz="8" w:space="0" w:color="4F81BC"/>
              <w:left w:val="single" w:sz="8" w:space="0" w:color="4F81BC"/>
              <w:bottom w:val="single" w:sz="8" w:space="0" w:color="4F81BC"/>
            </w:tcBorders>
          </w:tcPr>
          <w:p>
            <w:pPr>
              <w:pStyle w:val="TableParagraph"/>
              <w:spacing w:before="3"/>
              <w:ind w:left="115"/>
              <w:rPr>
                <w:b/>
                <w:sz w:val="22"/>
              </w:rPr>
            </w:pPr>
            <w:r>
              <w:rPr>
                <w:b/>
                <w:sz w:val="22"/>
              </w:rPr>
              <w:t>Telecomunicaciones</w:t>
            </w:r>
          </w:p>
        </w:tc>
        <w:tc>
          <w:tcPr>
            <w:tcW w:w="1224" w:type="dxa"/>
            <w:tcBorders>
              <w:top w:val="single" w:sz="8" w:space="0" w:color="4F81BC"/>
              <w:bottom w:val="single" w:sz="8" w:space="0" w:color="4F81BC"/>
            </w:tcBorders>
          </w:tcPr>
          <w:p>
            <w:pPr>
              <w:pStyle w:val="TableParagraph"/>
              <w:spacing w:before="5"/>
              <w:ind w:left="12"/>
              <w:jc w:val="center"/>
              <w:rPr>
                <w:sz w:val="22"/>
              </w:rPr>
            </w:pPr>
            <w:r>
              <w:rPr>
                <w:w w:val="100"/>
                <w:sz w:val="22"/>
              </w:rPr>
              <w:t>8</w:t>
            </w:r>
          </w:p>
        </w:tc>
        <w:tc>
          <w:tcPr>
            <w:tcW w:w="1444" w:type="dxa"/>
            <w:tcBorders>
              <w:top w:val="single" w:sz="8" w:space="0" w:color="4F81BC"/>
              <w:bottom w:val="single" w:sz="8" w:space="0" w:color="4F81BC"/>
            </w:tcBorders>
          </w:tcPr>
          <w:p>
            <w:pPr>
              <w:pStyle w:val="TableParagraph"/>
              <w:spacing w:before="5"/>
              <w:ind w:left="607" w:right="98"/>
              <w:rPr>
                <w:sz w:val="22"/>
              </w:rPr>
            </w:pPr>
            <w:r>
              <w:rPr>
                <w:sz w:val="22"/>
              </w:rPr>
              <w:t>14</w:t>
            </w:r>
          </w:p>
        </w:tc>
        <w:tc>
          <w:tcPr>
            <w:tcW w:w="1187" w:type="dxa"/>
            <w:tcBorders>
              <w:top w:val="single" w:sz="8" w:space="0" w:color="4F81BC"/>
              <w:bottom w:val="single" w:sz="8" w:space="0" w:color="4F81BC"/>
            </w:tcBorders>
          </w:tcPr>
          <w:p>
            <w:pPr>
              <w:pStyle w:val="TableParagraph"/>
              <w:spacing w:before="5"/>
              <w:ind w:left="13"/>
              <w:jc w:val="center"/>
              <w:rPr>
                <w:sz w:val="22"/>
              </w:rPr>
            </w:pPr>
            <w:r>
              <w:rPr>
                <w:w w:val="100"/>
                <w:sz w:val="22"/>
              </w:rPr>
              <w:t>9</w:t>
            </w:r>
          </w:p>
        </w:tc>
        <w:tc>
          <w:tcPr>
            <w:tcW w:w="1186" w:type="dxa"/>
            <w:tcBorders>
              <w:top w:val="single" w:sz="8" w:space="0" w:color="4F81BC"/>
              <w:bottom w:val="single" w:sz="8" w:space="0" w:color="4F81BC"/>
            </w:tcBorders>
          </w:tcPr>
          <w:p>
            <w:pPr>
              <w:pStyle w:val="TableParagraph"/>
              <w:spacing w:before="5"/>
              <w:ind w:left="206" w:right="193"/>
              <w:jc w:val="center"/>
              <w:rPr>
                <w:sz w:val="22"/>
              </w:rPr>
            </w:pPr>
            <w:r>
              <w:rPr>
                <w:sz w:val="22"/>
              </w:rPr>
              <w:t>64.28%</w:t>
            </w:r>
          </w:p>
        </w:tc>
        <w:tc>
          <w:tcPr>
            <w:tcW w:w="1062" w:type="dxa"/>
            <w:tcBorders>
              <w:top w:val="single" w:sz="8" w:space="0" w:color="4F81BC"/>
              <w:bottom w:val="single" w:sz="8" w:space="0" w:color="4F81BC"/>
            </w:tcBorders>
          </w:tcPr>
          <w:p>
            <w:pPr>
              <w:pStyle w:val="TableParagraph"/>
              <w:spacing w:before="5"/>
              <w:ind w:left="10"/>
              <w:jc w:val="center"/>
              <w:rPr>
                <w:sz w:val="22"/>
              </w:rPr>
            </w:pPr>
            <w:r>
              <w:rPr>
                <w:w w:val="100"/>
                <w:sz w:val="22"/>
              </w:rPr>
              <w:t>5</w:t>
            </w:r>
          </w:p>
        </w:tc>
        <w:tc>
          <w:tcPr>
            <w:tcW w:w="1319" w:type="dxa"/>
            <w:tcBorders>
              <w:top w:val="single" w:sz="8" w:space="0" w:color="4F81BC"/>
              <w:bottom w:val="single" w:sz="8" w:space="0" w:color="4F81BC"/>
              <w:right w:val="single" w:sz="8" w:space="0" w:color="4F81BC"/>
            </w:tcBorders>
          </w:tcPr>
          <w:p>
            <w:pPr>
              <w:pStyle w:val="TableParagraph"/>
              <w:spacing w:before="5"/>
              <w:ind w:left="270" w:right="253"/>
              <w:jc w:val="center"/>
              <w:rPr>
                <w:sz w:val="22"/>
              </w:rPr>
            </w:pPr>
            <w:r>
              <w:rPr>
                <w:sz w:val="22"/>
              </w:rPr>
              <w:t>35.72%</w:t>
            </w:r>
          </w:p>
        </w:tc>
      </w:tr>
    </w:tbl>
    <w:p>
      <w:pPr>
        <w:spacing w:before="0"/>
        <w:ind w:left="220" w:right="0" w:firstLine="0"/>
        <w:jc w:val="both"/>
        <w:rPr>
          <w:b/>
          <w:sz w:val="18"/>
        </w:rPr>
      </w:pPr>
      <w:r>
        <w:rPr>
          <w:b/>
          <w:color w:val="4F81BC"/>
          <w:sz w:val="18"/>
        </w:rPr>
        <w:t>Tabla Elaboración propia con base en trabajo de campo [Munive, 2014].</w:t>
      </w:r>
    </w:p>
    <w:p>
      <w:pPr>
        <w:pStyle w:val="BodyText"/>
        <w:rPr>
          <w:b/>
          <w:sz w:val="18"/>
        </w:rPr>
      </w:pPr>
    </w:p>
    <w:p>
      <w:pPr>
        <w:pStyle w:val="BodyText"/>
        <w:rPr>
          <w:b/>
          <w:sz w:val="18"/>
        </w:rPr>
      </w:pPr>
    </w:p>
    <w:p>
      <w:pPr>
        <w:pStyle w:val="BodyText"/>
        <w:spacing w:before="1"/>
        <w:rPr>
          <w:b/>
          <w:sz w:val="23"/>
        </w:rPr>
      </w:pPr>
    </w:p>
    <w:p>
      <w:pPr>
        <w:pStyle w:val="BodyText"/>
        <w:spacing w:line="360" w:lineRule="auto"/>
        <w:ind w:left="220" w:right="503"/>
        <w:jc w:val="both"/>
      </w:pPr>
      <w:r>
        <w:rPr/>
        <w:t>Las respuestas de este grupo de personas al que se le aplico la encuesta y las escalas parecen confirmar la información proporcionada por toda la universidad con respecto a la distribución estudiantil por género.</w:t>
      </w:r>
    </w:p>
    <w:p>
      <w:pPr>
        <w:spacing w:after="0" w:line="360" w:lineRule="auto"/>
        <w:jc w:val="both"/>
        <w:sectPr>
          <w:pgSz w:w="12240" w:h="15840"/>
          <w:pgMar w:header="0" w:footer="1014" w:top="1380" w:bottom="1200" w:left="1220" w:right="940"/>
        </w:sectPr>
      </w:pPr>
    </w:p>
    <w:p>
      <w:pPr>
        <w:spacing w:before="40"/>
        <w:ind w:left="100" w:right="0" w:firstLine="0"/>
        <w:jc w:val="both"/>
        <w:rPr>
          <w:rFonts w:ascii="Cambria" w:hAnsi="Cambria"/>
          <w:b/>
          <w:sz w:val="22"/>
        </w:rPr>
      </w:pPr>
      <w:r>
        <w:rPr/>
        <w:drawing>
          <wp:anchor distT="0" distB="0" distL="0" distR="0" allowOverlap="1" layoutInCell="1" locked="0" behindDoc="0" simplePos="0" relativeHeight="1360">
            <wp:simplePos x="0" y="0"/>
            <wp:positionH relativeFrom="page">
              <wp:posOffset>914400</wp:posOffset>
            </wp:positionH>
            <wp:positionV relativeFrom="paragraph">
              <wp:posOffset>270918</wp:posOffset>
            </wp:positionV>
            <wp:extent cx="6061550" cy="3073146"/>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4" cstate="print"/>
                    <a:stretch>
                      <a:fillRect/>
                    </a:stretch>
                  </pic:blipFill>
                  <pic:spPr>
                    <a:xfrm>
                      <a:off x="0" y="0"/>
                      <a:ext cx="6061550" cy="3073146"/>
                    </a:xfrm>
                    <a:prstGeom prst="rect">
                      <a:avLst/>
                    </a:prstGeom>
                  </pic:spPr>
                </pic:pic>
              </a:graphicData>
            </a:graphic>
          </wp:anchor>
        </w:drawing>
      </w:r>
      <w:bookmarkStart w:name="_bookmark16" w:id="17"/>
      <w:bookmarkEnd w:id="17"/>
      <w:r>
        <w:rPr/>
      </w:r>
      <w:r>
        <w:rPr>
          <w:rFonts w:ascii="Cambria" w:hAnsi="Cambria"/>
          <w:b/>
          <w:color w:val="4F81BC"/>
          <w:sz w:val="22"/>
        </w:rPr>
        <w:t>Distribución    de    estudiantes        encuestadas/os        por    sexo    semestre    y    licenciatura</w:t>
      </w:r>
    </w:p>
    <w:p>
      <w:pPr>
        <w:pStyle w:val="BodyText"/>
        <w:spacing w:before="6"/>
        <w:rPr>
          <w:rFonts w:ascii="Cambria"/>
          <w:b/>
          <w:sz w:val="28"/>
        </w:rPr>
      </w:pPr>
    </w:p>
    <w:p>
      <w:pPr>
        <w:spacing w:before="0"/>
        <w:ind w:left="100" w:right="0" w:firstLine="0"/>
        <w:jc w:val="both"/>
        <w:rPr>
          <w:b/>
          <w:sz w:val="18"/>
        </w:rPr>
      </w:pPr>
      <w:r>
        <w:rPr>
          <w:b/>
          <w:color w:val="4F81BC"/>
          <w:sz w:val="18"/>
        </w:rPr>
        <w:t>Figure 5 Elaboración propia con base en trabajo de campo [Munive, 2014].</w:t>
      </w:r>
    </w:p>
    <w:p>
      <w:pPr>
        <w:pStyle w:val="BodyText"/>
        <w:rPr>
          <w:b/>
          <w:sz w:val="18"/>
        </w:rPr>
      </w:pPr>
    </w:p>
    <w:p>
      <w:pPr>
        <w:pStyle w:val="BodyText"/>
        <w:rPr>
          <w:b/>
          <w:sz w:val="18"/>
        </w:rPr>
      </w:pPr>
    </w:p>
    <w:p>
      <w:pPr>
        <w:pStyle w:val="BodyText"/>
        <w:spacing w:before="1"/>
        <w:rPr>
          <w:b/>
          <w:sz w:val="23"/>
        </w:rPr>
      </w:pPr>
    </w:p>
    <w:p>
      <w:pPr>
        <w:pStyle w:val="BodyText"/>
        <w:spacing w:line="360" w:lineRule="auto" w:before="1"/>
        <w:ind w:left="100" w:right="366"/>
        <w:jc w:val="both"/>
      </w:pPr>
      <w:r>
        <w:rPr/>
        <w:t>La distribución del grupo encuestado, el cual fue seleccionado intencionalmente, es en gran medida desproporcionada puesto que en todos los casos la población femenina  no llega al 50% necesario para cumplir con lo que, en palabras de Olga Bustos [2003, en Razo Godínez, 2008], llamaríamos una </w:t>
      </w:r>
      <w:r>
        <w:rPr>
          <w:i/>
        </w:rPr>
        <w:t>feminización del</w:t>
      </w:r>
      <w:r>
        <w:rPr>
          <w:i/>
          <w:spacing w:val="-20"/>
        </w:rPr>
        <w:t> </w:t>
      </w:r>
      <w:r>
        <w:rPr>
          <w:i/>
        </w:rPr>
        <w:t>espacio</w:t>
      </w:r>
      <w:r>
        <w:rPr/>
        <w:t>.</w:t>
      </w:r>
    </w:p>
    <w:p>
      <w:pPr>
        <w:pStyle w:val="BodyText"/>
        <w:spacing w:line="360" w:lineRule="auto" w:before="204"/>
        <w:ind w:left="100" w:right="360"/>
        <w:jc w:val="both"/>
      </w:pPr>
      <w:r>
        <w:rPr/>
        <w:t>Cuando se comienza la revisión de los datos arrojados por la encuesta a simple vista parecería que, dentro del ICBI no existe evidencia de un espacio en el que se realicen prácticas características de una masculinidad hegemónica. En ambos casos, tanto en estudiantes varones como en estudiantes mujeres, se puede observar una marcada tendencia a no reconocer la violencia propia. Sin embargo, y en base a un pequeño dato estadístico, parece un punto de interés el percatarnos que, mientras para los varones no existen una preferencia marcada en el trato de los profesores [reactivo 24], o una situación de acoso hacia las mujeres por parte del personal de la universidad [reactivo 25] para las mujeres, si bien de forma mínimamente reflejada en cuestión estadística, existe un carácter positivo en ambos reactivos.</w:t>
      </w:r>
    </w:p>
    <w:p>
      <w:pPr>
        <w:spacing w:after="0" w:line="360" w:lineRule="auto"/>
        <w:jc w:val="both"/>
        <w:sectPr>
          <w:pgSz w:w="12240" w:h="15840"/>
          <w:pgMar w:header="0" w:footer="1014" w:top="1400" w:bottom="1200" w:left="1340" w:right="1080"/>
        </w:sectPr>
      </w:pPr>
    </w:p>
    <w:p>
      <w:pPr>
        <w:spacing w:before="40" w:after="38"/>
        <w:ind w:left="100" w:right="0" w:firstLine="0"/>
        <w:jc w:val="left"/>
        <w:rPr>
          <w:rFonts w:ascii="Cambria"/>
          <w:b/>
          <w:sz w:val="22"/>
        </w:rPr>
      </w:pPr>
      <w:bookmarkStart w:name="_bookmark17" w:id="18"/>
      <w:bookmarkEnd w:id="18"/>
      <w:r>
        <w:rPr/>
      </w:r>
      <w:r>
        <w:rPr>
          <w:rFonts w:ascii="Cambria"/>
          <w:b/>
          <w:color w:val="4F81BC"/>
          <w:sz w:val="22"/>
        </w:rPr>
        <w:t>Respuestas dadas por estudiantes varones a la escala tipo Likert [porcentajes].</w:t>
      </w:r>
    </w:p>
    <w:tbl>
      <w:tblPr>
        <w:tblW w:w="0" w:type="auto"/>
        <w:jc w:val="left"/>
        <w:tblInd w:w="190" w:type="dxa"/>
        <w:tblBorders>
          <w:top w:val="single" w:sz="4" w:space="0" w:color="F9BE8F"/>
          <w:left w:val="single" w:sz="4" w:space="0" w:color="F9BE8F"/>
          <w:bottom w:val="single" w:sz="4" w:space="0" w:color="F9BE8F"/>
          <w:right w:val="single" w:sz="4" w:space="0" w:color="F9BE8F"/>
          <w:insideH w:val="single" w:sz="4" w:space="0" w:color="F9BE8F"/>
          <w:insideV w:val="single" w:sz="4" w:space="0" w:color="F9BE8F"/>
        </w:tblBorders>
        <w:tblLayout w:type="fixed"/>
        <w:tblCellMar>
          <w:top w:w="0" w:type="dxa"/>
          <w:left w:w="0" w:type="dxa"/>
          <w:bottom w:w="0" w:type="dxa"/>
          <w:right w:w="0" w:type="dxa"/>
        </w:tblCellMar>
        <w:tblLook w:val="01E0"/>
      </w:tblPr>
      <w:tblGrid>
        <w:gridCol w:w="5721"/>
        <w:gridCol w:w="964"/>
        <w:gridCol w:w="964"/>
        <w:gridCol w:w="964"/>
        <w:gridCol w:w="964"/>
      </w:tblGrid>
      <w:tr>
        <w:trPr>
          <w:trHeight w:val="706" w:hRule="exact"/>
        </w:trPr>
        <w:tc>
          <w:tcPr>
            <w:tcW w:w="5721" w:type="dxa"/>
            <w:tcBorders>
              <w:right w:val="nil"/>
            </w:tcBorders>
            <w:shd w:val="clear" w:color="auto" w:fill="FCE9D9"/>
          </w:tcPr>
          <w:p>
            <w:pPr>
              <w:pStyle w:val="TableParagraph"/>
              <w:rPr>
                <w:rFonts w:ascii="Cambria"/>
                <w:b/>
                <w:sz w:val="16"/>
              </w:rPr>
            </w:pPr>
          </w:p>
          <w:p>
            <w:pPr>
              <w:pStyle w:val="TableParagraph"/>
              <w:rPr>
                <w:rFonts w:ascii="Cambria"/>
                <w:b/>
                <w:sz w:val="16"/>
              </w:rPr>
            </w:pPr>
          </w:p>
          <w:p>
            <w:pPr>
              <w:pStyle w:val="TableParagraph"/>
              <w:spacing w:before="125"/>
              <w:ind w:left="2506" w:right="2532"/>
              <w:jc w:val="center"/>
              <w:rPr>
                <w:rFonts w:ascii="Calibri"/>
                <w:b/>
                <w:i/>
                <w:sz w:val="16"/>
              </w:rPr>
            </w:pPr>
            <w:r>
              <w:rPr>
                <w:rFonts w:ascii="Calibri"/>
                <w:b/>
                <w:i/>
                <w:sz w:val="16"/>
              </w:rPr>
              <w:t>Reactivos</w:t>
            </w:r>
          </w:p>
        </w:tc>
        <w:tc>
          <w:tcPr>
            <w:tcW w:w="964" w:type="dxa"/>
            <w:tcBorders>
              <w:left w:val="nil"/>
              <w:right w:val="nil"/>
            </w:tcBorders>
            <w:shd w:val="clear" w:color="auto" w:fill="FCE9D9"/>
          </w:tcPr>
          <w:p>
            <w:pPr>
              <w:pStyle w:val="TableParagraph"/>
              <w:rPr>
                <w:rFonts w:ascii="Cambria"/>
                <w:b/>
                <w:sz w:val="16"/>
              </w:rPr>
            </w:pPr>
          </w:p>
          <w:p>
            <w:pPr>
              <w:pStyle w:val="TableParagraph"/>
              <w:rPr>
                <w:rFonts w:ascii="Cambria"/>
                <w:b/>
                <w:sz w:val="16"/>
              </w:rPr>
            </w:pPr>
          </w:p>
          <w:p>
            <w:pPr>
              <w:pStyle w:val="TableParagraph"/>
              <w:spacing w:before="125"/>
              <w:ind w:left="262"/>
              <w:rPr>
                <w:rFonts w:ascii="Calibri"/>
                <w:b/>
                <w:i/>
                <w:sz w:val="16"/>
              </w:rPr>
            </w:pPr>
            <w:r>
              <w:rPr>
                <w:rFonts w:ascii="Calibri"/>
                <w:b/>
                <w:i/>
                <w:sz w:val="16"/>
              </w:rPr>
              <w:t>Nunca</w:t>
            </w:r>
          </w:p>
        </w:tc>
        <w:tc>
          <w:tcPr>
            <w:tcW w:w="964" w:type="dxa"/>
            <w:tcBorders>
              <w:left w:val="nil"/>
              <w:right w:val="nil"/>
            </w:tcBorders>
            <w:shd w:val="clear" w:color="auto" w:fill="FCE9D9"/>
          </w:tcPr>
          <w:p>
            <w:pPr>
              <w:pStyle w:val="TableParagraph"/>
              <w:rPr>
                <w:rFonts w:ascii="Cambria"/>
                <w:b/>
                <w:sz w:val="16"/>
              </w:rPr>
            </w:pPr>
          </w:p>
          <w:p>
            <w:pPr>
              <w:pStyle w:val="TableParagraph"/>
              <w:rPr>
                <w:rFonts w:ascii="Cambria"/>
                <w:b/>
                <w:sz w:val="16"/>
              </w:rPr>
            </w:pPr>
          </w:p>
          <w:p>
            <w:pPr>
              <w:pStyle w:val="TableParagraph"/>
              <w:spacing w:before="125"/>
              <w:ind w:left="197"/>
              <w:rPr>
                <w:rFonts w:ascii="Calibri"/>
                <w:b/>
                <w:i/>
                <w:sz w:val="16"/>
              </w:rPr>
            </w:pPr>
            <w:r>
              <w:rPr>
                <w:rFonts w:ascii="Calibri"/>
                <w:b/>
                <w:i/>
                <w:sz w:val="16"/>
              </w:rPr>
              <w:t>Rara vez</w:t>
            </w:r>
          </w:p>
        </w:tc>
        <w:tc>
          <w:tcPr>
            <w:tcW w:w="964" w:type="dxa"/>
            <w:tcBorders>
              <w:left w:val="nil"/>
              <w:right w:val="nil"/>
            </w:tcBorders>
            <w:shd w:val="clear" w:color="auto" w:fill="FCE9D9"/>
          </w:tcPr>
          <w:p>
            <w:pPr>
              <w:pStyle w:val="TableParagraph"/>
              <w:rPr>
                <w:rFonts w:ascii="Cambria"/>
                <w:b/>
                <w:sz w:val="16"/>
              </w:rPr>
            </w:pPr>
          </w:p>
          <w:p>
            <w:pPr>
              <w:pStyle w:val="TableParagraph"/>
              <w:rPr>
                <w:rFonts w:ascii="Cambria"/>
                <w:b/>
                <w:sz w:val="16"/>
              </w:rPr>
            </w:pPr>
          </w:p>
          <w:p>
            <w:pPr>
              <w:pStyle w:val="TableParagraph"/>
              <w:spacing w:before="125"/>
              <w:ind w:right="34"/>
              <w:jc w:val="right"/>
              <w:rPr>
                <w:rFonts w:ascii="Calibri"/>
                <w:b/>
                <w:i/>
                <w:sz w:val="16"/>
              </w:rPr>
            </w:pPr>
            <w:r>
              <w:rPr>
                <w:rFonts w:ascii="Calibri"/>
                <w:b/>
                <w:i/>
                <w:sz w:val="16"/>
              </w:rPr>
              <w:t>recuentement</w:t>
            </w:r>
          </w:p>
        </w:tc>
        <w:tc>
          <w:tcPr>
            <w:tcW w:w="964" w:type="dxa"/>
            <w:tcBorders>
              <w:left w:val="nil"/>
            </w:tcBorders>
            <w:shd w:val="clear" w:color="auto" w:fill="FCE9D9"/>
          </w:tcPr>
          <w:p>
            <w:pPr>
              <w:pStyle w:val="TableParagraph"/>
              <w:rPr>
                <w:rFonts w:ascii="Cambria"/>
                <w:b/>
                <w:sz w:val="16"/>
              </w:rPr>
            </w:pPr>
          </w:p>
          <w:p>
            <w:pPr>
              <w:pStyle w:val="TableParagraph"/>
              <w:rPr>
                <w:rFonts w:ascii="Cambria"/>
                <w:b/>
                <w:sz w:val="16"/>
              </w:rPr>
            </w:pPr>
          </w:p>
          <w:p>
            <w:pPr>
              <w:pStyle w:val="TableParagraph"/>
              <w:spacing w:before="125"/>
              <w:ind w:left="208"/>
              <w:rPr>
                <w:rFonts w:ascii="Calibri"/>
                <w:b/>
                <w:i/>
                <w:sz w:val="16"/>
              </w:rPr>
            </w:pPr>
            <w:r>
              <w:rPr>
                <w:rFonts w:ascii="Calibri"/>
                <w:b/>
                <w:i/>
                <w:sz w:val="16"/>
              </w:rPr>
              <w:t>Siempre</w:t>
            </w:r>
          </w:p>
        </w:tc>
      </w:tr>
      <w:tr>
        <w:trPr>
          <w:trHeight w:val="589" w:hRule="exact"/>
        </w:trPr>
        <w:tc>
          <w:tcPr>
            <w:tcW w:w="5721" w:type="dxa"/>
            <w:tcBorders>
              <w:right w:val="single" w:sz="4" w:space="0" w:color="DADCDD"/>
            </w:tcBorders>
          </w:tcPr>
          <w:p>
            <w:pPr>
              <w:pStyle w:val="TableParagraph"/>
              <w:spacing w:line="264" w:lineRule="auto" w:before="87"/>
              <w:ind w:left="32"/>
              <w:rPr>
                <w:sz w:val="17"/>
              </w:rPr>
            </w:pPr>
            <w:r>
              <w:rPr>
                <w:sz w:val="17"/>
              </w:rPr>
              <w:t>Si mi novia sale de fiesta uso frases como “me abandonas” o “¿prefieres a tus amigos que a mí?</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7"/>
              <w:rPr>
                <w:rFonts w:ascii="Cambria"/>
                <w:b/>
                <w:sz w:val="16"/>
              </w:rPr>
            </w:pPr>
          </w:p>
          <w:p>
            <w:pPr>
              <w:pStyle w:val="TableParagraph"/>
              <w:ind w:right="22"/>
              <w:jc w:val="right"/>
              <w:rPr>
                <w:rFonts w:ascii="Calibri"/>
                <w:sz w:val="16"/>
              </w:rPr>
            </w:pPr>
            <w:r>
              <w:rPr>
                <w:rFonts w:ascii="Calibri"/>
                <w:sz w:val="16"/>
              </w:rPr>
              <w:t>33.33%</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7"/>
              <w:rPr>
                <w:rFonts w:ascii="Cambria"/>
                <w:b/>
                <w:sz w:val="16"/>
              </w:rPr>
            </w:pPr>
          </w:p>
          <w:p>
            <w:pPr>
              <w:pStyle w:val="TableParagraph"/>
              <w:ind w:right="22"/>
              <w:jc w:val="right"/>
              <w:rPr>
                <w:rFonts w:ascii="Calibri"/>
                <w:sz w:val="16"/>
              </w:rPr>
            </w:pPr>
            <w:r>
              <w:rPr>
                <w:rFonts w:ascii="Calibri"/>
                <w:sz w:val="16"/>
              </w:rPr>
              <w:t>49.72%</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7"/>
              <w:rPr>
                <w:rFonts w:ascii="Cambria"/>
                <w:b/>
                <w:sz w:val="16"/>
              </w:rPr>
            </w:pPr>
          </w:p>
          <w:p>
            <w:pPr>
              <w:pStyle w:val="TableParagraph"/>
              <w:ind w:right="22"/>
              <w:jc w:val="right"/>
              <w:rPr>
                <w:rFonts w:ascii="Calibri"/>
                <w:sz w:val="16"/>
              </w:rPr>
            </w:pPr>
            <w:r>
              <w:rPr>
                <w:rFonts w:ascii="Calibri"/>
                <w:sz w:val="16"/>
              </w:rPr>
              <w:t>14.12%</w:t>
            </w:r>
          </w:p>
        </w:tc>
        <w:tc>
          <w:tcPr>
            <w:tcW w:w="964" w:type="dxa"/>
            <w:tcBorders>
              <w:left w:val="single" w:sz="4" w:space="0" w:color="DADCDD"/>
            </w:tcBorders>
          </w:tcPr>
          <w:p>
            <w:pPr>
              <w:pStyle w:val="TableParagraph"/>
              <w:rPr>
                <w:rFonts w:ascii="Cambria"/>
                <w:b/>
                <w:sz w:val="16"/>
              </w:rPr>
            </w:pPr>
          </w:p>
          <w:p>
            <w:pPr>
              <w:pStyle w:val="TableParagraph"/>
              <w:spacing w:before="7"/>
              <w:rPr>
                <w:rFonts w:ascii="Cambria"/>
                <w:b/>
                <w:sz w:val="16"/>
              </w:rPr>
            </w:pPr>
          </w:p>
          <w:p>
            <w:pPr>
              <w:pStyle w:val="TableParagraph"/>
              <w:ind w:right="22"/>
              <w:jc w:val="right"/>
              <w:rPr>
                <w:rFonts w:ascii="Calibri"/>
                <w:sz w:val="16"/>
              </w:rPr>
            </w:pPr>
            <w:r>
              <w:rPr>
                <w:rFonts w:ascii="Calibri"/>
                <w:sz w:val="16"/>
              </w:rPr>
              <w:t>2.82%</w:t>
            </w:r>
          </w:p>
        </w:tc>
      </w:tr>
      <w:tr>
        <w:trPr>
          <w:trHeight w:val="428" w:hRule="exact"/>
        </w:trPr>
        <w:tc>
          <w:tcPr>
            <w:tcW w:w="5721" w:type="dxa"/>
            <w:tcBorders>
              <w:right w:val="nil"/>
            </w:tcBorders>
            <w:shd w:val="clear" w:color="auto" w:fill="FCE9D9"/>
          </w:tcPr>
          <w:p>
            <w:pPr>
              <w:pStyle w:val="TableParagraph"/>
              <w:spacing w:line="264" w:lineRule="auto" w:before="12"/>
              <w:ind w:left="32"/>
              <w:rPr>
                <w:sz w:val="17"/>
              </w:rPr>
            </w:pPr>
            <w:r>
              <w:rPr>
                <w:sz w:val="17"/>
              </w:rPr>
              <w:t>Le he solicitado las contraseñas de sus redes sociales a mi pareja porque considero que es parte de la confianza en la relación.</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67.80%</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26.55%</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2.39%</w:t>
            </w:r>
          </w:p>
        </w:tc>
        <w:tc>
          <w:tcPr>
            <w:tcW w:w="964" w:type="dxa"/>
            <w:tcBorders>
              <w:left w:val="nil"/>
            </w:tcBorders>
            <w:shd w:val="clear" w:color="auto" w:fill="FCE9D9"/>
          </w:tcPr>
          <w:p>
            <w:pPr>
              <w:pStyle w:val="TableParagraph"/>
              <w:spacing w:before="11"/>
              <w:rPr>
                <w:rFonts w:ascii="Cambria"/>
                <w:b/>
                <w:sz w:val="18"/>
              </w:rPr>
            </w:pPr>
          </w:p>
          <w:p>
            <w:pPr>
              <w:pStyle w:val="TableParagraph"/>
              <w:ind w:right="22"/>
              <w:jc w:val="right"/>
              <w:rPr>
                <w:rFonts w:ascii="Calibri"/>
                <w:sz w:val="16"/>
              </w:rPr>
            </w:pPr>
            <w:r>
              <w:rPr>
                <w:rFonts w:ascii="Calibri"/>
                <w:sz w:val="16"/>
              </w:rPr>
              <w:t>2.26%</w:t>
            </w:r>
          </w:p>
        </w:tc>
      </w:tr>
      <w:tr>
        <w:trPr>
          <w:trHeight w:val="214" w:hRule="exact"/>
        </w:trPr>
        <w:tc>
          <w:tcPr>
            <w:tcW w:w="5721" w:type="dxa"/>
            <w:tcBorders>
              <w:bottom w:val="single" w:sz="4" w:space="0" w:color="F9BE8F"/>
              <w:right w:val="single" w:sz="4" w:space="0" w:color="DADCDD"/>
            </w:tcBorders>
          </w:tcPr>
          <w:p>
            <w:pPr>
              <w:pStyle w:val="TableParagraph"/>
              <w:spacing w:before="11"/>
              <w:ind w:left="32"/>
              <w:rPr>
                <w:sz w:val="17"/>
              </w:rPr>
            </w:pPr>
            <w:r>
              <w:rPr>
                <w:sz w:val="17"/>
              </w:rPr>
              <w:t>En ocasiones he mentido a mi pareja para obtener algo de ella</w:t>
            </w:r>
          </w:p>
        </w:tc>
        <w:tc>
          <w:tcPr>
            <w:tcW w:w="964" w:type="dxa"/>
            <w:tcBorders>
              <w:left w:val="single" w:sz="4" w:space="0" w:color="DADCDD"/>
              <w:bottom w:val="single" w:sz="4" w:space="0" w:color="F9BE8F"/>
              <w:right w:val="single" w:sz="4" w:space="0" w:color="DADCDD"/>
            </w:tcBorders>
          </w:tcPr>
          <w:p>
            <w:pPr>
              <w:pStyle w:val="TableParagraph"/>
              <w:spacing w:before="8"/>
              <w:ind w:right="22"/>
              <w:jc w:val="right"/>
              <w:rPr>
                <w:rFonts w:ascii="Calibri"/>
                <w:sz w:val="16"/>
              </w:rPr>
            </w:pPr>
            <w:r>
              <w:rPr>
                <w:rFonts w:ascii="Calibri"/>
                <w:sz w:val="16"/>
              </w:rPr>
              <w:t>48.98%</w:t>
            </w:r>
          </w:p>
        </w:tc>
        <w:tc>
          <w:tcPr>
            <w:tcW w:w="964" w:type="dxa"/>
            <w:tcBorders>
              <w:left w:val="single" w:sz="4" w:space="0" w:color="DADCDD"/>
              <w:bottom w:val="single" w:sz="4" w:space="0" w:color="F9BE8F"/>
              <w:right w:val="single" w:sz="4" w:space="0" w:color="DADCDD"/>
            </w:tcBorders>
          </w:tcPr>
          <w:p>
            <w:pPr>
              <w:pStyle w:val="TableParagraph"/>
              <w:spacing w:before="8"/>
              <w:ind w:right="22"/>
              <w:jc w:val="right"/>
              <w:rPr>
                <w:rFonts w:ascii="Calibri"/>
                <w:sz w:val="16"/>
              </w:rPr>
            </w:pPr>
            <w:r>
              <w:rPr>
                <w:rFonts w:ascii="Calibri"/>
                <w:sz w:val="16"/>
              </w:rPr>
              <w:t>43.50%</w:t>
            </w:r>
          </w:p>
        </w:tc>
        <w:tc>
          <w:tcPr>
            <w:tcW w:w="964" w:type="dxa"/>
            <w:tcBorders>
              <w:left w:val="single" w:sz="4" w:space="0" w:color="DADCDD"/>
              <w:bottom w:val="single" w:sz="4" w:space="0" w:color="F9BE8F"/>
              <w:right w:val="single" w:sz="4" w:space="0" w:color="DADCDD"/>
            </w:tcBorders>
          </w:tcPr>
          <w:p>
            <w:pPr>
              <w:pStyle w:val="TableParagraph"/>
              <w:spacing w:before="8"/>
              <w:ind w:right="22"/>
              <w:jc w:val="right"/>
              <w:rPr>
                <w:rFonts w:ascii="Calibri"/>
                <w:sz w:val="16"/>
              </w:rPr>
            </w:pPr>
            <w:r>
              <w:rPr>
                <w:rFonts w:ascii="Calibri"/>
                <w:sz w:val="16"/>
              </w:rPr>
              <w:t>16.95%</w:t>
            </w:r>
          </w:p>
        </w:tc>
        <w:tc>
          <w:tcPr>
            <w:tcW w:w="964" w:type="dxa"/>
            <w:tcBorders>
              <w:left w:val="single" w:sz="4" w:space="0" w:color="DADCDD"/>
              <w:bottom w:val="single" w:sz="4" w:space="0" w:color="F9BE8F"/>
            </w:tcBorders>
          </w:tcPr>
          <w:p>
            <w:pPr>
              <w:pStyle w:val="TableParagraph"/>
              <w:spacing w:before="8"/>
              <w:ind w:right="22"/>
              <w:jc w:val="right"/>
              <w:rPr>
                <w:rFonts w:ascii="Calibri"/>
                <w:sz w:val="16"/>
              </w:rPr>
            </w:pPr>
            <w:r>
              <w:rPr>
                <w:rFonts w:ascii="Calibri"/>
                <w:sz w:val="16"/>
              </w:rPr>
              <w:t>0.56%</w:t>
            </w:r>
          </w:p>
        </w:tc>
      </w:tr>
      <w:tr>
        <w:trPr>
          <w:trHeight w:val="428" w:hRule="exact"/>
        </w:trPr>
        <w:tc>
          <w:tcPr>
            <w:tcW w:w="5721" w:type="dxa"/>
            <w:tcBorders>
              <w:top w:val="single" w:sz="4" w:space="0" w:color="F9BE8F"/>
              <w:right w:val="nil"/>
            </w:tcBorders>
            <w:shd w:val="clear" w:color="auto" w:fill="FCE9D9"/>
          </w:tcPr>
          <w:p>
            <w:pPr>
              <w:pStyle w:val="TableParagraph"/>
              <w:spacing w:line="264" w:lineRule="auto" w:before="11"/>
              <w:ind w:left="32"/>
              <w:rPr>
                <w:sz w:val="17"/>
              </w:rPr>
            </w:pPr>
            <w:r>
              <w:rPr>
                <w:spacing w:val="-3"/>
                <w:sz w:val="17"/>
              </w:rPr>
              <w:t>Cuando </w:t>
            </w:r>
            <w:r>
              <w:rPr>
                <w:spacing w:val="-5"/>
                <w:sz w:val="17"/>
              </w:rPr>
              <w:t>no </w:t>
            </w:r>
            <w:r>
              <w:rPr>
                <w:sz w:val="17"/>
              </w:rPr>
              <w:t>estoy de acuerdo con algo </w:t>
            </w:r>
            <w:r>
              <w:rPr>
                <w:spacing w:val="-4"/>
                <w:sz w:val="17"/>
              </w:rPr>
              <w:t>que </w:t>
            </w:r>
            <w:r>
              <w:rPr>
                <w:sz w:val="17"/>
              </w:rPr>
              <w:t>dice o </w:t>
            </w:r>
            <w:r>
              <w:rPr>
                <w:spacing w:val="-3"/>
                <w:sz w:val="17"/>
              </w:rPr>
              <w:t>hace </w:t>
            </w:r>
            <w:r>
              <w:rPr>
                <w:sz w:val="17"/>
              </w:rPr>
              <w:t>mi pareja </w:t>
            </w:r>
            <w:r>
              <w:rPr>
                <w:spacing w:val="-5"/>
                <w:sz w:val="17"/>
              </w:rPr>
              <w:t>he </w:t>
            </w:r>
            <w:r>
              <w:rPr>
                <w:sz w:val="17"/>
              </w:rPr>
              <w:t>llegado a ignorarle.</w:t>
            </w:r>
          </w:p>
        </w:tc>
        <w:tc>
          <w:tcPr>
            <w:tcW w:w="964" w:type="dxa"/>
            <w:tcBorders>
              <w:top w:val="single" w:sz="4" w:space="0" w:color="F9BE8F"/>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35.03%</w:t>
            </w:r>
          </w:p>
        </w:tc>
        <w:tc>
          <w:tcPr>
            <w:tcW w:w="964" w:type="dxa"/>
            <w:tcBorders>
              <w:top w:val="single" w:sz="4" w:space="0" w:color="F9BE8F"/>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28.81%</w:t>
            </w:r>
          </w:p>
        </w:tc>
        <w:tc>
          <w:tcPr>
            <w:tcW w:w="964" w:type="dxa"/>
            <w:tcBorders>
              <w:top w:val="single" w:sz="4" w:space="0" w:color="F9BE8F"/>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34.46%</w:t>
            </w:r>
          </w:p>
        </w:tc>
        <w:tc>
          <w:tcPr>
            <w:tcW w:w="964" w:type="dxa"/>
            <w:tcBorders>
              <w:top w:val="single" w:sz="4" w:space="0" w:color="F9BE8F"/>
              <w:left w:val="nil"/>
            </w:tcBorders>
            <w:shd w:val="clear" w:color="auto" w:fill="FCE9D9"/>
          </w:tcPr>
          <w:p>
            <w:pPr>
              <w:pStyle w:val="TableParagraph"/>
              <w:spacing w:before="11"/>
              <w:rPr>
                <w:rFonts w:ascii="Cambria"/>
                <w:b/>
                <w:sz w:val="18"/>
              </w:rPr>
            </w:pPr>
          </w:p>
          <w:p>
            <w:pPr>
              <w:pStyle w:val="TableParagraph"/>
              <w:ind w:right="22"/>
              <w:jc w:val="right"/>
              <w:rPr>
                <w:rFonts w:ascii="Calibri"/>
                <w:sz w:val="16"/>
              </w:rPr>
            </w:pPr>
            <w:r>
              <w:rPr>
                <w:rFonts w:ascii="Calibri"/>
                <w:sz w:val="16"/>
              </w:rPr>
              <w:t>1.69%</w:t>
            </w:r>
          </w:p>
        </w:tc>
      </w:tr>
      <w:tr>
        <w:trPr>
          <w:trHeight w:val="214" w:hRule="exact"/>
        </w:trPr>
        <w:tc>
          <w:tcPr>
            <w:tcW w:w="5721" w:type="dxa"/>
            <w:tcBorders>
              <w:right w:val="single" w:sz="4" w:space="0" w:color="DADCDD"/>
            </w:tcBorders>
          </w:tcPr>
          <w:p>
            <w:pPr>
              <w:pStyle w:val="TableParagraph"/>
              <w:spacing w:before="12"/>
              <w:ind w:left="32"/>
              <w:rPr>
                <w:sz w:val="17"/>
              </w:rPr>
            </w:pPr>
            <w:r>
              <w:rPr>
                <w:sz w:val="17"/>
              </w:rPr>
              <w:t>Me molesta que mi pareja salga con personas del sexo opuesto.</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46.71%</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34.78%</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16.30%</w:t>
            </w:r>
          </w:p>
        </w:tc>
        <w:tc>
          <w:tcPr>
            <w:tcW w:w="964" w:type="dxa"/>
            <w:tcBorders>
              <w:left w:val="single" w:sz="4" w:space="0" w:color="DADCDD"/>
            </w:tcBorders>
          </w:tcPr>
          <w:p>
            <w:pPr>
              <w:pStyle w:val="TableParagraph"/>
              <w:spacing w:before="8"/>
              <w:ind w:right="22"/>
              <w:jc w:val="right"/>
              <w:rPr>
                <w:rFonts w:ascii="Calibri"/>
                <w:sz w:val="16"/>
              </w:rPr>
            </w:pPr>
            <w:r>
              <w:rPr>
                <w:rFonts w:ascii="Calibri"/>
                <w:sz w:val="16"/>
              </w:rPr>
              <w:t>2.21%</w:t>
            </w:r>
          </w:p>
        </w:tc>
      </w:tr>
      <w:tr>
        <w:trPr>
          <w:trHeight w:val="428" w:hRule="exact"/>
        </w:trPr>
        <w:tc>
          <w:tcPr>
            <w:tcW w:w="5721" w:type="dxa"/>
            <w:tcBorders>
              <w:right w:val="nil"/>
            </w:tcBorders>
            <w:shd w:val="clear" w:color="auto" w:fill="FCE9D9"/>
          </w:tcPr>
          <w:p>
            <w:pPr>
              <w:pStyle w:val="TableParagraph"/>
              <w:spacing w:line="264" w:lineRule="auto" w:before="11"/>
              <w:ind w:left="32"/>
              <w:rPr>
                <w:sz w:val="17"/>
              </w:rPr>
            </w:pPr>
            <w:r>
              <w:rPr>
                <w:sz w:val="17"/>
              </w:rPr>
              <w:t>Considero que no es grave decirle a mi pareja cosas como: “tonto/a”, “No puedes”, “No sabes”, etc.</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23.73%</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42.94%</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25.99%</w:t>
            </w:r>
          </w:p>
        </w:tc>
        <w:tc>
          <w:tcPr>
            <w:tcW w:w="964" w:type="dxa"/>
            <w:tcBorders>
              <w:left w:val="nil"/>
            </w:tcBorders>
            <w:shd w:val="clear" w:color="auto" w:fill="FCE9D9"/>
          </w:tcPr>
          <w:p>
            <w:pPr>
              <w:pStyle w:val="TableParagraph"/>
              <w:spacing w:before="11"/>
              <w:rPr>
                <w:rFonts w:ascii="Cambria"/>
                <w:b/>
                <w:sz w:val="18"/>
              </w:rPr>
            </w:pPr>
          </w:p>
          <w:p>
            <w:pPr>
              <w:pStyle w:val="TableParagraph"/>
              <w:ind w:right="22"/>
              <w:jc w:val="right"/>
              <w:rPr>
                <w:rFonts w:ascii="Calibri"/>
                <w:sz w:val="16"/>
              </w:rPr>
            </w:pPr>
            <w:r>
              <w:rPr>
                <w:rFonts w:ascii="Calibri"/>
                <w:sz w:val="16"/>
              </w:rPr>
              <w:t>7.34%</w:t>
            </w:r>
          </w:p>
        </w:tc>
      </w:tr>
      <w:tr>
        <w:trPr>
          <w:trHeight w:val="428" w:hRule="exact"/>
        </w:trPr>
        <w:tc>
          <w:tcPr>
            <w:tcW w:w="5721" w:type="dxa"/>
            <w:tcBorders>
              <w:right w:val="single" w:sz="4" w:space="0" w:color="DADCDD"/>
            </w:tcBorders>
          </w:tcPr>
          <w:p>
            <w:pPr>
              <w:pStyle w:val="TableParagraph"/>
              <w:spacing w:line="261" w:lineRule="auto" w:before="12"/>
              <w:ind w:left="32"/>
              <w:rPr>
                <w:sz w:val="17"/>
              </w:rPr>
            </w:pPr>
            <w:r>
              <w:rPr>
                <w:sz w:val="17"/>
              </w:rPr>
              <w:t>He pedido a mi pareja que cambie su manera de vestir porque no me agrada.</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45.20%</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40.11%</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11.86%</w:t>
            </w:r>
          </w:p>
        </w:tc>
        <w:tc>
          <w:tcPr>
            <w:tcW w:w="964" w:type="dxa"/>
            <w:tcBorders>
              <w:lef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2.82%</w:t>
            </w:r>
          </w:p>
        </w:tc>
      </w:tr>
      <w:tr>
        <w:trPr>
          <w:trHeight w:val="428" w:hRule="exact"/>
        </w:trPr>
        <w:tc>
          <w:tcPr>
            <w:tcW w:w="5721" w:type="dxa"/>
            <w:tcBorders>
              <w:right w:val="nil"/>
            </w:tcBorders>
            <w:shd w:val="clear" w:color="auto" w:fill="FCE9D9"/>
          </w:tcPr>
          <w:p>
            <w:pPr>
              <w:pStyle w:val="TableParagraph"/>
              <w:spacing w:line="264" w:lineRule="auto" w:before="11"/>
              <w:ind w:left="32"/>
              <w:rPr>
                <w:sz w:val="17"/>
              </w:rPr>
            </w:pPr>
            <w:r>
              <w:rPr>
                <w:sz w:val="17"/>
              </w:rPr>
              <w:t>He llegado a decirle a mi pareja cosas como “la relación se termina si no haces…”, “Si no haces… contaré lo que hicimos”.</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66.67%</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24.86%</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8.47%</w:t>
            </w:r>
          </w:p>
        </w:tc>
        <w:tc>
          <w:tcPr>
            <w:tcW w:w="964" w:type="dxa"/>
            <w:tcBorders>
              <w:left w:val="nil"/>
            </w:tcBorders>
            <w:shd w:val="clear" w:color="auto" w:fill="FCE9D9"/>
          </w:tcPr>
          <w:p>
            <w:pPr>
              <w:pStyle w:val="TableParagraph"/>
              <w:spacing w:before="11"/>
              <w:rPr>
                <w:rFonts w:ascii="Cambria"/>
                <w:b/>
                <w:sz w:val="18"/>
              </w:rPr>
            </w:pPr>
          </w:p>
          <w:p>
            <w:pPr>
              <w:pStyle w:val="TableParagraph"/>
              <w:ind w:right="13"/>
              <w:jc w:val="right"/>
              <w:rPr>
                <w:rFonts w:ascii="Calibri"/>
                <w:sz w:val="16"/>
              </w:rPr>
            </w:pPr>
            <w:r>
              <w:rPr>
                <w:rFonts w:ascii="Calibri"/>
                <w:w w:val="100"/>
                <w:sz w:val="16"/>
              </w:rPr>
              <w:t>0</w:t>
            </w:r>
          </w:p>
        </w:tc>
      </w:tr>
      <w:tr>
        <w:trPr>
          <w:trHeight w:val="214" w:hRule="exact"/>
        </w:trPr>
        <w:tc>
          <w:tcPr>
            <w:tcW w:w="5721" w:type="dxa"/>
            <w:tcBorders>
              <w:right w:val="single" w:sz="4" w:space="0" w:color="DADCDD"/>
            </w:tcBorders>
          </w:tcPr>
          <w:p>
            <w:pPr>
              <w:pStyle w:val="TableParagraph"/>
              <w:spacing w:before="12"/>
              <w:ind w:left="32"/>
              <w:rPr>
                <w:sz w:val="17"/>
              </w:rPr>
            </w:pPr>
            <w:r>
              <w:rPr>
                <w:sz w:val="17"/>
              </w:rPr>
              <w:t>He pellizcado, codeado o dado zapes a mi pareja jugando</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74.01%</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24.29%</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1.69%</w:t>
            </w:r>
          </w:p>
        </w:tc>
        <w:tc>
          <w:tcPr>
            <w:tcW w:w="964" w:type="dxa"/>
            <w:tcBorders>
              <w:left w:val="single" w:sz="4" w:space="0" w:color="DADCDD"/>
            </w:tcBorders>
          </w:tcPr>
          <w:p>
            <w:pPr>
              <w:pStyle w:val="TableParagraph"/>
              <w:spacing w:before="8"/>
              <w:ind w:right="13"/>
              <w:jc w:val="right"/>
              <w:rPr>
                <w:rFonts w:ascii="Calibri"/>
                <w:sz w:val="16"/>
              </w:rPr>
            </w:pPr>
            <w:r>
              <w:rPr>
                <w:rFonts w:ascii="Calibri"/>
                <w:w w:val="100"/>
                <w:sz w:val="16"/>
              </w:rPr>
              <w:t>0</w:t>
            </w:r>
          </w:p>
        </w:tc>
      </w:tr>
      <w:tr>
        <w:trPr>
          <w:trHeight w:val="214" w:hRule="exact"/>
        </w:trPr>
        <w:tc>
          <w:tcPr>
            <w:tcW w:w="5721" w:type="dxa"/>
            <w:tcBorders>
              <w:right w:val="nil"/>
            </w:tcBorders>
            <w:shd w:val="clear" w:color="auto" w:fill="FCE9D9"/>
          </w:tcPr>
          <w:p>
            <w:pPr>
              <w:pStyle w:val="TableParagraph"/>
              <w:spacing w:before="11"/>
              <w:ind w:left="32"/>
              <w:rPr>
                <w:sz w:val="17"/>
              </w:rPr>
            </w:pPr>
            <w:r>
              <w:rPr>
                <w:sz w:val="17"/>
              </w:rPr>
              <w:t>Creo que es normal revisar el celular de mi pareja.</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16.95%</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38.42%</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39.55%</w:t>
            </w:r>
          </w:p>
        </w:tc>
        <w:tc>
          <w:tcPr>
            <w:tcW w:w="964" w:type="dxa"/>
            <w:tcBorders>
              <w:left w:val="nil"/>
            </w:tcBorders>
            <w:shd w:val="clear" w:color="auto" w:fill="FCE9D9"/>
          </w:tcPr>
          <w:p>
            <w:pPr>
              <w:pStyle w:val="TableParagraph"/>
              <w:spacing w:before="8"/>
              <w:ind w:right="22"/>
              <w:jc w:val="right"/>
              <w:rPr>
                <w:rFonts w:ascii="Calibri"/>
                <w:sz w:val="16"/>
              </w:rPr>
            </w:pPr>
            <w:r>
              <w:rPr>
                <w:rFonts w:ascii="Calibri"/>
                <w:sz w:val="16"/>
              </w:rPr>
              <w:t>5.08%</w:t>
            </w:r>
          </w:p>
        </w:tc>
      </w:tr>
      <w:tr>
        <w:trPr>
          <w:trHeight w:val="214" w:hRule="exact"/>
        </w:trPr>
        <w:tc>
          <w:tcPr>
            <w:tcW w:w="5721" w:type="dxa"/>
            <w:tcBorders>
              <w:right w:val="single" w:sz="4" w:space="0" w:color="DADCDD"/>
            </w:tcBorders>
          </w:tcPr>
          <w:p>
            <w:pPr>
              <w:pStyle w:val="TableParagraph"/>
              <w:spacing w:before="12"/>
              <w:ind w:left="32"/>
              <w:rPr>
                <w:sz w:val="17"/>
              </w:rPr>
            </w:pPr>
            <w:r>
              <w:rPr>
                <w:sz w:val="17"/>
              </w:rPr>
              <w:t>Si señalo los defectos de mi pareja es porque la quiero.</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52.54%</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35.03%</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11.86%</w:t>
            </w:r>
          </w:p>
        </w:tc>
        <w:tc>
          <w:tcPr>
            <w:tcW w:w="964" w:type="dxa"/>
            <w:tcBorders>
              <w:left w:val="single" w:sz="4" w:space="0" w:color="DADCDD"/>
            </w:tcBorders>
          </w:tcPr>
          <w:p>
            <w:pPr>
              <w:pStyle w:val="TableParagraph"/>
              <w:spacing w:before="8"/>
              <w:ind w:right="22"/>
              <w:jc w:val="right"/>
              <w:rPr>
                <w:rFonts w:ascii="Calibri"/>
                <w:sz w:val="16"/>
              </w:rPr>
            </w:pPr>
            <w:r>
              <w:rPr>
                <w:rFonts w:ascii="Calibri"/>
                <w:sz w:val="16"/>
              </w:rPr>
              <w:t>0.56%</w:t>
            </w:r>
          </w:p>
        </w:tc>
      </w:tr>
      <w:tr>
        <w:trPr>
          <w:trHeight w:val="214" w:hRule="exact"/>
        </w:trPr>
        <w:tc>
          <w:tcPr>
            <w:tcW w:w="5721" w:type="dxa"/>
            <w:tcBorders>
              <w:right w:val="nil"/>
            </w:tcBorders>
            <w:shd w:val="clear" w:color="auto" w:fill="FCE9D9"/>
          </w:tcPr>
          <w:p>
            <w:pPr>
              <w:pStyle w:val="TableParagraph"/>
              <w:spacing w:before="12"/>
              <w:ind w:left="32"/>
              <w:rPr>
                <w:sz w:val="17"/>
              </w:rPr>
            </w:pPr>
            <w:r>
              <w:rPr>
                <w:sz w:val="17"/>
              </w:rPr>
              <w:t>Le pregunto a mi pareja en que gasta su dinero.</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45.76%</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43.50%</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10.17%</w:t>
            </w:r>
          </w:p>
        </w:tc>
        <w:tc>
          <w:tcPr>
            <w:tcW w:w="964" w:type="dxa"/>
            <w:tcBorders>
              <w:left w:val="nil"/>
            </w:tcBorders>
            <w:shd w:val="clear" w:color="auto" w:fill="FCE9D9"/>
          </w:tcPr>
          <w:p>
            <w:pPr>
              <w:pStyle w:val="TableParagraph"/>
              <w:spacing w:before="8"/>
              <w:ind w:right="22"/>
              <w:jc w:val="right"/>
              <w:rPr>
                <w:rFonts w:ascii="Calibri"/>
                <w:sz w:val="16"/>
              </w:rPr>
            </w:pPr>
            <w:r>
              <w:rPr>
                <w:rFonts w:ascii="Calibri"/>
                <w:sz w:val="16"/>
              </w:rPr>
              <w:t>0.56%</w:t>
            </w:r>
          </w:p>
        </w:tc>
      </w:tr>
      <w:tr>
        <w:trPr>
          <w:trHeight w:val="214" w:hRule="exact"/>
        </w:trPr>
        <w:tc>
          <w:tcPr>
            <w:tcW w:w="5721" w:type="dxa"/>
            <w:tcBorders>
              <w:right w:val="single" w:sz="4" w:space="0" w:color="DADCDD"/>
            </w:tcBorders>
          </w:tcPr>
          <w:p>
            <w:pPr>
              <w:pStyle w:val="TableParagraph"/>
              <w:spacing w:before="11"/>
              <w:ind w:left="32"/>
              <w:rPr>
                <w:sz w:val="17"/>
              </w:rPr>
            </w:pPr>
            <w:r>
              <w:rPr>
                <w:sz w:val="17"/>
              </w:rPr>
              <w:t>He sugerido que deje amistades que no le convienen.</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52.54%</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40.11%</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7.34%</w:t>
            </w:r>
          </w:p>
        </w:tc>
        <w:tc>
          <w:tcPr>
            <w:tcW w:w="964" w:type="dxa"/>
            <w:tcBorders>
              <w:left w:val="single" w:sz="4" w:space="0" w:color="DADCDD"/>
            </w:tcBorders>
          </w:tcPr>
          <w:p>
            <w:pPr>
              <w:pStyle w:val="TableParagraph"/>
              <w:spacing w:before="8"/>
              <w:ind w:right="13"/>
              <w:jc w:val="right"/>
              <w:rPr>
                <w:rFonts w:ascii="Calibri"/>
                <w:sz w:val="16"/>
              </w:rPr>
            </w:pPr>
            <w:r>
              <w:rPr>
                <w:rFonts w:ascii="Calibri"/>
                <w:w w:val="100"/>
                <w:sz w:val="16"/>
              </w:rPr>
              <w:t>0</w:t>
            </w:r>
          </w:p>
        </w:tc>
      </w:tr>
      <w:tr>
        <w:trPr>
          <w:trHeight w:val="214" w:hRule="exact"/>
        </w:trPr>
        <w:tc>
          <w:tcPr>
            <w:tcW w:w="5721" w:type="dxa"/>
            <w:tcBorders>
              <w:right w:val="nil"/>
            </w:tcBorders>
            <w:shd w:val="clear" w:color="auto" w:fill="FCE9D9"/>
          </w:tcPr>
          <w:p>
            <w:pPr>
              <w:pStyle w:val="TableParagraph"/>
              <w:spacing w:before="11"/>
              <w:ind w:left="32"/>
              <w:rPr>
                <w:sz w:val="17"/>
              </w:rPr>
            </w:pPr>
            <w:r>
              <w:rPr>
                <w:sz w:val="17"/>
              </w:rPr>
              <w:t>En alguna pelea he llegado a romper cosas que pertenecían a mi pareja.</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31.07%</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27.12%</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38.42%</w:t>
            </w:r>
          </w:p>
        </w:tc>
        <w:tc>
          <w:tcPr>
            <w:tcW w:w="964" w:type="dxa"/>
            <w:tcBorders>
              <w:left w:val="nil"/>
            </w:tcBorders>
            <w:shd w:val="clear" w:color="auto" w:fill="FCE9D9"/>
          </w:tcPr>
          <w:p>
            <w:pPr>
              <w:pStyle w:val="TableParagraph"/>
              <w:spacing w:before="8"/>
              <w:ind w:right="22"/>
              <w:jc w:val="right"/>
              <w:rPr>
                <w:rFonts w:ascii="Calibri"/>
                <w:sz w:val="16"/>
              </w:rPr>
            </w:pPr>
            <w:r>
              <w:rPr>
                <w:rFonts w:ascii="Calibri"/>
                <w:sz w:val="16"/>
              </w:rPr>
              <w:t>3.39%</w:t>
            </w:r>
          </w:p>
        </w:tc>
      </w:tr>
      <w:tr>
        <w:trPr>
          <w:trHeight w:val="214" w:hRule="exact"/>
        </w:trPr>
        <w:tc>
          <w:tcPr>
            <w:tcW w:w="5721" w:type="dxa"/>
            <w:tcBorders>
              <w:right w:val="single" w:sz="4" w:space="0" w:color="DADCDD"/>
            </w:tcBorders>
          </w:tcPr>
          <w:p>
            <w:pPr>
              <w:pStyle w:val="TableParagraph"/>
              <w:spacing w:before="12"/>
              <w:ind w:left="32"/>
              <w:rPr>
                <w:sz w:val="17"/>
              </w:rPr>
            </w:pPr>
            <w:r>
              <w:rPr>
                <w:sz w:val="17"/>
              </w:rPr>
              <w:t>Es normal que “toque” a mi pareja aun cuando ella me diga que no</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70.62%</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24.86%</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4.52%</w:t>
            </w:r>
          </w:p>
        </w:tc>
        <w:tc>
          <w:tcPr>
            <w:tcW w:w="964" w:type="dxa"/>
            <w:tcBorders>
              <w:left w:val="single" w:sz="4" w:space="0" w:color="DADCDD"/>
            </w:tcBorders>
          </w:tcPr>
          <w:p>
            <w:pPr>
              <w:pStyle w:val="TableParagraph"/>
              <w:spacing w:before="8"/>
              <w:ind w:right="13"/>
              <w:jc w:val="right"/>
              <w:rPr>
                <w:rFonts w:ascii="Calibri"/>
                <w:sz w:val="16"/>
              </w:rPr>
            </w:pPr>
            <w:r>
              <w:rPr>
                <w:rFonts w:ascii="Calibri"/>
                <w:w w:val="100"/>
                <w:sz w:val="16"/>
              </w:rPr>
              <w:t>0</w:t>
            </w:r>
          </w:p>
        </w:tc>
      </w:tr>
      <w:tr>
        <w:trPr>
          <w:trHeight w:val="214" w:hRule="exact"/>
        </w:trPr>
        <w:tc>
          <w:tcPr>
            <w:tcW w:w="5721" w:type="dxa"/>
            <w:tcBorders>
              <w:right w:val="nil"/>
            </w:tcBorders>
            <w:shd w:val="clear" w:color="auto" w:fill="FCE9D9"/>
          </w:tcPr>
          <w:p>
            <w:pPr>
              <w:pStyle w:val="TableParagraph"/>
              <w:spacing w:before="12"/>
              <w:ind w:left="32"/>
              <w:rPr>
                <w:sz w:val="17"/>
              </w:rPr>
            </w:pPr>
            <w:r>
              <w:rPr>
                <w:sz w:val="17"/>
              </w:rPr>
              <w:t>Jugando con mi pareja he llegado a darle un golpe/pellizco.</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66.67%</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23.73%</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5.08%</w:t>
            </w:r>
          </w:p>
        </w:tc>
        <w:tc>
          <w:tcPr>
            <w:tcW w:w="964" w:type="dxa"/>
            <w:tcBorders>
              <w:left w:val="nil"/>
            </w:tcBorders>
            <w:shd w:val="clear" w:color="auto" w:fill="FCE9D9"/>
          </w:tcPr>
          <w:p>
            <w:pPr>
              <w:pStyle w:val="TableParagraph"/>
              <w:spacing w:before="8"/>
              <w:ind w:right="22"/>
              <w:jc w:val="right"/>
              <w:rPr>
                <w:rFonts w:ascii="Calibri"/>
                <w:sz w:val="16"/>
              </w:rPr>
            </w:pPr>
            <w:r>
              <w:rPr>
                <w:rFonts w:ascii="Calibri"/>
                <w:sz w:val="16"/>
              </w:rPr>
              <w:t>4.52%</w:t>
            </w:r>
          </w:p>
        </w:tc>
      </w:tr>
      <w:tr>
        <w:trPr>
          <w:trHeight w:val="214" w:hRule="exact"/>
        </w:trPr>
        <w:tc>
          <w:tcPr>
            <w:tcW w:w="5721" w:type="dxa"/>
            <w:tcBorders>
              <w:right w:val="single" w:sz="4" w:space="0" w:color="DADCDD"/>
            </w:tcBorders>
          </w:tcPr>
          <w:p>
            <w:pPr>
              <w:pStyle w:val="TableParagraph"/>
              <w:spacing w:before="11"/>
              <w:ind w:left="32"/>
              <w:rPr>
                <w:sz w:val="17"/>
              </w:rPr>
            </w:pPr>
            <w:r>
              <w:rPr>
                <w:sz w:val="17"/>
              </w:rPr>
              <w:t>En alguna discusión he llegado a empujar a mi pareja.</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67.80%</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27.12%</w:t>
            </w:r>
          </w:p>
        </w:tc>
        <w:tc>
          <w:tcPr>
            <w:tcW w:w="964" w:type="dxa"/>
            <w:tcBorders>
              <w:left w:val="single" w:sz="4" w:space="0" w:color="DADCDD"/>
              <w:right w:val="single" w:sz="4" w:space="0" w:color="DADCDD"/>
            </w:tcBorders>
          </w:tcPr>
          <w:p>
            <w:pPr>
              <w:pStyle w:val="TableParagraph"/>
              <w:spacing w:before="8"/>
              <w:ind w:right="22"/>
              <w:jc w:val="right"/>
              <w:rPr>
                <w:rFonts w:ascii="Calibri"/>
                <w:sz w:val="16"/>
              </w:rPr>
            </w:pPr>
            <w:r>
              <w:rPr>
                <w:rFonts w:ascii="Calibri"/>
                <w:sz w:val="16"/>
              </w:rPr>
              <w:t>5.08%</w:t>
            </w:r>
          </w:p>
        </w:tc>
        <w:tc>
          <w:tcPr>
            <w:tcW w:w="964" w:type="dxa"/>
            <w:tcBorders>
              <w:left w:val="single" w:sz="4" w:space="0" w:color="DADCDD"/>
            </w:tcBorders>
          </w:tcPr>
          <w:p>
            <w:pPr>
              <w:pStyle w:val="TableParagraph"/>
              <w:spacing w:before="8"/>
              <w:ind w:right="13"/>
              <w:jc w:val="right"/>
              <w:rPr>
                <w:rFonts w:ascii="Calibri"/>
                <w:sz w:val="16"/>
              </w:rPr>
            </w:pPr>
            <w:r>
              <w:rPr>
                <w:rFonts w:ascii="Calibri"/>
                <w:w w:val="100"/>
                <w:sz w:val="16"/>
              </w:rPr>
              <w:t>0</w:t>
            </w:r>
          </w:p>
        </w:tc>
      </w:tr>
      <w:tr>
        <w:trPr>
          <w:trHeight w:val="214" w:hRule="exact"/>
        </w:trPr>
        <w:tc>
          <w:tcPr>
            <w:tcW w:w="5721" w:type="dxa"/>
            <w:tcBorders>
              <w:right w:val="nil"/>
            </w:tcBorders>
            <w:shd w:val="clear" w:color="auto" w:fill="FCE9D9"/>
          </w:tcPr>
          <w:p>
            <w:pPr>
              <w:pStyle w:val="TableParagraph"/>
              <w:spacing w:before="12"/>
              <w:ind w:left="32"/>
              <w:rPr>
                <w:sz w:val="17"/>
              </w:rPr>
            </w:pPr>
            <w:r>
              <w:rPr>
                <w:sz w:val="17"/>
              </w:rPr>
              <w:t>Los golpes en la relación de pareja están justificados en algunos casos.</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78.53%</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20.90%</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0.56%</w:t>
            </w:r>
          </w:p>
        </w:tc>
        <w:tc>
          <w:tcPr>
            <w:tcW w:w="964" w:type="dxa"/>
            <w:tcBorders>
              <w:left w:val="nil"/>
            </w:tcBorders>
            <w:shd w:val="clear" w:color="auto" w:fill="FCE9D9"/>
          </w:tcPr>
          <w:p>
            <w:pPr>
              <w:pStyle w:val="TableParagraph"/>
              <w:spacing w:before="8"/>
              <w:ind w:right="13"/>
              <w:jc w:val="right"/>
              <w:rPr>
                <w:rFonts w:ascii="Calibri"/>
                <w:sz w:val="16"/>
              </w:rPr>
            </w:pPr>
            <w:r>
              <w:rPr>
                <w:rFonts w:ascii="Calibri"/>
                <w:w w:val="100"/>
                <w:sz w:val="16"/>
              </w:rPr>
              <w:t>0</w:t>
            </w:r>
          </w:p>
        </w:tc>
      </w:tr>
      <w:tr>
        <w:trPr>
          <w:trHeight w:val="642" w:hRule="exact"/>
        </w:trPr>
        <w:tc>
          <w:tcPr>
            <w:tcW w:w="5721" w:type="dxa"/>
            <w:tcBorders>
              <w:right w:val="single" w:sz="4" w:space="0" w:color="DADCDD"/>
            </w:tcBorders>
          </w:tcPr>
          <w:p>
            <w:pPr>
              <w:pStyle w:val="TableParagraph"/>
              <w:spacing w:line="261" w:lineRule="auto" w:before="12"/>
              <w:ind w:left="32" w:right="25"/>
              <w:jc w:val="both"/>
              <w:rPr>
                <w:sz w:val="17"/>
              </w:rPr>
            </w:pPr>
            <w:r>
              <w:rPr>
                <w:sz w:val="17"/>
              </w:rPr>
              <w:t>Cuando he presenciado una discusión de pareja considero que es normal que el hombre jale a su pareja, le grite o simplemente guarde silencio y se vaya</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2"/>
              <w:rPr>
                <w:rFonts w:ascii="Cambria"/>
                <w:b/>
                <w:sz w:val="21"/>
              </w:rPr>
            </w:pPr>
          </w:p>
          <w:p>
            <w:pPr>
              <w:pStyle w:val="TableParagraph"/>
              <w:ind w:right="22"/>
              <w:jc w:val="right"/>
              <w:rPr>
                <w:rFonts w:ascii="Calibri"/>
                <w:sz w:val="16"/>
              </w:rPr>
            </w:pPr>
            <w:r>
              <w:rPr>
                <w:rFonts w:ascii="Calibri"/>
                <w:sz w:val="16"/>
              </w:rPr>
              <w:t>70.06%</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2"/>
              <w:rPr>
                <w:rFonts w:ascii="Cambria"/>
                <w:b/>
                <w:sz w:val="21"/>
              </w:rPr>
            </w:pPr>
          </w:p>
          <w:p>
            <w:pPr>
              <w:pStyle w:val="TableParagraph"/>
              <w:ind w:right="22"/>
              <w:jc w:val="right"/>
              <w:rPr>
                <w:rFonts w:ascii="Calibri"/>
                <w:sz w:val="16"/>
              </w:rPr>
            </w:pPr>
            <w:r>
              <w:rPr>
                <w:rFonts w:ascii="Calibri"/>
                <w:sz w:val="16"/>
              </w:rPr>
              <w:t>22.03%</w:t>
            </w:r>
          </w:p>
        </w:tc>
        <w:tc>
          <w:tcPr>
            <w:tcW w:w="964" w:type="dxa"/>
            <w:tcBorders>
              <w:left w:val="single" w:sz="4" w:space="0" w:color="DADCDD"/>
              <w:right w:val="single" w:sz="4" w:space="0" w:color="DADCDD"/>
            </w:tcBorders>
          </w:tcPr>
          <w:p>
            <w:pPr>
              <w:pStyle w:val="TableParagraph"/>
              <w:rPr>
                <w:rFonts w:ascii="Cambria"/>
                <w:b/>
                <w:sz w:val="16"/>
              </w:rPr>
            </w:pPr>
          </w:p>
          <w:p>
            <w:pPr>
              <w:pStyle w:val="TableParagraph"/>
              <w:spacing w:before="2"/>
              <w:rPr>
                <w:rFonts w:ascii="Cambria"/>
                <w:b/>
                <w:sz w:val="21"/>
              </w:rPr>
            </w:pPr>
          </w:p>
          <w:p>
            <w:pPr>
              <w:pStyle w:val="TableParagraph"/>
              <w:ind w:right="22"/>
              <w:jc w:val="right"/>
              <w:rPr>
                <w:rFonts w:ascii="Calibri"/>
                <w:sz w:val="16"/>
              </w:rPr>
            </w:pPr>
            <w:r>
              <w:rPr>
                <w:rFonts w:ascii="Calibri"/>
                <w:sz w:val="16"/>
              </w:rPr>
              <w:t>6.21%</w:t>
            </w:r>
          </w:p>
        </w:tc>
        <w:tc>
          <w:tcPr>
            <w:tcW w:w="964" w:type="dxa"/>
            <w:tcBorders>
              <w:left w:val="single" w:sz="4" w:space="0" w:color="DADCDD"/>
            </w:tcBorders>
          </w:tcPr>
          <w:p>
            <w:pPr>
              <w:pStyle w:val="TableParagraph"/>
              <w:rPr>
                <w:rFonts w:ascii="Cambria"/>
                <w:b/>
                <w:sz w:val="16"/>
              </w:rPr>
            </w:pPr>
          </w:p>
          <w:p>
            <w:pPr>
              <w:pStyle w:val="TableParagraph"/>
              <w:spacing w:before="2"/>
              <w:rPr>
                <w:rFonts w:ascii="Cambria"/>
                <w:b/>
                <w:sz w:val="21"/>
              </w:rPr>
            </w:pPr>
          </w:p>
          <w:p>
            <w:pPr>
              <w:pStyle w:val="TableParagraph"/>
              <w:ind w:right="22"/>
              <w:jc w:val="right"/>
              <w:rPr>
                <w:rFonts w:ascii="Calibri"/>
                <w:sz w:val="16"/>
              </w:rPr>
            </w:pPr>
            <w:r>
              <w:rPr>
                <w:rFonts w:ascii="Calibri"/>
                <w:sz w:val="16"/>
              </w:rPr>
              <w:t>1.69%</w:t>
            </w:r>
          </w:p>
        </w:tc>
      </w:tr>
      <w:tr>
        <w:trPr>
          <w:trHeight w:val="214" w:hRule="exact"/>
        </w:trPr>
        <w:tc>
          <w:tcPr>
            <w:tcW w:w="5721" w:type="dxa"/>
            <w:tcBorders>
              <w:right w:val="nil"/>
            </w:tcBorders>
            <w:shd w:val="clear" w:color="auto" w:fill="FCE9D9"/>
          </w:tcPr>
          <w:p>
            <w:pPr>
              <w:pStyle w:val="TableParagraph"/>
              <w:spacing w:before="12"/>
              <w:ind w:left="32"/>
              <w:rPr>
                <w:sz w:val="17"/>
              </w:rPr>
            </w:pPr>
            <w:r>
              <w:rPr>
                <w:sz w:val="17"/>
              </w:rPr>
              <w:t>En el instituto es normal que existan discusiones entre parejas</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26.55%</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52.54%</w:t>
            </w:r>
          </w:p>
        </w:tc>
        <w:tc>
          <w:tcPr>
            <w:tcW w:w="964" w:type="dxa"/>
            <w:tcBorders>
              <w:left w:val="nil"/>
              <w:right w:val="nil"/>
            </w:tcBorders>
            <w:shd w:val="clear" w:color="auto" w:fill="FCE9D9"/>
          </w:tcPr>
          <w:p>
            <w:pPr>
              <w:pStyle w:val="TableParagraph"/>
              <w:spacing w:before="8"/>
              <w:ind w:right="28"/>
              <w:jc w:val="right"/>
              <w:rPr>
                <w:rFonts w:ascii="Calibri"/>
                <w:sz w:val="16"/>
              </w:rPr>
            </w:pPr>
            <w:r>
              <w:rPr>
                <w:rFonts w:ascii="Calibri"/>
                <w:sz w:val="16"/>
              </w:rPr>
              <w:t>17.51%</w:t>
            </w:r>
          </w:p>
        </w:tc>
        <w:tc>
          <w:tcPr>
            <w:tcW w:w="964" w:type="dxa"/>
            <w:tcBorders>
              <w:left w:val="nil"/>
            </w:tcBorders>
            <w:shd w:val="clear" w:color="auto" w:fill="FCE9D9"/>
          </w:tcPr>
          <w:p>
            <w:pPr>
              <w:pStyle w:val="TableParagraph"/>
              <w:spacing w:before="8"/>
              <w:ind w:right="22"/>
              <w:jc w:val="right"/>
              <w:rPr>
                <w:rFonts w:ascii="Calibri"/>
                <w:sz w:val="16"/>
              </w:rPr>
            </w:pPr>
            <w:r>
              <w:rPr>
                <w:rFonts w:ascii="Calibri"/>
                <w:sz w:val="16"/>
              </w:rPr>
              <w:t>3.39%</w:t>
            </w:r>
          </w:p>
        </w:tc>
      </w:tr>
      <w:tr>
        <w:trPr>
          <w:trHeight w:val="428" w:hRule="exact"/>
        </w:trPr>
        <w:tc>
          <w:tcPr>
            <w:tcW w:w="5721" w:type="dxa"/>
            <w:tcBorders>
              <w:right w:val="single" w:sz="4" w:space="0" w:color="DADCDD"/>
            </w:tcBorders>
          </w:tcPr>
          <w:p>
            <w:pPr>
              <w:pStyle w:val="TableParagraph"/>
              <w:spacing w:line="261" w:lineRule="auto" w:before="12"/>
              <w:ind w:left="32"/>
              <w:rPr>
                <w:sz w:val="17"/>
              </w:rPr>
            </w:pPr>
            <w:r>
              <w:rPr>
                <w:sz w:val="17"/>
              </w:rPr>
              <w:t>En algunas ocasiones he visto que personal de la universidad acosa a las mujeres del instituto.</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36.72%</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40.68%</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16.95%</w:t>
            </w:r>
          </w:p>
        </w:tc>
        <w:tc>
          <w:tcPr>
            <w:tcW w:w="964" w:type="dxa"/>
            <w:tcBorders>
              <w:lef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5.65%</w:t>
            </w:r>
          </w:p>
        </w:tc>
      </w:tr>
      <w:tr>
        <w:trPr>
          <w:trHeight w:val="428" w:hRule="exact"/>
        </w:trPr>
        <w:tc>
          <w:tcPr>
            <w:tcW w:w="5721" w:type="dxa"/>
            <w:tcBorders>
              <w:right w:val="nil"/>
            </w:tcBorders>
            <w:shd w:val="clear" w:color="auto" w:fill="FCE9D9"/>
          </w:tcPr>
          <w:p>
            <w:pPr>
              <w:pStyle w:val="TableParagraph"/>
              <w:spacing w:before="119"/>
              <w:ind w:left="32"/>
              <w:rPr>
                <w:sz w:val="17"/>
              </w:rPr>
            </w:pPr>
            <w:r>
              <w:rPr>
                <w:sz w:val="17"/>
              </w:rPr>
              <w:t>Creo </w:t>
            </w:r>
            <w:r>
              <w:rPr>
                <w:spacing w:val="-4"/>
                <w:sz w:val="17"/>
              </w:rPr>
              <w:t>que </w:t>
            </w:r>
            <w:r>
              <w:rPr>
                <w:sz w:val="17"/>
              </w:rPr>
              <w:t>el </w:t>
            </w:r>
            <w:r>
              <w:rPr>
                <w:spacing w:val="-3"/>
                <w:sz w:val="17"/>
              </w:rPr>
              <w:t>trato </w:t>
            </w:r>
            <w:r>
              <w:rPr>
                <w:sz w:val="17"/>
              </w:rPr>
              <w:t>de las/os profesoras/es hacia los </w:t>
            </w:r>
            <w:r>
              <w:rPr>
                <w:spacing w:val="-3"/>
                <w:sz w:val="17"/>
              </w:rPr>
              <w:t>hombres </w:t>
            </w:r>
            <w:r>
              <w:rPr>
                <w:sz w:val="17"/>
              </w:rPr>
              <w:t>es preferencial.</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14.12%</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37.85%</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30.51%</w:t>
            </w:r>
          </w:p>
        </w:tc>
        <w:tc>
          <w:tcPr>
            <w:tcW w:w="964" w:type="dxa"/>
            <w:tcBorders>
              <w:left w:val="nil"/>
            </w:tcBorders>
            <w:shd w:val="clear" w:color="auto" w:fill="FCE9D9"/>
          </w:tcPr>
          <w:p>
            <w:pPr>
              <w:pStyle w:val="TableParagraph"/>
              <w:spacing w:before="11"/>
              <w:rPr>
                <w:rFonts w:ascii="Cambria"/>
                <w:b/>
                <w:sz w:val="18"/>
              </w:rPr>
            </w:pPr>
          </w:p>
          <w:p>
            <w:pPr>
              <w:pStyle w:val="TableParagraph"/>
              <w:ind w:right="22"/>
              <w:jc w:val="right"/>
              <w:rPr>
                <w:rFonts w:ascii="Calibri"/>
                <w:sz w:val="16"/>
              </w:rPr>
            </w:pPr>
            <w:r>
              <w:rPr>
                <w:rFonts w:ascii="Calibri"/>
                <w:sz w:val="16"/>
              </w:rPr>
              <w:t>17.51%</w:t>
            </w:r>
          </w:p>
        </w:tc>
      </w:tr>
      <w:tr>
        <w:trPr>
          <w:trHeight w:val="428" w:hRule="exact"/>
        </w:trPr>
        <w:tc>
          <w:tcPr>
            <w:tcW w:w="5721" w:type="dxa"/>
            <w:tcBorders>
              <w:right w:val="single" w:sz="4" w:space="0" w:color="DADCDD"/>
            </w:tcBorders>
          </w:tcPr>
          <w:p>
            <w:pPr>
              <w:pStyle w:val="TableParagraph"/>
              <w:spacing w:line="264" w:lineRule="auto" w:before="11"/>
              <w:ind w:left="32"/>
              <w:rPr>
                <w:sz w:val="17"/>
              </w:rPr>
            </w:pPr>
            <w:r>
              <w:rPr>
                <w:sz w:val="17"/>
              </w:rPr>
              <w:t>En las discusiones de pareja que he visto se resuelven de forma violenta [gritos, agresiones, empujones, etc.]</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41.24%</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37.85%</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18.08%</w:t>
            </w:r>
          </w:p>
        </w:tc>
        <w:tc>
          <w:tcPr>
            <w:tcW w:w="964" w:type="dxa"/>
            <w:tcBorders>
              <w:lef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2.82%</w:t>
            </w:r>
          </w:p>
        </w:tc>
      </w:tr>
      <w:tr>
        <w:trPr>
          <w:trHeight w:val="428" w:hRule="exact"/>
        </w:trPr>
        <w:tc>
          <w:tcPr>
            <w:tcW w:w="5721" w:type="dxa"/>
            <w:tcBorders>
              <w:right w:val="nil"/>
            </w:tcBorders>
            <w:shd w:val="clear" w:color="auto" w:fill="FCE9D9"/>
          </w:tcPr>
          <w:p>
            <w:pPr>
              <w:pStyle w:val="TableParagraph"/>
              <w:spacing w:line="264" w:lineRule="auto" w:before="12"/>
              <w:ind w:left="32"/>
              <w:rPr>
                <w:sz w:val="17"/>
              </w:rPr>
            </w:pPr>
            <w:r>
              <w:rPr>
                <w:sz w:val="17"/>
              </w:rPr>
              <w:t>La mayoría de los compañeros considera normal decir piropos a las compañeras.</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60.45%</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26.55%</w:t>
            </w:r>
          </w:p>
        </w:tc>
        <w:tc>
          <w:tcPr>
            <w:tcW w:w="964" w:type="dxa"/>
            <w:tcBorders>
              <w:left w:val="nil"/>
              <w:right w:val="nil"/>
            </w:tcBorders>
            <w:shd w:val="clear" w:color="auto" w:fill="FCE9D9"/>
          </w:tcPr>
          <w:p>
            <w:pPr>
              <w:pStyle w:val="TableParagraph"/>
              <w:spacing w:before="11"/>
              <w:rPr>
                <w:rFonts w:ascii="Cambria"/>
                <w:b/>
                <w:sz w:val="18"/>
              </w:rPr>
            </w:pPr>
          </w:p>
          <w:p>
            <w:pPr>
              <w:pStyle w:val="TableParagraph"/>
              <w:ind w:right="28"/>
              <w:jc w:val="right"/>
              <w:rPr>
                <w:rFonts w:ascii="Calibri"/>
                <w:sz w:val="16"/>
              </w:rPr>
            </w:pPr>
            <w:r>
              <w:rPr>
                <w:rFonts w:ascii="Calibri"/>
                <w:sz w:val="16"/>
              </w:rPr>
              <w:t>12.99%</w:t>
            </w:r>
          </w:p>
        </w:tc>
        <w:tc>
          <w:tcPr>
            <w:tcW w:w="964" w:type="dxa"/>
            <w:tcBorders>
              <w:left w:val="nil"/>
            </w:tcBorders>
            <w:shd w:val="clear" w:color="auto" w:fill="FCE9D9"/>
          </w:tcPr>
          <w:p>
            <w:pPr>
              <w:pStyle w:val="TableParagraph"/>
              <w:spacing w:before="11"/>
              <w:rPr>
                <w:rFonts w:ascii="Cambria"/>
                <w:b/>
                <w:sz w:val="18"/>
              </w:rPr>
            </w:pPr>
          </w:p>
          <w:p>
            <w:pPr>
              <w:pStyle w:val="TableParagraph"/>
              <w:ind w:right="13"/>
              <w:jc w:val="right"/>
              <w:rPr>
                <w:rFonts w:ascii="Calibri"/>
                <w:sz w:val="16"/>
              </w:rPr>
            </w:pPr>
            <w:r>
              <w:rPr>
                <w:rFonts w:ascii="Calibri"/>
                <w:w w:val="100"/>
                <w:sz w:val="16"/>
              </w:rPr>
              <w:t>0</w:t>
            </w:r>
          </w:p>
        </w:tc>
      </w:tr>
      <w:tr>
        <w:trPr>
          <w:trHeight w:val="428" w:hRule="exact"/>
        </w:trPr>
        <w:tc>
          <w:tcPr>
            <w:tcW w:w="5721" w:type="dxa"/>
            <w:tcBorders>
              <w:right w:val="single" w:sz="4" w:space="0" w:color="DADCDD"/>
            </w:tcBorders>
          </w:tcPr>
          <w:p>
            <w:pPr>
              <w:pStyle w:val="TableParagraph"/>
              <w:spacing w:before="119"/>
              <w:ind w:left="32"/>
              <w:rPr>
                <w:sz w:val="17"/>
              </w:rPr>
            </w:pPr>
            <w:r>
              <w:rPr>
                <w:spacing w:val="-3"/>
                <w:sz w:val="17"/>
              </w:rPr>
              <w:t>Cuando </w:t>
            </w:r>
            <w:r>
              <w:rPr>
                <w:sz w:val="17"/>
              </w:rPr>
              <w:t>las/os profesores/as observan </w:t>
            </w:r>
            <w:r>
              <w:rPr>
                <w:spacing w:val="-7"/>
                <w:sz w:val="17"/>
              </w:rPr>
              <w:t>una </w:t>
            </w:r>
            <w:r>
              <w:rPr>
                <w:sz w:val="17"/>
              </w:rPr>
              <w:t>discusión de pareja </w:t>
            </w:r>
            <w:r>
              <w:rPr>
                <w:spacing w:val="-4"/>
                <w:sz w:val="17"/>
              </w:rPr>
              <w:t>intervienen.</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60.45%</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23.16%</w:t>
            </w:r>
          </w:p>
        </w:tc>
        <w:tc>
          <w:tcPr>
            <w:tcW w:w="964" w:type="dxa"/>
            <w:tcBorders>
              <w:left w:val="single" w:sz="4" w:space="0" w:color="DADCDD"/>
              <w:right w:val="single" w:sz="4" w:space="0" w:color="DADCDD"/>
            </w:tcBorders>
          </w:tcPr>
          <w:p>
            <w:pPr>
              <w:pStyle w:val="TableParagraph"/>
              <w:spacing w:before="11"/>
              <w:rPr>
                <w:rFonts w:ascii="Cambria"/>
                <w:b/>
                <w:sz w:val="18"/>
              </w:rPr>
            </w:pPr>
          </w:p>
          <w:p>
            <w:pPr>
              <w:pStyle w:val="TableParagraph"/>
              <w:ind w:right="22"/>
              <w:jc w:val="right"/>
              <w:rPr>
                <w:rFonts w:ascii="Calibri"/>
                <w:sz w:val="16"/>
              </w:rPr>
            </w:pPr>
            <w:r>
              <w:rPr>
                <w:rFonts w:ascii="Calibri"/>
                <w:sz w:val="16"/>
              </w:rPr>
              <w:t>16.38%</w:t>
            </w:r>
          </w:p>
        </w:tc>
        <w:tc>
          <w:tcPr>
            <w:tcW w:w="964" w:type="dxa"/>
            <w:tcBorders>
              <w:left w:val="single" w:sz="4" w:space="0" w:color="DADCDD"/>
            </w:tcBorders>
          </w:tcPr>
          <w:p>
            <w:pPr>
              <w:pStyle w:val="TableParagraph"/>
              <w:spacing w:before="11"/>
              <w:rPr>
                <w:rFonts w:ascii="Cambria"/>
                <w:b/>
                <w:sz w:val="18"/>
              </w:rPr>
            </w:pPr>
          </w:p>
          <w:p>
            <w:pPr>
              <w:pStyle w:val="TableParagraph"/>
              <w:ind w:right="13"/>
              <w:jc w:val="right"/>
              <w:rPr>
                <w:rFonts w:ascii="Calibri"/>
                <w:sz w:val="16"/>
              </w:rPr>
            </w:pPr>
            <w:r>
              <w:rPr>
                <w:rFonts w:ascii="Calibri"/>
                <w:w w:val="100"/>
                <w:sz w:val="16"/>
              </w:rPr>
              <w:t>0</w:t>
            </w:r>
          </w:p>
        </w:tc>
      </w:tr>
    </w:tbl>
    <w:p>
      <w:pPr>
        <w:spacing w:before="41"/>
        <w:ind w:left="100" w:right="0" w:firstLine="0"/>
        <w:jc w:val="left"/>
        <w:rPr>
          <w:rFonts w:ascii="Calibri" w:hAnsi="Calibri"/>
          <w:b/>
          <w:sz w:val="18"/>
        </w:rPr>
      </w:pPr>
      <w:r>
        <w:rPr>
          <w:rFonts w:ascii="Calibri" w:hAnsi="Calibri"/>
          <w:b/>
          <w:color w:val="4F81BC"/>
          <w:sz w:val="18"/>
        </w:rPr>
        <w:t>Ilustración 1 Elaboración propia con base a trabajo de campo [Munive, 2014]</w:t>
      </w:r>
    </w:p>
    <w:p>
      <w:pPr>
        <w:spacing w:after="0"/>
        <w:jc w:val="left"/>
        <w:rPr>
          <w:rFonts w:ascii="Calibri" w:hAnsi="Calibri"/>
          <w:sz w:val="18"/>
        </w:rPr>
        <w:sectPr>
          <w:pgSz w:w="12240" w:h="15840"/>
          <w:pgMar w:header="0" w:footer="1014" w:top="1400" w:bottom="1200" w:left="1340" w:right="1000"/>
        </w:sectPr>
      </w:pPr>
    </w:p>
    <w:p>
      <w:pPr>
        <w:spacing w:before="40" w:after="39"/>
        <w:ind w:left="100" w:right="0" w:firstLine="0"/>
        <w:jc w:val="both"/>
        <w:rPr>
          <w:rFonts w:ascii="Cambria"/>
          <w:b/>
          <w:sz w:val="22"/>
        </w:rPr>
      </w:pPr>
      <w:bookmarkStart w:name="_bookmark18" w:id="19"/>
      <w:bookmarkEnd w:id="19"/>
      <w:r>
        <w:rPr/>
      </w:r>
      <w:r>
        <w:rPr>
          <w:rFonts w:ascii="Cambria"/>
          <w:b/>
          <w:color w:val="4F81BC"/>
          <w:sz w:val="22"/>
        </w:rPr>
        <w:t>Respuestas dadas por estudiantes mujeres a la escala tipo Likert [porcentajes].</w:t>
      </w:r>
    </w:p>
    <w:tbl>
      <w:tblPr>
        <w:tblW w:w="0" w:type="auto"/>
        <w:jc w:val="left"/>
        <w:tblInd w:w="100" w:type="dxa"/>
        <w:tblBorders>
          <w:top w:val="single" w:sz="5" w:space="0" w:color="F9BE8F"/>
          <w:left w:val="single" w:sz="5" w:space="0" w:color="F9BE8F"/>
          <w:bottom w:val="single" w:sz="5" w:space="0" w:color="F9BE8F"/>
          <w:right w:val="single" w:sz="5" w:space="0" w:color="F9BE8F"/>
          <w:insideH w:val="single" w:sz="5" w:space="0" w:color="F9BE8F"/>
          <w:insideV w:val="single" w:sz="5" w:space="0" w:color="F9BE8F"/>
        </w:tblBorders>
        <w:tblLayout w:type="fixed"/>
        <w:tblCellMar>
          <w:top w:w="0" w:type="dxa"/>
          <w:left w:w="0" w:type="dxa"/>
          <w:bottom w:w="0" w:type="dxa"/>
          <w:right w:w="0" w:type="dxa"/>
        </w:tblCellMar>
        <w:tblLook w:val="01E0"/>
      </w:tblPr>
      <w:tblGrid>
        <w:gridCol w:w="6104"/>
        <w:gridCol w:w="1029"/>
        <w:gridCol w:w="1029"/>
        <w:gridCol w:w="1029"/>
        <w:gridCol w:w="1029"/>
      </w:tblGrid>
      <w:tr>
        <w:trPr>
          <w:trHeight w:val="229" w:hRule="exact"/>
        </w:trPr>
        <w:tc>
          <w:tcPr>
            <w:tcW w:w="6104" w:type="dxa"/>
            <w:tcBorders>
              <w:right w:val="nil"/>
            </w:tcBorders>
            <w:shd w:val="clear" w:color="auto" w:fill="FCE9D9"/>
          </w:tcPr>
          <w:p>
            <w:pPr>
              <w:pStyle w:val="TableParagraph"/>
              <w:spacing w:before="9"/>
              <w:ind w:left="2677" w:right="2705"/>
              <w:jc w:val="center"/>
              <w:rPr>
                <w:rFonts w:ascii="Calibri"/>
                <w:b/>
                <w:i/>
                <w:sz w:val="17"/>
              </w:rPr>
            </w:pPr>
            <w:r>
              <w:rPr>
                <w:rFonts w:ascii="Calibri"/>
                <w:b/>
                <w:i/>
                <w:sz w:val="17"/>
              </w:rPr>
              <w:t>Reactivos</w:t>
            </w:r>
          </w:p>
        </w:tc>
        <w:tc>
          <w:tcPr>
            <w:tcW w:w="1029" w:type="dxa"/>
            <w:tcBorders>
              <w:left w:val="nil"/>
              <w:right w:val="nil"/>
            </w:tcBorders>
            <w:shd w:val="clear" w:color="auto" w:fill="FCE9D9"/>
          </w:tcPr>
          <w:p>
            <w:pPr>
              <w:pStyle w:val="TableParagraph"/>
              <w:spacing w:before="9"/>
              <w:ind w:left="279"/>
              <w:rPr>
                <w:rFonts w:ascii="Calibri"/>
                <w:b/>
                <w:i/>
                <w:sz w:val="17"/>
              </w:rPr>
            </w:pPr>
            <w:r>
              <w:rPr>
                <w:rFonts w:ascii="Calibri"/>
                <w:b/>
                <w:i/>
                <w:sz w:val="17"/>
              </w:rPr>
              <w:t>Nunca</w:t>
            </w:r>
          </w:p>
        </w:tc>
        <w:tc>
          <w:tcPr>
            <w:tcW w:w="1029" w:type="dxa"/>
            <w:tcBorders>
              <w:left w:val="nil"/>
              <w:right w:val="nil"/>
            </w:tcBorders>
            <w:shd w:val="clear" w:color="auto" w:fill="FCE9D9"/>
          </w:tcPr>
          <w:p>
            <w:pPr>
              <w:pStyle w:val="TableParagraph"/>
              <w:spacing w:before="9"/>
              <w:ind w:left="211"/>
              <w:rPr>
                <w:rFonts w:ascii="Calibri"/>
                <w:b/>
                <w:i/>
                <w:sz w:val="17"/>
              </w:rPr>
            </w:pPr>
            <w:r>
              <w:rPr>
                <w:rFonts w:ascii="Calibri"/>
                <w:b/>
                <w:i/>
                <w:sz w:val="17"/>
              </w:rPr>
              <w:t>Rara vez</w:t>
            </w:r>
          </w:p>
        </w:tc>
        <w:tc>
          <w:tcPr>
            <w:tcW w:w="1029" w:type="dxa"/>
            <w:tcBorders>
              <w:left w:val="nil"/>
              <w:right w:val="nil"/>
            </w:tcBorders>
            <w:shd w:val="clear" w:color="auto" w:fill="FCE9D9"/>
          </w:tcPr>
          <w:p>
            <w:pPr>
              <w:pStyle w:val="TableParagraph"/>
              <w:spacing w:before="9"/>
              <w:ind w:right="37"/>
              <w:jc w:val="right"/>
              <w:rPr>
                <w:rFonts w:ascii="Calibri"/>
                <w:b/>
                <w:i/>
                <w:sz w:val="17"/>
              </w:rPr>
            </w:pPr>
            <w:r>
              <w:rPr>
                <w:rFonts w:ascii="Calibri"/>
                <w:b/>
                <w:i/>
                <w:sz w:val="17"/>
              </w:rPr>
              <w:t>recuentement</w:t>
            </w:r>
          </w:p>
        </w:tc>
        <w:tc>
          <w:tcPr>
            <w:tcW w:w="1029" w:type="dxa"/>
            <w:tcBorders>
              <w:left w:val="nil"/>
            </w:tcBorders>
            <w:shd w:val="clear" w:color="auto" w:fill="FCE9D9"/>
          </w:tcPr>
          <w:p>
            <w:pPr>
              <w:pStyle w:val="TableParagraph"/>
              <w:spacing w:before="9"/>
              <w:ind w:left="222"/>
              <w:rPr>
                <w:rFonts w:ascii="Calibri"/>
                <w:b/>
                <w:i/>
                <w:sz w:val="17"/>
              </w:rPr>
            </w:pPr>
            <w:r>
              <w:rPr>
                <w:rFonts w:ascii="Calibri"/>
                <w:b/>
                <w:i/>
                <w:sz w:val="17"/>
              </w:rPr>
              <w:t>Siempre</w:t>
            </w:r>
          </w:p>
        </w:tc>
      </w:tr>
      <w:tr>
        <w:trPr>
          <w:trHeight w:val="457" w:hRule="exact"/>
        </w:trPr>
        <w:tc>
          <w:tcPr>
            <w:tcW w:w="6104" w:type="dxa"/>
            <w:tcBorders>
              <w:right w:val="single" w:sz="5" w:space="0" w:color="DADCDD"/>
            </w:tcBorders>
          </w:tcPr>
          <w:p>
            <w:pPr>
              <w:pStyle w:val="TableParagraph"/>
              <w:spacing w:line="264" w:lineRule="auto" w:before="13"/>
              <w:ind w:left="34" w:right="49"/>
              <w:rPr>
                <w:sz w:val="18"/>
              </w:rPr>
            </w:pPr>
            <w:r>
              <w:rPr>
                <w:sz w:val="18"/>
              </w:rPr>
              <w:t>Si mi novia sale de fiesta uso frases como “me abandonas” o “¿prefieres a tus amigos que a mí?</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56.36%</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27.27%</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16.36%</w:t>
            </w:r>
          </w:p>
        </w:tc>
        <w:tc>
          <w:tcPr>
            <w:tcW w:w="1029" w:type="dxa"/>
            <w:tcBorders>
              <w:lef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0.00%</w:t>
            </w:r>
          </w:p>
        </w:tc>
      </w:tr>
      <w:tr>
        <w:trPr>
          <w:trHeight w:val="457" w:hRule="exact"/>
        </w:trPr>
        <w:tc>
          <w:tcPr>
            <w:tcW w:w="6104" w:type="dxa"/>
            <w:tcBorders>
              <w:right w:val="nil"/>
            </w:tcBorders>
            <w:shd w:val="clear" w:color="auto" w:fill="FCE9D9"/>
          </w:tcPr>
          <w:p>
            <w:pPr>
              <w:pStyle w:val="TableParagraph"/>
              <w:spacing w:line="264" w:lineRule="auto" w:before="14"/>
              <w:ind w:left="34" w:right="50"/>
              <w:rPr>
                <w:sz w:val="18"/>
              </w:rPr>
            </w:pPr>
            <w:r>
              <w:rPr>
                <w:sz w:val="18"/>
              </w:rPr>
              <w:t>Le he solicitado las contraseñas de sus redes sociales a mi pareja porque considero que es parte de la confianza en la relación.</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67.27%</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27.27%</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5.45%</w:t>
            </w:r>
          </w:p>
        </w:tc>
        <w:tc>
          <w:tcPr>
            <w:tcW w:w="1029" w:type="dxa"/>
            <w:tcBorders>
              <w:left w:val="nil"/>
            </w:tcBorders>
            <w:shd w:val="clear" w:color="auto" w:fill="FCE9D9"/>
          </w:tcPr>
          <w:p>
            <w:pPr>
              <w:pStyle w:val="TableParagraph"/>
              <w:spacing w:before="3"/>
              <w:rPr>
                <w:rFonts w:ascii="Cambria"/>
                <w:b/>
                <w:sz w:val="20"/>
              </w:rPr>
            </w:pPr>
          </w:p>
          <w:p>
            <w:pPr>
              <w:pStyle w:val="TableParagraph"/>
              <w:ind w:right="24"/>
              <w:jc w:val="right"/>
              <w:rPr>
                <w:rFonts w:ascii="Calibri"/>
                <w:sz w:val="17"/>
              </w:rPr>
            </w:pPr>
            <w:r>
              <w:rPr>
                <w:rFonts w:ascii="Calibri"/>
                <w:sz w:val="17"/>
              </w:rPr>
              <w:t>0.00%</w:t>
            </w:r>
          </w:p>
        </w:tc>
      </w:tr>
      <w:tr>
        <w:trPr>
          <w:trHeight w:val="229" w:hRule="exact"/>
        </w:trPr>
        <w:tc>
          <w:tcPr>
            <w:tcW w:w="6104" w:type="dxa"/>
            <w:tcBorders>
              <w:right w:val="single" w:sz="5" w:space="0" w:color="DADCDD"/>
            </w:tcBorders>
          </w:tcPr>
          <w:p>
            <w:pPr>
              <w:pStyle w:val="TableParagraph"/>
              <w:spacing w:before="13"/>
              <w:ind w:left="34" w:right="49"/>
              <w:rPr>
                <w:sz w:val="18"/>
              </w:rPr>
            </w:pPr>
            <w:r>
              <w:rPr>
                <w:sz w:val="18"/>
              </w:rPr>
              <w:t>En ocasiones he mentido a mi pareja para obtener algo de ella</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61.82%</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30.91%</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7.27%</w:t>
            </w:r>
          </w:p>
        </w:tc>
        <w:tc>
          <w:tcPr>
            <w:tcW w:w="1029" w:type="dxa"/>
            <w:tcBorders>
              <w:left w:val="single" w:sz="5" w:space="0" w:color="DADCDD"/>
            </w:tcBorders>
          </w:tcPr>
          <w:p>
            <w:pPr>
              <w:pStyle w:val="TableParagraph"/>
              <w:spacing w:before="9"/>
              <w:ind w:right="24"/>
              <w:jc w:val="right"/>
              <w:rPr>
                <w:rFonts w:ascii="Calibri"/>
                <w:sz w:val="17"/>
              </w:rPr>
            </w:pPr>
            <w:r>
              <w:rPr>
                <w:rFonts w:ascii="Calibri"/>
                <w:sz w:val="17"/>
              </w:rPr>
              <w:t>0.00%</w:t>
            </w:r>
          </w:p>
        </w:tc>
      </w:tr>
      <w:tr>
        <w:trPr>
          <w:trHeight w:val="457" w:hRule="exact"/>
        </w:trPr>
        <w:tc>
          <w:tcPr>
            <w:tcW w:w="6104" w:type="dxa"/>
            <w:tcBorders>
              <w:right w:val="nil"/>
            </w:tcBorders>
            <w:shd w:val="clear" w:color="auto" w:fill="FCE9D9"/>
          </w:tcPr>
          <w:p>
            <w:pPr>
              <w:pStyle w:val="TableParagraph"/>
              <w:spacing w:line="264" w:lineRule="auto" w:before="13"/>
              <w:ind w:left="34" w:right="50"/>
              <w:rPr>
                <w:sz w:val="18"/>
              </w:rPr>
            </w:pPr>
            <w:r>
              <w:rPr>
                <w:spacing w:val="-3"/>
                <w:sz w:val="18"/>
              </w:rPr>
              <w:t>Cuando </w:t>
            </w:r>
            <w:r>
              <w:rPr>
                <w:spacing w:val="-6"/>
                <w:sz w:val="18"/>
              </w:rPr>
              <w:t>no </w:t>
            </w:r>
            <w:r>
              <w:rPr>
                <w:sz w:val="18"/>
              </w:rPr>
              <w:t>estoy de </w:t>
            </w:r>
            <w:r>
              <w:rPr>
                <w:spacing w:val="-3"/>
                <w:sz w:val="18"/>
              </w:rPr>
              <w:t>acuerdo </w:t>
            </w:r>
            <w:r>
              <w:rPr>
                <w:sz w:val="18"/>
              </w:rPr>
              <w:t>con algo </w:t>
            </w:r>
            <w:r>
              <w:rPr>
                <w:spacing w:val="-4"/>
                <w:sz w:val="18"/>
              </w:rPr>
              <w:t>que </w:t>
            </w:r>
            <w:r>
              <w:rPr>
                <w:sz w:val="18"/>
              </w:rPr>
              <w:t>dice o </w:t>
            </w:r>
            <w:r>
              <w:rPr>
                <w:spacing w:val="-3"/>
                <w:sz w:val="18"/>
              </w:rPr>
              <w:t>hace mi </w:t>
            </w:r>
            <w:r>
              <w:rPr>
                <w:sz w:val="18"/>
              </w:rPr>
              <w:t>pareja </w:t>
            </w:r>
            <w:r>
              <w:rPr>
                <w:spacing w:val="-6"/>
                <w:sz w:val="18"/>
              </w:rPr>
              <w:t>he </w:t>
            </w:r>
            <w:r>
              <w:rPr>
                <w:sz w:val="18"/>
              </w:rPr>
              <w:t>llegado a</w:t>
            </w:r>
            <w:r>
              <w:rPr>
                <w:spacing w:val="18"/>
                <w:sz w:val="18"/>
              </w:rPr>
              <w:t> </w:t>
            </w:r>
            <w:r>
              <w:rPr>
                <w:spacing w:val="-3"/>
                <w:sz w:val="18"/>
              </w:rPr>
              <w:t>ignorarle.</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25.45%</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36.36%</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34.55%</w:t>
            </w:r>
          </w:p>
        </w:tc>
        <w:tc>
          <w:tcPr>
            <w:tcW w:w="1029" w:type="dxa"/>
            <w:tcBorders>
              <w:left w:val="nil"/>
            </w:tcBorders>
            <w:shd w:val="clear" w:color="auto" w:fill="FCE9D9"/>
          </w:tcPr>
          <w:p>
            <w:pPr>
              <w:pStyle w:val="TableParagraph"/>
              <w:spacing w:before="3"/>
              <w:rPr>
                <w:rFonts w:ascii="Cambria"/>
                <w:b/>
                <w:sz w:val="20"/>
              </w:rPr>
            </w:pPr>
          </w:p>
          <w:p>
            <w:pPr>
              <w:pStyle w:val="TableParagraph"/>
              <w:ind w:right="24"/>
              <w:jc w:val="right"/>
              <w:rPr>
                <w:rFonts w:ascii="Calibri"/>
                <w:sz w:val="17"/>
              </w:rPr>
            </w:pPr>
            <w:r>
              <w:rPr>
                <w:rFonts w:ascii="Calibri"/>
                <w:sz w:val="17"/>
              </w:rPr>
              <w:t>3.63%</w:t>
            </w:r>
          </w:p>
        </w:tc>
      </w:tr>
      <w:tr>
        <w:trPr>
          <w:trHeight w:val="229" w:hRule="exact"/>
        </w:trPr>
        <w:tc>
          <w:tcPr>
            <w:tcW w:w="6104" w:type="dxa"/>
            <w:tcBorders>
              <w:right w:val="single" w:sz="5" w:space="0" w:color="DADCDD"/>
            </w:tcBorders>
          </w:tcPr>
          <w:p>
            <w:pPr>
              <w:pStyle w:val="TableParagraph"/>
              <w:spacing w:before="14"/>
              <w:ind w:left="34" w:right="49"/>
              <w:rPr>
                <w:sz w:val="18"/>
              </w:rPr>
            </w:pPr>
            <w:r>
              <w:rPr>
                <w:sz w:val="18"/>
              </w:rPr>
              <w:t>Me molesta que mi pareja salga con personas del sexo opuesto.</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27.27%</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52.73%</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16.46%</w:t>
            </w:r>
          </w:p>
        </w:tc>
        <w:tc>
          <w:tcPr>
            <w:tcW w:w="1029" w:type="dxa"/>
            <w:tcBorders>
              <w:left w:val="single" w:sz="5" w:space="0" w:color="DADCDD"/>
            </w:tcBorders>
          </w:tcPr>
          <w:p>
            <w:pPr>
              <w:pStyle w:val="TableParagraph"/>
              <w:spacing w:before="9"/>
              <w:ind w:right="24"/>
              <w:jc w:val="right"/>
              <w:rPr>
                <w:rFonts w:ascii="Calibri"/>
                <w:sz w:val="17"/>
              </w:rPr>
            </w:pPr>
            <w:r>
              <w:rPr>
                <w:rFonts w:ascii="Calibri"/>
                <w:sz w:val="17"/>
              </w:rPr>
              <w:t>3.64%</w:t>
            </w:r>
          </w:p>
        </w:tc>
      </w:tr>
      <w:tr>
        <w:trPr>
          <w:trHeight w:val="457" w:hRule="exact"/>
        </w:trPr>
        <w:tc>
          <w:tcPr>
            <w:tcW w:w="6104" w:type="dxa"/>
            <w:tcBorders>
              <w:right w:val="nil"/>
            </w:tcBorders>
            <w:shd w:val="clear" w:color="auto" w:fill="FCE9D9"/>
          </w:tcPr>
          <w:p>
            <w:pPr>
              <w:pStyle w:val="TableParagraph"/>
              <w:spacing w:line="264" w:lineRule="auto" w:before="14"/>
              <w:ind w:left="34" w:right="50"/>
              <w:rPr>
                <w:sz w:val="18"/>
              </w:rPr>
            </w:pPr>
            <w:r>
              <w:rPr>
                <w:sz w:val="18"/>
              </w:rPr>
              <w:t>Considero que no es grave decirle a mi pareja cosas como: “tonto/a”, “No puedes”, “No sabes”, etc.</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52.73%</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23.64%</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18.18%</w:t>
            </w:r>
          </w:p>
        </w:tc>
        <w:tc>
          <w:tcPr>
            <w:tcW w:w="1029" w:type="dxa"/>
            <w:tcBorders>
              <w:left w:val="nil"/>
            </w:tcBorders>
            <w:shd w:val="clear" w:color="auto" w:fill="FCE9D9"/>
          </w:tcPr>
          <w:p>
            <w:pPr>
              <w:pStyle w:val="TableParagraph"/>
              <w:spacing w:before="3"/>
              <w:rPr>
                <w:rFonts w:ascii="Cambria"/>
                <w:b/>
                <w:sz w:val="20"/>
              </w:rPr>
            </w:pPr>
          </w:p>
          <w:p>
            <w:pPr>
              <w:pStyle w:val="TableParagraph"/>
              <w:ind w:right="24"/>
              <w:jc w:val="right"/>
              <w:rPr>
                <w:rFonts w:ascii="Calibri"/>
                <w:sz w:val="17"/>
              </w:rPr>
            </w:pPr>
            <w:r>
              <w:rPr>
                <w:rFonts w:ascii="Calibri"/>
                <w:sz w:val="17"/>
              </w:rPr>
              <w:t>5.45%</w:t>
            </w:r>
          </w:p>
        </w:tc>
      </w:tr>
      <w:tr>
        <w:trPr>
          <w:trHeight w:val="457" w:hRule="exact"/>
        </w:trPr>
        <w:tc>
          <w:tcPr>
            <w:tcW w:w="6104" w:type="dxa"/>
            <w:tcBorders>
              <w:right w:val="single" w:sz="5" w:space="0" w:color="DADCDD"/>
            </w:tcBorders>
          </w:tcPr>
          <w:p>
            <w:pPr>
              <w:pStyle w:val="TableParagraph"/>
              <w:spacing w:line="264" w:lineRule="auto" w:before="14"/>
              <w:ind w:left="34" w:right="49"/>
              <w:rPr>
                <w:sz w:val="18"/>
              </w:rPr>
            </w:pPr>
            <w:r>
              <w:rPr>
                <w:spacing w:val="-4"/>
                <w:sz w:val="18"/>
              </w:rPr>
              <w:t>He </w:t>
            </w:r>
            <w:r>
              <w:rPr>
                <w:sz w:val="18"/>
              </w:rPr>
              <w:t>pedido a </w:t>
            </w:r>
            <w:r>
              <w:rPr>
                <w:spacing w:val="-3"/>
                <w:sz w:val="18"/>
              </w:rPr>
              <w:t>mi </w:t>
            </w:r>
            <w:r>
              <w:rPr>
                <w:sz w:val="18"/>
              </w:rPr>
              <w:t>pareja </w:t>
            </w:r>
            <w:r>
              <w:rPr>
                <w:spacing w:val="-4"/>
                <w:sz w:val="18"/>
              </w:rPr>
              <w:t>que </w:t>
            </w:r>
            <w:r>
              <w:rPr>
                <w:sz w:val="18"/>
              </w:rPr>
              <w:t>cambie su </w:t>
            </w:r>
            <w:r>
              <w:rPr>
                <w:spacing w:val="-4"/>
                <w:sz w:val="18"/>
              </w:rPr>
              <w:t>manera </w:t>
            </w:r>
            <w:r>
              <w:rPr>
                <w:sz w:val="18"/>
              </w:rPr>
              <w:t>de </w:t>
            </w:r>
            <w:r>
              <w:rPr>
                <w:spacing w:val="-3"/>
                <w:sz w:val="18"/>
              </w:rPr>
              <w:t>vestir porque </w:t>
            </w:r>
            <w:r>
              <w:rPr>
                <w:spacing w:val="-6"/>
                <w:sz w:val="18"/>
              </w:rPr>
              <w:t>no </w:t>
            </w:r>
            <w:r>
              <w:rPr>
                <w:spacing w:val="-5"/>
                <w:sz w:val="18"/>
              </w:rPr>
              <w:t>me </w:t>
            </w:r>
            <w:r>
              <w:rPr>
                <w:sz w:val="18"/>
              </w:rPr>
              <w:t>agrada.</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85.45%</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10.91%</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1.82%</w:t>
            </w:r>
          </w:p>
        </w:tc>
        <w:tc>
          <w:tcPr>
            <w:tcW w:w="1029" w:type="dxa"/>
            <w:tcBorders>
              <w:lef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1.82%</w:t>
            </w:r>
          </w:p>
        </w:tc>
      </w:tr>
      <w:tr>
        <w:trPr>
          <w:trHeight w:val="457" w:hRule="exact"/>
        </w:trPr>
        <w:tc>
          <w:tcPr>
            <w:tcW w:w="6104" w:type="dxa"/>
            <w:tcBorders>
              <w:right w:val="nil"/>
            </w:tcBorders>
            <w:shd w:val="clear" w:color="auto" w:fill="FCE9D9"/>
          </w:tcPr>
          <w:p>
            <w:pPr>
              <w:pStyle w:val="TableParagraph"/>
              <w:spacing w:line="264" w:lineRule="auto" w:before="14"/>
              <w:ind w:left="34" w:right="50"/>
              <w:rPr>
                <w:sz w:val="18"/>
              </w:rPr>
            </w:pPr>
            <w:r>
              <w:rPr>
                <w:sz w:val="18"/>
              </w:rPr>
              <w:t>He llegado a decirle a mi pareja cosas como “la relación se termina si no haces…”, “Si no haces… contaré lo que hicimos”.</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81.82%</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18.18%</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0.00%</w:t>
            </w:r>
          </w:p>
        </w:tc>
        <w:tc>
          <w:tcPr>
            <w:tcW w:w="1029" w:type="dxa"/>
            <w:tcBorders>
              <w:left w:val="nil"/>
            </w:tcBorders>
            <w:shd w:val="clear" w:color="auto" w:fill="FCE9D9"/>
          </w:tcPr>
          <w:p>
            <w:pPr>
              <w:pStyle w:val="TableParagraph"/>
              <w:spacing w:before="3"/>
              <w:rPr>
                <w:rFonts w:ascii="Cambria"/>
                <w:b/>
                <w:sz w:val="20"/>
              </w:rPr>
            </w:pPr>
          </w:p>
          <w:p>
            <w:pPr>
              <w:pStyle w:val="TableParagraph"/>
              <w:ind w:right="14"/>
              <w:jc w:val="right"/>
              <w:rPr>
                <w:rFonts w:ascii="Calibri"/>
                <w:sz w:val="17"/>
              </w:rPr>
            </w:pPr>
            <w:r>
              <w:rPr>
                <w:rFonts w:ascii="Calibri"/>
                <w:w w:val="100"/>
                <w:sz w:val="17"/>
              </w:rPr>
              <w:t>0</w:t>
            </w:r>
          </w:p>
        </w:tc>
      </w:tr>
      <w:tr>
        <w:trPr>
          <w:trHeight w:val="229" w:hRule="exact"/>
        </w:trPr>
        <w:tc>
          <w:tcPr>
            <w:tcW w:w="6104" w:type="dxa"/>
            <w:tcBorders>
              <w:right w:val="single" w:sz="5" w:space="0" w:color="DADCDD"/>
            </w:tcBorders>
          </w:tcPr>
          <w:p>
            <w:pPr>
              <w:pStyle w:val="TableParagraph"/>
              <w:spacing w:before="14"/>
              <w:ind w:left="34" w:right="49"/>
              <w:rPr>
                <w:sz w:val="18"/>
              </w:rPr>
            </w:pPr>
            <w:r>
              <w:rPr>
                <w:sz w:val="18"/>
              </w:rPr>
              <w:t>He pellizcado, codeado o dado zapes a mi pareja jugando</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81.82%</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10.91%</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5.45%</w:t>
            </w:r>
          </w:p>
        </w:tc>
        <w:tc>
          <w:tcPr>
            <w:tcW w:w="1029" w:type="dxa"/>
            <w:tcBorders>
              <w:left w:val="single" w:sz="5" w:space="0" w:color="DADCDD"/>
            </w:tcBorders>
          </w:tcPr>
          <w:p>
            <w:pPr>
              <w:pStyle w:val="TableParagraph"/>
              <w:spacing w:before="9"/>
              <w:ind w:right="24"/>
              <w:jc w:val="right"/>
              <w:rPr>
                <w:rFonts w:ascii="Calibri"/>
                <w:sz w:val="17"/>
              </w:rPr>
            </w:pPr>
            <w:r>
              <w:rPr>
                <w:rFonts w:ascii="Calibri"/>
                <w:sz w:val="17"/>
              </w:rPr>
              <w:t>1.82%</w:t>
            </w:r>
          </w:p>
        </w:tc>
      </w:tr>
      <w:tr>
        <w:trPr>
          <w:trHeight w:val="229" w:hRule="exact"/>
        </w:trPr>
        <w:tc>
          <w:tcPr>
            <w:tcW w:w="6104" w:type="dxa"/>
            <w:tcBorders>
              <w:right w:val="nil"/>
            </w:tcBorders>
            <w:shd w:val="clear" w:color="auto" w:fill="FCE9D9"/>
          </w:tcPr>
          <w:p>
            <w:pPr>
              <w:pStyle w:val="TableParagraph"/>
              <w:spacing w:before="14"/>
              <w:ind w:left="34" w:right="50"/>
              <w:rPr>
                <w:sz w:val="18"/>
              </w:rPr>
            </w:pPr>
            <w:r>
              <w:rPr>
                <w:sz w:val="18"/>
              </w:rPr>
              <w:t>Creo que es normal revisar el celular de mi pareja.</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41.82%</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47.27%</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10.91%</w:t>
            </w:r>
          </w:p>
        </w:tc>
        <w:tc>
          <w:tcPr>
            <w:tcW w:w="1029" w:type="dxa"/>
            <w:tcBorders>
              <w:left w:val="nil"/>
            </w:tcBorders>
            <w:shd w:val="clear" w:color="auto" w:fill="FCE9D9"/>
          </w:tcPr>
          <w:p>
            <w:pPr>
              <w:pStyle w:val="TableParagraph"/>
              <w:spacing w:before="9"/>
              <w:ind w:right="24"/>
              <w:jc w:val="right"/>
              <w:rPr>
                <w:rFonts w:ascii="Calibri"/>
                <w:sz w:val="17"/>
              </w:rPr>
            </w:pPr>
            <w:r>
              <w:rPr>
                <w:rFonts w:ascii="Calibri"/>
                <w:sz w:val="17"/>
              </w:rPr>
              <w:t>0.00%</w:t>
            </w:r>
          </w:p>
        </w:tc>
      </w:tr>
      <w:tr>
        <w:trPr>
          <w:trHeight w:val="229" w:hRule="exact"/>
        </w:trPr>
        <w:tc>
          <w:tcPr>
            <w:tcW w:w="6104" w:type="dxa"/>
            <w:tcBorders>
              <w:right w:val="single" w:sz="5" w:space="0" w:color="DADCDD"/>
            </w:tcBorders>
          </w:tcPr>
          <w:p>
            <w:pPr>
              <w:pStyle w:val="TableParagraph"/>
              <w:spacing w:before="14"/>
              <w:ind w:left="34" w:right="49"/>
              <w:rPr>
                <w:sz w:val="18"/>
              </w:rPr>
            </w:pPr>
            <w:r>
              <w:rPr>
                <w:sz w:val="18"/>
              </w:rPr>
              <w:t>Si señalo los defectos de mi pareja es porque la quiero.</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38.18%</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34.55%</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23.64%</w:t>
            </w:r>
          </w:p>
        </w:tc>
        <w:tc>
          <w:tcPr>
            <w:tcW w:w="1029" w:type="dxa"/>
            <w:tcBorders>
              <w:left w:val="single" w:sz="5" w:space="0" w:color="DADCDD"/>
            </w:tcBorders>
          </w:tcPr>
          <w:p>
            <w:pPr>
              <w:pStyle w:val="TableParagraph"/>
              <w:spacing w:before="9"/>
              <w:ind w:right="24"/>
              <w:jc w:val="right"/>
              <w:rPr>
                <w:rFonts w:ascii="Calibri"/>
                <w:sz w:val="17"/>
              </w:rPr>
            </w:pPr>
            <w:r>
              <w:rPr>
                <w:rFonts w:ascii="Calibri"/>
                <w:sz w:val="17"/>
              </w:rPr>
              <w:t>3.64%</w:t>
            </w:r>
          </w:p>
        </w:tc>
      </w:tr>
      <w:tr>
        <w:trPr>
          <w:trHeight w:val="228" w:hRule="exact"/>
        </w:trPr>
        <w:tc>
          <w:tcPr>
            <w:tcW w:w="6104" w:type="dxa"/>
            <w:tcBorders>
              <w:bottom w:val="single" w:sz="5" w:space="0" w:color="F9BE8F"/>
              <w:right w:val="nil"/>
            </w:tcBorders>
            <w:shd w:val="clear" w:color="auto" w:fill="FCE9D9"/>
          </w:tcPr>
          <w:p>
            <w:pPr>
              <w:pStyle w:val="TableParagraph"/>
              <w:spacing w:before="13"/>
              <w:ind w:left="34" w:right="50"/>
              <w:rPr>
                <w:sz w:val="18"/>
              </w:rPr>
            </w:pPr>
            <w:r>
              <w:rPr>
                <w:sz w:val="18"/>
              </w:rPr>
              <w:t>Le pregunto a mi pareja en que gasta su dinero.</w:t>
            </w:r>
          </w:p>
        </w:tc>
        <w:tc>
          <w:tcPr>
            <w:tcW w:w="1029" w:type="dxa"/>
            <w:tcBorders>
              <w:left w:val="nil"/>
              <w:bottom w:val="single" w:sz="5" w:space="0" w:color="F9BE8F"/>
              <w:right w:val="nil"/>
            </w:tcBorders>
            <w:shd w:val="clear" w:color="auto" w:fill="FCE9D9"/>
          </w:tcPr>
          <w:p>
            <w:pPr>
              <w:pStyle w:val="TableParagraph"/>
              <w:spacing w:before="9"/>
              <w:ind w:right="30"/>
              <w:jc w:val="right"/>
              <w:rPr>
                <w:rFonts w:ascii="Calibri"/>
                <w:sz w:val="17"/>
              </w:rPr>
            </w:pPr>
            <w:r>
              <w:rPr>
                <w:rFonts w:ascii="Calibri"/>
                <w:sz w:val="17"/>
              </w:rPr>
              <w:t>49.09%</w:t>
            </w:r>
          </w:p>
        </w:tc>
        <w:tc>
          <w:tcPr>
            <w:tcW w:w="1029" w:type="dxa"/>
            <w:tcBorders>
              <w:left w:val="nil"/>
              <w:bottom w:val="single" w:sz="5" w:space="0" w:color="F9BE8F"/>
              <w:right w:val="nil"/>
            </w:tcBorders>
            <w:shd w:val="clear" w:color="auto" w:fill="FCE9D9"/>
          </w:tcPr>
          <w:p>
            <w:pPr>
              <w:pStyle w:val="TableParagraph"/>
              <w:spacing w:before="9"/>
              <w:ind w:right="30"/>
              <w:jc w:val="right"/>
              <w:rPr>
                <w:rFonts w:ascii="Calibri"/>
                <w:sz w:val="17"/>
              </w:rPr>
            </w:pPr>
            <w:r>
              <w:rPr>
                <w:rFonts w:ascii="Calibri"/>
                <w:sz w:val="17"/>
              </w:rPr>
              <w:t>45.45%</w:t>
            </w:r>
          </w:p>
        </w:tc>
        <w:tc>
          <w:tcPr>
            <w:tcW w:w="1029" w:type="dxa"/>
            <w:tcBorders>
              <w:left w:val="nil"/>
              <w:bottom w:val="single" w:sz="5" w:space="0" w:color="F9BE8F"/>
              <w:right w:val="nil"/>
            </w:tcBorders>
            <w:shd w:val="clear" w:color="auto" w:fill="FCE9D9"/>
          </w:tcPr>
          <w:p>
            <w:pPr>
              <w:pStyle w:val="TableParagraph"/>
              <w:spacing w:before="9"/>
              <w:ind w:right="30"/>
              <w:jc w:val="right"/>
              <w:rPr>
                <w:rFonts w:ascii="Calibri"/>
                <w:sz w:val="17"/>
              </w:rPr>
            </w:pPr>
            <w:r>
              <w:rPr>
                <w:rFonts w:ascii="Calibri"/>
                <w:sz w:val="17"/>
              </w:rPr>
              <w:t>5.45%</w:t>
            </w:r>
          </w:p>
        </w:tc>
        <w:tc>
          <w:tcPr>
            <w:tcW w:w="1029" w:type="dxa"/>
            <w:tcBorders>
              <w:left w:val="nil"/>
              <w:bottom w:val="single" w:sz="5" w:space="0" w:color="F9BE8F"/>
            </w:tcBorders>
            <w:shd w:val="clear" w:color="auto" w:fill="FCE9D9"/>
          </w:tcPr>
          <w:p>
            <w:pPr>
              <w:pStyle w:val="TableParagraph"/>
              <w:spacing w:before="9"/>
              <w:ind w:right="24"/>
              <w:jc w:val="right"/>
              <w:rPr>
                <w:rFonts w:ascii="Calibri"/>
                <w:sz w:val="17"/>
              </w:rPr>
            </w:pPr>
            <w:r>
              <w:rPr>
                <w:rFonts w:ascii="Calibri"/>
                <w:sz w:val="17"/>
              </w:rPr>
              <w:t>0.00%</w:t>
            </w:r>
          </w:p>
        </w:tc>
      </w:tr>
      <w:tr>
        <w:trPr>
          <w:trHeight w:val="228" w:hRule="exact"/>
        </w:trPr>
        <w:tc>
          <w:tcPr>
            <w:tcW w:w="6104" w:type="dxa"/>
            <w:tcBorders>
              <w:top w:val="single" w:sz="5" w:space="0" w:color="F9BE8F"/>
              <w:right w:val="single" w:sz="5" w:space="0" w:color="DADCDD"/>
            </w:tcBorders>
          </w:tcPr>
          <w:p>
            <w:pPr>
              <w:pStyle w:val="TableParagraph"/>
              <w:spacing w:before="13"/>
              <w:ind w:left="34" w:right="49"/>
              <w:rPr>
                <w:sz w:val="18"/>
              </w:rPr>
            </w:pPr>
            <w:r>
              <w:rPr>
                <w:sz w:val="18"/>
              </w:rPr>
              <w:t>He sugerido que deje amistades que no le convienen.</w:t>
            </w:r>
          </w:p>
        </w:tc>
        <w:tc>
          <w:tcPr>
            <w:tcW w:w="1029" w:type="dxa"/>
            <w:tcBorders>
              <w:top w:val="single" w:sz="5" w:space="0" w:color="F9BE8F"/>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23.64%</w:t>
            </w:r>
          </w:p>
        </w:tc>
        <w:tc>
          <w:tcPr>
            <w:tcW w:w="1029" w:type="dxa"/>
            <w:tcBorders>
              <w:top w:val="single" w:sz="5" w:space="0" w:color="F9BE8F"/>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30.91%</w:t>
            </w:r>
          </w:p>
        </w:tc>
        <w:tc>
          <w:tcPr>
            <w:tcW w:w="1029" w:type="dxa"/>
            <w:tcBorders>
              <w:top w:val="single" w:sz="5" w:space="0" w:color="F9BE8F"/>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41.82%</w:t>
            </w:r>
          </w:p>
        </w:tc>
        <w:tc>
          <w:tcPr>
            <w:tcW w:w="1029" w:type="dxa"/>
            <w:tcBorders>
              <w:top w:val="single" w:sz="5" w:space="0" w:color="F9BE8F"/>
              <w:left w:val="single" w:sz="5" w:space="0" w:color="DADCDD"/>
            </w:tcBorders>
          </w:tcPr>
          <w:p>
            <w:pPr>
              <w:pStyle w:val="TableParagraph"/>
              <w:spacing w:before="9"/>
              <w:ind w:right="24"/>
              <w:jc w:val="right"/>
              <w:rPr>
                <w:rFonts w:ascii="Calibri"/>
                <w:sz w:val="17"/>
              </w:rPr>
            </w:pPr>
            <w:r>
              <w:rPr>
                <w:rFonts w:ascii="Calibri"/>
                <w:sz w:val="17"/>
              </w:rPr>
              <w:t>3.64%</w:t>
            </w:r>
          </w:p>
        </w:tc>
      </w:tr>
      <w:tr>
        <w:trPr>
          <w:trHeight w:val="229" w:hRule="exact"/>
        </w:trPr>
        <w:tc>
          <w:tcPr>
            <w:tcW w:w="6104" w:type="dxa"/>
            <w:tcBorders>
              <w:right w:val="nil"/>
            </w:tcBorders>
            <w:shd w:val="clear" w:color="auto" w:fill="FCE9D9"/>
          </w:tcPr>
          <w:p>
            <w:pPr>
              <w:pStyle w:val="TableParagraph"/>
              <w:spacing w:before="14"/>
              <w:ind w:left="34" w:right="50"/>
              <w:rPr>
                <w:sz w:val="18"/>
              </w:rPr>
            </w:pPr>
            <w:r>
              <w:rPr>
                <w:sz w:val="18"/>
              </w:rPr>
              <w:t>En alguna pelea he llegado a romper cosas que pertenecían a mi pareja.</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70.91%</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21.82%</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7.27%</w:t>
            </w:r>
          </w:p>
        </w:tc>
        <w:tc>
          <w:tcPr>
            <w:tcW w:w="1029" w:type="dxa"/>
            <w:tcBorders>
              <w:left w:val="nil"/>
            </w:tcBorders>
            <w:shd w:val="clear" w:color="auto" w:fill="FCE9D9"/>
          </w:tcPr>
          <w:p>
            <w:pPr>
              <w:pStyle w:val="TableParagraph"/>
              <w:spacing w:before="9"/>
              <w:ind w:right="24"/>
              <w:jc w:val="right"/>
              <w:rPr>
                <w:rFonts w:ascii="Calibri"/>
                <w:sz w:val="17"/>
              </w:rPr>
            </w:pPr>
            <w:r>
              <w:rPr>
                <w:rFonts w:ascii="Calibri"/>
                <w:sz w:val="17"/>
              </w:rPr>
              <w:t>0.00%</w:t>
            </w:r>
          </w:p>
        </w:tc>
      </w:tr>
      <w:tr>
        <w:trPr>
          <w:trHeight w:val="229" w:hRule="exact"/>
        </w:trPr>
        <w:tc>
          <w:tcPr>
            <w:tcW w:w="6104" w:type="dxa"/>
            <w:tcBorders>
              <w:right w:val="single" w:sz="5" w:space="0" w:color="DADCDD"/>
            </w:tcBorders>
          </w:tcPr>
          <w:p>
            <w:pPr>
              <w:pStyle w:val="TableParagraph"/>
              <w:spacing w:before="14"/>
              <w:ind w:left="34" w:right="49"/>
              <w:rPr>
                <w:sz w:val="18"/>
              </w:rPr>
            </w:pPr>
            <w:r>
              <w:rPr>
                <w:sz w:val="18"/>
              </w:rPr>
              <w:t>Es normal que “toque” a mi pareja aun cuando ella me diga que  no</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85.45%</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12.73%</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1.82%</w:t>
            </w:r>
          </w:p>
        </w:tc>
        <w:tc>
          <w:tcPr>
            <w:tcW w:w="1029" w:type="dxa"/>
            <w:tcBorders>
              <w:left w:val="single" w:sz="5" w:space="0" w:color="DADCDD"/>
            </w:tcBorders>
          </w:tcPr>
          <w:p>
            <w:pPr>
              <w:pStyle w:val="TableParagraph"/>
              <w:spacing w:before="9"/>
              <w:ind w:right="14"/>
              <w:jc w:val="right"/>
              <w:rPr>
                <w:rFonts w:ascii="Calibri"/>
                <w:sz w:val="17"/>
              </w:rPr>
            </w:pPr>
            <w:r>
              <w:rPr>
                <w:rFonts w:ascii="Calibri"/>
                <w:w w:val="100"/>
                <w:sz w:val="17"/>
              </w:rPr>
              <w:t>0</w:t>
            </w:r>
          </w:p>
        </w:tc>
      </w:tr>
      <w:tr>
        <w:trPr>
          <w:trHeight w:val="229" w:hRule="exact"/>
        </w:trPr>
        <w:tc>
          <w:tcPr>
            <w:tcW w:w="6104" w:type="dxa"/>
            <w:tcBorders>
              <w:right w:val="nil"/>
            </w:tcBorders>
            <w:shd w:val="clear" w:color="auto" w:fill="FCE9D9"/>
          </w:tcPr>
          <w:p>
            <w:pPr>
              <w:pStyle w:val="TableParagraph"/>
              <w:spacing w:before="13"/>
              <w:ind w:left="34" w:right="50"/>
              <w:rPr>
                <w:sz w:val="18"/>
              </w:rPr>
            </w:pPr>
            <w:r>
              <w:rPr>
                <w:sz w:val="18"/>
              </w:rPr>
              <w:t>Jugando con mi pareja he llegado a darle un golpe/pellizco.</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36.36%</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34.45%</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29.09%</w:t>
            </w:r>
          </w:p>
        </w:tc>
        <w:tc>
          <w:tcPr>
            <w:tcW w:w="1029" w:type="dxa"/>
            <w:tcBorders>
              <w:left w:val="nil"/>
            </w:tcBorders>
            <w:shd w:val="clear" w:color="auto" w:fill="FCE9D9"/>
          </w:tcPr>
          <w:p>
            <w:pPr>
              <w:pStyle w:val="TableParagraph"/>
              <w:spacing w:before="9"/>
              <w:ind w:right="24"/>
              <w:jc w:val="right"/>
              <w:rPr>
                <w:rFonts w:ascii="Calibri"/>
                <w:sz w:val="17"/>
              </w:rPr>
            </w:pPr>
            <w:r>
              <w:rPr>
                <w:rFonts w:ascii="Calibri"/>
                <w:sz w:val="17"/>
              </w:rPr>
              <w:t>0.00%</w:t>
            </w:r>
          </w:p>
        </w:tc>
      </w:tr>
      <w:tr>
        <w:trPr>
          <w:trHeight w:val="228" w:hRule="exact"/>
        </w:trPr>
        <w:tc>
          <w:tcPr>
            <w:tcW w:w="6104" w:type="dxa"/>
            <w:tcBorders>
              <w:right w:val="single" w:sz="5" w:space="0" w:color="DADCDD"/>
            </w:tcBorders>
          </w:tcPr>
          <w:p>
            <w:pPr>
              <w:pStyle w:val="TableParagraph"/>
              <w:spacing w:before="13"/>
              <w:ind w:left="34" w:right="49"/>
              <w:rPr>
                <w:sz w:val="18"/>
              </w:rPr>
            </w:pPr>
            <w:r>
              <w:rPr>
                <w:sz w:val="18"/>
              </w:rPr>
              <w:t>En alguna discusión he llegado a empujar a mi pareja.</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67.27%</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16.36%</w:t>
            </w:r>
          </w:p>
        </w:tc>
        <w:tc>
          <w:tcPr>
            <w:tcW w:w="1029" w:type="dxa"/>
            <w:tcBorders>
              <w:left w:val="single" w:sz="5" w:space="0" w:color="DADCDD"/>
              <w:right w:val="single" w:sz="5" w:space="0" w:color="DADCDD"/>
            </w:tcBorders>
          </w:tcPr>
          <w:p>
            <w:pPr>
              <w:pStyle w:val="TableParagraph"/>
              <w:spacing w:before="9"/>
              <w:ind w:right="24"/>
              <w:jc w:val="right"/>
              <w:rPr>
                <w:rFonts w:ascii="Calibri"/>
                <w:sz w:val="17"/>
              </w:rPr>
            </w:pPr>
            <w:r>
              <w:rPr>
                <w:rFonts w:ascii="Calibri"/>
                <w:sz w:val="17"/>
              </w:rPr>
              <w:t>16.36%</w:t>
            </w:r>
          </w:p>
        </w:tc>
        <w:tc>
          <w:tcPr>
            <w:tcW w:w="1029" w:type="dxa"/>
            <w:tcBorders>
              <w:left w:val="single" w:sz="5" w:space="0" w:color="DADCDD"/>
            </w:tcBorders>
          </w:tcPr>
          <w:p>
            <w:pPr>
              <w:pStyle w:val="TableParagraph"/>
              <w:spacing w:before="9"/>
              <w:ind w:right="14"/>
              <w:jc w:val="right"/>
              <w:rPr>
                <w:rFonts w:ascii="Calibri"/>
                <w:sz w:val="17"/>
              </w:rPr>
            </w:pPr>
            <w:r>
              <w:rPr>
                <w:rFonts w:ascii="Calibri"/>
                <w:w w:val="100"/>
                <w:sz w:val="17"/>
              </w:rPr>
              <w:t>0</w:t>
            </w:r>
          </w:p>
        </w:tc>
      </w:tr>
      <w:tr>
        <w:trPr>
          <w:trHeight w:val="229" w:hRule="exact"/>
        </w:trPr>
        <w:tc>
          <w:tcPr>
            <w:tcW w:w="6104" w:type="dxa"/>
            <w:tcBorders>
              <w:right w:val="nil"/>
            </w:tcBorders>
            <w:shd w:val="clear" w:color="auto" w:fill="FCE9D9"/>
          </w:tcPr>
          <w:p>
            <w:pPr>
              <w:pStyle w:val="TableParagraph"/>
              <w:spacing w:before="14"/>
              <w:ind w:left="34" w:right="50"/>
              <w:rPr>
                <w:sz w:val="18"/>
              </w:rPr>
            </w:pPr>
            <w:r>
              <w:rPr>
                <w:sz w:val="18"/>
              </w:rPr>
              <w:t>Los golpes en la relación de pareja están justificados en algunos casos.</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81.82%</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14.55%</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3.64%</w:t>
            </w:r>
          </w:p>
        </w:tc>
        <w:tc>
          <w:tcPr>
            <w:tcW w:w="1029" w:type="dxa"/>
            <w:tcBorders>
              <w:left w:val="nil"/>
            </w:tcBorders>
            <w:shd w:val="clear" w:color="auto" w:fill="FCE9D9"/>
          </w:tcPr>
          <w:p>
            <w:pPr>
              <w:pStyle w:val="TableParagraph"/>
              <w:spacing w:before="9"/>
              <w:ind w:right="14"/>
              <w:jc w:val="right"/>
              <w:rPr>
                <w:rFonts w:ascii="Calibri"/>
                <w:sz w:val="17"/>
              </w:rPr>
            </w:pPr>
            <w:r>
              <w:rPr>
                <w:rFonts w:ascii="Calibri"/>
                <w:w w:val="100"/>
                <w:sz w:val="17"/>
              </w:rPr>
              <w:t>0</w:t>
            </w:r>
          </w:p>
        </w:tc>
      </w:tr>
      <w:tr>
        <w:trPr>
          <w:trHeight w:val="685" w:hRule="exact"/>
        </w:trPr>
        <w:tc>
          <w:tcPr>
            <w:tcW w:w="6104" w:type="dxa"/>
            <w:tcBorders>
              <w:right w:val="single" w:sz="5" w:space="0" w:color="DADCDD"/>
            </w:tcBorders>
          </w:tcPr>
          <w:p>
            <w:pPr>
              <w:pStyle w:val="TableParagraph"/>
              <w:spacing w:line="264" w:lineRule="auto" w:before="14"/>
              <w:ind w:left="34" w:right="27"/>
              <w:jc w:val="both"/>
              <w:rPr>
                <w:sz w:val="18"/>
              </w:rPr>
            </w:pPr>
            <w:r>
              <w:rPr>
                <w:sz w:val="18"/>
              </w:rPr>
              <w:t>Cuando he presenciado una discusión de pareja considero que es normal que el hombre jale a su pareja, le grite o simplemente guarde silencio y se vaya</w:t>
            </w:r>
          </w:p>
        </w:tc>
        <w:tc>
          <w:tcPr>
            <w:tcW w:w="1029" w:type="dxa"/>
            <w:tcBorders>
              <w:left w:val="single" w:sz="5" w:space="0" w:color="DADCDD"/>
              <w:right w:val="single" w:sz="5" w:space="0" w:color="DADCDD"/>
            </w:tcBorders>
          </w:tcPr>
          <w:p>
            <w:pPr>
              <w:pStyle w:val="TableParagraph"/>
              <w:rPr>
                <w:rFonts w:ascii="Cambria"/>
                <w:b/>
                <w:sz w:val="16"/>
              </w:rPr>
            </w:pPr>
          </w:p>
          <w:p>
            <w:pPr>
              <w:pStyle w:val="TableParagraph"/>
              <w:spacing w:before="9"/>
              <w:rPr>
                <w:rFonts w:ascii="Cambria"/>
                <w:b/>
                <w:sz w:val="23"/>
              </w:rPr>
            </w:pPr>
          </w:p>
          <w:p>
            <w:pPr>
              <w:pStyle w:val="TableParagraph"/>
              <w:ind w:right="24"/>
              <w:jc w:val="right"/>
              <w:rPr>
                <w:rFonts w:ascii="Calibri"/>
                <w:sz w:val="17"/>
              </w:rPr>
            </w:pPr>
            <w:r>
              <w:rPr>
                <w:rFonts w:ascii="Calibri"/>
                <w:sz w:val="17"/>
              </w:rPr>
              <w:t>83.64%</w:t>
            </w:r>
          </w:p>
        </w:tc>
        <w:tc>
          <w:tcPr>
            <w:tcW w:w="1029" w:type="dxa"/>
            <w:tcBorders>
              <w:left w:val="single" w:sz="5" w:space="0" w:color="DADCDD"/>
              <w:right w:val="single" w:sz="5" w:space="0" w:color="DADCDD"/>
            </w:tcBorders>
          </w:tcPr>
          <w:p>
            <w:pPr>
              <w:pStyle w:val="TableParagraph"/>
              <w:rPr>
                <w:rFonts w:ascii="Cambria"/>
                <w:b/>
                <w:sz w:val="16"/>
              </w:rPr>
            </w:pPr>
          </w:p>
          <w:p>
            <w:pPr>
              <w:pStyle w:val="TableParagraph"/>
              <w:spacing w:before="9"/>
              <w:rPr>
                <w:rFonts w:ascii="Cambria"/>
                <w:b/>
                <w:sz w:val="23"/>
              </w:rPr>
            </w:pPr>
          </w:p>
          <w:p>
            <w:pPr>
              <w:pStyle w:val="TableParagraph"/>
              <w:ind w:right="24"/>
              <w:jc w:val="right"/>
              <w:rPr>
                <w:rFonts w:ascii="Calibri"/>
                <w:sz w:val="17"/>
              </w:rPr>
            </w:pPr>
            <w:r>
              <w:rPr>
                <w:rFonts w:ascii="Calibri"/>
                <w:sz w:val="17"/>
              </w:rPr>
              <w:t>12.73%</w:t>
            </w:r>
          </w:p>
        </w:tc>
        <w:tc>
          <w:tcPr>
            <w:tcW w:w="1029" w:type="dxa"/>
            <w:tcBorders>
              <w:left w:val="single" w:sz="5" w:space="0" w:color="DADCDD"/>
              <w:right w:val="single" w:sz="5" w:space="0" w:color="DADCDD"/>
            </w:tcBorders>
          </w:tcPr>
          <w:p>
            <w:pPr>
              <w:pStyle w:val="TableParagraph"/>
              <w:rPr>
                <w:rFonts w:ascii="Cambria"/>
                <w:b/>
                <w:sz w:val="16"/>
              </w:rPr>
            </w:pPr>
          </w:p>
          <w:p>
            <w:pPr>
              <w:pStyle w:val="TableParagraph"/>
              <w:spacing w:before="9"/>
              <w:rPr>
                <w:rFonts w:ascii="Cambria"/>
                <w:b/>
                <w:sz w:val="23"/>
              </w:rPr>
            </w:pPr>
          </w:p>
          <w:p>
            <w:pPr>
              <w:pStyle w:val="TableParagraph"/>
              <w:ind w:right="24"/>
              <w:jc w:val="right"/>
              <w:rPr>
                <w:rFonts w:ascii="Calibri"/>
                <w:sz w:val="17"/>
              </w:rPr>
            </w:pPr>
            <w:r>
              <w:rPr>
                <w:rFonts w:ascii="Calibri"/>
                <w:sz w:val="17"/>
              </w:rPr>
              <w:t>3.64%</w:t>
            </w:r>
          </w:p>
        </w:tc>
        <w:tc>
          <w:tcPr>
            <w:tcW w:w="1029" w:type="dxa"/>
            <w:tcBorders>
              <w:left w:val="single" w:sz="5" w:space="0" w:color="DADCDD"/>
            </w:tcBorders>
          </w:tcPr>
          <w:p>
            <w:pPr>
              <w:pStyle w:val="TableParagraph"/>
              <w:rPr>
                <w:rFonts w:ascii="Cambria"/>
                <w:b/>
                <w:sz w:val="16"/>
              </w:rPr>
            </w:pPr>
          </w:p>
          <w:p>
            <w:pPr>
              <w:pStyle w:val="TableParagraph"/>
              <w:spacing w:before="9"/>
              <w:rPr>
                <w:rFonts w:ascii="Cambria"/>
                <w:b/>
                <w:sz w:val="23"/>
              </w:rPr>
            </w:pPr>
          </w:p>
          <w:p>
            <w:pPr>
              <w:pStyle w:val="TableParagraph"/>
              <w:ind w:right="24"/>
              <w:jc w:val="right"/>
              <w:rPr>
                <w:rFonts w:ascii="Calibri"/>
                <w:sz w:val="17"/>
              </w:rPr>
            </w:pPr>
            <w:r>
              <w:rPr>
                <w:rFonts w:ascii="Calibri"/>
                <w:sz w:val="17"/>
              </w:rPr>
              <w:t>0.00%</w:t>
            </w:r>
          </w:p>
        </w:tc>
      </w:tr>
      <w:tr>
        <w:trPr>
          <w:trHeight w:val="229" w:hRule="exact"/>
        </w:trPr>
        <w:tc>
          <w:tcPr>
            <w:tcW w:w="6104" w:type="dxa"/>
            <w:tcBorders>
              <w:right w:val="nil"/>
            </w:tcBorders>
            <w:shd w:val="clear" w:color="auto" w:fill="FCE9D9"/>
          </w:tcPr>
          <w:p>
            <w:pPr>
              <w:pStyle w:val="TableParagraph"/>
              <w:spacing w:before="14"/>
              <w:ind w:left="34" w:right="50"/>
              <w:rPr>
                <w:sz w:val="18"/>
              </w:rPr>
            </w:pPr>
            <w:r>
              <w:rPr>
                <w:sz w:val="18"/>
              </w:rPr>
              <w:t>En el instituto es normal que existan discusiones entre parejas</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30.91%</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54.55%</w:t>
            </w:r>
          </w:p>
        </w:tc>
        <w:tc>
          <w:tcPr>
            <w:tcW w:w="1029" w:type="dxa"/>
            <w:tcBorders>
              <w:left w:val="nil"/>
              <w:right w:val="nil"/>
            </w:tcBorders>
            <w:shd w:val="clear" w:color="auto" w:fill="FCE9D9"/>
          </w:tcPr>
          <w:p>
            <w:pPr>
              <w:pStyle w:val="TableParagraph"/>
              <w:spacing w:before="9"/>
              <w:ind w:right="30"/>
              <w:jc w:val="right"/>
              <w:rPr>
                <w:rFonts w:ascii="Calibri"/>
                <w:sz w:val="17"/>
              </w:rPr>
            </w:pPr>
            <w:r>
              <w:rPr>
                <w:rFonts w:ascii="Calibri"/>
                <w:sz w:val="17"/>
              </w:rPr>
              <w:t>14.55%</w:t>
            </w:r>
          </w:p>
        </w:tc>
        <w:tc>
          <w:tcPr>
            <w:tcW w:w="1029" w:type="dxa"/>
            <w:tcBorders>
              <w:left w:val="nil"/>
            </w:tcBorders>
            <w:shd w:val="clear" w:color="auto" w:fill="FCE9D9"/>
          </w:tcPr>
          <w:p>
            <w:pPr>
              <w:pStyle w:val="TableParagraph"/>
              <w:spacing w:before="9"/>
              <w:ind w:right="24"/>
              <w:jc w:val="right"/>
              <w:rPr>
                <w:rFonts w:ascii="Calibri"/>
                <w:sz w:val="17"/>
              </w:rPr>
            </w:pPr>
            <w:r>
              <w:rPr>
                <w:rFonts w:ascii="Calibri"/>
                <w:sz w:val="17"/>
              </w:rPr>
              <w:t>0.00%</w:t>
            </w:r>
          </w:p>
        </w:tc>
      </w:tr>
      <w:tr>
        <w:trPr>
          <w:trHeight w:val="457" w:hRule="exact"/>
        </w:trPr>
        <w:tc>
          <w:tcPr>
            <w:tcW w:w="6104" w:type="dxa"/>
            <w:tcBorders>
              <w:right w:val="single" w:sz="5" w:space="0" w:color="DADCDD"/>
            </w:tcBorders>
          </w:tcPr>
          <w:p>
            <w:pPr>
              <w:pStyle w:val="TableParagraph"/>
              <w:spacing w:line="264" w:lineRule="auto" w:before="14"/>
              <w:ind w:left="34" w:right="49"/>
              <w:rPr>
                <w:sz w:val="18"/>
              </w:rPr>
            </w:pPr>
            <w:r>
              <w:rPr>
                <w:sz w:val="18"/>
              </w:rPr>
              <w:t>En algunas ocasiones he visto que personal de la universidad acosa a las mujeres del instituto.</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56.36%</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30.91%</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1.82%</w:t>
            </w:r>
          </w:p>
        </w:tc>
        <w:tc>
          <w:tcPr>
            <w:tcW w:w="1029" w:type="dxa"/>
            <w:tcBorders>
              <w:lef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10.91%</w:t>
            </w:r>
          </w:p>
        </w:tc>
      </w:tr>
      <w:tr>
        <w:trPr>
          <w:trHeight w:val="457" w:hRule="exact"/>
        </w:trPr>
        <w:tc>
          <w:tcPr>
            <w:tcW w:w="6104" w:type="dxa"/>
            <w:tcBorders>
              <w:right w:val="nil"/>
            </w:tcBorders>
            <w:shd w:val="clear" w:color="auto" w:fill="FCE9D9"/>
          </w:tcPr>
          <w:p>
            <w:pPr>
              <w:pStyle w:val="TableParagraph"/>
              <w:spacing w:before="128"/>
              <w:ind w:left="34" w:right="50"/>
              <w:rPr>
                <w:sz w:val="18"/>
              </w:rPr>
            </w:pPr>
            <w:r>
              <w:rPr>
                <w:sz w:val="18"/>
              </w:rPr>
              <w:t>Creo </w:t>
            </w:r>
            <w:r>
              <w:rPr>
                <w:spacing w:val="-4"/>
                <w:sz w:val="18"/>
              </w:rPr>
              <w:t>que </w:t>
            </w:r>
            <w:r>
              <w:rPr>
                <w:sz w:val="18"/>
              </w:rPr>
              <w:t>el </w:t>
            </w:r>
            <w:r>
              <w:rPr>
                <w:spacing w:val="-4"/>
                <w:sz w:val="18"/>
              </w:rPr>
              <w:t>trato </w:t>
            </w:r>
            <w:r>
              <w:rPr>
                <w:sz w:val="18"/>
              </w:rPr>
              <w:t>de </w:t>
            </w:r>
            <w:r>
              <w:rPr>
                <w:spacing w:val="-3"/>
                <w:sz w:val="18"/>
              </w:rPr>
              <w:t>las/os </w:t>
            </w:r>
            <w:r>
              <w:rPr>
                <w:sz w:val="18"/>
              </w:rPr>
              <w:t>profesoras/es hacia </w:t>
            </w:r>
            <w:r>
              <w:rPr>
                <w:spacing w:val="-3"/>
                <w:sz w:val="18"/>
              </w:rPr>
              <w:t>los hombres </w:t>
            </w:r>
            <w:r>
              <w:rPr>
                <w:sz w:val="18"/>
              </w:rPr>
              <w:t>es  </w:t>
            </w:r>
            <w:r>
              <w:rPr>
                <w:spacing w:val="-3"/>
                <w:sz w:val="18"/>
              </w:rPr>
              <w:t>preferencial.</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12.73%</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36.36%</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40.00%</w:t>
            </w:r>
          </w:p>
        </w:tc>
        <w:tc>
          <w:tcPr>
            <w:tcW w:w="1029" w:type="dxa"/>
            <w:tcBorders>
              <w:left w:val="nil"/>
            </w:tcBorders>
            <w:shd w:val="clear" w:color="auto" w:fill="FCE9D9"/>
          </w:tcPr>
          <w:p>
            <w:pPr>
              <w:pStyle w:val="TableParagraph"/>
              <w:spacing w:before="3"/>
              <w:rPr>
                <w:rFonts w:ascii="Cambria"/>
                <w:b/>
                <w:sz w:val="20"/>
              </w:rPr>
            </w:pPr>
          </w:p>
          <w:p>
            <w:pPr>
              <w:pStyle w:val="TableParagraph"/>
              <w:ind w:right="24"/>
              <w:jc w:val="right"/>
              <w:rPr>
                <w:rFonts w:ascii="Calibri"/>
                <w:sz w:val="17"/>
              </w:rPr>
            </w:pPr>
            <w:r>
              <w:rPr>
                <w:rFonts w:ascii="Calibri"/>
                <w:sz w:val="17"/>
              </w:rPr>
              <w:t>10.91%</w:t>
            </w:r>
          </w:p>
        </w:tc>
      </w:tr>
      <w:tr>
        <w:trPr>
          <w:trHeight w:val="457" w:hRule="exact"/>
        </w:trPr>
        <w:tc>
          <w:tcPr>
            <w:tcW w:w="6104" w:type="dxa"/>
            <w:tcBorders>
              <w:right w:val="single" w:sz="5" w:space="0" w:color="DADCDD"/>
            </w:tcBorders>
          </w:tcPr>
          <w:p>
            <w:pPr>
              <w:pStyle w:val="TableParagraph"/>
              <w:spacing w:line="264" w:lineRule="auto" w:before="14"/>
              <w:ind w:left="34" w:right="49"/>
              <w:rPr>
                <w:sz w:val="18"/>
              </w:rPr>
            </w:pPr>
            <w:r>
              <w:rPr>
                <w:sz w:val="18"/>
              </w:rPr>
              <w:t>En las discusiones de pareja que he visto se resuelven de forma violenta [gritos, agresiones, empujones, etc.]</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30.91%</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41.82%</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23.64%</w:t>
            </w:r>
          </w:p>
        </w:tc>
        <w:tc>
          <w:tcPr>
            <w:tcW w:w="1029" w:type="dxa"/>
            <w:tcBorders>
              <w:lef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3.64%</w:t>
            </w:r>
          </w:p>
        </w:tc>
      </w:tr>
      <w:tr>
        <w:trPr>
          <w:trHeight w:val="457" w:hRule="exact"/>
        </w:trPr>
        <w:tc>
          <w:tcPr>
            <w:tcW w:w="6104" w:type="dxa"/>
            <w:tcBorders>
              <w:right w:val="nil"/>
            </w:tcBorders>
            <w:shd w:val="clear" w:color="auto" w:fill="FCE9D9"/>
          </w:tcPr>
          <w:p>
            <w:pPr>
              <w:pStyle w:val="TableParagraph"/>
              <w:spacing w:line="264" w:lineRule="auto" w:before="13"/>
              <w:ind w:left="34" w:right="50"/>
              <w:rPr>
                <w:sz w:val="18"/>
              </w:rPr>
            </w:pPr>
            <w:r>
              <w:rPr>
                <w:sz w:val="18"/>
              </w:rPr>
              <w:t>La mayoría de los compañeros considera normal decir piropos a las compañeras.</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65.45%</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10.91%</w:t>
            </w:r>
          </w:p>
        </w:tc>
        <w:tc>
          <w:tcPr>
            <w:tcW w:w="1029" w:type="dxa"/>
            <w:tcBorders>
              <w:left w:val="nil"/>
              <w:right w:val="nil"/>
            </w:tcBorders>
            <w:shd w:val="clear" w:color="auto" w:fill="FCE9D9"/>
          </w:tcPr>
          <w:p>
            <w:pPr>
              <w:pStyle w:val="TableParagraph"/>
              <w:spacing w:before="3"/>
              <w:rPr>
                <w:rFonts w:ascii="Cambria"/>
                <w:b/>
                <w:sz w:val="20"/>
              </w:rPr>
            </w:pPr>
          </w:p>
          <w:p>
            <w:pPr>
              <w:pStyle w:val="TableParagraph"/>
              <w:ind w:right="30"/>
              <w:jc w:val="right"/>
              <w:rPr>
                <w:rFonts w:ascii="Calibri"/>
                <w:sz w:val="17"/>
              </w:rPr>
            </w:pPr>
            <w:r>
              <w:rPr>
                <w:rFonts w:ascii="Calibri"/>
                <w:sz w:val="17"/>
              </w:rPr>
              <w:t>20.00%</w:t>
            </w:r>
          </w:p>
        </w:tc>
        <w:tc>
          <w:tcPr>
            <w:tcW w:w="1029" w:type="dxa"/>
            <w:tcBorders>
              <w:left w:val="nil"/>
            </w:tcBorders>
            <w:shd w:val="clear" w:color="auto" w:fill="FCE9D9"/>
          </w:tcPr>
          <w:p>
            <w:pPr>
              <w:pStyle w:val="TableParagraph"/>
              <w:spacing w:before="3"/>
              <w:rPr>
                <w:rFonts w:ascii="Cambria"/>
                <w:b/>
                <w:sz w:val="20"/>
              </w:rPr>
            </w:pPr>
          </w:p>
          <w:p>
            <w:pPr>
              <w:pStyle w:val="TableParagraph"/>
              <w:ind w:right="14"/>
              <w:jc w:val="right"/>
              <w:rPr>
                <w:rFonts w:ascii="Calibri"/>
                <w:sz w:val="17"/>
              </w:rPr>
            </w:pPr>
            <w:r>
              <w:rPr>
                <w:rFonts w:ascii="Calibri"/>
                <w:sz w:val="17"/>
              </w:rPr>
              <w:t>3.64</w:t>
            </w:r>
          </w:p>
        </w:tc>
      </w:tr>
      <w:tr>
        <w:trPr>
          <w:trHeight w:val="457" w:hRule="exact"/>
        </w:trPr>
        <w:tc>
          <w:tcPr>
            <w:tcW w:w="6104" w:type="dxa"/>
            <w:tcBorders>
              <w:right w:val="single" w:sz="5" w:space="0" w:color="DADCDD"/>
            </w:tcBorders>
          </w:tcPr>
          <w:p>
            <w:pPr>
              <w:pStyle w:val="TableParagraph"/>
              <w:spacing w:before="128"/>
              <w:ind w:left="34"/>
              <w:rPr>
                <w:sz w:val="18"/>
              </w:rPr>
            </w:pPr>
            <w:r>
              <w:rPr>
                <w:sz w:val="18"/>
              </w:rPr>
              <w:t>Cuando las/os profesores/as observan una discusión de pareja intervienen.</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67.27%</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7.27%</w:t>
            </w:r>
          </w:p>
        </w:tc>
        <w:tc>
          <w:tcPr>
            <w:tcW w:w="1029" w:type="dxa"/>
            <w:tcBorders>
              <w:left w:val="single" w:sz="5" w:space="0" w:color="DADCDD"/>
              <w:right w:val="single" w:sz="5" w:space="0" w:color="DADCDD"/>
            </w:tcBorders>
          </w:tcPr>
          <w:p>
            <w:pPr>
              <w:pStyle w:val="TableParagraph"/>
              <w:spacing w:before="3"/>
              <w:rPr>
                <w:rFonts w:ascii="Cambria"/>
                <w:b/>
                <w:sz w:val="20"/>
              </w:rPr>
            </w:pPr>
          </w:p>
          <w:p>
            <w:pPr>
              <w:pStyle w:val="TableParagraph"/>
              <w:ind w:right="24"/>
              <w:jc w:val="right"/>
              <w:rPr>
                <w:rFonts w:ascii="Calibri"/>
                <w:sz w:val="17"/>
              </w:rPr>
            </w:pPr>
            <w:r>
              <w:rPr>
                <w:rFonts w:ascii="Calibri"/>
                <w:sz w:val="17"/>
              </w:rPr>
              <w:t>23.64%</w:t>
            </w:r>
          </w:p>
        </w:tc>
        <w:tc>
          <w:tcPr>
            <w:tcW w:w="1029" w:type="dxa"/>
            <w:tcBorders>
              <w:left w:val="single" w:sz="5" w:space="0" w:color="DADCDD"/>
            </w:tcBorders>
          </w:tcPr>
          <w:p>
            <w:pPr>
              <w:pStyle w:val="TableParagraph"/>
              <w:spacing w:before="3"/>
              <w:rPr>
                <w:rFonts w:ascii="Cambria"/>
                <w:b/>
                <w:sz w:val="20"/>
              </w:rPr>
            </w:pPr>
          </w:p>
          <w:p>
            <w:pPr>
              <w:pStyle w:val="TableParagraph"/>
              <w:ind w:right="14"/>
              <w:jc w:val="right"/>
              <w:rPr>
                <w:rFonts w:ascii="Calibri"/>
                <w:sz w:val="17"/>
              </w:rPr>
            </w:pPr>
            <w:r>
              <w:rPr>
                <w:rFonts w:ascii="Calibri"/>
                <w:sz w:val="17"/>
              </w:rPr>
              <w:t>1.82</w:t>
            </w:r>
          </w:p>
        </w:tc>
      </w:tr>
    </w:tbl>
    <w:p>
      <w:pPr>
        <w:pStyle w:val="BodyText"/>
        <w:spacing w:before="8"/>
        <w:rPr>
          <w:rFonts w:ascii="Cambria"/>
          <w:b/>
          <w:sz w:val="28"/>
        </w:rPr>
      </w:pPr>
    </w:p>
    <w:p>
      <w:pPr>
        <w:spacing w:before="0"/>
        <w:ind w:left="100" w:right="0" w:firstLine="0"/>
        <w:jc w:val="both"/>
        <w:rPr>
          <w:rFonts w:ascii="Calibri" w:hAnsi="Calibri"/>
          <w:b/>
          <w:sz w:val="18"/>
        </w:rPr>
      </w:pPr>
      <w:r>
        <w:rPr>
          <w:rFonts w:ascii="Calibri" w:hAnsi="Calibri"/>
          <w:b/>
          <w:color w:val="4F81BC"/>
          <w:sz w:val="18"/>
        </w:rPr>
        <w:t>Ilustración 2 Elaboración propia con base a trabajo de campo [Munive, 2014]</w:t>
      </w:r>
    </w:p>
    <w:p>
      <w:pPr>
        <w:pStyle w:val="BodyText"/>
        <w:spacing w:before="1"/>
        <w:rPr>
          <w:rFonts w:ascii="Calibri"/>
          <w:b/>
          <w:sz w:val="16"/>
        </w:rPr>
      </w:pPr>
    </w:p>
    <w:p>
      <w:pPr>
        <w:pStyle w:val="BodyText"/>
        <w:spacing w:line="360" w:lineRule="auto"/>
        <w:ind w:left="100" w:right="977" w:firstLine="67"/>
        <w:jc w:val="both"/>
      </w:pPr>
      <w:r>
        <w:rPr/>
        <w:t>Otro rasgo de peculiaridad es que mientras para los hombres la violencia no solo se niega cuando puede ser ejercida por sí mismo, sino que en las preguntas referentes al ejercicio del mismo por otros es invisibilizado [reactivos como ” Cuando he presenciado una discusión de pareja considero que "es normal que el hombre jale a su pareja, le grite o simplemente guarde silencio y se vaya”, “En el instituto es normal que existan discusiones entre parejas”, “Creo que el trato de las/os profesoras/es hacia los  hombres</w:t>
      </w:r>
      <w:r>
        <w:rPr>
          <w:spacing w:val="37"/>
        </w:rPr>
        <w:t> </w:t>
      </w:r>
      <w:r>
        <w:rPr/>
        <w:t>es</w:t>
      </w:r>
      <w:r>
        <w:rPr>
          <w:spacing w:val="37"/>
        </w:rPr>
        <w:t> </w:t>
      </w:r>
      <w:r>
        <w:rPr/>
        <w:t>preferencial”,</w:t>
      </w:r>
      <w:r>
        <w:rPr>
          <w:spacing w:val="37"/>
        </w:rPr>
        <w:t> </w:t>
      </w:r>
      <w:r>
        <w:rPr/>
        <w:t>y</w:t>
      </w:r>
      <w:r>
        <w:rPr>
          <w:spacing w:val="37"/>
        </w:rPr>
        <w:t> </w:t>
      </w:r>
      <w:r>
        <w:rPr/>
        <w:t>particularmente</w:t>
      </w:r>
      <w:r>
        <w:rPr>
          <w:spacing w:val="36"/>
        </w:rPr>
        <w:t> </w:t>
      </w:r>
      <w:r>
        <w:rPr/>
        <w:t>el</w:t>
      </w:r>
      <w:r>
        <w:rPr>
          <w:spacing w:val="38"/>
        </w:rPr>
        <w:t> </w:t>
      </w:r>
      <w:r>
        <w:rPr/>
        <w:t>“En</w:t>
      </w:r>
      <w:r>
        <w:rPr>
          <w:spacing w:val="37"/>
        </w:rPr>
        <w:t> </w:t>
      </w:r>
      <w:r>
        <w:rPr/>
        <w:t>las</w:t>
      </w:r>
      <w:r>
        <w:rPr>
          <w:spacing w:val="37"/>
        </w:rPr>
        <w:t> </w:t>
      </w:r>
      <w:r>
        <w:rPr/>
        <w:t>discusiones</w:t>
      </w:r>
      <w:r>
        <w:rPr>
          <w:spacing w:val="37"/>
        </w:rPr>
        <w:t> </w:t>
      </w:r>
      <w:r>
        <w:rPr/>
        <w:t>de</w:t>
      </w:r>
      <w:r>
        <w:rPr>
          <w:spacing w:val="37"/>
        </w:rPr>
        <w:t> </w:t>
      </w:r>
      <w:r>
        <w:rPr/>
        <w:t>pareja</w:t>
      </w:r>
      <w:r>
        <w:rPr>
          <w:spacing w:val="37"/>
        </w:rPr>
        <w:t> </w:t>
      </w:r>
      <w:r>
        <w:rPr/>
        <w:t>que</w:t>
      </w:r>
      <w:r>
        <w:rPr>
          <w:spacing w:val="37"/>
        </w:rPr>
        <w:t> </w:t>
      </w:r>
      <w:r>
        <w:rPr/>
        <w:t>he</w:t>
      </w:r>
    </w:p>
    <w:p>
      <w:pPr>
        <w:spacing w:after="0" w:line="360" w:lineRule="auto"/>
        <w:jc w:val="both"/>
        <w:sectPr>
          <w:pgSz w:w="12240" w:h="15840"/>
          <w:pgMar w:header="0" w:footer="1014" w:top="1400" w:bottom="1200" w:left="1340" w:right="460"/>
        </w:sectPr>
      </w:pPr>
    </w:p>
    <w:p>
      <w:pPr>
        <w:pStyle w:val="BodyText"/>
        <w:spacing w:line="360" w:lineRule="auto" w:before="58"/>
        <w:ind w:left="100" w:right="115"/>
        <w:jc w:val="both"/>
      </w:pPr>
      <w:r>
        <w:rPr/>
        <w:t>visto se resuelven de forma violenta (gritos, agresiones, empujones, etcétera)” puesto que implica una agresión directa a la persona]. La cuestión del “piropo” constituye una práctica “normal”. Estos rasgos estadísticos “insignificantes” ha motivado la complementación de la información recabada con el cuestionario.</w:t>
      </w:r>
    </w:p>
    <w:p>
      <w:pPr>
        <w:pStyle w:val="BodyText"/>
        <w:spacing w:line="360" w:lineRule="auto" w:before="202"/>
        <w:ind w:left="100" w:right="113"/>
        <w:jc w:val="both"/>
      </w:pPr>
      <w:r>
        <w:rPr/>
        <w:t>Aunado a lo anterior cabe destacar que, si bien existe un organismo [</w:t>
      </w:r>
      <w:r>
        <w:rPr>
          <w:i/>
        </w:rPr>
        <w:t>Defensor </w:t>
      </w:r>
      <w:r>
        <w:rPr>
          <w:i/>
        </w:rPr>
        <w:t>Universitario</w:t>
      </w:r>
      <w:r>
        <w:rPr/>
        <w:t>] encargado de la difusión de prácticas que promuevan la equidad de género ninguna de las personas encuestadas mencionan este organismo como una opción de asistencia en caso de sufrir violencia de género. En su inmensa mayoría [96.4 por ciento de varones y un 98.6 por ciento de mujeres] recurrirían a sus familiares o amigos, relegando un porcentaje muy pequeño [2.1 por ciento de hombres y 0.8 por ciento de mujeres] a cuerpo de la UAEH: profesores, asesores, pero no al </w:t>
      </w:r>
      <w:r>
        <w:rPr>
          <w:i/>
        </w:rPr>
        <w:t>Defensor </w:t>
      </w:r>
      <w:r>
        <w:rPr>
          <w:i/>
        </w:rPr>
        <w:t>Universitario</w:t>
      </w:r>
      <w:r>
        <w:rPr/>
        <w:t>. Este dato, el hecho de que las mujeres asistieran en menor medida a un[a] profesor[a] como un elemento que pudiera asesorar, auxiliar u orientar en caso de sufrir violencia de género en la relación erótico-afectiva no puede proporcionar un indicador sobre la dinámica interna del</w:t>
      </w:r>
      <w:r>
        <w:rPr>
          <w:spacing w:val="-13"/>
        </w:rPr>
        <w:t> </w:t>
      </w:r>
      <w:r>
        <w:rPr/>
        <w:t>ICBI.</w:t>
      </w:r>
    </w:p>
    <w:p>
      <w:pPr>
        <w:pStyle w:val="BodyText"/>
      </w:pPr>
    </w:p>
    <w:p>
      <w:pPr>
        <w:pStyle w:val="BodyText"/>
      </w:pPr>
    </w:p>
    <w:p>
      <w:pPr>
        <w:pStyle w:val="BodyText"/>
        <w:spacing w:before="2"/>
        <w:rPr>
          <w:sz w:val="23"/>
        </w:rPr>
      </w:pPr>
    </w:p>
    <w:p>
      <w:pPr>
        <w:pStyle w:val="Heading1"/>
        <w:spacing w:before="0"/>
      </w:pPr>
      <w:bookmarkStart w:name="_bookmark19" w:id="20"/>
      <w:bookmarkEnd w:id="20"/>
      <w:r>
        <w:rPr>
          <w:b w:val="0"/>
        </w:rPr>
      </w:r>
      <w:r>
        <w:rPr>
          <w:color w:val="4F81BC"/>
        </w:rPr>
        <w:t>Inventario de Masculinidad y Femineidad-Imafe</w:t>
      </w:r>
    </w:p>
    <w:p>
      <w:pPr>
        <w:pStyle w:val="BodyText"/>
        <w:rPr>
          <w:b/>
        </w:rPr>
      </w:pPr>
    </w:p>
    <w:p>
      <w:pPr>
        <w:pStyle w:val="BodyText"/>
        <w:spacing w:before="7"/>
        <w:rPr>
          <w:b/>
        </w:rPr>
      </w:pPr>
    </w:p>
    <w:p>
      <w:pPr>
        <w:pStyle w:val="BodyText"/>
        <w:spacing w:line="360" w:lineRule="auto"/>
        <w:ind w:left="100" w:right="120"/>
        <w:jc w:val="both"/>
      </w:pPr>
      <w:r>
        <w:rPr/>
        <w:t>De igual forma se aplicó la escala de Masculinidad y Feminidad de Lara a la misma cantidad de estudiantes. Dicha escala consta de 106 reactivos que evalúan rasgos de la masculinidad [“positivos” y “negativos”] y </w:t>
      </w:r>
      <w:r>
        <w:rPr>
          <w:spacing w:val="2"/>
        </w:rPr>
        <w:t>de </w:t>
      </w:r>
      <w:r>
        <w:rPr/>
        <w:t>la feminidad [igualmente “positivos” y “negativos”], en baso a constructos socio-culturales. Los rasgos masculinos “negativos” son aquellos que, podríamos determinar cómo prácticas extremas de una masculinidad hegemónica.</w:t>
      </w:r>
    </w:p>
    <w:p>
      <w:pPr>
        <w:pStyle w:val="BodyText"/>
        <w:spacing w:line="360" w:lineRule="auto" w:before="204"/>
        <w:ind w:left="100" w:right="121"/>
        <w:jc w:val="both"/>
      </w:pPr>
      <w:r>
        <w:rPr/>
        <w:t>Esta encuesta se aplicó tanto a hombres como a mujeres, la intención de la aplicación fue, conocer a grandes rasgos la concepción que tiene el propio estudiantado respecto a sí mismo y determinar si existe una relación entre la misma y lo que anteriormente se ha tratado de demostrar como un “espacio masculino”.</w:t>
      </w:r>
    </w:p>
    <w:p>
      <w:pPr>
        <w:spacing w:after="0" w:line="360" w:lineRule="auto"/>
        <w:jc w:val="both"/>
        <w:sectPr>
          <w:pgSz w:w="12240" w:h="15840"/>
          <w:pgMar w:header="0" w:footer="1014" w:top="1380" w:bottom="1200" w:left="1340" w:right="1320"/>
        </w:sectPr>
      </w:pPr>
    </w:p>
    <w:p>
      <w:pPr>
        <w:pStyle w:val="Heading1"/>
        <w:spacing w:before="58"/>
      </w:pPr>
      <w:bookmarkStart w:name="_bookmark20" w:id="21"/>
      <w:bookmarkEnd w:id="21"/>
      <w:r>
        <w:rPr>
          <w:b w:val="0"/>
        </w:rPr>
      </w:r>
      <w:r>
        <w:rPr>
          <w:color w:val="4F81BC"/>
        </w:rPr>
        <w:t>Grupo Focal [grupo de discusión]</w:t>
      </w:r>
    </w:p>
    <w:p>
      <w:pPr>
        <w:pStyle w:val="BodyText"/>
        <w:rPr>
          <w:b/>
        </w:rPr>
      </w:pPr>
    </w:p>
    <w:p>
      <w:pPr>
        <w:pStyle w:val="BodyText"/>
        <w:spacing w:before="7"/>
        <w:rPr>
          <w:b/>
        </w:rPr>
      </w:pPr>
    </w:p>
    <w:p>
      <w:pPr>
        <w:pStyle w:val="BodyText"/>
        <w:spacing w:line="360" w:lineRule="auto"/>
        <w:ind w:left="100" w:right="121"/>
        <w:jc w:val="both"/>
      </w:pPr>
      <w:r>
        <w:rPr/>
        <w:t>Como parte de la estrategia implementada para recabar mayor información y con la intención de conocer si verdaderamente los datos recabados por la encuesta eran fehacientes se realizaron, como ya he mencionado, una serie de grupos focales. Se decidió separar a las personas en razón de sexo y semestre, esto ante las recomendaciones del trabajo en masculinidades.</w:t>
      </w:r>
    </w:p>
    <w:p>
      <w:pPr>
        <w:pStyle w:val="BodyText"/>
        <w:spacing w:before="205"/>
        <w:ind w:left="100"/>
        <w:jc w:val="both"/>
      </w:pPr>
      <w:r>
        <w:rPr/>
        <w:t>Dentro de estos grupos de discusión se plantearon las siguientes temáticas:</w:t>
      </w:r>
    </w:p>
    <w:p>
      <w:pPr>
        <w:pStyle w:val="BodyText"/>
        <w:spacing w:before="3"/>
        <w:rPr>
          <w:sz w:val="29"/>
        </w:rPr>
      </w:pPr>
    </w:p>
    <w:p>
      <w:pPr>
        <w:pStyle w:val="ListParagraph"/>
        <w:numPr>
          <w:ilvl w:val="0"/>
          <w:numId w:val="1"/>
        </w:numPr>
        <w:tabs>
          <w:tab w:pos="820" w:val="left" w:leader="none"/>
          <w:tab w:pos="821" w:val="left" w:leader="none"/>
        </w:tabs>
        <w:spacing w:line="240" w:lineRule="auto" w:before="0" w:after="0"/>
        <w:ind w:left="820" w:right="0" w:hanging="360"/>
        <w:jc w:val="left"/>
        <w:rPr>
          <w:sz w:val="24"/>
        </w:rPr>
      </w:pPr>
      <w:r>
        <w:rPr>
          <w:sz w:val="24"/>
        </w:rPr>
        <w:t>¿Qué es</w:t>
      </w:r>
      <w:r>
        <w:rPr>
          <w:spacing w:val="-5"/>
          <w:sz w:val="24"/>
        </w:rPr>
        <w:t> </w:t>
      </w:r>
      <w:r>
        <w:rPr>
          <w:sz w:val="24"/>
        </w:rPr>
        <w:t>violencia?</w:t>
      </w:r>
    </w:p>
    <w:p>
      <w:pPr>
        <w:pStyle w:val="ListParagraph"/>
        <w:numPr>
          <w:ilvl w:val="0"/>
          <w:numId w:val="1"/>
        </w:numPr>
        <w:tabs>
          <w:tab w:pos="820" w:val="left" w:leader="none"/>
          <w:tab w:pos="821" w:val="left" w:leader="none"/>
        </w:tabs>
        <w:spacing w:line="240" w:lineRule="auto" w:before="138" w:after="0"/>
        <w:ind w:left="820" w:right="0" w:hanging="360"/>
        <w:jc w:val="left"/>
        <w:rPr>
          <w:sz w:val="24"/>
        </w:rPr>
      </w:pPr>
      <w:r>
        <w:rPr>
          <w:sz w:val="24"/>
        </w:rPr>
        <w:t>¿He ejercido</w:t>
      </w:r>
      <w:r>
        <w:rPr>
          <w:spacing w:val="-6"/>
          <w:sz w:val="24"/>
        </w:rPr>
        <w:t> </w:t>
      </w:r>
      <w:r>
        <w:rPr>
          <w:sz w:val="24"/>
        </w:rPr>
        <w:t>violencia?</w:t>
      </w:r>
    </w:p>
    <w:p>
      <w:pPr>
        <w:pStyle w:val="ListParagraph"/>
        <w:numPr>
          <w:ilvl w:val="0"/>
          <w:numId w:val="1"/>
        </w:numPr>
        <w:tabs>
          <w:tab w:pos="820" w:val="left" w:leader="none"/>
          <w:tab w:pos="821" w:val="left" w:leader="none"/>
        </w:tabs>
        <w:spacing w:line="240" w:lineRule="auto" w:before="135" w:after="0"/>
        <w:ind w:left="820" w:right="0" w:hanging="360"/>
        <w:jc w:val="left"/>
        <w:rPr>
          <w:sz w:val="24"/>
        </w:rPr>
      </w:pPr>
      <w:r>
        <w:rPr>
          <w:sz w:val="24"/>
        </w:rPr>
        <w:t>¿Cómo identificar la violencia de</w:t>
      </w:r>
      <w:r>
        <w:rPr>
          <w:spacing w:val="-15"/>
          <w:sz w:val="24"/>
        </w:rPr>
        <w:t> </w:t>
      </w:r>
      <w:r>
        <w:rPr>
          <w:sz w:val="24"/>
        </w:rPr>
        <w:t>género?</w:t>
      </w:r>
    </w:p>
    <w:p>
      <w:pPr>
        <w:pStyle w:val="ListParagraph"/>
        <w:numPr>
          <w:ilvl w:val="0"/>
          <w:numId w:val="1"/>
        </w:numPr>
        <w:tabs>
          <w:tab w:pos="820" w:val="left" w:leader="none"/>
          <w:tab w:pos="821" w:val="left" w:leader="none"/>
        </w:tabs>
        <w:spacing w:line="240" w:lineRule="auto" w:before="135" w:after="0"/>
        <w:ind w:left="820" w:right="0" w:hanging="360"/>
        <w:jc w:val="left"/>
        <w:rPr>
          <w:sz w:val="24"/>
        </w:rPr>
      </w:pPr>
      <w:r>
        <w:rPr>
          <w:sz w:val="24"/>
        </w:rPr>
        <w:t>¿Qué diferencia existe entre novios y relación de</w:t>
      </w:r>
      <w:r>
        <w:rPr>
          <w:spacing w:val="-15"/>
          <w:sz w:val="24"/>
        </w:rPr>
        <w:t> </w:t>
      </w:r>
      <w:r>
        <w:rPr>
          <w:sz w:val="24"/>
        </w:rPr>
        <w:t>pareja?</w:t>
      </w:r>
    </w:p>
    <w:p>
      <w:pPr>
        <w:pStyle w:val="BodyText"/>
        <w:spacing w:before="3"/>
        <w:rPr>
          <w:sz w:val="29"/>
        </w:rPr>
      </w:pPr>
    </w:p>
    <w:p>
      <w:pPr>
        <w:pStyle w:val="BodyText"/>
        <w:spacing w:line="360" w:lineRule="auto"/>
        <w:ind w:left="100" w:right="114"/>
        <w:jc w:val="both"/>
      </w:pPr>
      <w:r>
        <w:rPr/>
        <w:t>Los grupos no superaron las quince personas, y dentro de ellas sólo se moderó para evitar confrontaciones, dejando toda la interacción a las personas participantes. Se les pidió a las personas que participaran en un pequeño grupo, en el que hablarían de forma espontánea y desde su experiencia sobre los temas antes planteados, se les informó que serían audigrabados y se recabaría la información, sólo en cinco casos [hombres] no se logró el consentimiento. Las demás participantes accedieron a participar. Dentro de los datos recabados, como los que ya se han presentado con anterioridad se presentan algunos datos más.</w:t>
      </w:r>
    </w:p>
    <w:p>
      <w:pPr>
        <w:pStyle w:val="BodyText"/>
        <w:spacing w:before="204"/>
        <w:ind w:left="100"/>
        <w:jc w:val="both"/>
      </w:pPr>
      <w:r>
        <w:rPr/>
        <w:t>Respecto de violencia el caso de Aby es interesante:</w:t>
      </w:r>
    </w:p>
    <w:p>
      <w:pPr>
        <w:pStyle w:val="BodyText"/>
        <w:spacing w:before="5"/>
        <w:rPr>
          <w:sz w:val="29"/>
        </w:rPr>
      </w:pPr>
    </w:p>
    <w:p>
      <w:pPr>
        <w:pStyle w:val="BodyText"/>
        <w:spacing w:line="360" w:lineRule="auto"/>
        <w:ind w:left="676" w:right="113" w:firstLine="144"/>
        <w:jc w:val="both"/>
      </w:pPr>
      <w:r>
        <w:rPr/>
        <w:t>No creo que empujar sea violencia, o pedirle a tu novia que se vista de una  forma tampoco lo es, es que es para </w:t>
      </w:r>
      <w:r>
        <w:rPr>
          <w:i/>
        </w:rPr>
        <w:t>cuidarla</w:t>
      </w:r>
      <w:r>
        <w:rPr/>
        <w:t>, ya ven que luego </w:t>
      </w:r>
      <w:r>
        <w:rPr>
          <w:i/>
        </w:rPr>
        <w:t>somos cabrones </w:t>
      </w:r>
      <w:r>
        <w:rPr/>
        <w:t>y nada más las andamos viendo. Y de eso de empujar o darse pellizcos, pues igual y es que así se </w:t>
      </w:r>
      <w:r>
        <w:rPr>
          <w:i/>
        </w:rPr>
        <w:t>llevan</w:t>
      </w:r>
      <w:r>
        <w:rPr/>
        <w:t>, ¿no?, digo cada quien, pero ya ahora todo es violencia, y pues no siempre [Aby, 24 años, Licenciatura en Minero-Metalurgia, mayo</w:t>
      </w:r>
      <w:r>
        <w:rPr>
          <w:spacing w:val="-26"/>
        </w:rPr>
        <w:t> </w:t>
      </w:r>
      <w:r>
        <w:rPr/>
        <w:t>2014].</w:t>
      </w:r>
    </w:p>
    <w:p>
      <w:pPr>
        <w:pStyle w:val="BodyText"/>
        <w:spacing w:line="362" w:lineRule="auto" w:before="202"/>
        <w:ind w:left="100" w:right="115"/>
        <w:jc w:val="both"/>
      </w:pPr>
      <w:r>
        <w:rPr/>
        <w:t>El discurso de Aby es similar al de muchos estudiantes, e incluso de algunas alumnas, en el que la violencia se ejerce como un modelo de interacción “normal” y que, en</w:t>
      </w:r>
    </w:p>
    <w:p>
      <w:pPr>
        <w:spacing w:after="0" w:line="362" w:lineRule="auto"/>
        <w:jc w:val="both"/>
        <w:sectPr>
          <w:pgSz w:w="12240" w:h="15840"/>
          <w:pgMar w:header="0" w:footer="1014" w:top="1380" w:bottom="1200" w:left="1340" w:right="1320"/>
        </w:sectPr>
      </w:pPr>
    </w:p>
    <w:p>
      <w:pPr>
        <w:pStyle w:val="BodyText"/>
        <w:spacing w:line="360" w:lineRule="auto" w:before="58"/>
        <w:ind w:left="100" w:right="127"/>
        <w:jc w:val="both"/>
      </w:pPr>
      <w:r>
        <w:rPr/>
        <w:t>algunos casos puede entenderse como una práctica de cuidado, como lo deja ver este otro testimonio</w:t>
      </w:r>
    </w:p>
    <w:p>
      <w:pPr>
        <w:pStyle w:val="BodyText"/>
        <w:spacing w:line="360" w:lineRule="auto" w:before="204"/>
        <w:ind w:left="676" w:right="116" w:firstLine="144"/>
        <w:jc w:val="both"/>
      </w:pPr>
      <w:r>
        <w:rPr/>
        <w:t>Pues es que sí, preguntar las cuentas y las contraseñas es normal, yo digo que sí. Más vale, por un lado para prevenir que lo hagan a uno pendejo, y luego ya ve que eso de las tratas está cabrón [Luis, 26 años, estudiante de la Licenciatura en Telecomunicaciones, mayo 2014].</w:t>
      </w:r>
    </w:p>
    <w:p>
      <w:pPr>
        <w:pStyle w:val="BodyText"/>
        <w:spacing w:line="360" w:lineRule="auto" w:before="204"/>
        <w:ind w:left="100" w:right="115"/>
        <w:jc w:val="both"/>
      </w:pPr>
      <w:r>
        <w:rPr/>
        <w:t>Es reiterada la visión según la cual el control hacia la pareja es, al mismo tiempo, una forma de protegerla. Como dice Badinter [1993], el miedo al engaño y ser traicionado  es algo que se muestra de forma reiterada en los varones en las relaciones interpersonales que se establezcan. Estas formas de interacción parecen ser invisibilizadas, como lo demuestra los siguientes</w:t>
      </w:r>
      <w:r>
        <w:rPr>
          <w:spacing w:val="-19"/>
        </w:rPr>
        <w:t> </w:t>
      </w:r>
      <w:r>
        <w:rPr/>
        <w:t>testimonios:</w:t>
      </w:r>
    </w:p>
    <w:p>
      <w:pPr>
        <w:pStyle w:val="BodyText"/>
        <w:spacing w:line="360" w:lineRule="auto" w:before="202"/>
        <w:ind w:left="676" w:right="115" w:firstLine="144"/>
        <w:jc w:val="both"/>
      </w:pPr>
      <w:r>
        <w:rPr/>
        <w:t>Pues yo si veo pelear a alguien, una pareja, y el novio le grita a la novia ni me meto, luego somos bien pendejas, les dices déjalo, te hace mal. Y vea, al rato hasta te dejan de hablar porque ya regresaron con el novio, o el novio les dice  que no te hablen. Mejor así, si la tratan mal pues ya es </w:t>
      </w:r>
      <w:r>
        <w:rPr>
          <w:spacing w:val="2"/>
        </w:rPr>
        <w:t>cosa </w:t>
      </w:r>
      <w:r>
        <w:rPr/>
        <w:t>de ella, por algo está allí [Rocío, 19 años, estudiante de la Licenciatura en Ciencias Computacionales, mayo</w:t>
      </w:r>
      <w:r>
        <w:rPr>
          <w:spacing w:val="-5"/>
        </w:rPr>
        <w:t> </w:t>
      </w:r>
      <w:r>
        <w:rPr/>
        <w:t>2014].</w:t>
      </w:r>
    </w:p>
    <w:p>
      <w:pPr>
        <w:pStyle w:val="BodyText"/>
        <w:spacing w:line="360" w:lineRule="auto" w:before="204"/>
        <w:ind w:left="676" w:right="116"/>
        <w:jc w:val="both"/>
      </w:pPr>
      <w:r>
        <w:rPr/>
        <w:t>Yo una vez me metí porque el güey [sic] le estaba diciendo de cosas bien feas: “puta, pinche vieja culera” así, y ¿sabe qué pasó?, </w:t>
      </w:r>
      <w:r>
        <w:rPr>
          <w:i/>
        </w:rPr>
        <w:t>la vieja </w:t>
      </w:r>
      <w:r>
        <w:rPr/>
        <w:t>voltea y me dice: “tú ni te metas”, y pues hasta coraje da, por eso yo ya ni me meto, </w:t>
      </w:r>
      <w:r>
        <w:rPr>
          <w:i/>
        </w:rPr>
        <w:t>si les gusta que las </w:t>
      </w:r>
      <w:r>
        <w:rPr>
          <w:i/>
        </w:rPr>
        <w:t>traten mal </w:t>
      </w:r>
      <w:r>
        <w:rPr/>
        <w:t>es cosa de ellas [Eleu, 25 años, estudiante de la Licenciatura en Ingeniería Civil, mayo 2014].</w:t>
      </w:r>
    </w:p>
    <w:p>
      <w:pPr>
        <w:pStyle w:val="BodyText"/>
        <w:spacing w:line="360" w:lineRule="auto" w:before="202"/>
        <w:ind w:left="100" w:right="124"/>
        <w:jc w:val="both"/>
      </w:pPr>
      <w:r>
        <w:rPr/>
        <w:t>La violencia es percibida como una práctica opcional, en la que la persona que es objeto de ella se encuentra en una dinámica por gusto, y que, deja de lado la consideración de la problemática, siendo vislumbrada como una opción o una elección a criterio</w:t>
      </w:r>
      <w:r>
        <w:rPr>
          <w:spacing w:val="-5"/>
        </w:rPr>
        <w:t> </w:t>
      </w:r>
      <w:r>
        <w:rPr/>
        <w:t>propio.</w:t>
      </w:r>
    </w:p>
    <w:p>
      <w:pPr>
        <w:spacing w:after="0" w:line="360" w:lineRule="auto"/>
        <w:jc w:val="both"/>
        <w:sectPr>
          <w:footerReference w:type="default" r:id="rId15"/>
          <w:pgSz w:w="12240" w:h="15840"/>
          <w:pgMar w:footer="1014" w:header="0" w:top="1380" w:bottom="1200" w:left="1340" w:right="1320"/>
        </w:sectPr>
      </w:pPr>
    </w:p>
    <w:p>
      <w:pPr>
        <w:pStyle w:val="Heading1"/>
        <w:spacing w:before="58"/>
      </w:pPr>
      <w:bookmarkStart w:name="_bookmark21" w:id="22"/>
      <w:bookmarkEnd w:id="22"/>
      <w:r>
        <w:rPr>
          <w:b w:val="0"/>
        </w:rPr>
      </w:r>
      <w:r>
        <w:rPr>
          <w:color w:val="4F81BC"/>
        </w:rPr>
        <w:t>Campos Semánticos</w:t>
      </w:r>
    </w:p>
    <w:p>
      <w:pPr>
        <w:pStyle w:val="BodyText"/>
        <w:rPr>
          <w:b/>
        </w:rPr>
      </w:pPr>
    </w:p>
    <w:p>
      <w:pPr>
        <w:pStyle w:val="BodyText"/>
        <w:spacing w:before="7"/>
        <w:rPr>
          <w:b/>
        </w:rPr>
      </w:pPr>
    </w:p>
    <w:p>
      <w:pPr>
        <w:pStyle w:val="BodyText"/>
        <w:spacing w:line="360" w:lineRule="auto"/>
        <w:ind w:left="100" w:right="116"/>
        <w:jc w:val="both"/>
      </w:pPr>
      <w:r>
        <w:rPr/>
        <w:t>Ante la dificultad presentada de la definición de la gran variedad de relaciones afectivas entre las y los jóvenes se optó por realizar con los grupos focales una técnica de campos semánticos, en la que se planteó la definición de una relación de noviazgo y otro tipo de relaciones. De acuerdo a la información recabada se pude determinar que entre la categoría noviazgo y la categoría “otras relaciones” existían en común los siguientes elementos: atracción, compromiso, relaciones sexuales, confianza, comunicación, cariño, expresiones afectuosas, diversión, vínculo afectivo, unión. El único componente que distinguía a la relación de noviazgo de la categoría “otras relaciones” era la fidelidad y la exclusividad sexual.</w:t>
      </w:r>
    </w:p>
    <w:p>
      <w:pPr>
        <w:pStyle w:val="BodyText"/>
        <w:spacing w:line="360" w:lineRule="auto" w:before="204"/>
        <w:ind w:left="100" w:right="117"/>
        <w:jc w:val="both"/>
      </w:pPr>
      <w:r>
        <w:rPr/>
        <w:t>Esto nos ayuda a comprender que el noviazgo constituye una forma de lo que, a partir de la información recabada y la bibliografía revisada [Castro y Casique, 2010], podríamos definir como relaciones erótico-afectivas, puesto que estos rasgos constituyen un componente determinante en las relaciones, independientemente de la presencia o ausencia de otros rasgos.</w:t>
      </w:r>
    </w:p>
    <w:p>
      <w:pPr>
        <w:spacing w:before="201"/>
        <w:ind w:left="100" w:right="0" w:firstLine="0"/>
        <w:jc w:val="both"/>
        <w:rPr>
          <w:b/>
          <w:sz w:val="22"/>
        </w:rPr>
      </w:pPr>
      <w:bookmarkStart w:name="_bookmark22" w:id="23"/>
      <w:bookmarkEnd w:id="23"/>
      <w:r>
        <w:rPr/>
      </w:r>
      <w:r>
        <w:rPr>
          <w:b/>
          <w:color w:val="4F81BC"/>
          <w:sz w:val="22"/>
        </w:rPr>
        <w:t>Esquema sobre la representación estudiantil del “Ser Ingeniero”</w:t>
      </w:r>
    </w:p>
    <w:p>
      <w:pPr>
        <w:pStyle w:val="BodyText"/>
        <w:spacing w:before="7"/>
        <w:rPr>
          <w:b/>
          <w:sz w:val="20"/>
        </w:rPr>
      </w:pPr>
      <w:r>
        <w:rPr/>
        <w:pict>
          <v:group style="position:absolute;margin-left:110.25pt;margin-top:13.798941pt;width:375.75pt;height:277.75pt;mso-position-horizontal-relative:page;mso-position-vertical-relative:paragraph;z-index:1552;mso-wrap-distance-left:0;mso-wrap-distance-right:0" coordorigin="2205,276" coordsize="7515,5555">
            <v:shape style="position:absolute;left:6072;top:276;width:1834;height:2078" type="#_x0000_t75" stroked="false">
              <v:imagedata r:id="rId17" o:title=""/>
            </v:shape>
            <v:shape style="position:absolute;left:6338;top:540;width:1303;height:1572" type="#_x0000_t75" stroked="false">
              <v:imagedata r:id="rId18" o:title=""/>
            </v:shape>
            <v:shape style="position:absolute;left:6170;top:342;width:1638;height:1883" coordorigin="6170,342" coordsize="1638,1883" path="m6989,342l6170,751,6170,1815,6989,2225,7808,1815,7808,751,6989,342xe" filled="true" fillcolor="#c0504d" stroked="false">
              <v:path arrowok="t"/>
              <v:fill type="solid"/>
            </v:shape>
            <v:shape style="position:absolute;left:6170;top:342;width:1638;height:1883" coordorigin="6170,342" coordsize="1638,1883" path="m6989,342l7808,751,7808,1815,6989,2225,6170,1815,6170,751,6989,342xe" filled="false" stroked="true" strokeweight="3pt" strokecolor="#ffffff">
              <v:path arrowok="t"/>
            </v:shape>
            <v:shape style="position:absolute;left:4303;top:276;width:1834;height:2078" type="#_x0000_t75" stroked="false">
              <v:imagedata r:id="rId17" o:title=""/>
            </v:shape>
            <v:shape style="position:absolute;left:4550;top:612;width:1385;height:1428" type="#_x0000_t75" stroked="false">
              <v:imagedata r:id="rId19" o:title=""/>
            </v:shape>
            <v:shape style="position:absolute;left:4401;top:342;width:1638;height:1883" coordorigin="4401,342" coordsize="1638,1883" path="m5220,342l4401,751,4401,1815,5220,2225,6039,1815,6039,751,5220,342xe" filled="true" fillcolor="#9bba58" stroked="false">
              <v:path arrowok="t"/>
              <v:fill type="solid"/>
            </v:shape>
            <v:shape style="position:absolute;left:4401;top:342;width:1638;height:1883" coordorigin="4401,342" coordsize="1638,1883" path="m5220,342l6039,751,6039,1815,5220,2225,4401,1815,4401,751,5220,342xe" filled="false" stroked="true" strokeweight="3pt" strokecolor="#ffffff">
              <v:path arrowok="t"/>
            </v:shape>
            <v:shape style="position:absolute;left:5184;top:1874;width:1834;height:2076" type="#_x0000_t75" stroked="false">
              <v:imagedata r:id="rId20" o:title=""/>
            </v:shape>
            <v:shape style="position:absolute;left:5282;top:1940;width:1638;height:1883" coordorigin="5282,1940" coordsize="1638,1883" path="m6101,1940l5282,2349,5282,3413,6101,3823,6920,3413,6920,2349,6101,1940xe" filled="true" fillcolor="#8063a1" stroked="false">
              <v:path arrowok="t"/>
              <v:fill type="solid"/>
            </v:shape>
            <v:shape style="position:absolute;left:5282;top:1940;width:1638;height:1883" coordorigin="5282,1940" coordsize="1638,1883" path="m6101,1940l6920,2349,6920,3413,6101,3823,5282,3413,5282,2349,6101,1940xe" filled="false" stroked="true" strokeweight="3.0pt" strokecolor="#ffffff">
              <v:path arrowok="t"/>
            </v:shape>
            <v:shape style="position:absolute;left:6955;top:1874;width:1831;height:2076" type="#_x0000_t75" stroked="false">
              <v:imagedata r:id="rId21" o:title=""/>
            </v:shape>
            <v:shape style="position:absolute;left:7142;top:2160;width:1488;height:1534" type="#_x0000_t75" stroked="false">
              <v:imagedata r:id="rId22" o:title=""/>
            </v:shape>
            <v:shape style="position:absolute;left:7051;top:1940;width:1638;height:1883" coordorigin="7051,1940" coordsize="1638,1883" path="m7870,1940l7051,2349,7051,3413,7870,3823,8689,3413,8689,2349,7870,1940xe" filled="true" fillcolor="#4aacc5" stroked="false">
              <v:path arrowok="t"/>
              <v:fill type="solid"/>
            </v:shape>
            <v:shape style="position:absolute;left:7051;top:1940;width:1638;height:1883" coordorigin="7051,1940" coordsize="1638,1883" path="m7870,1940l8689,2349,8689,3413,7870,3823,7051,3413,7051,2349,7870,1940xe" filled="false" stroked="true" strokeweight="3.0pt" strokecolor="#ffffff">
              <v:path arrowok="t"/>
            </v:shape>
            <v:shape style="position:absolute;left:6072;top:3473;width:1834;height:2076" type="#_x0000_t75" stroked="false">
              <v:imagedata r:id="rId23" o:title=""/>
            </v:shape>
            <v:shape style="position:absolute;left:6322;top:3641;width:1378;height:1778" type="#_x0000_t75" stroked="false">
              <v:imagedata r:id="rId24" o:title=""/>
            </v:shape>
            <v:shape style="position:absolute;left:6170;top:3538;width:1638;height:1883" coordorigin="6170,3538" coordsize="1638,1883" path="m6989,3538l6170,3947,6170,5011,6989,5421,7808,5011,7808,3947,6989,3538xe" filled="true" fillcolor="#f79546" stroked="false">
              <v:path arrowok="t"/>
              <v:fill type="solid"/>
            </v:shape>
            <v:shape style="position:absolute;left:6170;top:3538;width:1638;height:1883" coordorigin="6170,3538" coordsize="1638,1883" path="m6989,3538l7808,3947,7808,5011,6989,5421,6170,5011,6170,3947,6989,3538xe" filled="false" stroked="true" strokeweight="3pt" strokecolor="#ffffff">
              <v:path arrowok="t"/>
            </v:shape>
            <v:shape style="position:absolute;left:4303;top:3473;width:1834;height:2076" type="#_x0000_t75" stroked="false">
              <v:imagedata r:id="rId23" o:title=""/>
            </v:shape>
            <v:shape style="position:absolute;left:4558;top:3744;width:1375;height:1574" type="#_x0000_t75" stroked="false">
              <v:imagedata r:id="rId25" o:title=""/>
            </v:shape>
            <v:shape style="position:absolute;left:4401;top:3538;width:1638;height:1883" coordorigin="4401,3538" coordsize="1638,1883" path="m5220,3538l4401,3947,4401,5011,5220,5421,6039,5011,6039,3947,5220,3538xe" filled="true" fillcolor="#c0504d" stroked="false">
              <v:path arrowok="t"/>
              <v:fill type="solid"/>
            </v:shape>
            <v:shape style="position:absolute;left:4401;top:3538;width:1638;height:1883" coordorigin="4401,3538" coordsize="1638,1883" path="m5220,3538l6039,3947,6039,5011,5220,5421,4401,5011,4401,3947,5220,3538xe" filled="false" stroked="true" strokeweight="3pt" strokecolor="#ffffff">
              <v:path arrowok="t"/>
            </v:shape>
            <v:rect style="position:absolute;left:2205;top:5424;width:7515;height:407" filled="true" fillcolor="#ffffff" stroked="false">
              <v:fill type="solid"/>
            </v:rect>
            <v:shape style="position:absolute;left:4698;top:708;width:1045;height:1155" type="#_x0000_t202" filled="false" stroked="false">
              <v:textbox inset="0,0,0,0">
                <w:txbxContent>
                  <w:p>
                    <w:pPr>
                      <w:spacing w:line="216" w:lineRule="auto" w:before="0"/>
                      <w:ind w:left="-1" w:right="0" w:firstLine="0"/>
                      <w:jc w:val="center"/>
                      <w:rPr>
                        <w:sz w:val="14"/>
                      </w:rPr>
                    </w:pPr>
                    <w:r>
                      <w:rPr>
                        <w:color w:val="FFFFFF"/>
                        <w:sz w:val="14"/>
                      </w:rPr>
                      <w:t>Sexualidad [Prácticas sexuales de alto riesgo, Múltiples parejas</w:t>
                    </w:r>
                    <w:r>
                      <w:rPr>
                        <w:color w:val="FFFFFF"/>
                        <w:spacing w:val="-10"/>
                        <w:sz w:val="14"/>
                      </w:rPr>
                      <w:t> </w:t>
                    </w:r>
                    <w:r>
                      <w:rPr>
                        <w:color w:val="FFFFFF"/>
                        <w:sz w:val="14"/>
                      </w:rPr>
                      <w:t>sexuales</w:t>
                    </w:r>
                    <w:r>
                      <w:rPr>
                        <w:color w:val="FFFFFF"/>
                        <w:w w:val="99"/>
                        <w:sz w:val="14"/>
                      </w:rPr>
                      <w:t> </w:t>
                    </w:r>
                    <w:r>
                      <w:rPr>
                        <w:color w:val="FFFFFF"/>
                        <w:sz w:val="14"/>
                      </w:rPr>
                      <w:t>sin protección, violencia en l sexualidad,</w:t>
                    </w:r>
                    <w:r>
                      <w:rPr>
                        <w:color w:val="FFFFFF"/>
                        <w:spacing w:val="-9"/>
                        <w:sz w:val="14"/>
                      </w:rPr>
                      <w:t> </w:t>
                    </w:r>
                    <w:r>
                      <w:rPr>
                        <w:color w:val="FFFFFF"/>
                        <w:sz w:val="14"/>
                      </w:rPr>
                      <w:t>etc.]</w:t>
                    </w:r>
                  </w:p>
                </w:txbxContent>
              </v:textbox>
              <w10:wrap type="none"/>
            </v:shape>
            <v:shape style="position:absolute;left:6486;top:635;width:1009;height:1299" type="#_x0000_t202" filled="false" stroked="false">
              <v:textbox inset="0,0,0,0">
                <w:txbxContent>
                  <w:p>
                    <w:pPr>
                      <w:spacing w:line="216" w:lineRule="auto" w:before="0"/>
                      <w:ind w:left="0" w:right="0" w:firstLine="2"/>
                      <w:jc w:val="center"/>
                      <w:rPr>
                        <w:sz w:val="14"/>
                      </w:rPr>
                    </w:pPr>
                    <w:r>
                      <w:rPr>
                        <w:color w:val="FFFFFF"/>
                        <w:sz w:val="14"/>
                      </w:rPr>
                      <w:t>Salud [Alto consumo de sustancias, problemas </w:t>
                    </w:r>
                    <w:r>
                      <w:rPr>
                        <w:color w:val="FFFFFF"/>
                        <w:spacing w:val="-1"/>
                        <w:sz w:val="14"/>
                      </w:rPr>
                      <w:t>gastrointestinale </w:t>
                    </w:r>
                    <w:r>
                      <w:rPr>
                        <w:color w:val="FFFFFF"/>
                        <w:sz w:val="14"/>
                      </w:rPr>
                      <w:t>s debido a problemas de comunicación, etc.]</w:t>
                    </w:r>
                  </w:p>
                </w:txbxContent>
              </v:textbox>
              <w10:wrap type="none"/>
            </v:shape>
            <v:shape style="position:absolute;left:5714;top:2719;width:778;height:327" type="#_x0000_t202" filled="false" stroked="false">
              <v:textbox inset="0,0,0,0">
                <w:txbxContent>
                  <w:p>
                    <w:pPr>
                      <w:spacing w:line="216" w:lineRule="auto" w:before="0"/>
                      <w:ind w:left="0" w:right="-15" w:firstLine="220"/>
                      <w:jc w:val="left"/>
                      <w:rPr>
                        <w:rFonts w:ascii="Calibri"/>
                        <w:b/>
                        <w:i/>
                        <w:sz w:val="12"/>
                      </w:rPr>
                    </w:pPr>
                    <w:r>
                      <w:rPr>
                        <w:b/>
                        <w:i/>
                        <w:sz w:val="16"/>
                        <w:u w:val="single"/>
                      </w:rPr>
                      <w:t>"Ser </w:t>
                    </w:r>
                    <w:r>
                      <w:rPr>
                        <w:b/>
                        <w:i/>
                        <w:sz w:val="16"/>
                        <w:u w:val="single"/>
                      </w:rPr>
                      <w:t>ingeniero</w:t>
                    </w:r>
                    <w:r>
                      <w:rPr>
                        <w:rFonts w:ascii="Calibri"/>
                        <w:b/>
                        <w:i/>
                        <w:sz w:val="12"/>
                        <w:u w:val="single"/>
                      </w:rPr>
                      <w:t>"</w:t>
                    </w:r>
                  </w:p>
                </w:txbxContent>
              </v:textbox>
              <w10:wrap type="none"/>
            </v:shape>
            <v:shape style="position:absolute;left:7310;top:2279;width:1121;height:1218" type="#_x0000_t202" filled="false" stroked="false">
              <v:textbox inset="0,0,0,0">
                <w:txbxContent>
                  <w:p>
                    <w:pPr>
                      <w:spacing w:line="155" w:lineRule="exact" w:before="0"/>
                      <w:ind w:left="143" w:right="143" w:firstLine="0"/>
                      <w:jc w:val="center"/>
                      <w:rPr>
                        <w:rFonts w:ascii="Calibri"/>
                        <w:sz w:val="16"/>
                      </w:rPr>
                    </w:pPr>
                    <w:r>
                      <w:rPr>
                        <w:rFonts w:ascii="Calibri"/>
                        <w:color w:val="FFFFFF"/>
                        <w:sz w:val="16"/>
                      </w:rPr>
                      <w:t>Violencia de</w:t>
                    </w:r>
                  </w:p>
                  <w:p>
                    <w:pPr>
                      <w:spacing w:line="216" w:lineRule="auto" w:before="6"/>
                      <w:ind w:left="0" w:right="0" w:firstLine="0"/>
                      <w:jc w:val="center"/>
                      <w:rPr>
                        <w:rFonts w:ascii="Calibri" w:hAnsi="Calibri"/>
                        <w:sz w:val="16"/>
                      </w:rPr>
                    </w:pPr>
                    <w:r>
                      <w:rPr>
                        <w:rFonts w:ascii="Calibri" w:hAnsi="Calibri"/>
                        <w:color w:val="FFFFFF"/>
                        <w:sz w:val="16"/>
                      </w:rPr>
                      <w:t>género ["No ser vieja, no ser maricón, no ser puto", Cosificación de la mujer, etc.]</w:t>
                    </w:r>
                  </w:p>
                </w:txbxContent>
              </v:textbox>
              <w10:wrap type="none"/>
            </v:shape>
            <v:shape style="position:absolute;left:4761;top:3894;width:923;height:1189" type="#_x0000_t202" filled="false" stroked="false">
              <v:textbox inset="0,0,0,0">
                <w:txbxContent>
                  <w:p>
                    <w:pPr>
                      <w:spacing w:line="212" w:lineRule="exact" w:before="0"/>
                      <w:ind w:left="0" w:right="0" w:firstLine="0"/>
                      <w:jc w:val="center"/>
                      <w:rPr>
                        <w:rFonts w:ascii="Calibri"/>
                        <w:sz w:val="22"/>
                      </w:rPr>
                    </w:pPr>
                    <w:r>
                      <w:rPr>
                        <w:rFonts w:ascii="Calibri"/>
                        <w:color w:val="FFFFFF"/>
                        <w:sz w:val="22"/>
                      </w:rPr>
                      <w:t>Poder [ser</w:t>
                    </w:r>
                  </w:p>
                  <w:p>
                    <w:pPr>
                      <w:spacing w:line="216" w:lineRule="auto" w:before="8"/>
                      <w:ind w:left="33" w:right="32" w:hanging="1"/>
                      <w:jc w:val="center"/>
                      <w:rPr>
                        <w:rFonts w:ascii="Calibri" w:hAnsi="Calibri"/>
                        <w:sz w:val="22"/>
                      </w:rPr>
                    </w:pPr>
                    <w:r>
                      <w:rPr>
                        <w:rFonts w:ascii="Calibri" w:hAnsi="Calibri"/>
                        <w:color w:val="FFFFFF"/>
                        <w:sz w:val="22"/>
                      </w:rPr>
                      <w:t>más, "ser chingón", "tener para..."]</w:t>
                    </w:r>
                  </w:p>
                </w:txbxContent>
              </v:textbox>
              <w10:wrap type="none"/>
            </v:shape>
            <v:shape style="position:absolute;left:6506;top:3761;width:969;height:1440" type="#_x0000_t202" filled="false" stroked="false">
              <v:textbox inset="0,0,0,0">
                <w:txbxContent>
                  <w:p>
                    <w:pPr>
                      <w:spacing w:line="216" w:lineRule="auto" w:before="0"/>
                      <w:ind w:left="-1" w:right="0" w:firstLine="0"/>
                      <w:jc w:val="center"/>
                      <w:rPr>
                        <w:sz w:val="20"/>
                      </w:rPr>
                    </w:pPr>
                    <w:r>
                      <w:rPr>
                        <w:color w:val="FFFFFF"/>
                        <w:spacing w:val="-1"/>
                        <w:sz w:val="20"/>
                      </w:rPr>
                      <w:t>Virilidad`[N </w:t>
                    </w:r>
                    <w:r>
                      <w:rPr>
                        <w:color w:val="FFFFFF"/>
                        <w:sz w:val="20"/>
                      </w:rPr>
                      <w:t>o llorar, no demostrar sentimient os, "No rajarse", etc.</w:t>
                    </w:r>
                  </w:p>
                </w:txbxContent>
              </v:textbox>
              <w10:wrap type="none"/>
            </v:shape>
            <v:shape style="position:absolute;left:2206;top:5444;width:6431;height:180" type="#_x0000_t202" filled="false" stroked="false">
              <v:textbox inset="0,0,0,0">
                <w:txbxContent>
                  <w:p>
                    <w:pPr>
                      <w:spacing w:line="180" w:lineRule="exact" w:before="0"/>
                      <w:ind w:left="0" w:right="0" w:firstLine="0"/>
                      <w:jc w:val="left"/>
                      <w:rPr>
                        <w:b/>
                        <w:sz w:val="18"/>
                      </w:rPr>
                    </w:pPr>
                    <w:r>
                      <w:rPr>
                        <w:b/>
                        <w:color w:val="4F81BC"/>
                        <w:sz w:val="18"/>
                      </w:rPr>
                      <w:t>Ilustración 3 Elaboración propia con base a datos de campo [Munive,</w:t>
                    </w:r>
                    <w:r>
                      <w:rPr>
                        <w:b/>
                        <w:color w:val="4F81BC"/>
                        <w:spacing w:val="-26"/>
                        <w:sz w:val="18"/>
                      </w:rPr>
                      <w:t> </w:t>
                    </w:r>
                    <w:r>
                      <w:rPr>
                        <w:b/>
                        <w:color w:val="4F81BC"/>
                        <w:sz w:val="18"/>
                      </w:rPr>
                      <w:t>2014]</w:t>
                    </w:r>
                  </w:p>
                </w:txbxContent>
              </v:textbox>
              <w10:wrap type="none"/>
            </v:shape>
            <w10:wrap type="topAndBottom"/>
          </v:group>
        </w:pict>
      </w:r>
    </w:p>
    <w:p>
      <w:pPr>
        <w:spacing w:after="0"/>
        <w:rPr>
          <w:sz w:val="20"/>
        </w:rPr>
        <w:sectPr>
          <w:footerReference w:type="default" r:id="rId16"/>
          <w:pgSz w:w="12240" w:h="15840"/>
          <w:pgMar w:footer="1014" w:header="0" w:top="1380" w:bottom="1200" w:left="1340" w:right="1320"/>
          <w:pgNumType w:start="31"/>
        </w:sectPr>
      </w:pPr>
    </w:p>
    <w:p>
      <w:pPr>
        <w:pStyle w:val="BodyText"/>
        <w:rPr>
          <w:b/>
          <w:sz w:val="20"/>
        </w:rPr>
      </w:pPr>
    </w:p>
    <w:p>
      <w:pPr>
        <w:pStyle w:val="BodyText"/>
        <w:rPr>
          <w:b/>
          <w:sz w:val="20"/>
        </w:rPr>
      </w:pPr>
    </w:p>
    <w:p>
      <w:pPr>
        <w:pStyle w:val="BodyText"/>
        <w:spacing w:before="10"/>
        <w:rPr>
          <w:b/>
          <w:sz w:val="17"/>
        </w:rPr>
      </w:pPr>
    </w:p>
    <w:p>
      <w:pPr>
        <w:pStyle w:val="Heading1"/>
        <w:spacing w:before="70"/>
      </w:pPr>
      <w:bookmarkStart w:name="_bookmark23" w:id="24"/>
      <w:bookmarkEnd w:id="24"/>
      <w:r>
        <w:rPr>
          <w:b w:val="0"/>
        </w:rPr>
      </w:r>
      <w:r>
        <w:rPr>
          <w:color w:val="365F91"/>
        </w:rPr>
        <w:t>Propuesta</w:t>
      </w:r>
    </w:p>
    <w:p>
      <w:pPr>
        <w:pStyle w:val="BodyText"/>
        <w:rPr>
          <w:b/>
        </w:rPr>
      </w:pPr>
    </w:p>
    <w:p>
      <w:pPr>
        <w:pStyle w:val="BodyText"/>
        <w:spacing w:before="7"/>
        <w:rPr>
          <w:b/>
        </w:rPr>
      </w:pPr>
    </w:p>
    <w:p>
      <w:pPr>
        <w:pStyle w:val="BodyText"/>
        <w:spacing w:line="360" w:lineRule="auto"/>
        <w:ind w:left="100" w:right="1156"/>
        <w:jc w:val="both"/>
      </w:pPr>
      <w:r>
        <w:rPr/>
        <w:t>Se propone la incorporación de una serie de actividades para la atención y prevención de la violencia de género en estudiantes varones a partir de la incorporación de tres modelos de acción que se incorporarán al PIAEVS en su asignatura de </w:t>
      </w:r>
      <w:r>
        <w:rPr>
          <w:i/>
        </w:rPr>
        <w:t>sexualidad </w:t>
      </w:r>
      <w:r>
        <w:rPr>
          <w:i/>
        </w:rPr>
        <w:t>responsable, </w:t>
      </w:r>
      <w:r>
        <w:rPr/>
        <w:t>para esta acción se han tenido reuniones con la secretaría académica del Instituto, quienes de considerar acertada la acción la turnaran al Consejo Universitario quién realizaría la modificación curricular pertinente para su incorporación a los programas educativos:</w:t>
      </w:r>
    </w:p>
    <w:p>
      <w:pPr>
        <w:spacing w:before="206"/>
        <w:ind w:left="100" w:right="0" w:firstLine="0"/>
        <w:jc w:val="both"/>
        <w:rPr>
          <w:rFonts w:ascii="Cambria" w:hAnsi="Cambria"/>
          <w:b/>
          <w:sz w:val="22"/>
        </w:rPr>
      </w:pPr>
      <w:r>
        <w:rPr>
          <w:rFonts w:ascii="Cambria" w:hAnsi="Cambria"/>
          <w:b/>
          <w:color w:val="4F81BC"/>
          <w:sz w:val="22"/>
        </w:rPr>
        <w:t>Esquema de la ruta que seguirá la propuesta para su implementación.</w:t>
      </w: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9"/>
        <w:rPr>
          <w:rFonts w:ascii="Cambria"/>
          <w:b/>
          <w:sz w:val="26"/>
        </w:rPr>
      </w:pPr>
    </w:p>
    <w:p>
      <w:pPr>
        <w:spacing w:after="0"/>
        <w:rPr>
          <w:rFonts w:ascii="Cambria"/>
          <w:sz w:val="26"/>
        </w:rPr>
        <w:sectPr>
          <w:pgSz w:w="12240" w:h="15840"/>
          <w:pgMar w:header="0" w:footer="1014" w:top="1500" w:bottom="1200" w:left="1340" w:right="280"/>
        </w:sect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rPr>
          <w:rFonts w:ascii="Cambria"/>
          <w:b/>
          <w:sz w:val="20"/>
        </w:rPr>
      </w:pPr>
    </w:p>
    <w:p>
      <w:pPr>
        <w:pStyle w:val="BodyText"/>
        <w:spacing w:before="1"/>
        <w:rPr>
          <w:rFonts w:ascii="Cambria"/>
          <w:b/>
          <w:sz w:val="25"/>
        </w:rPr>
      </w:pPr>
    </w:p>
    <w:p>
      <w:pPr>
        <w:tabs>
          <w:tab w:pos="2997" w:val="left" w:leader="none"/>
        </w:tabs>
        <w:spacing w:line="216" w:lineRule="auto" w:before="0"/>
        <w:ind w:left="2004" w:right="0" w:firstLine="0"/>
        <w:jc w:val="left"/>
        <w:rPr>
          <w:sz w:val="20"/>
        </w:rPr>
      </w:pPr>
      <w:r>
        <w:rPr>
          <w:sz w:val="20"/>
        </w:rPr>
        <w:t>Propuesta de acciones a implementar a</w:t>
        <w:tab/>
        <w:t>la</w:t>
      </w:r>
    </w:p>
    <w:p>
      <w:pPr>
        <w:spacing w:line="206" w:lineRule="exact" w:before="4"/>
        <w:ind w:left="2004" w:right="1" w:firstLine="0"/>
        <w:jc w:val="left"/>
        <w:rPr>
          <w:sz w:val="20"/>
        </w:rPr>
      </w:pPr>
      <w:r>
        <w:rPr>
          <w:sz w:val="20"/>
        </w:rPr>
        <w:t>Academia del PIAEVS del Instituto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tabs>
          <w:tab w:pos="643" w:val="left" w:leader="none"/>
          <w:tab w:pos="775" w:val="left" w:leader="none"/>
          <w:tab w:pos="1298" w:val="left" w:leader="none"/>
          <w:tab w:pos="1409" w:val="left" w:leader="none"/>
        </w:tabs>
        <w:spacing w:line="216" w:lineRule="auto" w:before="172"/>
        <w:ind w:left="144" w:right="0" w:firstLine="0"/>
        <w:jc w:val="left"/>
        <w:rPr>
          <w:sz w:val="20"/>
        </w:rPr>
      </w:pPr>
      <w:r>
        <w:rPr>
          <w:sz w:val="20"/>
        </w:rPr>
        <w:t>Visto bueno de la</w:t>
        <w:tab/>
        <w:t>academia, presentación</w:t>
      </w:r>
      <w:r>
        <w:rPr>
          <w:spacing w:val="-5"/>
          <w:sz w:val="20"/>
        </w:rPr>
        <w:t> </w:t>
      </w:r>
      <w:r>
        <w:rPr>
          <w:sz w:val="20"/>
        </w:rPr>
        <w:t>de propuesta</w:t>
        <w:tab/>
        <w:tab/>
        <w:t>al Subdirector Académico del instituto.e implementación de</w:t>
        <w:tab/>
        <w:tab/>
        <w:t>acciones pertinentes dentro</w:t>
        <w:tab/>
        <w:tab/>
        <w:t>del Instituto</w:t>
      </w:r>
    </w:p>
    <w:p>
      <w:pPr>
        <w:pStyle w:val="BodyText"/>
        <w:rPr>
          <w:sz w:val="20"/>
        </w:rPr>
      </w:pPr>
      <w:r>
        <w:rPr/>
        <w:br w:type="column"/>
      </w:r>
      <w:r>
        <w:rPr>
          <w:sz w:val="20"/>
        </w:rPr>
      </w:r>
    </w:p>
    <w:p>
      <w:pPr>
        <w:pStyle w:val="BodyText"/>
        <w:rPr>
          <w:sz w:val="20"/>
        </w:rPr>
      </w:pPr>
    </w:p>
    <w:p>
      <w:pPr>
        <w:pStyle w:val="BodyText"/>
        <w:rPr>
          <w:sz w:val="20"/>
        </w:rPr>
      </w:pPr>
    </w:p>
    <w:p>
      <w:pPr>
        <w:pStyle w:val="BodyText"/>
        <w:rPr>
          <w:sz w:val="20"/>
        </w:rPr>
      </w:pPr>
    </w:p>
    <w:p>
      <w:pPr>
        <w:pStyle w:val="BodyText"/>
        <w:rPr>
          <w:sz w:val="18"/>
        </w:rPr>
      </w:pPr>
    </w:p>
    <w:p>
      <w:pPr>
        <w:tabs>
          <w:tab w:pos="1559" w:val="left" w:leader="none"/>
        </w:tabs>
        <w:spacing w:line="218" w:lineRule="exact" w:before="1"/>
        <w:ind w:left="205" w:right="0" w:firstLine="0"/>
        <w:jc w:val="left"/>
        <w:rPr>
          <w:sz w:val="20"/>
        </w:rPr>
      </w:pPr>
      <w:r>
        <w:rPr>
          <w:sz w:val="20"/>
        </w:rPr>
        <w:t>Evaluación</w:t>
        <w:tab/>
        <w:t>del</w:t>
      </w:r>
    </w:p>
    <w:p>
      <w:pPr>
        <w:tabs>
          <w:tab w:pos="1038" w:val="left" w:leader="none"/>
          <w:tab w:pos="1604" w:val="left" w:leader="none"/>
          <w:tab w:pos="1715" w:val="left" w:leader="none"/>
        </w:tabs>
        <w:spacing w:line="216" w:lineRule="auto" w:before="7"/>
        <w:ind w:left="205" w:right="0" w:firstLine="0"/>
        <w:jc w:val="left"/>
        <w:rPr>
          <w:sz w:val="20"/>
        </w:rPr>
      </w:pPr>
      <w:r>
        <w:rPr>
          <w:sz w:val="20"/>
        </w:rPr>
        <w:t>desempeño</w:t>
        <w:tab/>
      </w:r>
      <w:r>
        <w:rPr>
          <w:w w:val="95"/>
          <w:sz w:val="20"/>
        </w:rPr>
        <w:t>de </w:t>
      </w:r>
      <w:r>
        <w:rPr>
          <w:sz w:val="20"/>
        </w:rPr>
        <w:t>las</w:t>
        <w:tab/>
      </w:r>
      <w:r>
        <w:rPr>
          <w:w w:val="95"/>
          <w:sz w:val="20"/>
        </w:rPr>
        <w:t>acciones </w:t>
      </w:r>
      <w:r>
        <w:rPr>
          <w:sz w:val="20"/>
        </w:rPr>
        <w:t>realizadas, presentación</w:t>
        <w:tab/>
      </w:r>
      <w:r>
        <w:rPr>
          <w:w w:val="95"/>
          <w:sz w:val="20"/>
        </w:rPr>
        <w:t>de </w:t>
      </w:r>
      <w:r>
        <w:rPr>
          <w:sz w:val="20"/>
        </w:rPr>
        <w:t>resultados</w:t>
        <w:tab/>
        <w:tab/>
        <w:t>a</w:t>
      </w:r>
      <w:r>
        <w:rPr>
          <w:w w:val="99"/>
          <w:sz w:val="20"/>
        </w:rPr>
        <w:t> </w:t>
      </w:r>
      <w:r>
        <w:rPr>
          <w:sz w:val="20"/>
        </w:rPr>
        <w:t>coordinadoras/es académicos</w:t>
      </w:r>
    </w:p>
    <w:p>
      <w:pPr>
        <w:pStyle w:val="BodyText"/>
        <w:rPr>
          <w:sz w:val="20"/>
        </w:rPr>
      </w:pPr>
      <w:r>
        <w:rPr/>
        <w:br w:type="column"/>
      </w:r>
      <w:r>
        <w:rPr>
          <w:sz w:val="20"/>
        </w:rPr>
      </w:r>
    </w:p>
    <w:p>
      <w:pPr>
        <w:pStyle w:val="BodyText"/>
        <w:spacing w:before="2"/>
        <w:rPr>
          <w:sz w:val="23"/>
        </w:rPr>
      </w:pPr>
    </w:p>
    <w:p>
      <w:pPr>
        <w:spacing w:line="206" w:lineRule="exact" w:before="0"/>
        <w:ind w:left="280" w:right="-17" w:firstLine="0"/>
        <w:jc w:val="left"/>
        <w:rPr>
          <w:sz w:val="20"/>
        </w:rPr>
      </w:pPr>
      <w:r>
        <w:rPr>
          <w:sz w:val="20"/>
        </w:rPr>
        <w:t>Presentación</w:t>
      </w:r>
      <w:r>
        <w:rPr>
          <w:spacing w:val="-6"/>
          <w:sz w:val="20"/>
        </w:rPr>
        <w:t> </w:t>
      </w:r>
      <w:r>
        <w:rPr>
          <w:sz w:val="20"/>
        </w:rPr>
        <w:t>de Propuesta al Consejo Universitario.</w:t>
      </w:r>
    </w:p>
    <w:p>
      <w:pPr>
        <w:spacing w:line="206" w:lineRule="exact" w:before="3"/>
        <w:ind w:left="280" w:right="122" w:firstLine="0"/>
        <w:jc w:val="left"/>
        <w:rPr>
          <w:sz w:val="20"/>
        </w:rPr>
      </w:pPr>
      <w:r>
        <w:rPr>
          <w:sz w:val="20"/>
        </w:rPr>
        <w:t>Evaluación del proceso, dictamen</w:t>
      </w:r>
    </w:p>
    <w:p>
      <w:pPr>
        <w:tabs>
          <w:tab w:pos="1817" w:val="left" w:leader="none"/>
        </w:tabs>
        <w:spacing w:line="216" w:lineRule="auto" w:before="93"/>
        <w:ind w:left="542" w:right="111" w:firstLine="0"/>
        <w:jc w:val="left"/>
        <w:rPr>
          <w:sz w:val="20"/>
        </w:rPr>
      </w:pPr>
      <w:r>
        <w:rPr/>
        <w:br w:type="column"/>
      </w:r>
      <w:r>
        <w:rPr>
          <w:sz w:val="20"/>
        </w:rPr>
        <w:t>Modificación del programa académico, Implementación de</w:t>
        <w:tab/>
        <w:t>las</w:t>
      </w:r>
    </w:p>
    <w:p>
      <w:pPr>
        <w:spacing w:line="206" w:lineRule="exact" w:before="4"/>
        <w:ind w:left="542" w:right="112" w:firstLine="0"/>
        <w:jc w:val="left"/>
        <w:rPr>
          <w:sz w:val="20"/>
        </w:rPr>
      </w:pPr>
      <w:r>
        <w:rPr/>
        <w:pict>
          <v:group style="position:absolute;margin-left:108pt;margin-top:-130.860001pt;width:484.35pt;height:302pt;mso-position-horizontal-relative:page;mso-position-vertical-relative:paragraph;z-index:-109336" coordorigin="2160,-2617" coordsize="9687,6040">
            <v:shape style="position:absolute;left:2160;top:-2617;width:9687;height:6040" coordorigin="2160,-2617" coordsize="9687,6040" path="m10248,-2617l10333,-1857,9089,-1597,8997,-1557,8636,-1477,8547,-1437,8371,-1397,8284,-1357,8111,-1317,8026,-1277,7857,-1237,7773,-1197,7607,-1157,7525,-1117,7444,-1097,7363,-1057,7282,-1037,7203,-997,7123,-977,7045,-937,6967,-917,6812,-837,6736,-817,6660,-777,6585,-757,6436,-677,6362,-657,6145,-537,6074,-517,5863,-397,5794,-377,5524,-217,5327,-97,5263,-77,5199,-37,5010,83,4827,203,4767,263,4591,383,4476,463,4364,543,4308,603,4253,643,4146,723,4092,783,4040,823,3936,903,3886,963,3786,1043,3736,1103,3688,1143,3640,1203,3592,1243,3546,1283,3499,1343,3453,1383,3408,1443,3364,1483,3320,1543,3276,1583,3233,1643,3191,1683,3149,1743,3108,1803,3067,1843,3027,1903,2988,1943,2949,2003,2910,2063,2873,2103,2835,2163,2799,2223,2763,2283,2727,2323,2692,2383,2658,2443,2624,2503,2591,2543,2558,2603,2526,2663,2494,2723,2463,2783,2433,2843,2403,2903,2374,2963,2345,3003,2317,3063,2289,3123,2262,3183,2236,3243,2210,3303,2185,3363,2160,3423,2200,3383,2240,3323,2281,3283,2323,3223,2364,3163,2407,3123,2449,3063,2493,3023,2536,2963,2581,2923,2625,2863,2670,2823,2716,2763,2762,2723,2808,2663,2903,2583,2951,2523,2999,2483,3048,2423,3147,2343,3197,2303,3248,2243,3351,2163,3456,2083,3509,2023,3671,1903,3838,1783,4008,1663,4183,1543,4362,1423,4423,1383,4484,1363,4733,1203,4796,1183,4925,1103,4989,1083,5121,1003,5187,983,5321,903,5389,883,5457,843,5525,823,5594,783,5664,763,5734,723,5804,703,5875,663,5947,643,6019,603,6164,563,6237,523,6385,483,6460,443,6687,383,6764,343,7075,263,7154,223,8223,-37,8309,-37,8656,-117,8744,-117,9010,-177,9100,-177,9281,-217,9372,-217,9556,-257,9649,-257,9742,-277,9835,-277,9929,-297,10024,-297,10119,-317,10214,-317,10310,-337,10407,-337,10503,-357,11114,-357,11846,-1417,10248,-2617xm11114,-357l10503,-357,10589,403,11114,-357xe" filled="true" fillcolor="#e8d0d0" stroked="false">
              <v:path arrowok="t"/>
              <v:fill type="solid"/>
            </v:shape>
            <v:shape style="position:absolute;left:3094;top:1851;width:263;height:263" type="#_x0000_t75" stroked="false">
              <v:imagedata r:id="rId26" o:title=""/>
            </v:shape>
            <v:shape style="position:absolute;left:4300;top:692;width:389;height:389" type="#_x0000_t75" stroked="false">
              <v:imagedata r:id="rId27" o:title=""/>
            </v:shape>
            <v:shape style="position:absolute;left:5870;top:-212;width:465;height:465" coordorigin="5870,-212" coordsize="465,465" path="m6102,-212l6029,-200,5965,-167,5915,-117,5882,-53,5870,21,5882,94,5915,158,5965,208,6029,241,6102,253,6176,241,6240,208,6290,158,6323,94,6335,21,6323,-53,6290,-117,6240,-167,6176,-200,6102,-212xe" filled="true" fillcolor="#c4716f" stroked="false">
              <v:path arrowok="t"/>
              <v:fill type="solid"/>
            </v:shape>
            <v:shape style="position:absolute;left:5870;top:-212;width:465;height:465" coordorigin="5870,-212" coordsize="465,465" path="m5870,21l5882,-53,5915,-117,5965,-167,6029,-200,6102,-212,6176,-200,6240,-167,6290,-117,6323,-53,6335,21,6323,94,6290,158,6240,208,6176,241,6102,253,6029,241,5965,208,5915,158,5882,94,5870,21xe" filled="false" stroked="true" strokeweight="2pt" strokecolor="#ffffff">
              <v:path arrowok="t"/>
            </v:shape>
            <v:shape style="position:absolute;left:7672;top:-934;width:601;height:601" coordorigin="7672,-934" coordsize="601,601" path="m7972,-934l7903,-926,7840,-903,7784,-868,7738,-821,7702,-765,7680,-702,7672,-633,7680,-564,7702,-501,7738,-445,7784,-399,7840,-364,7903,-341,7972,-333,8041,-341,8104,-364,8160,-399,8206,-445,8242,-501,8264,-564,8272,-633,8264,-702,8242,-765,8206,-821,8160,-868,8104,-903,8041,-926,7972,-934xe" filled="true" fillcolor="#cc8987" stroked="false">
              <v:path arrowok="t"/>
              <v:fill type="solid"/>
            </v:shape>
            <v:shape style="position:absolute;left:7672;top:-934;width:601;height:601" coordorigin="7672,-934" coordsize="601,601" path="m7672,-633l7680,-702,7702,-765,7738,-821,7784,-868,7840,-903,7903,-926,7972,-934,8041,-926,8104,-903,8160,-868,8206,-821,8242,-765,8264,-702,8272,-633,8264,-564,8242,-501,8206,-445,8160,-399,8104,-364,8041,-341,7972,-333,7903,-341,7840,-364,7784,-399,7738,-445,7702,-501,7680,-564,7672,-633xe" filled="false" stroked="true" strokeweight="2pt" strokecolor="#ffffff">
              <v:path arrowok="t"/>
            </v:shape>
            <v:shape style="position:absolute;left:9527;top:-1415;width:766;height:766" coordorigin="9527,-1415" coordsize="766,766" path="m9909,-1415l9832,-1408,9760,-1385,9695,-1350,9639,-1303,9592,-1247,9557,-1182,9534,-1110,9527,-1033,9534,-956,9557,-884,9592,-819,9639,-762,9695,-716,9760,-680,9832,-658,9909,-650,9986,-658,10058,-680,10123,-716,10180,-762,10226,-819,10262,-884,10284,-956,10292,-1033,10284,-1110,10262,-1182,10226,-1247,10180,-1303,10123,-1350,10058,-1385,9986,-1408,9909,-1415xe" filled="true" fillcolor="#d5a09f" stroked="false">
              <v:path arrowok="t"/>
              <v:fill type="solid"/>
            </v:shape>
            <v:shape style="position:absolute;left:9527;top:-1415;width:766;height:766" coordorigin="9527,-1415" coordsize="766,766" path="m9527,-1033l9534,-1110,9557,-1182,9592,-1247,9639,-1303,9695,-1350,9760,-1385,9832,-1408,9909,-1415,9986,-1408,10058,-1385,10123,-1350,10180,-1303,10226,-1247,10262,-1182,10284,-1110,10292,-1033,10284,-956,10262,-884,10226,-819,10180,-762,10123,-716,10058,-680,9986,-658,9909,-650,9832,-658,9760,-680,9695,-716,9639,-762,9592,-819,9557,-884,9534,-956,9527,-1033xe" filled="false" stroked="true" strokeweight="2pt" strokecolor="#ffffff">
              <v:path arrowok="t"/>
            </v:shape>
            <w10:wrap type="none"/>
          </v:group>
        </w:pict>
      </w:r>
      <w:r>
        <w:rPr>
          <w:sz w:val="20"/>
        </w:rPr>
        <w:t>propuestas como   parte  </w:t>
      </w:r>
      <w:r>
        <w:rPr>
          <w:spacing w:val="24"/>
          <w:sz w:val="20"/>
        </w:rPr>
        <w:t> </w:t>
      </w:r>
      <w:r>
        <w:rPr>
          <w:sz w:val="20"/>
        </w:rPr>
        <w:t>de</w:t>
      </w:r>
    </w:p>
    <w:p>
      <w:pPr>
        <w:tabs>
          <w:tab w:pos="1195" w:val="left" w:leader="none"/>
        </w:tabs>
        <w:spacing w:line="216" w:lineRule="auto" w:before="0"/>
        <w:ind w:left="542" w:right="108" w:firstLine="0"/>
        <w:jc w:val="left"/>
        <w:rPr>
          <w:sz w:val="20"/>
        </w:rPr>
      </w:pPr>
      <w:r>
        <w:rPr>
          <w:sz w:val="20"/>
        </w:rPr>
        <w:t>un</w:t>
        <w:tab/>
        <w:t>Programa Institucional avalado por la Universidad</w:t>
      </w:r>
    </w:p>
    <w:p>
      <w:pPr>
        <w:spacing w:after="0" w:line="216" w:lineRule="auto"/>
        <w:jc w:val="left"/>
        <w:rPr>
          <w:sz w:val="20"/>
        </w:rPr>
        <w:sectPr>
          <w:type w:val="continuous"/>
          <w:pgSz w:w="12240" w:h="15840"/>
          <w:pgMar w:top="1500" w:bottom="1200" w:left="1340" w:right="280"/>
          <w:cols w:num="5" w:equalWidth="0">
            <w:col w:w="3156" w:space="40"/>
            <w:col w:w="1569" w:space="40"/>
            <w:col w:w="1827" w:space="40"/>
            <w:col w:w="1723" w:space="40"/>
            <w:col w:w="2185"/>
          </w:cols>
        </w:sectPr>
      </w:pPr>
    </w:p>
    <w:p>
      <w:pPr>
        <w:spacing w:before="64"/>
        <w:ind w:left="100" w:right="0" w:firstLine="0"/>
        <w:jc w:val="left"/>
        <w:rPr>
          <w:b/>
          <w:sz w:val="18"/>
        </w:rPr>
      </w:pPr>
      <w:r>
        <w:rPr>
          <w:b/>
          <w:color w:val="4F81BC"/>
          <w:sz w:val="18"/>
        </w:rPr>
        <w:t>Figure 6 Elaboración propia, en base a  datos campo [Munive, 2014].</w:t>
      </w:r>
    </w:p>
    <w:p>
      <w:pPr>
        <w:spacing w:after="0"/>
        <w:jc w:val="left"/>
        <w:rPr>
          <w:sz w:val="18"/>
        </w:rPr>
        <w:sectPr>
          <w:type w:val="continuous"/>
          <w:pgSz w:w="12240" w:h="15840"/>
          <w:pgMar w:top="1500" w:bottom="1200" w:left="1340" w:right="280"/>
        </w:sectPr>
      </w:pPr>
    </w:p>
    <w:p>
      <w:pPr>
        <w:spacing w:line="360" w:lineRule="auto" w:before="56"/>
        <w:ind w:left="100" w:right="115" w:firstLine="0"/>
        <w:jc w:val="both"/>
        <w:rPr>
          <w:sz w:val="24"/>
        </w:rPr>
      </w:pPr>
      <w:r>
        <w:rPr>
          <w:sz w:val="24"/>
        </w:rPr>
        <w:t>Las acciones propuestas para la incorporación a la asignatura de </w:t>
      </w:r>
      <w:r>
        <w:rPr>
          <w:i/>
          <w:sz w:val="24"/>
        </w:rPr>
        <w:t>sexualidad </w:t>
      </w:r>
      <w:r>
        <w:rPr>
          <w:i/>
          <w:sz w:val="24"/>
        </w:rPr>
        <w:t>responsable </w:t>
      </w:r>
      <w:r>
        <w:rPr>
          <w:sz w:val="24"/>
        </w:rPr>
        <w:t>son las siguientes:</w:t>
      </w:r>
    </w:p>
    <w:p>
      <w:pPr>
        <w:pStyle w:val="Heading1"/>
        <w:numPr>
          <w:ilvl w:val="0"/>
          <w:numId w:val="2"/>
        </w:numPr>
        <w:tabs>
          <w:tab w:pos="821" w:val="left" w:leader="none"/>
        </w:tabs>
        <w:spacing w:line="240" w:lineRule="auto" w:before="206" w:after="0"/>
        <w:ind w:left="820" w:right="0" w:hanging="360"/>
        <w:jc w:val="left"/>
      </w:pPr>
      <w:bookmarkStart w:name="_bookmark24" w:id="25"/>
      <w:bookmarkEnd w:id="25"/>
      <w:r>
        <w:rPr>
          <w:b w:val="0"/>
        </w:rPr>
      </w:r>
      <w:bookmarkStart w:name="_bookmark24" w:id="26"/>
      <w:bookmarkEnd w:id="26"/>
      <w:r>
        <w:rPr>
          <w:color w:val="4F81BC"/>
        </w:rPr>
        <w:t>S</w:t>
      </w:r>
      <w:r>
        <w:rPr>
          <w:color w:val="4F81BC"/>
        </w:rPr>
        <w:t>esiones</w:t>
      </w:r>
      <w:r>
        <w:rPr>
          <w:color w:val="4F81BC"/>
          <w:spacing w:val="-4"/>
        </w:rPr>
        <w:t> </w:t>
      </w:r>
      <w:r>
        <w:rPr>
          <w:color w:val="4F81BC"/>
        </w:rPr>
        <w:t>taller</w:t>
      </w:r>
    </w:p>
    <w:p>
      <w:pPr>
        <w:pStyle w:val="BodyText"/>
        <w:rPr>
          <w:b/>
        </w:rPr>
      </w:pPr>
    </w:p>
    <w:p>
      <w:pPr>
        <w:pStyle w:val="BodyText"/>
        <w:spacing w:before="4"/>
        <w:rPr>
          <w:b/>
        </w:rPr>
      </w:pPr>
    </w:p>
    <w:p>
      <w:pPr>
        <w:pStyle w:val="BodyText"/>
        <w:spacing w:line="360" w:lineRule="auto" w:before="1"/>
        <w:ind w:left="100" w:right="116"/>
        <w:jc w:val="both"/>
      </w:pPr>
      <w:r>
        <w:rPr/>
        <w:t>Como una primera acción orientada a la </w:t>
      </w:r>
      <w:r>
        <w:rPr>
          <w:i/>
        </w:rPr>
        <w:t>prevención </w:t>
      </w:r>
      <w:r>
        <w:rPr/>
        <w:t>de conductas de riesgo en las relaciones erótico-afectivas de los estudiantes se plantea la acción de actividades dentro del aula. Con base en el diagnóstico realizado es que se ha decidido implementar una serie de sesiones taller, esto debido a que, como se ha demostrado los estudiantes cuentan con un conocimiento </w:t>
      </w:r>
      <w:r>
        <w:rPr>
          <w:i/>
        </w:rPr>
        <w:t>conceptual </w:t>
      </w:r>
      <w:r>
        <w:rPr/>
        <w:t>del fenómeno de la violencia de género en las relaciones erótico-afectivas, sin embargo este conocimiento  constituye un elemento que más que orientar una conducta favorable respecto a la violencia de género parece disfrazarla o, incluso justificarla. Se ha decidido la implementación de una serie de 16 sesiones talleres, con una duración de dos horas cada una en las cuales se propone la adquisición, no sólo de conocimientos conceptuales, sino de estrategias y modelos conductuales que permitan la incorporación de elementos a la </w:t>
      </w:r>
      <w:r>
        <w:rPr>
          <w:i/>
        </w:rPr>
        <w:t>actitud </w:t>
      </w:r>
      <w:r>
        <w:rPr/>
        <w:t>de las personas respecto a la violencia de género.</w:t>
      </w:r>
    </w:p>
    <w:p>
      <w:pPr>
        <w:pStyle w:val="BodyText"/>
        <w:spacing w:line="360" w:lineRule="auto" w:before="204"/>
        <w:ind w:left="100" w:right="116"/>
        <w:jc w:val="both"/>
        <w:rPr>
          <w:i/>
        </w:rPr>
      </w:pPr>
      <w:r>
        <w:rPr/>
        <w:t>Se propone la adquisición de modelos conductuales de mayor impacto benéfico a partir de un </w:t>
      </w:r>
      <w:r>
        <w:rPr>
          <w:i/>
        </w:rPr>
        <w:t>modelo de acción orientada</w:t>
      </w:r>
      <w:r>
        <w:rPr/>
        <w:t>, en el que los componentes de la actitud [cognitivo, afectivo y conductual] adquieran matices benéficos para los estudiantes y permitan una reestructuración conceptual, afectiva y modifiquen de esta forma la[s] conducta[s] respecto a la violencia y, en general en sus relaciones erótico-afectivas. En  este sentido se plantea un </w:t>
      </w:r>
      <w:r>
        <w:rPr>
          <w:i/>
        </w:rPr>
        <w:t>choque cognitivo </w:t>
      </w:r>
      <w:r>
        <w:rPr/>
        <w:t>que ponga en cuestionamiento la viabilidad de los modelos conductuales orientados a partir de dicha actitud en su vida diaria, así como la implementación de estrategias vivenciales que les permita identificar situaciones desencadenantes y poder manejar las situaciones [emocionales, cognitivas y conductuales] de forma más </w:t>
      </w:r>
      <w:r>
        <w:rPr>
          <w:i/>
        </w:rPr>
        <w:t>adaptativa.</w:t>
      </w:r>
    </w:p>
    <w:p>
      <w:pPr>
        <w:spacing w:line="360" w:lineRule="auto" w:before="206"/>
        <w:ind w:left="100" w:right="116" w:firstLine="0"/>
        <w:jc w:val="both"/>
        <w:rPr>
          <w:i/>
          <w:sz w:val="24"/>
        </w:rPr>
      </w:pPr>
      <w:r>
        <w:rPr>
          <w:sz w:val="24"/>
        </w:rPr>
        <w:t>Dentro de estas sesiones taller se plantea la posibilidad de abordar los siguientes ejes temáticos: </w:t>
      </w:r>
      <w:r>
        <w:rPr>
          <w:i/>
          <w:sz w:val="24"/>
        </w:rPr>
        <w:t>sexualidad responsable; violencia de género; empatía, comunicación y </w:t>
      </w:r>
      <w:r>
        <w:rPr>
          <w:i/>
          <w:sz w:val="24"/>
        </w:rPr>
        <w:t>manejo  de  emociones;  autoimagen;  estrategias  para  el  canalizar  y  controlar       la</w:t>
      </w:r>
    </w:p>
    <w:p>
      <w:pPr>
        <w:spacing w:after="0" w:line="360" w:lineRule="auto"/>
        <w:jc w:val="both"/>
        <w:rPr>
          <w:sz w:val="24"/>
        </w:rPr>
        <w:sectPr>
          <w:pgSz w:w="12240" w:h="15840"/>
          <w:pgMar w:header="0" w:footer="1014" w:top="1380" w:bottom="1200" w:left="1340" w:right="1320"/>
        </w:sectPr>
      </w:pPr>
    </w:p>
    <w:p>
      <w:pPr>
        <w:spacing w:line="350" w:lineRule="auto" w:before="56"/>
        <w:ind w:left="120" w:right="114" w:firstLine="0"/>
        <w:jc w:val="both"/>
        <w:rPr>
          <w:sz w:val="24"/>
        </w:rPr>
      </w:pPr>
      <w:r>
        <w:rPr>
          <w:i/>
          <w:sz w:val="24"/>
        </w:rPr>
        <w:t>violencia, uso de lenguaje no sexista, machismo y micromachismos</w:t>
      </w:r>
      <w:r>
        <w:rPr>
          <w:sz w:val="24"/>
        </w:rPr>
        <w:t>. El desarrollo de dichas sesiones siempre deberá de abordar una pequeña introducción al tema [</w:t>
      </w:r>
      <w:r>
        <w:rPr>
          <w:i/>
          <w:sz w:val="24"/>
        </w:rPr>
        <w:t>aspecto </w:t>
      </w:r>
      <w:r>
        <w:rPr>
          <w:i/>
          <w:sz w:val="24"/>
        </w:rPr>
        <w:t>cognitivo</w:t>
      </w:r>
      <w:r>
        <w:rPr>
          <w:sz w:val="24"/>
        </w:rPr>
        <w:t>] seguido de un ejercicio vivencial [</w:t>
      </w:r>
      <w:r>
        <w:rPr>
          <w:i/>
          <w:sz w:val="24"/>
        </w:rPr>
        <w:t>conductual</w:t>
      </w:r>
      <w:r>
        <w:rPr>
          <w:sz w:val="24"/>
        </w:rPr>
        <w:t>] basado en el modelo de acción estructurado   en   el   principio   de   la   </w:t>
      </w:r>
      <w:r>
        <w:rPr>
          <w:i/>
          <w:sz w:val="24"/>
        </w:rPr>
        <w:t>autoeficacia,   la   razón      </w:t>
      </w:r>
      <w:r>
        <w:rPr>
          <w:sz w:val="24"/>
        </w:rPr>
        <w:t>y   </w:t>
      </w:r>
      <w:r>
        <w:rPr>
          <w:i/>
          <w:sz w:val="24"/>
        </w:rPr>
        <w:t>orientada</w:t>
      </w:r>
      <w:r>
        <w:rPr>
          <w:i/>
          <w:position w:val="11"/>
          <w:sz w:val="16"/>
        </w:rPr>
        <w:t>8    </w:t>
      </w:r>
      <w:r>
        <w:rPr>
          <w:sz w:val="24"/>
        </w:rPr>
        <w:t>para</w:t>
      </w:r>
    </w:p>
    <w:p>
      <w:pPr>
        <w:pStyle w:val="BodyText"/>
        <w:spacing w:line="360" w:lineRule="auto" w:before="1"/>
        <w:ind w:left="120" w:right="125"/>
        <w:jc w:val="both"/>
      </w:pPr>
      <w:r>
        <w:rPr/>
        <w:t>posteriormente concluir con una reflexión sobre el sentir de la persona y el impacto que estas acciones tendrán en su quehacer diario.</w:t>
      </w:r>
    </w:p>
    <w:p>
      <w:pPr>
        <w:pStyle w:val="BodyText"/>
        <w:spacing w:line="360" w:lineRule="auto" w:before="204"/>
        <w:ind w:left="120" w:right="117"/>
        <w:jc w:val="both"/>
      </w:pPr>
      <w:r>
        <w:rPr/>
        <w:t>Cabe destacar que es necesaria la participación activa de las/os facilitadores, los  cuales deben contar con sensibilización respecto a temas de género y violencia en relaciones afectivas, esto con la finalidad de poder </w:t>
      </w:r>
      <w:r>
        <w:rPr>
          <w:i/>
        </w:rPr>
        <w:t>moldear </w:t>
      </w:r>
      <w:r>
        <w:rPr/>
        <w:t>y orientar las acciones de los estudiantes dentro del aula. En al apartado de anexo 2 se presentan algunas de las técnicas que se plantean implementar con los</w:t>
      </w:r>
      <w:r>
        <w:rPr>
          <w:spacing w:val="-15"/>
        </w:rPr>
        <w:t> </w:t>
      </w:r>
      <w:r>
        <w:rPr/>
        <w:t>estudiantes.</w:t>
      </w:r>
    </w:p>
    <w:p>
      <w:pPr>
        <w:pStyle w:val="Heading1"/>
        <w:numPr>
          <w:ilvl w:val="0"/>
          <w:numId w:val="2"/>
        </w:numPr>
        <w:tabs>
          <w:tab w:pos="841" w:val="left" w:leader="none"/>
        </w:tabs>
        <w:spacing w:line="240" w:lineRule="auto" w:before="204" w:after="0"/>
        <w:ind w:left="840" w:right="0" w:hanging="360"/>
        <w:jc w:val="left"/>
      </w:pPr>
      <w:bookmarkStart w:name="_bookmark25" w:id="27"/>
      <w:bookmarkEnd w:id="27"/>
      <w:r>
        <w:rPr>
          <w:b w:val="0"/>
        </w:rPr>
      </w:r>
      <w:bookmarkStart w:name="_bookmark25" w:id="28"/>
      <w:bookmarkEnd w:id="28"/>
      <w:r>
        <w:rPr>
          <w:color w:val="4F81BC"/>
        </w:rPr>
        <w:t>Grupos</w:t>
      </w:r>
      <w:r>
        <w:rPr>
          <w:color w:val="4F81BC"/>
        </w:rPr>
        <w:t> de atención</w:t>
      </w:r>
      <w:r>
        <w:rPr>
          <w:color w:val="4F81BC"/>
          <w:spacing w:val="-5"/>
        </w:rPr>
        <w:t> </w:t>
      </w:r>
      <w:r>
        <w:rPr>
          <w:color w:val="4F81BC"/>
        </w:rPr>
        <w:t>psicológica</w:t>
      </w:r>
    </w:p>
    <w:p>
      <w:pPr>
        <w:pStyle w:val="BodyText"/>
        <w:rPr>
          <w:b/>
        </w:rPr>
      </w:pPr>
    </w:p>
    <w:p>
      <w:pPr>
        <w:pStyle w:val="BodyText"/>
        <w:spacing w:before="7"/>
        <w:rPr>
          <w:b/>
        </w:rPr>
      </w:pPr>
    </w:p>
    <w:p>
      <w:pPr>
        <w:pStyle w:val="BodyText"/>
        <w:spacing w:line="360" w:lineRule="auto"/>
        <w:ind w:left="120" w:right="117"/>
        <w:jc w:val="both"/>
      </w:pPr>
      <w:r>
        <w:rPr/>
        <w:t>Dentro de las acciones propuestas se contempla un segundo eje en el que se plantea  la necesidad de dar atención oportuna a los estudiantes que ejerzan o hayan ejercido violencia, para esto se plantea la implementación de sesiones semanales en un  espacio asignado por el Instituto en que personas especialistas de la Red Mexicana de Masculinidades por la Igualdad entre los Géneros A.C. ayuden a su</w:t>
      </w:r>
      <w:r>
        <w:rPr>
          <w:spacing w:val="-26"/>
        </w:rPr>
        <w:t> </w:t>
      </w:r>
      <w:r>
        <w:rPr/>
        <w:t>facilitación.</w:t>
      </w:r>
    </w:p>
    <w:p>
      <w:pPr>
        <w:pStyle w:val="BodyText"/>
        <w:spacing w:line="360" w:lineRule="auto" w:before="204"/>
        <w:ind w:left="120" w:right="114"/>
        <w:jc w:val="both"/>
      </w:pPr>
      <w:r>
        <w:rPr/>
        <w:t>Estas sesiones se realizarán en grupos de cinco a diez personas voluntarias, únicamente hombres, esto con la finalidad de promover una verdadera apertura a los temas. La modulación de las sesiones debe limitarse a una duración de 50-90 minutos, en los que se permita la libre expresión de los participantes, teniendo en consideración una absoluta discreción de los tópicos que se aborden.</w:t>
      </w:r>
    </w:p>
    <w:p>
      <w:pPr>
        <w:pStyle w:val="Heading1"/>
        <w:numPr>
          <w:ilvl w:val="0"/>
          <w:numId w:val="2"/>
        </w:numPr>
        <w:tabs>
          <w:tab w:pos="841" w:val="left" w:leader="none"/>
        </w:tabs>
        <w:spacing w:line="240" w:lineRule="auto" w:before="202" w:after="0"/>
        <w:ind w:left="840" w:right="0" w:hanging="360"/>
        <w:jc w:val="left"/>
      </w:pPr>
      <w:bookmarkStart w:name="_bookmark26" w:id="29"/>
      <w:bookmarkEnd w:id="29"/>
      <w:r>
        <w:rPr>
          <w:b w:val="0"/>
        </w:rPr>
      </w:r>
      <w:bookmarkStart w:name="_bookmark26" w:id="30"/>
      <w:bookmarkEnd w:id="30"/>
      <w:r>
        <w:rPr>
          <w:color w:val="4F81BC"/>
        </w:rPr>
        <w:t>Campaña</w:t>
      </w:r>
      <w:r>
        <w:rPr>
          <w:color w:val="4F81BC"/>
          <w:spacing w:val="-1"/>
        </w:rPr>
        <w:t> </w:t>
      </w:r>
      <w:r>
        <w:rPr>
          <w:color w:val="4F81BC"/>
        </w:rPr>
        <w:t>Cultural</w:t>
      </w:r>
    </w:p>
    <w:p>
      <w:pPr>
        <w:pStyle w:val="BodyText"/>
        <w:rPr>
          <w:b/>
          <w:sz w:val="20"/>
        </w:rPr>
      </w:pPr>
    </w:p>
    <w:p>
      <w:pPr>
        <w:pStyle w:val="BodyText"/>
        <w:spacing w:before="5"/>
        <w:rPr>
          <w:b/>
          <w:sz w:val="27"/>
        </w:rPr>
      </w:pPr>
      <w:r>
        <w:rPr/>
        <w:pict>
          <v:line style="position:absolute;mso-position-horizontal-relative:page;mso-position-vertical-relative:paragraph;z-index:1600;mso-wrap-distance-left:0;mso-wrap-distance-right:0" from="72.024002pt,18.118029pt" to="216.044002pt,18.118029pt" stroked="true" strokeweight=".71997pt" strokecolor="#000000">
            <w10:wrap type="topAndBottom"/>
          </v:line>
        </w:pict>
      </w:r>
    </w:p>
    <w:p>
      <w:pPr>
        <w:pStyle w:val="BodyText"/>
        <w:spacing w:before="34"/>
        <w:ind w:left="120" w:right="116"/>
        <w:jc w:val="both"/>
      </w:pPr>
      <w:r>
        <w:rPr>
          <w:position w:val="11"/>
          <w:sz w:val="16"/>
        </w:rPr>
        <w:t>8 </w:t>
      </w:r>
      <w:r>
        <w:rPr/>
        <w:t>Se hace referencia a modelos de intervención en psicología social en los que el moderador acompañe el desempeño de los participantes proporcionando retroalimentación constante sobre el desempeño [</w:t>
      </w:r>
      <w:r>
        <w:rPr>
          <w:i/>
        </w:rPr>
        <w:t>autoeficacia</w:t>
      </w:r>
      <w:r>
        <w:rPr/>
        <w:t>] informando sobre el desempeño del participante y las repercusiones costo-beneficio que dichas acciones tendrán en su vida [</w:t>
      </w:r>
      <w:r>
        <w:rPr>
          <w:i/>
        </w:rPr>
        <w:t>razón</w:t>
      </w:r>
      <w:r>
        <w:rPr/>
        <w:t>] lo que facilitará la adquisición de una meta más grande en  un tiempo determinado</w:t>
      </w:r>
      <w:r>
        <w:rPr>
          <w:spacing w:val="-16"/>
        </w:rPr>
        <w:t> </w:t>
      </w:r>
      <w:r>
        <w:rPr/>
        <w:t>[orientada].</w:t>
      </w:r>
    </w:p>
    <w:p>
      <w:pPr>
        <w:spacing w:after="0"/>
        <w:jc w:val="both"/>
        <w:sectPr>
          <w:pgSz w:w="12240" w:h="15840"/>
          <w:pgMar w:header="0" w:footer="1014" w:top="1380" w:bottom="1200" w:left="1320" w:right="1320"/>
        </w:sectPr>
      </w:pPr>
    </w:p>
    <w:p>
      <w:pPr>
        <w:pStyle w:val="BodyText"/>
        <w:spacing w:line="360" w:lineRule="auto" w:before="56"/>
        <w:ind w:left="120" w:right="114"/>
        <w:jc w:val="both"/>
      </w:pPr>
      <w:r>
        <w:rPr/>
        <w:t>Por último se contempla la implementación de una </w:t>
      </w:r>
      <w:r>
        <w:rPr>
          <w:i/>
        </w:rPr>
        <w:t>campaña cultural </w:t>
      </w:r>
      <w:r>
        <w:rPr/>
        <w:t>en la que se cuente con </w:t>
      </w:r>
      <w:r>
        <w:rPr>
          <w:i/>
        </w:rPr>
        <w:t>carteles</w:t>
      </w:r>
      <w:r>
        <w:rPr/>
        <w:t>, </w:t>
      </w:r>
      <w:r>
        <w:rPr>
          <w:i/>
        </w:rPr>
        <w:t>cine-debate</w:t>
      </w:r>
      <w:r>
        <w:rPr/>
        <w:t>, </w:t>
      </w:r>
      <w:r>
        <w:rPr>
          <w:i/>
        </w:rPr>
        <w:t>obras de teatro</w:t>
      </w:r>
      <w:r>
        <w:rPr/>
        <w:t>, etcétera moderado por los estudiantes que ya hayan participado en las sesiones taller y que cuenten con una sensibilización respecto al tema, serán ellos quienes moderen el contenido, las dudas y las acciones de esta campaña, para la cual se plantea se ejecute en cinco semanas, con una acción diferente por día, se propone que sean los estudiantes quienes la lleven a cabo por ser agentes de influencia directa y ser percibidos como </w:t>
      </w:r>
      <w:r>
        <w:rPr>
          <w:i/>
        </w:rPr>
        <w:t>iguales </w:t>
      </w:r>
      <w:r>
        <w:rPr/>
        <w:t>por la comunidad</w:t>
      </w:r>
      <w:r>
        <w:rPr>
          <w:spacing w:val="-6"/>
        </w:rPr>
        <w:t> </w:t>
      </w:r>
      <w:r>
        <w:rPr/>
        <w:t>estudiantil.</w:t>
      </w:r>
    </w:p>
    <w:p>
      <w:pPr>
        <w:pStyle w:val="BodyText"/>
        <w:spacing w:line="360" w:lineRule="auto" w:before="205"/>
        <w:ind w:left="120" w:right="115"/>
        <w:jc w:val="both"/>
      </w:pPr>
      <w:r>
        <w:rPr/>
        <w:t>Se ha planteado a la dirección académica del Instituto la implementación de esta campaña cultural ejecutada por los estudiantes que “cursen” las sesiones taller, se proyecta la ejecución de la misma a lo largo de cinco semanas ejecutadas de la siguiente forma:</w:t>
      </w:r>
    </w:p>
    <w:p>
      <w:pPr>
        <w:pStyle w:val="ListParagraph"/>
        <w:numPr>
          <w:ilvl w:val="0"/>
          <w:numId w:val="1"/>
        </w:numPr>
        <w:tabs>
          <w:tab w:pos="841" w:val="left" w:leader="none"/>
        </w:tabs>
        <w:spacing w:line="360" w:lineRule="auto" w:before="184" w:after="0"/>
        <w:ind w:left="840" w:right="114" w:hanging="360"/>
        <w:jc w:val="both"/>
        <w:rPr>
          <w:i/>
          <w:sz w:val="24"/>
        </w:rPr>
      </w:pPr>
      <w:r>
        <w:rPr>
          <w:b/>
          <w:color w:val="4F81BC"/>
          <w:sz w:val="24"/>
        </w:rPr>
        <w:t>Campaña de prenda blanca: </w:t>
      </w:r>
      <w:r>
        <w:rPr>
          <w:sz w:val="24"/>
        </w:rPr>
        <w:t>Basada en la campaña del listón blanco</w:t>
      </w:r>
      <w:r>
        <w:rPr>
          <w:position w:val="11"/>
          <w:sz w:val="16"/>
        </w:rPr>
        <w:t>9 </w:t>
      </w:r>
      <w:r>
        <w:rPr>
          <w:sz w:val="24"/>
        </w:rPr>
        <w:t>se les pide a los chicos que durante estas cinco semanas vistan un día a la semana [la forma de realizarlo será secuencial, es decir, se iniciará el día lunes, posteriormente el martes y así sucesivamente] con una prenda blanca [camiseta, camisa, sudadera, suéter, etcétera] durante todo el día, se tomen una foto ya “suban” a sus redes sociales acompañando la imagen con una pequeña descripción de cómo ellos ejercían violencia de género y de qué forma han podido modificar estas acciones. La finalidad de estas acciones es que sean los estudiantes quienes fomenten en sus compañeros modelos de interacción más sanos, a partir de la difusión en medios masivos como lo puede ser internet, aunado a lo anterior se parte de la premisa que al ser demasiados los estudiantes que se vistan de blanco durante un día a la semana se propicie la curiosidad de otras personas y sean los estudiantes quienes actúen como </w:t>
      </w:r>
      <w:r>
        <w:rPr>
          <w:i/>
          <w:sz w:val="24"/>
        </w:rPr>
        <w:t>agentes de</w:t>
      </w:r>
      <w:r>
        <w:rPr>
          <w:i/>
          <w:spacing w:val="-10"/>
          <w:sz w:val="24"/>
        </w:rPr>
        <w:t> </w:t>
      </w:r>
      <w:r>
        <w:rPr>
          <w:i/>
          <w:sz w:val="24"/>
        </w:rPr>
        <w:t>cambio.</w:t>
      </w:r>
    </w:p>
    <w:p>
      <w:pPr>
        <w:pStyle w:val="ListParagraph"/>
        <w:numPr>
          <w:ilvl w:val="0"/>
          <w:numId w:val="1"/>
        </w:numPr>
        <w:tabs>
          <w:tab w:pos="841" w:val="left" w:leader="none"/>
        </w:tabs>
        <w:spacing w:line="350" w:lineRule="auto" w:before="5" w:after="0"/>
        <w:ind w:left="840" w:right="121" w:hanging="360"/>
        <w:jc w:val="both"/>
        <w:rPr>
          <w:sz w:val="24"/>
        </w:rPr>
      </w:pPr>
      <w:r>
        <w:rPr/>
        <w:pict>
          <v:line style="position:absolute;mso-position-horizontal-relative:page;mso-position-vertical-relative:paragraph;z-index:1624;mso-wrap-distance-left:0;mso-wrap-distance-right:0" from="72.024002pt,46.994442pt" to="216.044002pt,46.994442pt" stroked="true" strokeweight=".72003pt" strokecolor="#000000">
            <w10:wrap type="topAndBottom"/>
          </v:line>
        </w:pict>
      </w:r>
      <w:r>
        <w:rPr>
          <w:b/>
          <w:color w:val="4F81BC"/>
          <w:sz w:val="24"/>
        </w:rPr>
        <w:t>Cine debate: </w:t>
      </w:r>
      <w:r>
        <w:rPr>
          <w:sz w:val="24"/>
        </w:rPr>
        <w:t>Se propone la proyección material cinematográfico, una película por</w:t>
      </w:r>
      <w:r>
        <w:rPr>
          <w:spacing w:val="19"/>
          <w:sz w:val="24"/>
        </w:rPr>
        <w:t> </w:t>
      </w:r>
      <w:r>
        <w:rPr>
          <w:sz w:val="24"/>
        </w:rPr>
        <w:t>semana.</w:t>
      </w:r>
      <w:r>
        <w:rPr>
          <w:spacing w:val="17"/>
          <w:sz w:val="24"/>
        </w:rPr>
        <w:t> </w:t>
      </w:r>
      <w:r>
        <w:rPr>
          <w:sz w:val="24"/>
        </w:rPr>
        <w:t>Para</w:t>
      </w:r>
      <w:r>
        <w:rPr>
          <w:spacing w:val="17"/>
          <w:sz w:val="24"/>
        </w:rPr>
        <w:t> </w:t>
      </w:r>
      <w:r>
        <w:rPr>
          <w:sz w:val="24"/>
        </w:rPr>
        <w:t>ello</w:t>
      </w:r>
      <w:r>
        <w:rPr>
          <w:spacing w:val="18"/>
          <w:sz w:val="24"/>
        </w:rPr>
        <w:t> </w:t>
      </w:r>
      <w:r>
        <w:rPr>
          <w:sz w:val="24"/>
        </w:rPr>
        <w:t>se</w:t>
      </w:r>
      <w:r>
        <w:rPr>
          <w:spacing w:val="20"/>
          <w:sz w:val="24"/>
        </w:rPr>
        <w:t> </w:t>
      </w:r>
      <w:r>
        <w:rPr>
          <w:sz w:val="24"/>
        </w:rPr>
        <w:t>solicitará</w:t>
      </w:r>
      <w:r>
        <w:rPr>
          <w:spacing w:val="20"/>
          <w:sz w:val="24"/>
        </w:rPr>
        <w:t> </w:t>
      </w:r>
      <w:r>
        <w:rPr>
          <w:sz w:val="24"/>
        </w:rPr>
        <w:t>el</w:t>
      </w:r>
      <w:r>
        <w:rPr>
          <w:spacing w:val="17"/>
          <w:sz w:val="24"/>
        </w:rPr>
        <w:t> </w:t>
      </w:r>
      <w:r>
        <w:rPr>
          <w:sz w:val="24"/>
        </w:rPr>
        <w:t>espacio</w:t>
      </w:r>
      <w:r>
        <w:rPr>
          <w:spacing w:val="20"/>
          <w:sz w:val="24"/>
        </w:rPr>
        <w:t> </w:t>
      </w:r>
      <w:r>
        <w:rPr>
          <w:sz w:val="24"/>
        </w:rPr>
        <w:t>de</w:t>
      </w:r>
      <w:r>
        <w:rPr>
          <w:spacing w:val="20"/>
          <w:sz w:val="24"/>
        </w:rPr>
        <w:t> </w:t>
      </w:r>
      <w:r>
        <w:rPr>
          <w:sz w:val="24"/>
        </w:rPr>
        <w:t>auditorios</w:t>
      </w:r>
      <w:r>
        <w:rPr>
          <w:spacing w:val="17"/>
          <w:sz w:val="24"/>
        </w:rPr>
        <w:t> </w:t>
      </w:r>
      <w:r>
        <w:rPr>
          <w:sz w:val="24"/>
        </w:rPr>
        <w:t>[el</w:t>
      </w:r>
      <w:r>
        <w:rPr>
          <w:spacing w:val="17"/>
          <w:sz w:val="24"/>
        </w:rPr>
        <w:t> </w:t>
      </w:r>
      <w:r>
        <w:rPr>
          <w:sz w:val="24"/>
        </w:rPr>
        <w:t>ICBI</w:t>
      </w:r>
      <w:r>
        <w:rPr>
          <w:spacing w:val="20"/>
          <w:sz w:val="24"/>
        </w:rPr>
        <w:t> </w:t>
      </w:r>
      <w:r>
        <w:rPr>
          <w:sz w:val="24"/>
        </w:rPr>
        <w:t>cuenta</w:t>
      </w:r>
      <w:r>
        <w:rPr>
          <w:spacing w:val="18"/>
          <w:sz w:val="24"/>
        </w:rPr>
        <w:t> </w:t>
      </w:r>
      <w:r>
        <w:rPr>
          <w:sz w:val="24"/>
        </w:rPr>
        <w:t>con</w:t>
      </w:r>
    </w:p>
    <w:p>
      <w:pPr>
        <w:spacing w:line="244" w:lineRule="auto" w:before="34"/>
        <w:ind w:left="120" w:right="119" w:firstLine="0"/>
        <w:jc w:val="both"/>
        <w:rPr>
          <w:sz w:val="20"/>
        </w:rPr>
      </w:pPr>
      <w:r>
        <w:rPr>
          <w:position w:val="11"/>
          <w:sz w:val="16"/>
        </w:rPr>
        <w:t>9  </w:t>
      </w:r>
      <w:r>
        <w:rPr>
          <w:sz w:val="20"/>
        </w:rPr>
        <w:t>Campaña ejecutada en Canadá a inicios de los años 90 y que tiene como finalidad la promoción de  una vida libre de violencia, guiada por hombres, la iniciativa es originada por Michael Kaufman, para mayor información se sugiere visitar la página</w:t>
      </w:r>
      <w:r>
        <w:rPr>
          <w:spacing w:val="-15"/>
          <w:sz w:val="20"/>
        </w:rPr>
        <w:t> </w:t>
      </w:r>
      <w:hyperlink r:id="rId28">
        <w:r>
          <w:rPr>
            <w:sz w:val="20"/>
          </w:rPr>
          <w:t>http://www.michaelkaufman.com/.</w:t>
        </w:r>
      </w:hyperlink>
    </w:p>
    <w:p>
      <w:pPr>
        <w:spacing w:after="0" w:line="244" w:lineRule="auto"/>
        <w:jc w:val="both"/>
        <w:rPr>
          <w:sz w:val="20"/>
        </w:rPr>
        <w:sectPr>
          <w:pgSz w:w="12240" w:h="15840"/>
          <w:pgMar w:header="0" w:footer="1014" w:top="1380" w:bottom="1200" w:left="1320" w:right="1320"/>
        </w:sectPr>
      </w:pPr>
    </w:p>
    <w:p>
      <w:pPr>
        <w:pStyle w:val="BodyText"/>
        <w:spacing w:line="360" w:lineRule="auto" w:before="58"/>
        <w:ind w:left="820" w:right="117"/>
        <w:jc w:val="both"/>
      </w:pPr>
      <w:r>
        <w:rPr/>
        <w:t>cuatro] para la proyección de materiales que propicien la reflexión sobre la violencia de género o de nuevas masculinidades. En este caso se plantea que sean los estudiantes quienes moderen la proyección del material, se plantea que al término del material los estudiantes procedan a compartir experiencias similares que propicien la participación y reflexión de los participantes.</w:t>
      </w:r>
    </w:p>
    <w:p>
      <w:pPr>
        <w:pStyle w:val="BodyText"/>
        <w:spacing w:before="2"/>
        <w:ind w:left="820"/>
        <w:jc w:val="both"/>
      </w:pPr>
      <w:r>
        <w:rPr/>
        <w:t>Se sugieren los siguientes materiales cinematográficos:</w:t>
      </w:r>
    </w:p>
    <w:p>
      <w:pPr>
        <w:pStyle w:val="ListParagraph"/>
        <w:numPr>
          <w:ilvl w:val="0"/>
          <w:numId w:val="3"/>
        </w:numPr>
        <w:tabs>
          <w:tab w:pos="1541" w:val="left" w:leader="none"/>
        </w:tabs>
        <w:spacing w:line="240" w:lineRule="auto" w:before="139" w:after="0"/>
        <w:ind w:left="1540" w:right="0" w:hanging="360"/>
        <w:jc w:val="left"/>
        <w:rPr>
          <w:sz w:val="24"/>
        </w:rPr>
      </w:pPr>
      <w:r>
        <w:rPr>
          <w:sz w:val="24"/>
        </w:rPr>
        <w:t>Te doy mis</w:t>
      </w:r>
      <w:r>
        <w:rPr>
          <w:spacing w:val="-5"/>
          <w:sz w:val="24"/>
        </w:rPr>
        <w:t> </w:t>
      </w:r>
      <w:r>
        <w:rPr>
          <w:sz w:val="24"/>
        </w:rPr>
        <w:t>Ojos.</w:t>
      </w:r>
    </w:p>
    <w:p>
      <w:pPr>
        <w:pStyle w:val="ListParagraph"/>
        <w:numPr>
          <w:ilvl w:val="0"/>
          <w:numId w:val="3"/>
        </w:numPr>
        <w:tabs>
          <w:tab w:pos="1541" w:val="left" w:leader="none"/>
        </w:tabs>
        <w:spacing w:line="240" w:lineRule="auto" w:before="137" w:after="0"/>
        <w:ind w:left="1540" w:right="0" w:hanging="360"/>
        <w:jc w:val="left"/>
        <w:rPr>
          <w:sz w:val="24"/>
        </w:rPr>
      </w:pPr>
      <w:r>
        <w:rPr>
          <w:sz w:val="24"/>
        </w:rPr>
        <w:t>Tierra</w:t>
      </w:r>
      <w:r>
        <w:rPr>
          <w:spacing w:val="-3"/>
          <w:sz w:val="24"/>
        </w:rPr>
        <w:t> </w:t>
      </w:r>
      <w:r>
        <w:rPr>
          <w:sz w:val="24"/>
        </w:rPr>
        <w:t>fría.</w:t>
      </w:r>
    </w:p>
    <w:p>
      <w:pPr>
        <w:pStyle w:val="ListParagraph"/>
        <w:numPr>
          <w:ilvl w:val="0"/>
          <w:numId w:val="3"/>
        </w:numPr>
        <w:tabs>
          <w:tab w:pos="1541" w:val="left" w:leader="none"/>
        </w:tabs>
        <w:spacing w:line="240" w:lineRule="auto" w:before="140" w:after="0"/>
        <w:ind w:left="1540" w:right="0" w:hanging="360"/>
        <w:jc w:val="left"/>
        <w:rPr>
          <w:sz w:val="24"/>
        </w:rPr>
      </w:pPr>
      <w:r>
        <w:rPr>
          <w:sz w:val="24"/>
        </w:rPr>
        <w:t>Las hermanas de la</w:t>
      </w:r>
      <w:r>
        <w:rPr>
          <w:spacing w:val="-12"/>
          <w:sz w:val="24"/>
        </w:rPr>
        <w:t> </w:t>
      </w:r>
      <w:r>
        <w:rPr>
          <w:sz w:val="24"/>
        </w:rPr>
        <w:t>Magdalena.</w:t>
      </w:r>
    </w:p>
    <w:p>
      <w:pPr>
        <w:pStyle w:val="ListParagraph"/>
        <w:numPr>
          <w:ilvl w:val="0"/>
          <w:numId w:val="3"/>
        </w:numPr>
        <w:tabs>
          <w:tab w:pos="1541" w:val="left" w:leader="none"/>
        </w:tabs>
        <w:spacing w:line="240" w:lineRule="auto" w:before="137" w:after="0"/>
        <w:ind w:left="1540" w:right="0" w:hanging="360"/>
        <w:jc w:val="left"/>
        <w:rPr>
          <w:sz w:val="24"/>
        </w:rPr>
      </w:pPr>
      <w:r>
        <w:rPr>
          <w:sz w:val="24"/>
        </w:rPr>
        <w:t>La teta</w:t>
      </w:r>
      <w:r>
        <w:rPr>
          <w:spacing w:val="-8"/>
          <w:sz w:val="24"/>
        </w:rPr>
        <w:t> </w:t>
      </w:r>
      <w:r>
        <w:rPr>
          <w:sz w:val="24"/>
        </w:rPr>
        <w:t>asustada.</w:t>
      </w:r>
    </w:p>
    <w:p>
      <w:pPr>
        <w:pStyle w:val="ListParagraph"/>
        <w:numPr>
          <w:ilvl w:val="0"/>
          <w:numId w:val="3"/>
        </w:numPr>
        <w:tabs>
          <w:tab w:pos="1541" w:val="left" w:leader="none"/>
        </w:tabs>
        <w:spacing w:line="240" w:lineRule="auto" w:before="139" w:after="0"/>
        <w:ind w:left="1540" w:right="0" w:hanging="360"/>
        <w:jc w:val="left"/>
        <w:rPr>
          <w:sz w:val="24"/>
        </w:rPr>
      </w:pPr>
      <w:r>
        <w:rPr>
          <w:sz w:val="24"/>
        </w:rPr>
        <w:t>La venus</w:t>
      </w:r>
      <w:r>
        <w:rPr>
          <w:spacing w:val="-7"/>
          <w:sz w:val="24"/>
        </w:rPr>
        <w:t> </w:t>
      </w:r>
      <w:r>
        <w:rPr>
          <w:sz w:val="24"/>
        </w:rPr>
        <w:t>negra.</w:t>
      </w:r>
    </w:p>
    <w:p>
      <w:pPr>
        <w:pStyle w:val="ListParagraph"/>
        <w:numPr>
          <w:ilvl w:val="0"/>
          <w:numId w:val="3"/>
        </w:numPr>
        <w:tabs>
          <w:tab w:pos="1541" w:val="left" w:leader="none"/>
        </w:tabs>
        <w:spacing w:line="240" w:lineRule="auto" w:before="137" w:after="0"/>
        <w:ind w:left="1540" w:right="0" w:hanging="360"/>
        <w:jc w:val="left"/>
        <w:rPr>
          <w:sz w:val="24"/>
        </w:rPr>
      </w:pPr>
      <w:r>
        <w:rPr>
          <w:sz w:val="24"/>
        </w:rPr>
        <w:t>El color</w:t>
      </w:r>
      <w:r>
        <w:rPr>
          <w:spacing w:val="-3"/>
          <w:sz w:val="24"/>
        </w:rPr>
        <w:t> </w:t>
      </w:r>
      <w:r>
        <w:rPr>
          <w:sz w:val="24"/>
        </w:rPr>
        <w:t>púrpura.</w:t>
      </w:r>
    </w:p>
    <w:p>
      <w:pPr>
        <w:pStyle w:val="ListParagraph"/>
        <w:numPr>
          <w:ilvl w:val="0"/>
          <w:numId w:val="3"/>
        </w:numPr>
        <w:tabs>
          <w:tab w:pos="1541" w:val="left" w:leader="none"/>
        </w:tabs>
        <w:spacing w:line="240" w:lineRule="auto" w:before="139" w:after="0"/>
        <w:ind w:left="1540" w:right="0" w:hanging="360"/>
        <w:jc w:val="left"/>
        <w:rPr>
          <w:sz w:val="24"/>
        </w:rPr>
      </w:pPr>
      <w:r>
        <w:rPr>
          <w:sz w:val="24"/>
        </w:rPr>
        <w:t>Celos.</w:t>
      </w:r>
    </w:p>
    <w:p>
      <w:pPr>
        <w:pStyle w:val="ListParagraph"/>
        <w:numPr>
          <w:ilvl w:val="0"/>
          <w:numId w:val="3"/>
        </w:numPr>
        <w:tabs>
          <w:tab w:pos="1541" w:val="left" w:leader="none"/>
        </w:tabs>
        <w:spacing w:line="240" w:lineRule="auto" w:before="137" w:after="0"/>
        <w:ind w:left="1540" w:right="0" w:hanging="360"/>
        <w:jc w:val="left"/>
        <w:rPr>
          <w:sz w:val="24"/>
        </w:rPr>
      </w:pPr>
      <w:r>
        <w:rPr>
          <w:sz w:val="24"/>
        </w:rPr>
        <w:t>Sólo</w:t>
      </w:r>
      <w:r>
        <w:rPr>
          <w:spacing w:val="-4"/>
          <w:sz w:val="24"/>
        </w:rPr>
        <w:t> </w:t>
      </w:r>
      <w:r>
        <w:rPr>
          <w:sz w:val="24"/>
        </w:rPr>
        <w:t>Mía.</w:t>
      </w:r>
    </w:p>
    <w:p>
      <w:pPr>
        <w:pStyle w:val="ListParagraph"/>
        <w:numPr>
          <w:ilvl w:val="0"/>
          <w:numId w:val="3"/>
        </w:numPr>
        <w:tabs>
          <w:tab w:pos="1541" w:val="left" w:leader="none"/>
        </w:tabs>
        <w:spacing w:line="240" w:lineRule="auto" w:before="139" w:after="0"/>
        <w:ind w:left="1540" w:right="0" w:hanging="360"/>
        <w:jc w:val="left"/>
        <w:rPr>
          <w:sz w:val="24"/>
        </w:rPr>
      </w:pPr>
      <w:r>
        <w:rPr>
          <w:sz w:val="24"/>
        </w:rPr>
        <w:t>La verdad de</w:t>
      </w:r>
      <w:r>
        <w:rPr>
          <w:spacing w:val="-10"/>
          <w:sz w:val="24"/>
        </w:rPr>
        <w:t> </w:t>
      </w:r>
      <w:r>
        <w:rPr>
          <w:sz w:val="24"/>
        </w:rPr>
        <w:t>Soraya.</w:t>
      </w:r>
    </w:p>
    <w:p>
      <w:pPr>
        <w:pStyle w:val="BodyText"/>
      </w:pPr>
    </w:p>
    <w:p>
      <w:pPr>
        <w:pStyle w:val="BodyText"/>
        <w:spacing w:before="10"/>
        <w:rPr>
          <w:sz w:val="23"/>
        </w:rPr>
      </w:pPr>
    </w:p>
    <w:p>
      <w:pPr>
        <w:pStyle w:val="ListParagraph"/>
        <w:numPr>
          <w:ilvl w:val="0"/>
          <w:numId w:val="4"/>
        </w:numPr>
        <w:tabs>
          <w:tab w:pos="821" w:val="left" w:leader="none"/>
        </w:tabs>
        <w:spacing w:line="357" w:lineRule="auto" w:before="0" w:after="0"/>
        <w:ind w:left="820" w:right="120" w:hanging="360"/>
        <w:jc w:val="both"/>
        <w:rPr>
          <w:sz w:val="24"/>
        </w:rPr>
      </w:pPr>
      <w:r>
        <w:rPr>
          <w:b/>
          <w:color w:val="4F81BC"/>
          <w:sz w:val="24"/>
        </w:rPr>
        <w:t>Elaboración de carteles</w:t>
      </w:r>
      <w:r>
        <w:rPr>
          <w:i/>
          <w:sz w:val="24"/>
        </w:rPr>
        <w:t>: </w:t>
      </w:r>
      <w:r>
        <w:rPr>
          <w:sz w:val="24"/>
        </w:rPr>
        <w:t>Se plantea que los estudiantes realicen una serie de carteles con fotografías de ellos mismos, en su entorno inmediato en los que puedan identificar la violencia de género y lo transmitan a partir de carteles en las inmediaciones del Instituto, sobre todo en lugares en los que la concurrencia de personas sea</w:t>
      </w:r>
      <w:r>
        <w:rPr>
          <w:spacing w:val="-9"/>
          <w:sz w:val="24"/>
        </w:rPr>
        <w:t> </w:t>
      </w:r>
      <w:r>
        <w:rPr>
          <w:sz w:val="24"/>
        </w:rPr>
        <w:t>amplia.</w:t>
      </w:r>
    </w:p>
    <w:p>
      <w:pPr>
        <w:pStyle w:val="BodyText"/>
      </w:pPr>
    </w:p>
    <w:p>
      <w:pPr>
        <w:pStyle w:val="Heading1"/>
        <w:spacing w:before="209"/>
      </w:pPr>
      <w:r>
        <w:rPr>
          <w:color w:val="365F91"/>
        </w:rPr>
        <w:t>Conclusiones.</w:t>
      </w:r>
    </w:p>
    <w:p>
      <w:pPr>
        <w:pStyle w:val="BodyText"/>
        <w:rPr>
          <w:b/>
        </w:rPr>
      </w:pPr>
    </w:p>
    <w:p>
      <w:pPr>
        <w:pStyle w:val="BodyText"/>
        <w:rPr>
          <w:b/>
        </w:rPr>
      </w:pPr>
    </w:p>
    <w:p>
      <w:pPr>
        <w:pStyle w:val="BodyText"/>
        <w:spacing w:line="360" w:lineRule="auto"/>
        <w:ind w:left="100" w:right="117"/>
        <w:jc w:val="both"/>
      </w:pPr>
      <w:r>
        <w:rPr/>
        <w:t>La incorporación de la perspectiva de género dentro de las actividades institucionales implementadas por la UAEH dentro del ICBI constituye una medida de suma importancia debido a las características del espacio y de la conformación del cuerpo estudiantil. Estas acciones que se proponen a la Universidad constituyen un esfuerzo por promover modelos de interacción más justos, humanos y sanos, que permitan el desarrollo de personas con habilidades para la vida y que sean capaces de atender a las n</w:t>
      </w:r>
      <w:bookmarkStart w:name="_bookmark27" w:id="31"/>
      <w:bookmarkEnd w:id="31"/>
      <w:r>
        <w:rPr/>
        <w:t>e</w:t>
      </w:r>
      <w:r>
        <w:rPr/>
        <w:t>cesidades de un mundo ávido de relaciones más equitativas, igualitarias y justas.</w:t>
      </w:r>
    </w:p>
    <w:p>
      <w:pPr>
        <w:spacing w:after="0" w:line="360" w:lineRule="auto"/>
        <w:jc w:val="both"/>
        <w:sectPr>
          <w:pgSz w:w="12240" w:h="15840"/>
          <w:pgMar w:header="0" w:footer="1014" w:top="1380" w:bottom="1200" w:left="1340" w:right="1320"/>
        </w:sectPr>
      </w:pPr>
    </w:p>
    <w:p>
      <w:pPr>
        <w:pStyle w:val="BodyText"/>
        <w:spacing w:line="360" w:lineRule="auto" w:before="58"/>
        <w:ind w:left="100" w:right="117"/>
        <w:jc w:val="both"/>
      </w:pPr>
      <w:r>
        <w:rPr/>
        <w:pict>
          <v:line style="position:absolute;mso-position-horizontal-relative:page;mso-position-vertical-relative:paragraph;z-index:-109264" from="366.670013pt,77.935867pt" to="370.030013pt,77.935867pt" stroked="true" strokeweight=".84pt" strokecolor="#000000">
            <w10:wrap type="none"/>
          </v:line>
        </w:pict>
      </w:r>
      <w:r>
        <w:rPr/>
        <w:t>Aunado a lo anterior me parece prudente destacar que el desarrollo de comprensión de las masculinidades y [preponderantemente la hegemónica] constituye un elemento de gran utilidad para la promoción de un ambiente educativo en el que la virilidad y la implementación de la violencia [en todas sus formas]no sean alternativas viables ni promovidas, sino que sean identificables y sancionables, esos son uno de los objetivos fundamentales de las propuestas: incentivar al cuerpo estudiantil a adquirir hábitos y actitudes nuevas que les permitan ser intolerantes a la violencia de género y se conviertan en </w:t>
      </w:r>
      <w:r>
        <w:rPr>
          <w:i/>
        </w:rPr>
        <w:t>actores </w:t>
      </w:r>
      <w:r>
        <w:rPr/>
        <w:t>de cambio dentro del ambiente educativo en el que se desarrollan.</w:t>
      </w:r>
    </w:p>
    <w:p>
      <w:pPr>
        <w:pStyle w:val="BodyText"/>
      </w:pPr>
    </w:p>
    <w:p>
      <w:pPr>
        <w:pStyle w:val="Heading1"/>
      </w:pPr>
      <w:r>
        <w:rPr>
          <w:color w:val="365F91"/>
        </w:rPr>
        <w:t>Bibliografía</w:t>
      </w:r>
    </w:p>
    <w:p>
      <w:pPr>
        <w:pStyle w:val="BodyText"/>
        <w:rPr>
          <w:b/>
        </w:rPr>
      </w:pPr>
    </w:p>
    <w:p>
      <w:pPr>
        <w:pStyle w:val="BodyText"/>
        <w:spacing w:before="7"/>
        <w:rPr>
          <w:b/>
        </w:rPr>
      </w:pPr>
    </w:p>
    <w:p>
      <w:pPr>
        <w:spacing w:line="360" w:lineRule="auto" w:before="0"/>
        <w:ind w:left="100" w:right="117" w:firstLine="0"/>
        <w:jc w:val="both"/>
        <w:rPr>
          <w:sz w:val="24"/>
        </w:rPr>
      </w:pPr>
      <w:r>
        <w:rPr>
          <w:sz w:val="24"/>
        </w:rPr>
        <w:t>Álvarez, Silvina [2001], “Diferencia y teoría feminista”, en </w:t>
      </w:r>
      <w:r>
        <w:rPr>
          <w:color w:val="212121"/>
          <w:sz w:val="24"/>
        </w:rPr>
        <w:t>Beltrán, Elena y Virginia, Maqueira (comp.) </w:t>
      </w:r>
      <w:r>
        <w:rPr>
          <w:i/>
          <w:color w:val="212121"/>
          <w:sz w:val="24"/>
        </w:rPr>
        <w:t>Debates Teóricos Contemporáneos</w:t>
      </w:r>
      <w:r>
        <w:rPr>
          <w:color w:val="212121"/>
          <w:sz w:val="24"/>
        </w:rPr>
        <w:t>, Madrid: Alianza.</w:t>
      </w:r>
    </w:p>
    <w:p>
      <w:pPr>
        <w:spacing w:before="202"/>
        <w:ind w:left="100" w:right="0" w:firstLine="0"/>
        <w:jc w:val="both"/>
        <w:rPr>
          <w:sz w:val="24"/>
        </w:rPr>
      </w:pPr>
      <w:r>
        <w:rPr>
          <w:sz w:val="24"/>
        </w:rPr>
        <w:t>Badinter, Elisabeth [1993], </w:t>
      </w:r>
      <w:r>
        <w:rPr>
          <w:i/>
          <w:sz w:val="24"/>
        </w:rPr>
        <w:t>XY. La identidad Masculina, </w:t>
      </w:r>
      <w:r>
        <w:rPr>
          <w:sz w:val="24"/>
        </w:rPr>
        <w:t>Madrid: Alianza Editorial.</w:t>
      </w:r>
    </w:p>
    <w:p>
      <w:pPr>
        <w:pStyle w:val="BodyText"/>
        <w:spacing w:before="5"/>
        <w:rPr>
          <w:sz w:val="29"/>
        </w:rPr>
      </w:pPr>
    </w:p>
    <w:p>
      <w:pPr>
        <w:pStyle w:val="BodyText"/>
        <w:spacing w:line="362" w:lineRule="auto"/>
        <w:ind w:left="100" w:right="116"/>
        <w:jc w:val="both"/>
      </w:pPr>
      <w:r>
        <w:rPr/>
        <w:t>Bonino Méndez, Luis [2004], “Los Micromachismos”, en </w:t>
      </w:r>
      <w:r>
        <w:rPr>
          <w:i/>
        </w:rPr>
        <w:t>La Cibeles</w:t>
      </w:r>
      <w:r>
        <w:rPr/>
        <w:t>, núm. 2, Madrid: ayuntamiento de Madrid.</w:t>
      </w:r>
    </w:p>
    <w:p>
      <w:pPr>
        <w:pStyle w:val="BodyText"/>
        <w:tabs>
          <w:tab w:pos="3546" w:val="left" w:leader="none"/>
          <w:tab w:pos="6206" w:val="left" w:leader="none"/>
        </w:tabs>
        <w:spacing w:line="360" w:lineRule="auto" w:before="199"/>
        <w:ind w:left="100" w:right="112"/>
        <w:jc w:val="both"/>
      </w:pPr>
      <w:r>
        <w:rPr/>
        <w:t>Bonino Méndez, Luis [</w:t>
      </w:r>
      <w:r>
        <w:rPr>
          <w:i/>
        </w:rPr>
        <w:t>s.f.</w:t>
      </w:r>
      <w:r>
        <w:rPr/>
        <w:t>], “Micromachismos: la violencia invisible en la pareja”. Disponible</w:t>
        <w:tab/>
        <w:t>en:</w:t>
        <w:tab/>
      </w:r>
      <w:hyperlink r:id="rId29">
        <w:r>
          <w:rPr/>
          <w:t>http://laciutatinvisible.coop/wp-</w:t>
        </w:r>
      </w:hyperlink>
      <w:r>
        <w:rPr/>
        <w:t> content/uploads/2014/05/micromachismos_0.pdf [23 de mayo de</w:t>
      </w:r>
      <w:r>
        <w:rPr>
          <w:spacing w:val="-28"/>
        </w:rPr>
        <w:t> </w:t>
      </w:r>
      <w:r>
        <w:rPr/>
        <w:t>2014]</w:t>
      </w:r>
    </w:p>
    <w:p>
      <w:pPr>
        <w:spacing w:before="199"/>
        <w:ind w:left="100" w:right="0" w:firstLine="0"/>
        <w:jc w:val="both"/>
        <w:rPr>
          <w:sz w:val="24"/>
        </w:rPr>
      </w:pPr>
      <w:r>
        <w:rPr>
          <w:sz w:val="24"/>
        </w:rPr>
        <w:t>Bourdieu, Pierre [2000], </w:t>
      </w:r>
      <w:r>
        <w:rPr>
          <w:i/>
          <w:sz w:val="24"/>
        </w:rPr>
        <w:t>La dominación masculina</w:t>
      </w:r>
      <w:r>
        <w:rPr>
          <w:sz w:val="24"/>
        </w:rPr>
        <w:t>, Barcelona: Anagrama</w:t>
      </w:r>
    </w:p>
    <w:p>
      <w:pPr>
        <w:pStyle w:val="BodyText"/>
        <w:spacing w:before="5"/>
        <w:rPr>
          <w:sz w:val="29"/>
        </w:rPr>
      </w:pPr>
    </w:p>
    <w:p>
      <w:pPr>
        <w:spacing w:line="360" w:lineRule="auto" w:before="0"/>
        <w:ind w:left="100" w:right="119" w:firstLine="0"/>
        <w:jc w:val="both"/>
        <w:rPr>
          <w:sz w:val="24"/>
        </w:rPr>
      </w:pPr>
      <w:r>
        <w:rPr>
          <w:sz w:val="24"/>
        </w:rPr>
        <w:t>Castro, Roberto e Irene Casique [2010], </w:t>
      </w:r>
      <w:r>
        <w:rPr>
          <w:i/>
          <w:sz w:val="24"/>
        </w:rPr>
        <w:t>Violencia en el noviazgo entre los jóvenes </w:t>
      </w:r>
      <w:r>
        <w:rPr>
          <w:i/>
          <w:sz w:val="24"/>
        </w:rPr>
        <w:t>mexicanos, </w:t>
      </w:r>
      <w:r>
        <w:rPr>
          <w:sz w:val="24"/>
        </w:rPr>
        <w:t>Cuernavaca: UNAM/CRIM.</w:t>
      </w:r>
    </w:p>
    <w:p>
      <w:pPr>
        <w:pStyle w:val="BodyText"/>
        <w:spacing w:line="360" w:lineRule="auto" w:before="206"/>
        <w:ind w:left="100" w:right="114"/>
        <w:jc w:val="both"/>
      </w:pPr>
      <w:r>
        <w:rPr/>
        <w:t>Castro, Roberto y Verónica Vázquez García [2008], “La universidad como un espacio de reproducción de la violencia de género. Un estudio de caso en la Universidad Autónoma Chapingo, México”, en </w:t>
      </w:r>
      <w:r>
        <w:rPr>
          <w:i/>
        </w:rPr>
        <w:t>Estudios sociológicos del Colegio de México</w:t>
      </w:r>
      <w:r>
        <w:rPr/>
        <w:t>, Vol. XXVI, núm. 78, septiembre-diciembre, México:</w:t>
      </w:r>
      <w:r>
        <w:rPr>
          <w:spacing w:val="-21"/>
        </w:rPr>
        <w:t> </w:t>
      </w:r>
      <w:r>
        <w:rPr/>
        <w:t>Colmex.</w:t>
      </w:r>
    </w:p>
    <w:p>
      <w:pPr>
        <w:spacing w:after="0" w:line="360" w:lineRule="auto"/>
        <w:jc w:val="both"/>
        <w:sectPr>
          <w:pgSz w:w="12240" w:h="15840"/>
          <w:pgMar w:header="0" w:footer="1014" w:top="1380" w:bottom="1200" w:left="1340" w:right="1320"/>
        </w:sectPr>
      </w:pPr>
    </w:p>
    <w:p>
      <w:pPr>
        <w:spacing w:line="360" w:lineRule="auto" w:before="58"/>
        <w:ind w:left="100" w:right="115" w:firstLine="0"/>
        <w:jc w:val="both"/>
        <w:rPr>
          <w:sz w:val="24"/>
        </w:rPr>
      </w:pPr>
      <w:r>
        <w:rPr>
          <w:sz w:val="24"/>
        </w:rPr>
        <w:t>Conway, Jill K., Bourque, Susan C., Scott, Joan W. [2003], “El concepto de género”, en Lamas, Martha [comp.], </w:t>
      </w:r>
      <w:r>
        <w:rPr>
          <w:i/>
          <w:sz w:val="24"/>
        </w:rPr>
        <w:t>El género. La construcción cultural de la diferencia</w:t>
      </w:r>
      <w:r>
        <w:rPr>
          <w:sz w:val="24"/>
        </w:rPr>
        <w:t>. México: UNAM/PUEG.</w:t>
      </w:r>
    </w:p>
    <w:p>
      <w:pPr>
        <w:spacing w:line="360" w:lineRule="auto" w:before="202"/>
        <w:ind w:left="100" w:right="115" w:firstLine="0"/>
        <w:jc w:val="left"/>
        <w:rPr>
          <w:sz w:val="24"/>
        </w:rPr>
      </w:pPr>
      <w:r>
        <w:rPr>
          <w:sz w:val="24"/>
        </w:rPr>
        <w:t>Espinar Ruiz, Eva &amp; Rios Hernando, José Antonio [2014], </w:t>
      </w:r>
      <w:r>
        <w:rPr>
          <w:i/>
          <w:sz w:val="24"/>
        </w:rPr>
        <w:t>Producción del espacio y </w:t>
      </w:r>
      <w:r>
        <w:rPr>
          <w:i/>
          <w:sz w:val="24"/>
        </w:rPr>
        <w:t>desigualdades de género. El ejemplo del campus de Alicante. </w:t>
      </w:r>
      <w:r>
        <w:rPr>
          <w:sz w:val="24"/>
        </w:rPr>
        <w:t>Disponible en: </w:t>
      </w:r>
      <w:hyperlink r:id="rId30">
        <w:r>
          <w:rPr>
            <w:color w:val="0000FF"/>
            <w:sz w:val="24"/>
            <w:u w:val="single" w:color="0000FF"/>
          </w:rPr>
          <w:t>http://web.ua.es/es/cem/documentos/publicaciones/cuadernos-de-trabajos-de-</w:t>
        </w:r>
      </w:hyperlink>
      <w:r>
        <w:rPr>
          <w:color w:val="0000FF"/>
          <w:sz w:val="24"/>
          <w:u w:val="single" w:color="0000FF"/>
        </w:rPr>
        <w:t> </w:t>
      </w:r>
      <w:hyperlink r:id="rId30">
        <w:r>
          <w:rPr>
            <w:color w:val="0000FF"/>
            <w:sz w:val="24"/>
            <w:u w:val="single" w:color="0000FF"/>
          </w:rPr>
          <w:t>investigacion/1-produccion-del-espacio.pdf [30 </w:t>
        </w:r>
      </w:hyperlink>
      <w:r>
        <w:rPr>
          <w:sz w:val="24"/>
        </w:rPr>
        <w:t>de mayo de 2014]</w:t>
      </w:r>
    </w:p>
    <w:p>
      <w:pPr>
        <w:pStyle w:val="BodyText"/>
        <w:spacing w:before="9"/>
        <w:rPr>
          <w:sz w:val="11"/>
        </w:rPr>
      </w:pPr>
    </w:p>
    <w:p>
      <w:pPr>
        <w:spacing w:line="360" w:lineRule="auto" w:before="69"/>
        <w:ind w:left="100" w:right="119" w:firstLine="0"/>
        <w:jc w:val="both"/>
        <w:rPr>
          <w:sz w:val="24"/>
        </w:rPr>
      </w:pPr>
      <w:r>
        <w:rPr>
          <w:sz w:val="24"/>
        </w:rPr>
        <w:t>Fernández-Llebrez, Fernando [2004] “¿Hombres de verdad? Estereotipo masculina, relaciones entre los géneros y ciudadanía” en </w:t>
      </w:r>
      <w:r>
        <w:rPr>
          <w:i/>
          <w:sz w:val="24"/>
        </w:rPr>
        <w:t>Foro Interno, Anuario de Teoría Política, </w:t>
      </w:r>
      <w:r>
        <w:rPr>
          <w:i/>
          <w:sz w:val="24"/>
        </w:rPr>
        <w:t>Vol. 4</w:t>
      </w:r>
      <w:r>
        <w:rPr>
          <w:sz w:val="24"/>
        </w:rPr>
        <w:t>, Madrid: Universidad Complutense de Madrid.</w:t>
      </w:r>
    </w:p>
    <w:p>
      <w:pPr>
        <w:pStyle w:val="BodyText"/>
        <w:spacing w:line="360" w:lineRule="auto" w:before="204"/>
        <w:ind w:left="100" w:right="114"/>
        <w:jc w:val="both"/>
      </w:pPr>
      <w:r>
        <w:rPr/>
        <w:t>Follingstand, Diane, </w:t>
      </w:r>
      <w:r>
        <w:rPr>
          <w:i/>
        </w:rPr>
        <w:t>et. al. </w:t>
      </w:r>
      <w:r>
        <w:rPr/>
        <w:t>[1991], “Sex differences in motivation and effects in dating violence”</w:t>
      </w:r>
      <w:r>
        <w:rPr>
          <w:i/>
        </w:rPr>
        <w:t>, e</w:t>
      </w:r>
      <w:r>
        <w:rPr/>
        <w:t>n </w:t>
      </w:r>
      <w:r>
        <w:rPr>
          <w:i/>
        </w:rPr>
        <w:t>Family Relations</w:t>
      </w:r>
      <w:r>
        <w:rPr/>
        <w:t>, Vol. 40, Núm. 1, enero, Minneapolis: National Council  on Family</w:t>
      </w:r>
      <w:r>
        <w:rPr>
          <w:spacing w:val="-4"/>
        </w:rPr>
        <w:t> </w:t>
      </w:r>
      <w:r>
        <w:rPr/>
        <w:t>Relations.</w:t>
      </w:r>
    </w:p>
    <w:p>
      <w:pPr>
        <w:spacing w:line="360" w:lineRule="auto" w:before="202"/>
        <w:ind w:left="100" w:right="118" w:firstLine="0"/>
        <w:jc w:val="both"/>
        <w:rPr>
          <w:sz w:val="24"/>
        </w:rPr>
      </w:pPr>
      <w:r>
        <w:rPr>
          <w:sz w:val="24"/>
        </w:rPr>
        <w:t>García Meraz, Melissa </w:t>
      </w:r>
      <w:r>
        <w:rPr>
          <w:i/>
          <w:sz w:val="24"/>
        </w:rPr>
        <w:t>et al </w:t>
      </w:r>
      <w:r>
        <w:rPr>
          <w:sz w:val="24"/>
        </w:rPr>
        <w:t>[2012], </w:t>
      </w:r>
      <w:r>
        <w:rPr>
          <w:i/>
          <w:sz w:val="24"/>
        </w:rPr>
        <w:t>Evaluación e intervención en psicología. </w:t>
      </w:r>
      <w:r>
        <w:rPr>
          <w:i/>
          <w:sz w:val="24"/>
        </w:rPr>
        <w:t>Planteamientos teóricos y empíricos. </w:t>
      </w:r>
      <w:r>
        <w:rPr>
          <w:sz w:val="24"/>
        </w:rPr>
        <w:t>Pachuca de Soto: UAEH.</w:t>
      </w:r>
    </w:p>
    <w:p>
      <w:pPr>
        <w:pStyle w:val="BodyText"/>
        <w:spacing w:line="360" w:lineRule="auto" w:before="206"/>
        <w:ind w:left="100" w:right="120"/>
        <w:jc w:val="both"/>
      </w:pPr>
      <w:r>
        <w:rPr/>
        <w:t>García Villanueva, Jorge [2008], “El hombre Joven. Hacia una nueva categoría para comprender la identidad masculina en los jóvenes”, en Fonseca Hernández, Carlos y Maria Luisa Quintero Soto [coords.], </w:t>
      </w:r>
      <w:r>
        <w:rPr>
          <w:i/>
        </w:rPr>
        <w:t>Temas emergentes en los estudios de género, </w:t>
      </w:r>
      <w:r>
        <w:rPr/>
        <w:t>México: Miguel Ángel Porrúa.</w:t>
      </w:r>
    </w:p>
    <w:p>
      <w:pPr>
        <w:spacing w:line="278" w:lineRule="auto" w:before="202"/>
        <w:ind w:left="100" w:right="201" w:firstLine="0"/>
        <w:jc w:val="left"/>
        <w:rPr>
          <w:sz w:val="24"/>
        </w:rPr>
      </w:pPr>
      <w:r>
        <w:rPr>
          <w:sz w:val="24"/>
        </w:rPr>
        <w:t>Garda Salas, Roberto [2006], </w:t>
      </w:r>
      <w:r>
        <w:rPr>
          <w:i/>
          <w:sz w:val="24"/>
        </w:rPr>
        <w:t>Manual de técnicas para la sensibilización de la violencia </w:t>
      </w:r>
      <w:r>
        <w:rPr>
          <w:i/>
          <w:sz w:val="24"/>
        </w:rPr>
        <w:t>de género y masculinidades en la comunidad</w:t>
      </w:r>
      <w:r>
        <w:rPr>
          <w:sz w:val="24"/>
        </w:rPr>
        <w:t>, México, Gobierno de Jalisco-Instituto Jalisciense de las Mujeres-INDESOL-Hombres por la Equidad A.C.</w:t>
      </w:r>
    </w:p>
    <w:p>
      <w:pPr>
        <w:pStyle w:val="BodyText"/>
        <w:spacing w:line="360" w:lineRule="auto" w:before="197"/>
        <w:ind w:left="100" w:right="111"/>
        <w:jc w:val="both"/>
      </w:pPr>
      <w:r>
        <w:rPr/>
        <w:t>Gutiérrez Portillo, Susana y Maria Magdalena Duarte Godoy [2012], “Ingenieras o ingenieros: cómo se conciben las mujeres en el campo de ingeniería”, en Eulalia Pérez Sedeño, </w:t>
      </w:r>
      <w:r>
        <w:rPr>
          <w:i/>
        </w:rPr>
        <w:t>et al. </w:t>
      </w:r>
      <w:r>
        <w:rPr/>
        <w:t>[eds.], </w:t>
      </w:r>
      <w:r>
        <w:rPr>
          <w:i/>
        </w:rPr>
        <w:t>Aproximaciones epistemológicas, </w:t>
      </w:r>
      <w:r>
        <w:rPr/>
        <w:t>IX Congreso Iberoamericano de Ciencia, Tecnología y Género, 31 de enero a 3 de febrero, Sevilla: Organización de Estados Iberoamericanos para la Educación, la Ciencia y la cultura-AECID-Junta de Andalucía-Universidad de Sevilla.</w:t>
      </w:r>
    </w:p>
    <w:p>
      <w:pPr>
        <w:spacing w:after="0" w:line="360" w:lineRule="auto"/>
        <w:jc w:val="both"/>
        <w:sectPr>
          <w:pgSz w:w="12240" w:h="15840"/>
          <w:pgMar w:header="0" w:footer="1014" w:top="1380" w:bottom="1200" w:left="1340" w:right="1320"/>
        </w:sectPr>
      </w:pPr>
    </w:p>
    <w:p>
      <w:pPr>
        <w:spacing w:line="360" w:lineRule="auto" w:before="56"/>
        <w:ind w:left="100" w:right="0" w:firstLine="0"/>
        <w:jc w:val="left"/>
        <w:rPr>
          <w:sz w:val="24"/>
        </w:rPr>
      </w:pPr>
      <w:r>
        <w:rPr>
          <w:sz w:val="24"/>
        </w:rPr>
        <w:t>INEGI [2011], </w:t>
      </w:r>
      <w:r>
        <w:rPr>
          <w:i/>
          <w:sz w:val="24"/>
        </w:rPr>
        <w:t>ENVIREH [Encuesta Nacional sobre la Dinámica de las Relaciones en el </w:t>
      </w:r>
      <w:r>
        <w:rPr>
          <w:i/>
          <w:sz w:val="24"/>
        </w:rPr>
        <w:t>Hogar]</w:t>
      </w:r>
      <w:r>
        <w:rPr>
          <w:sz w:val="24"/>
        </w:rPr>
        <w:t>, México: INEGI.</w:t>
      </w:r>
    </w:p>
    <w:p>
      <w:pPr>
        <w:spacing w:line="360" w:lineRule="auto" w:before="204"/>
        <w:ind w:left="100" w:right="123" w:firstLine="0"/>
        <w:jc w:val="left"/>
        <w:rPr>
          <w:sz w:val="24"/>
        </w:rPr>
      </w:pPr>
      <w:r>
        <w:rPr>
          <w:sz w:val="24"/>
        </w:rPr>
        <w:t>Instituto Nacional de las Mujeres [s.f.], </w:t>
      </w:r>
      <w:r>
        <w:rPr>
          <w:i/>
          <w:sz w:val="24"/>
        </w:rPr>
        <w:t>Modelo de Equidad de Género MEG:2012. </w:t>
      </w:r>
      <w:r>
        <w:rPr>
          <w:i/>
          <w:sz w:val="24"/>
        </w:rPr>
        <w:t>Modelo del Sistema de Gestión de Equidad de Género, </w:t>
      </w:r>
      <w:r>
        <w:rPr>
          <w:sz w:val="24"/>
        </w:rPr>
        <w:t>México: INMUJERES.</w:t>
      </w:r>
    </w:p>
    <w:p>
      <w:pPr>
        <w:pStyle w:val="BodyText"/>
        <w:tabs>
          <w:tab w:pos="1443" w:val="left" w:leader="none"/>
          <w:tab w:pos="3102" w:val="left" w:leader="none"/>
          <w:tab w:pos="4539" w:val="left" w:leader="none"/>
          <w:tab w:pos="5563" w:val="left" w:leader="none"/>
          <w:tab w:pos="7610" w:val="left" w:leader="none"/>
          <w:tab w:pos="9193" w:val="left" w:leader="none"/>
        </w:tabs>
        <w:spacing w:line="360" w:lineRule="auto" w:before="204"/>
        <w:ind w:left="100" w:right="116"/>
      </w:pPr>
      <w:r>
        <w:rPr/>
        <w:t>Instituto</w:t>
        <w:tab/>
        <w:t>Politécnico</w:t>
        <w:tab/>
        <w:t>Nacional</w:t>
        <w:tab/>
        <w:t>[</w:t>
      </w:r>
      <w:r>
        <w:rPr>
          <w:i/>
        </w:rPr>
        <w:t>s.f.</w:t>
      </w:r>
      <w:r>
        <w:rPr/>
        <w:t>],</w:t>
        <w:tab/>
      </w:r>
      <w:r>
        <w:rPr>
          <w:i/>
        </w:rPr>
        <w:t>Violentómetro,</w:t>
        <w:tab/>
      </w:r>
      <w:r>
        <w:rPr/>
        <w:t>disponible</w:t>
        <w:tab/>
        <w:t>en </w:t>
      </w:r>
      <w:hyperlink r:id="rId31">
        <w:r>
          <w:rPr>
            <w:color w:val="0000FF"/>
            <w:u w:val="single" w:color="0000FF"/>
          </w:rPr>
          <w:t>http://www.genero.ipn.mx/Materiales_Didacticos/Documents/violentometro_FINAL.swf</w:t>
        </w:r>
      </w:hyperlink>
      <w:r>
        <w:rPr>
          <w:color w:val="0000FF"/>
          <w:u w:val="single" w:color="0000FF"/>
        </w:rPr>
        <w:t> </w:t>
      </w:r>
      <w:hyperlink r:id="rId31">
        <w:r>
          <w:rPr>
            <w:color w:val="0000FF"/>
            <w:u w:val="single" w:color="0000FF"/>
          </w:rPr>
          <w:t>[10 </w:t>
        </w:r>
      </w:hyperlink>
      <w:r>
        <w:rPr/>
        <w:t>de junio de</w:t>
      </w:r>
      <w:r>
        <w:rPr>
          <w:spacing w:val="-8"/>
        </w:rPr>
        <w:t> </w:t>
      </w:r>
      <w:r>
        <w:rPr/>
        <w:t>2014]</w:t>
      </w:r>
    </w:p>
    <w:p>
      <w:pPr>
        <w:pStyle w:val="BodyText"/>
        <w:spacing w:before="4"/>
        <w:rPr>
          <w:sz w:val="11"/>
        </w:rPr>
      </w:pPr>
    </w:p>
    <w:p>
      <w:pPr>
        <w:spacing w:line="360" w:lineRule="auto" w:before="69"/>
        <w:ind w:left="100" w:right="112" w:firstLine="0"/>
        <w:jc w:val="both"/>
        <w:rPr>
          <w:sz w:val="24"/>
        </w:rPr>
      </w:pPr>
      <w:r>
        <w:rPr>
          <w:sz w:val="24"/>
        </w:rPr>
        <w:t>Kimmel, Michael S [s.f.], </w:t>
      </w:r>
      <w:r>
        <w:rPr>
          <w:i/>
          <w:sz w:val="24"/>
        </w:rPr>
        <w:t>Homofobia, temor, vergüenza y silencio en la identidad </w:t>
      </w:r>
      <w:r>
        <w:rPr>
          <w:i/>
          <w:sz w:val="24"/>
        </w:rPr>
        <w:t>masculina, </w:t>
      </w:r>
      <w:r>
        <w:rPr>
          <w:sz w:val="24"/>
        </w:rPr>
        <w:t>Disponible en: </w:t>
      </w:r>
      <w:hyperlink r:id="rId32">
        <w:r>
          <w:rPr>
            <w:color w:val="0000FF"/>
            <w:sz w:val="24"/>
            <w:u w:val="single" w:color="0000FF"/>
          </w:rPr>
          <w:t>http://www.caladona.org/grups/uploads/2008/01/homofobia-</w:t>
        </w:r>
      </w:hyperlink>
      <w:r>
        <w:rPr>
          <w:color w:val="0000FF"/>
          <w:sz w:val="24"/>
          <w:u w:val="single" w:color="0000FF"/>
        </w:rPr>
        <w:t> </w:t>
      </w:r>
      <w:hyperlink r:id="rId32">
        <w:r>
          <w:rPr>
            <w:color w:val="0000FF"/>
            <w:sz w:val="24"/>
            <w:u w:val="single" w:color="0000FF"/>
          </w:rPr>
          <w:t>temor-verguenza-y-silencio-en-la-identidad-masculina-michael-s-kimmel.pdf [2</w:t>
        </w:r>
      </w:hyperlink>
      <w:r>
        <w:rPr>
          <w:color w:val="0000FF"/>
          <w:sz w:val="24"/>
          <w:u w:val="single" w:color="0000FF"/>
        </w:rPr>
        <w:t>5 de agosto de 2013]</w:t>
      </w:r>
    </w:p>
    <w:p>
      <w:pPr>
        <w:pStyle w:val="BodyText"/>
        <w:spacing w:before="8"/>
        <w:rPr>
          <w:sz w:val="11"/>
        </w:rPr>
      </w:pPr>
    </w:p>
    <w:p>
      <w:pPr>
        <w:spacing w:line="360" w:lineRule="auto" w:before="70"/>
        <w:ind w:left="100" w:right="114" w:firstLine="0"/>
        <w:jc w:val="both"/>
        <w:rPr>
          <w:sz w:val="24"/>
        </w:rPr>
      </w:pPr>
      <w:r>
        <w:rPr>
          <w:rFonts w:ascii="Times New Roman" w:hAnsi="Times New Roman"/>
          <w:color w:val="0000FF"/>
          <w:spacing w:val="-60"/>
          <w:sz w:val="24"/>
          <w:u w:val="single" w:color="0000FF"/>
        </w:rPr>
        <w:t> </w:t>
      </w:r>
      <w:r>
        <w:rPr>
          <w:color w:val="0000FF"/>
          <w:sz w:val="24"/>
          <w:u w:val="single" w:color="0000FF"/>
        </w:rPr>
        <w:t>Lamas, Martha [2003], “Usos, dificultades y posibilidades de la categoría &lt;género&gt;”, </w:t>
      </w:r>
      <w:r>
        <w:rPr>
          <w:color w:val="0000FF"/>
          <w:spacing w:val="5"/>
          <w:sz w:val="24"/>
          <w:u w:val="single" w:color="0000FF"/>
        </w:rPr>
        <w:t>e</w:t>
      </w:r>
      <w:r>
        <w:rPr>
          <w:spacing w:val="5"/>
          <w:sz w:val="24"/>
        </w:rPr>
        <w:t>n </w:t>
      </w:r>
      <w:r>
        <w:rPr>
          <w:sz w:val="24"/>
        </w:rPr>
        <w:t>Martha Lamas, [comp.], </w:t>
      </w:r>
      <w:r>
        <w:rPr>
          <w:i/>
          <w:sz w:val="24"/>
        </w:rPr>
        <w:t>El género. La construcción cultural de la diferencia</w:t>
      </w:r>
      <w:r>
        <w:rPr>
          <w:sz w:val="24"/>
        </w:rPr>
        <w:t>, México: UNAM/PUEG.</w:t>
      </w:r>
    </w:p>
    <w:p>
      <w:pPr>
        <w:spacing w:line="362" w:lineRule="auto" w:before="199"/>
        <w:ind w:left="100" w:right="115" w:firstLine="0"/>
        <w:jc w:val="both"/>
        <w:rPr>
          <w:sz w:val="24"/>
        </w:rPr>
      </w:pPr>
      <w:r>
        <w:rPr>
          <w:sz w:val="24"/>
        </w:rPr>
        <w:t>Lara, María Asunción (1993), </w:t>
      </w:r>
      <w:r>
        <w:rPr>
          <w:i/>
          <w:sz w:val="24"/>
        </w:rPr>
        <w:t>Inventario de masculinidad y feminidad. </w:t>
      </w:r>
      <w:r>
        <w:rPr>
          <w:sz w:val="24"/>
        </w:rPr>
        <w:t>México: Manual Moderno.</w:t>
      </w:r>
    </w:p>
    <w:p>
      <w:pPr>
        <w:spacing w:line="360" w:lineRule="auto" w:before="199"/>
        <w:ind w:left="100" w:right="113" w:firstLine="0"/>
        <w:jc w:val="both"/>
        <w:rPr>
          <w:sz w:val="24"/>
        </w:rPr>
      </w:pPr>
      <w:r>
        <w:rPr>
          <w:sz w:val="24"/>
        </w:rPr>
        <w:t>Lomas, Carlos [2004], “¿Los chicos no lloran?”, en Carlos Lomas, [comp.], </w:t>
      </w:r>
      <w:r>
        <w:rPr>
          <w:i/>
          <w:sz w:val="24"/>
        </w:rPr>
        <w:t>Los chicos </w:t>
      </w:r>
      <w:r>
        <w:rPr>
          <w:i/>
          <w:sz w:val="24"/>
        </w:rPr>
        <w:t>también lloran. Identidades masculinas, igualdad entre los sexos y coeducación, </w:t>
      </w:r>
      <w:r>
        <w:rPr>
          <w:sz w:val="24"/>
        </w:rPr>
        <w:t>México: Paidós</w:t>
      </w:r>
      <w:r>
        <w:rPr>
          <w:spacing w:val="-11"/>
          <w:sz w:val="24"/>
        </w:rPr>
        <w:t> </w:t>
      </w:r>
      <w:r>
        <w:rPr>
          <w:sz w:val="24"/>
        </w:rPr>
        <w:t>Educador.</w:t>
      </w:r>
    </w:p>
    <w:p>
      <w:pPr>
        <w:spacing w:line="357" w:lineRule="auto" w:before="205"/>
        <w:ind w:left="100" w:right="123" w:firstLine="0"/>
        <w:jc w:val="both"/>
        <w:rPr>
          <w:sz w:val="24"/>
        </w:rPr>
      </w:pPr>
      <w:r>
        <w:rPr>
          <w:sz w:val="24"/>
        </w:rPr>
        <w:t>Maureira Cid, Fernando [2011], “Los cuatro componentes de las relaciones de pareja” en </w:t>
      </w:r>
      <w:r>
        <w:rPr>
          <w:i/>
          <w:sz w:val="24"/>
        </w:rPr>
        <w:t>Revista electrónica de Psicología Iztacala, </w:t>
      </w:r>
      <w:r>
        <w:rPr>
          <w:sz w:val="24"/>
        </w:rPr>
        <w:t>México: UNAM/FES Iztacala.</w:t>
      </w:r>
    </w:p>
    <w:p>
      <w:pPr>
        <w:spacing w:before="207"/>
        <w:ind w:left="100" w:right="0" w:firstLine="0"/>
        <w:jc w:val="both"/>
        <w:rPr>
          <w:sz w:val="24"/>
        </w:rPr>
      </w:pPr>
      <w:r>
        <w:rPr>
          <w:sz w:val="24"/>
        </w:rPr>
        <w:t>Millet, Kate [1975], </w:t>
      </w:r>
      <w:r>
        <w:rPr>
          <w:i/>
          <w:sz w:val="24"/>
        </w:rPr>
        <w:t>El contrato sexual, </w:t>
      </w:r>
      <w:r>
        <w:rPr>
          <w:sz w:val="24"/>
        </w:rPr>
        <w:t>México:Aguilar.</w:t>
      </w:r>
    </w:p>
    <w:p>
      <w:pPr>
        <w:pStyle w:val="BodyText"/>
        <w:spacing w:before="4"/>
        <w:rPr>
          <w:sz w:val="29"/>
        </w:rPr>
      </w:pPr>
    </w:p>
    <w:p>
      <w:pPr>
        <w:spacing w:line="360" w:lineRule="auto" w:before="1"/>
        <w:ind w:left="100" w:right="115" w:firstLine="0"/>
        <w:jc w:val="both"/>
        <w:rPr>
          <w:sz w:val="24"/>
        </w:rPr>
      </w:pPr>
      <w:r>
        <w:rPr>
          <w:sz w:val="24"/>
        </w:rPr>
        <w:t>Mora Pisano, Alma Rosa [2011], </w:t>
      </w:r>
      <w:r>
        <w:rPr>
          <w:i/>
          <w:sz w:val="24"/>
        </w:rPr>
        <w:t>“Es tu palabra contra la de…”. La institucionalización </w:t>
      </w:r>
      <w:r>
        <w:rPr>
          <w:i/>
          <w:sz w:val="24"/>
        </w:rPr>
        <w:t>de la violencia hacia las alumnas en la Universidad Autónoma Chapingo, </w:t>
      </w:r>
      <w:r>
        <w:rPr>
          <w:sz w:val="24"/>
        </w:rPr>
        <w:t>Tesis de Maestría, Xochimilco: Universidad Autónoma Metropolitana-Xochimilco.</w:t>
      </w:r>
    </w:p>
    <w:p>
      <w:pPr>
        <w:spacing w:after="0" w:line="360" w:lineRule="auto"/>
        <w:jc w:val="both"/>
        <w:rPr>
          <w:sz w:val="24"/>
        </w:rPr>
        <w:sectPr>
          <w:pgSz w:w="12240" w:h="15840"/>
          <w:pgMar w:header="0" w:footer="1014" w:top="1380" w:bottom="1200" w:left="1340" w:right="1320"/>
        </w:sectPr>
      </w:pPr>
    </w:p>
    <w:p>
      <w:pPr>
        <w:pStyle w:val="BodyText"/>
        <w:spacing w:line="360" w:lineRule="auto" w:before="58"/>
        <w:ind w:left="100" w:right="120"/>
        <w:jc w:val="both"/>
      </w:pPr>
      <w:r>
        <w:rPr/>
        <w:t>Munive Valencia Luis Alfonso [2014], Levantamiento de datos de primera mano. Información del autor, sin publicar.</w:t>
      </w:r>
    </w:p>
    <w:p>
      <w:pPr>
        <w:spacing w:line="360" w:lineRule="auto" w:before="204"/>
        <w:ind w:left="100" w:right="121" w:firstLine="0"/>
        <w:jc w:val="both"/>
        <w:rPr>
          <w:sz w:val="24"/>
        </w:rPr>
      </w:pPr>
      <w:r>
        <w:rPr>
          <w:sz w:val="24"/>
        </w:rPr>
        <w:t>Olavarría, José [2004], “Modelos de masculinidad y desigualdades de género”, en Carlos Lomas, [comp.], </w:t>
      </w:r>
      <w:r>
        <w:rPr>
          <w:i/>
          <w:sz w:val="24"/>
        </w:rPr>
        <w:t>Los chicos también lloran. Identidades masculinas, igualdad </w:t>
      </w:r>
      <w:r>
        <w:rPr>
          <w:i/>
          <w:sz w:val="24"/>
        </w:rPr>
        <w:t>entre los sexos y coeducación. </w:t>
      </w:r>
      <w:r>
        <w:rPr>
          <w:sz w:val="24"/>
        </w:rPr>
        <w:t>México: Paidós Educador.</w:t>
      </w:r>
    </w:p>
    <w:p>
      <w:pPr>
        <w:pStyle w:val="BodyText"/>
        <w:spacing w:line="360" w:lineRule="auto" w:before="206"/>
        <w:ind w:left="100" w:right="121"/>
        <w:jc w:val="both"/>
      </w:pPr>
      <w:r>
        <w:rPr/>
        <w:t>Ramírez Rivera, Carlos Arturo y Dora Ascención Núñez Luna [2010], “Violencia en la relación de noviazgo en jóvenes universitarios: un estudio exploratorio”, en </w:t>
      </w:r>
      <w:r>
        <w:rPr>
          <w:i/>
        </w:rPr>
        <w:t>Enseñanza </w:t>
      </w:r>
      <w:r>
        <w:rPr>
          <w:i/>
        </w:rPr>
        <w:t>e investigación psicológica</w:t>
      </w:r>
      <w:r>
        <w:rPr/>
        <w:t>, vol. 15, núm. 2, julio-diciembre, Xalapa:</w:t>
      </w:r>
      <w:r>
        <w:rPr>
          <w:spacing w:val="-18"/>
        </w:rPr>
        <w:t> </w:t>
      </w:r>
      <w:r>
        <w:rPr/>
        <w:t>CNEIP.</w:t>
      </w:r>
    </w:p>
    <w:p>
      <w:pPr>
        <w:spacing w:line="360" w:lineRule="auto" w:before="206"/>
        <w:ind w:left="100" w:right="116" w:firstLine="0"/>
        <w:jc w:val="both"/>
        <w:rPr>
          <w:sz w:val="24"/>
        </w:rPr>
      </w:pPr>
      <w:r>
        <w:rPr>
          <w:sz w:val="24"/>
        </w:rPr>
        <w:t>Ramírez Solórzano, Martha Alida [2012], “La violencia masculina como proceso de socialización”, en </w:t>
      </w:r>
      <w:r>
        <w:rPr>
          <w:i/>
          <w:sz w:val="24"/>
        </w:rPr>
        <w:t>Masculinidades, género y derechos humanos</w:t>
      </w:r>
      <w:r>
        <w:rPr>
          <w:sz w:val="24"/>
        </w:rPr>
        <w:t>. México: Comisión Nacional de los Derechos Humanos.</w:t>
      </w:r>
    </w:p>
    <w:p>
      <w:pPr>
        <w:spacing w:line="360" w:lineRule="auto" w:before="204"/>
        <w:ind w:left="100" w:right="114" w:firstLine="0"/>
        <w:jc w:val="both"/>
        <w:rPr>
          <w:sz w:val="24"/>
        </w:rPr>
      </w:pPr>
      <w:r>
        <w:rPr>
          <w:sz w:val="24"/>
        </w:rPr>
        <w:t>Razo Godínez, Martha Laura [2008], “La inserción de las mujeres en las carreras de ingeniería y tecnología” en </w:t>
      </w:r>
      <w:r>
        <w:rPr>
          <w:i/>
          <w:sz w:val="24"/>
        </w:rPr>
        <w:t>Perfiles educativos vol.30 no.121 México ene. 2008, </w:t>
      </w:r>
      <w:r>
        <w:rPr>
          <w:sz w:val="24"/>
        </w:rPr>
        <w:t>México:UNAM.</w:t>
      </w:r>
    </w:p>
    <w:p>
      <w:pPr>
        <w:pStyle w:val="BodyText"/>
        <w:spacing w:line="360" w:lineRule="auto" w:before="202"/>
        <w:ind w:left="100" w:right="119"/>
        <w:jc w:val="both"/>
      </w:pPr>
      <w:r>
        <w:rPr/>
        <w:t>Rojas-Solís, Jose [2013], “Violencia en el noviazgo de universitarios en México:Una revisión”, en </w:t>
      </w:r>
      <w:r>
        <w:rPr>
          <w:i/>
        </w:rPr>
        <w:t>Revista internacional de Psicología</w:t>
      </w:r>
      <w:r>
        <w:rPr/>
        <w:t>, Vol. 12, núm 2, Guatemala: Instituto de la Familia</w:t>
      </w:r>
      <w:r>
        <w:rPr>
          <w:spacing w:val="-11"/>
        </w:rPr>
        <w:t> </w:t>
      </w:r>
      <w:r>
        <w:rPr/>
        <w:t>Guatemala.</w:t>
      </w:r>
    </w:p>
    <w:p>
      <w:pPr>
        <w:spacing w:line="362" w:lineRule="auto" w:before="202"/>
        <w:ind w:left="100" w:right="117" w:firstLine="0"/>
        <w:jc w:val="both"/>
        <w:rPr>
          <w:sz w:val="24"/>
        </w:rPr>
      </w:pPr>
      <w:r>
        <w:rPr>
          <w:sz w:val="24"/>
        </w:rPr>
        <w:t>Seidler, Victor J. [2000], </w:t>
      </w:r>
      <w:r>
        <w:rPr>
          <w:i/>
          <w:sz w:val="24"/>
        </w:rPr>
        <w:t>La sinrazón Masculina</w:t>
      </w:r>
      <w:r>
        <w:rPr>
          <w:sz w:val="24"/>
        </w:rPr>
        <w:t>. </w:t>
      </w:r>
      <w:r>
        <w:rPr>
          <w:i/>
          <w:sz w:val="24"/>
        </w:rPr>
        <w:t>Masculinidad y teoría social</w:t>
      </w:r>
      <w:r>
        <w:rPr>
          <w:sz w:val="24"/>
        </w:rPr>
        <w:t>. México: UNAM- Paidós.</w:t>
      </w:r>
    </w:p>
    <w:p>
      <w:pPr>
        <w:tabs>
          <w:tab w:pos="3162" w:val="left" w:leader="none"/>
          <w:tab w:pos="6346" w:val="left" w:leader="none"/>
          <w:tab w:pos="9196" w:val="left" w:leader="none"/>
        </w:tabs>
        <w:spacing w:line="360" w:lineRule="auto" w:before="200"/>
        <w:ind w:left="100" w:right="115" w:firstLine="0"/>
        <w:jc w:val="left"/>
        <w:rPr>
          <w:sz w:val="24"/>
        </w:rPr>
      </w:pPr>
      <w:r>
        <w:rPr>
          <w:sz w:val="24"/>
        </w:rPr>
        <w:t>UAEH [</w:t>
      </w:r>
      <w:r>
        <w:rPr>
          <w:i/>
          <w:sz w:val="24"/>
        </w:rPr>
        <w:t>s.d.</w:t>
      </w:r>
      <w:r>
        <w:rPr>
          <w:sz w:val="24"/>
        </w:rPr>
        <w:t>], </w:t>
      </w:r>
      <w:r>
        <w:rPr>
          <w:i/>
          <w:sz w:val="24"/>
        </w:rPr>
        <w:t>“Gráficas del desempeño en la atención de quejas por parte del Defensor </w:t>
      </w:r>
      <w:r>
        <w:rPr>
          <w:i/>
          <w:sz w:val="24"/>
        </w:rPr>
        <w:t>Universitario</w:t>
        <w:tab/>
        <w:t>(2006-2011)”.</w:t>
        <w:tab/>
      </w:r>
      <w:r>
        <w:rPr>
          <w:sz w:val="24"/>
        </w:rPr>
        <w:t>Disponible</w:t>
        <w:tab/>
        <w:t>en </w:t>
      </w:r>
      <w:hyperlink r:id="rId34">
        <w:r>
          <w:rPr>
            <w:color w:val="0000FF"/>
            <w:sz w:val="24"/>
            <w:u w:val="single" w:color="0000FF"/>
          </w:rPr>
          <w:t>http://sgc.uaeh.edu.mx/transparencia/images/PDF/Defensor2011/graficas%202006-</w:t>
        </w:r>
      </w:hyperlink>
      <w:r>
        <w:rPr>
          <w:color w:val="0000FF"/>
          <w:sz w:val="24"/>
          <w:u w:val="single" w:color="0000FF"/>
        </w:rPr>
        <w:t> </w:t>
      </w:r>
      <w:hyperlink r:id="rId34">
        <w:r>
          <w:rPr>
            <w:color w:val="0000FF"/>
            <w:sz w:val="24"/>
            <w:u w:val="single" w:color="0000FF"/>
          </w:rPr>
          <w:t>2011.pdf</w:t>
        </w:r>
      </w:hyperlink>
      <w:r>
        <w:rPr>
          <w:sz w:val="24"/>
        </w:rPr>
        <w:t>. [16 de marzo de</w:t>
      </w:r>
      <w:r>
        <w:rPr>
          <w:spacing w:val="-14"/>
          <w:sz w:val="24"/>
        </w:rPr>
        <w:t> </w:t>
      </w:r>
      <w:r>
        <w:rPr>
          <w:sz w:val="24"/>
        </w:rPr>
        <w:t>2014]</w:t>
      </w:r>
    </w:p>
    <w:p>
      <w:pPr>
        <w:pStyle w:val="BodyText"/>
        <w:spacing w:before="6"/>
        <w:rPr>
          <w:sz w:val="11"/>
        </w:rPr>
      </w:pPr>
    </w:p>
    <w:p>
      <w:pPr>
        <w:spacing w:before="69"/>
        <w:ind w:left="100" w:right="0" w:firstLine="0"/>
        <w:jc w:val="left"/>
        <w:rPr>
          <w:i/>
          <w:sz w:val="24"/>
        </w:rPr>
      </w:pPr>
      <w:r>
        <w:rPr>
          <w:sz w:val="24"/>
        </w:rPr>
        <w:t>UAEH [Universidad Autónoma del Estado de Hidalgo]] [2014]. </w:t>
      </w:r>
      <w:r>
        <w:rPr>
          <w:i/>
          <w:sz w:val="24"/>
        </w:rPr>
        <w:t>Anuario estadístico 2013.</w:t>
      </w:r>
    </w:p>
    <w:p>
      <w:pPr>
        <w:pStyle w:val="BodyText"/>
        <w:spacing w:before="139"/>
        <w:ind w:left="100"/>
      </w:pPr>
      <w:r>
        <w:rPr/>
        <w:t>México, Hidalgo; UAEH.</w:t>
      </w:r>
    </w:p>
    <w:p>
      <w:pPr>
        <w:pStyle w:val="BodyText"/>
        <w:spacing w:before="2"/>
        <w:rPr>
          <w:sz w:val="29"/>
        </w:rPr>
      </w:pPr>
    </w:p>
    <w:p>
      <w:pPr>
        <w:spacing w:before="0"/>
        <w:ind w:left="100" w:right="0" w:firstLine="0"/>
        <w:jc w:val="left"/>
        <w:rPr>
          <w:i/>
          <w:sz w:val="24"/>
        </w:rPr>
      </w:pPr>
      <w:r>
        <w:rPr>
          <w:sz w:val="24"/>
        </w:rPr>
        <w:t>UAEH [Universidad Autónoma del Estado de Hidalgo] [2013]. </w:t>
      </w:r>
      <w:r>
        <w:rPr>
          <w:i/>
          <w:sz w:val="24"/>
        </w:rPr>
        <w:t>Anuario estadístico 2012.</w:t>
      </w:r>
    </w:p>
    <w:p>
      <w:pPr>
        <w:pStyle w:val="BodyText"/>
        <w:spacing w:before="142"/>
        <w:ind w:left="100"/>
      </w:pPr>
      <w:r>
        <w:rPr/>
        <w:t>México, Hidalgo; UAEH.</w:t>
      </w:r>
    </w:p>
    <w:p>
      <w:pPr>
        <w:spacing w:after="0"/>
        <w:sectPr>
          <w:footerReference w:type="default" r:id="rId33"/>
          <w:pgSz w:w="12240" w:h="15840"/>
          <w:pgMar w:footer="1014" w:header="0" w:top="1380" w:bottom="1200" w:left="1340" w:right="1320"/>
        </w:sectPr>
      </w:pPr>
    </w:p>
    <w:p>
      <w:pPr>
        <w:spacing w:before="56"/>
        <w:ind w:left="100" w:right="0" w:firstLine="0"/>
        <w:jc w:val="left"/>
        <w:rPr>
          <w:i/>
          <w:sz w:val="24"/>
        </w:rPr>
      </w:pPr>
      <w:r>
        <w:rPr>
          <w:sz w:val="24"/>
        </w:rPr>
        <w:t>UAEH [Universidad Autónoma del Estado de Hidalgo] [2012]. </w:t>
      </w:r>
      <w:r>
        <w:rPr>
          <w:i/>
          <w:sz w:val="24"/>
        </w:rPr>
        <w:t>Anuario estadístico 2011.</w:t>
      </w:r>
    </w:p>
    <w:p>
      <w:pPr>
        <w:pStyle w:val="BodyText"/>
        <w:spacing w:before="139"/>
        <w:ind w:left="100"/>
      </w:pPr>
      <w:r>
        <w:rPr/>
        <w:t>México, Hidalgo; UAEH.</w:t>
      </w:r>
    </w:p>
    <w:p>
      <w:pPr>
        <w:pStyle w:val="BodyText"/>
        <w:spacing w:before="2"/>
        <w:rPr>
          <w:sz w:val="29"/>
        </w:rPr>
      </w:pPr>
    </w:p>
    <w:p>
      <w:pPr>
        <w:spacing w:line="360" w:lineRule="auto" w:before="0"/>
        <w:ind w:left="100" w:right="123" w:firstLine="0"/>
        <w:jc w:val="left"/>
        <w:rPr>
          <w:sz w:val="24"/>
        </w:rPr>
      </w:pPr>
      <w:r>
        <w:rPr>
          <w:sz w:val="24"/>
        </w:rPr>
        <w:t>UAEH [Universidad Autónoma del Estado de Hidalgo] [2011a]. </w:t>
      </w:r>
      <w:r>
        <w:rPr>
          <w:i/>
          <w:sz w:val="24"/>
        </w:rPr>
        <w:t>Anuario  estadístico </w:t>
      </w:r>
      <w:r>
        <w:rPr>
          <w:i/>
          <w:sz w:val="24"/>
        </w:rPr>
        <w:t>2010. </w:t>
      </w:r>
      <w:r>
        <w:rPr>
          <w:sz w:val="24"/>
        </w:rPr>
        <w:t>México, Hidalgo; UAEH.</w:t>
      </w:r>
    </w:p>
    <w:p>
      <w:pPr>
        <w:spacing w:line="360" w:lineRule="auto" w:before="204"/>
        <w:ind w:left="100" w:right="123" w:firstLine="0"/>
        <w:jc w:val="left"/>
        <w:rPr>
          <w:sz w:val="24"/>
        </w:rPr>
      </w:pPr>
      <w:r>
        <w:rPr>
          <w:sz w:val="24"/>
        </w:rPr>
        <w:t>UAEH [Universidad Autónoma del Estado de Hidalgo] [2011b]. </w:t>
      </w:r>
      <w:r>
        <w:rPr>
          <w:i/>
          <w:sz w:val="24"/>
        </w:rPr>
        <w:t>Programa Institucional </w:t>
      </w:r>
      <w:r>
        <w:rPr>
          <w:i/>
          <w:sz w:val="24"/>
        </w:rPr>
        <w:t>de Actividades para la Educación de una Vida Saludable. </w:t>
      </w:r>
      <w:r>
        <w:rPr>
          <w:sz w:val="24"/>
        </w:rPr>
        <w:t>México, Hidalgo; UAEH.</w:t>
      </w:r>
    </w:p>
    <w:p>
      <w:pPr>
        <w:spacing w:after="0" w:line="360" w:lineRule="auto"/>
        <w:jc w:val="left"/>
        <w:rPr>
          <w:sz w:val="24"/>
        </w:rPr>
        <w:sectPr>
          <w:footerReference w:type="default" r:id="rId35"/>
          <w:pgSz w:w="12240" w:h="15840"/>
          <w:pgMar w:footer="1014" w:header="0" w:top="1380" w:bottom="1200" w:left="1340" w:right="1320"/>
          <w:pgNumType w:start="41"/>
        </w:sectPr>
      </w:pPr>
    </w:p>
    <w:p>
      <w:pPr>
        <w:pStyle w:val="Heading1"/>
        <w:spacing w:before="56"/>
        <w:ind w:left="602" w:right="689"/>
        <w:jc w:val="center"/>
      </w:pPr>
      <w:r>
        <w:rPr/>
        <w:drawing>
          <wp:anchor distT="0" distB="0" distL="0" distR="0" allowOverlap="1" layoutInCell="1" locked="0" behindDoc="0" simplePos="0" relativeHeight="1720">
            <wp:simplePos x="0" y="0"/>
            <wp:positionH relativeFrom="page">
              <wp:posOffset>586740</wp:posOffset>
            </wp:positionH>
            <wp:positionV relativeFrom="paragraph">
              <wp:posOffset>539697</wp:posOffset>
            </wp:positionV>
            <wp:extent cx="1371599" cy="1319529"/>
            <wp:effectExtent l="0" t="0" r="0" b="0"/>
            <wp:wrapNone/>
            <wp:docPr id="5" name="image15.jpeg" descr=""/>
            <wp:cNvGraphicFramePr>
              <a:graphicFrameLocks noChangeAspect="1"/>
            </wp:cNvGraphicFramePr>
            <a:graphic>
              <a:graphicData uri="http://schemas.openxmlformats.org/drawingml/2006/picture">
                <pic:pic>
                  <pic:nvPicPr>
                    <pic:cNvPr id="6" name="image15.jpeg"/>
                    <pic:cNvPicPr/>
                  </pic:nvPicPr>
                  <pic:blipFill>
                    <a:blip r:embed="rId36" cstate="print"/>
                    <a:stretch>
                      <a:fillRect/>
                    </a:stretch>
                  </pic:blipFill>
                  <pic:spPr>
                    <a:xfrm>
                      <a:off x="0" y="0"/>
                      <a:ext cx="1371599" cy="1319529"/>
                    </a:xfrm>
                    <a:prstGeom prst="rect">
                      <a:avLst/>
                    </a:prstGeom>
                  </pic:spPr>
                </pic:pic>
              </a:graphicData>
            </a:graphic>
          </wp:anchor>
        </w:drawing>
      </w:r>
      <w:bookmarkStart w:name="_bookmark28" w:id="32"/>
      <w:bookmarkEnd w:id="32"/>
      <w:r>
        <w:rPr>
          <w:b w:val="0"/>
        </w:rPr>
      </w:r>
      <w:r>
        <w:rPr>
          <w:color w:val="365F91"/>
        </w:rPr>
        <w:t>Anexo 1. Cuestionario elaborado y aplicado en el ICBI con base al Violentómetro.</w:t>
      </w:r>
    </w:p>
    <w:p>
      <w:pPr>
        <w:pStyle w:val="BodyText"/>
        <w:rPr>
          <w:b/>
        </w:rPr>
      </w:pPr>
    </w:p>
    <w:p>
      <w:pPr>
        <w:pStyle w:val="BodyText"/>
        <w:rPr>
          <w:b/>
        </w:rPr>
      </w:pPr>
    </w:p>
    <w:p>
      <w:pPr>
        <w:pStyle w:val="BodyText"/>
        <w:rPr>
          <w:b/>
        </w:rPr>
      </w:pPr>
    </w:p>
    <w:p>
      <w:pPr>
        <w:pStyle w:val="BodyText"/>
        <w:spacing w:before="8"/>
        <w:rPr>
          <w:b/>
          <w:sz w:val="21"/>
        </w:rPr>
      </w:pPr>
    </w:p>
    <w:p>
      <w:pPr>
        <w:pStyle w:val="Heading2"/>
        <w:spacing w:line="451" w:lineRule="auto"/>
        <w:ind w:left="2766" w:right="2697"/>
        <w:jc w:val="center"/>
      </w:pPr>
      <w:r>
        <w:rPr>
          <w:i/>
        </w:rPr>
        <w:t>Universidad Autónoma del Estado de México </w:t>
      </w:r>
      <w:r>
        <w:rPr/>
        <w:t>Facultad de Ciencias Políticas y Sociales</w:t>
      </w:r>
    </w:p>
    <w:p>
      <w:pPr>
        <w:spacing w:before="6"/>
        <w:ind w:left="2593" w:right="0" w:firstLine="0"/>
        <w:jc w:val="left"/>
        <w:rPr>
          <w:b/>
          <w:i/>
          <w:sz w:val="24"/>
        </w:rPr>
      </w:pPr>
      <w:r>
        <w:rPr>
          <w:b/>
          <w:i/>
          <w:sz w:val="24"/>
        </w:rPr>
        <w:t>Especialidad en Género, Violencia y Políticas Públicas</w:t>
      </w:r>
    </w:p>
    <w:p>
      <w:pPr>
        <w:pStyle w:val="BodyText"/>
        <w:rPr>
          <w:b/>
          <w:i/>
          <w:sz w:val="20"/>
        </w:rPr>
      </w:pPr>
    </w:p>
    <w:p>
      <w:pPr>
        <w:pStyle w:val="BodyText"/>
        <w:rPr>
          <w:b/>
          <w:i/>
          <w:sz w:val="20"/>
        </w:rPr>
      </w:pPr>
    </w:p>
    <w:p>
      <w:pPr>
        <w:pStyle w:val="BodyText"/>
        <w:spacing w:before="11"/>
        <w:rPr>
          <w:b/>
          <w:i/>
          <w:sz w:val="19"/>
        </w:rPr>
      </w:pPr>
    </w:p>
    <w:p>
      <w:pPr>
        <w:pStyle w:val="BodyText"/>
        <w:tabs>
          <w:tab w:pos="2308" w:val="left" w:leader="none"/>
          <w:tab w:pos="2780" w:val="left" w:leader="none"/>
          <w:tab w:pos="4936" w:val="left" w:leader="none"/>
          <w:tab w:pos="9628" w:val="left" w:leader="none"/>
        </w:tabs>
        <w:spacing w:before="69"/>
        <w:ind w:left="620"/>
      </w:pPr>
      <w:r>
        <w:rPr/>
        <w:t>Edad:</w:t>
      </w:r>
      <w:r>
        <w:rPr>
          <w:u w:val="single"/>
        </w:rPr>
        <w:t> </w:t>
        <w:tab/>
      </w:r>
      <w:r>
        <w:rPr/>
        <w:tab/>
        <w:t>Semestre:</w:t>
      </w:r>
      <w:r>
        <w:rPr>
          <w:u w:val="single"/>
        </w:rPr>
        <w:t> </w:t>
        <w:tab/>
      </w:r>
      <w:r>
        <w:rPr/>
        <w:t>Licenciatura:</w:t>
      </w:r>
      <w:r>
        <w:rPr>
          <w:spacing w:val="1"/>
        </w:rPr>
        <w:t> </w:t>
      </w:r>
      <w:r>
        <w:rPr>
          <w:w w:val="100"/>
          <w:u w:val="single"/>
        </w:rPr>
        <w:t> </w:t>
      </w:r>
      <w:r>
        <w:rPr>
          <w:u w:val="single"/>
        </w:rPr>
        <w:tab/>
      </w:r>
    </w:p>
    <w:p>
      <w:pPr>
        <w:pStyle w:val="BodyText"/>
        <w:spacing w:before="9"/>
        <w:rPr>
          <w:sz w:val="14"/>
        </w:rPr>
      </w:pPr>
    </w:p>
    <w:p>
      <w:pPr>
        <w:pStyle w:val="BodyText"/>
        <w:tabs>
          <w:tab w:pos="2162" w:val="left" w:leader="none"/>
          <w:tab w:pos="6381" w:val="left" w:leader="none"/>
          <w:tab w:pos="7661" w:val="left" w:leader="none"/>
          <w:tab w:pos="8407" w:val="left" w:leader="none"/>
          <w:tab w:pos="9072" w:val="left" w:leader="none"/>
        </w:tabs>
        <w:spacing w:before="70"/>
        <w:ind w:left="620"/>
      </w:pPr>
      <w:r>
        <w:rPr/>
        <w:t>Sexo:</w:t>
      </w:r>
      <w:r>
        <w:rPr>
          <w:u w:val="single"/>
        </w:rPr>
        <w:tab/>
      </w:r>
      <w:r>
        <w:rPr/>
        <w:t>Relación de pareja actual:</w:t>
      </w:r>
      <w:r>
        <w:rPr>
          <w:spacing w:val="-6"/>
        </w:rPr>
        <w:t> </w:t>
      </w:r>
      <w:r>
        <w:rPr/>
        <w:t>Sí/</w:t>
      </w:r>
      <w:r>
        <w:rPr>
          <w:spacing w:val="-27"/>
        </w:rPr>
        <w:t> </w:t>
      </w:r>
      <w:r>
        <w:rPr/>
        <w:t>No</w:t>
        <w:tab/>
        <w:t>Tiempo</w:t>
        <w:tab/>
        <w:t>de</w:t>
        <w:tab/>
        <w:t>la</w:t>
        <w:tab/>
        <w:t>relación:</w:t>
      </w:r>
    </w:p>
    <w:p>
      <w:pPr>
        <w:pStyle w:val="BodyText"/>
        <w:spacing w:before="6"/>
        <w:rPr>
          <w:sz w:val="22"/>
        </w:rPr>
      </w:pPr>
      <w:r>
        <w:rPr/>
        <w:pict>
          <v:line style="position:absolute;mso-position-horizontal-relative:page;mso-position-vertical-relative:paragraph;z-index:1672;mso-wrap-distance-left:0;mso-wrap-distance-right:0" from="72.024002pt,15.307028pt" to="178.776007pt,15.307028pt" stroked="true" strokeweight=".756pt" strokecolor="#000000">
            <w10:wrap type="topAndBottom"/>
          </v:line>
        </w:pict>
      </w:r>
    </w:p>
    <w:p>
      <w:pPr>
        <w:pStyle w:val="BodyText"/>
        <w:spacing w:before="8"/>
        <w:rPr>
          <w:sz w:val="12"/>
        </w:rPr>
      </w:pPr>
    </w:p>
    <w:p>
      <w:pPr>
        <w:pStyle w:val="BodyText"/>
        <w:tabs>
          <w:tab w:pos="1685" w:val="left" w:leader="none"/>
          <w:tab w:pos="2464" w:val="left" w:leader="none"/>
          <w:tab w:pos="4929" w:val="left" w:leader="none"/>
          <w:tab w:pos="5499" w:val="left" w:leader="none"/>
          <w:tab w:pos="6346" w:val="left" w:leader="none"/>
          <w:tab w:pos="6931" w:val="left" w:leader="none"/>
          <w:tab w:pos="8142" w:val="left" w:leader="none"/>
          <w:tab w:pos="8724" w:val="left" w:leader="none"/>
          <w:tab w:pos="9242" w:val="left" w:leader="none"/>
        </w:tabs>
        <w:spacing w:before="70"/>
        <w:ind w:left="620"/>
      </w:pPr>
      <w:r>
        <w:rPr/>
        <w:t>Estado</w:t>
        <w:tab/>
        <w:t>civil:</w:t>
        <w:tab/>
      </w:r>
      <w:r>
        <w:rPr>
          <w:u w:val="single"/>
        </w:rPr>
        <w:t> </w:t>
        <w:tab/>
      </w:r>
      <w:r>
        <w:rPr/>
        <w:tab/>
        <w:t>Nivel</w:t>
        <w:tab/>
        <w:t>de</w:t>
        <w:tab/>
        <w:t>estudios</w:t>
        <w:tab/>
        <w:t>de</w:t>
        <w:tab/>
        <w:t>tu</w:t>
        <w:tab/>
        <w:t>pareja:</w:t>
      </w:r>
    </w:p>
    <w:p>
      <w:pPr>
        <w:pStyle w:val="BodyText"/>
        <w:rPr>
          <w:sz w:val="20"/>
        </w:rPr>
      </w:pPr>
    </w:p>
    <w:p>
      <w:pPr>
        <w:pStyle w:val="BodyText"/>
        <w:spacing w:before="1"/>
        <w:rPr>
          <w:sz w:val="11"/>
        </w:rPr>
      </w:pPr>
      <w:r>
        <w:rPr/>
        <w:pict>
          <v:line style="position:absolute;mso-position-horizontal-relative:page;mso-position-vertical-relative:paragraph;z-index:1696;mso-wrap-distance-left:0;mso-wrap-distance-right:0" from="72.024002pt,8.727987pt" to="218.700009pt,8.727987pt" stroked="true" strokeweight=".756pt" strokecolor="#000000">
            <w10:wrap type="topAndBottom"/>
          </v:line>
        </w:pict>
      </w:r>
    </w:p>
    <w:p>
      <w:pPr>
        <w:pStyle w:val="BodyText"/>
        <w:rPr>
          <w:sz w:val="20"/>
        </w:rPr>
      </w:pPr>
    </w:p>
    <w:p>
      <w:pPr>
        <w:pStyle w:val="BodyText"/>
        <w:spacing w:before="7"/>
        <w:rPr>
          <w:sz w:val="19"/>
        </w:rPr>
      </w:pPr>
    </w:p>
    <w:p>
      <w:pPr>
        <w:pStyle w:val="BodyText"/>
        <w:spacing w:line="360" w:lineRule="auto" w:before="70"/>
        <w:ind w:left="620" w:right="618"/>
        <w:jc w:val="both"/>
      </w:pPr>
      <w:r>
        <w:rPr/>
        <w:t>Las siguientes son una serie de afirmaciones que tienen por objetivo recabar datos sobre las relaciones de pareja, en caso de que no te encuentres en una relación actual responde a partir de tu última relación o en su defecto en ejemplo de alguna pareja que conozcas.</w:t>
      </w:r>
    </w:p>
    <w:p>
      <w:pPr>
        <w:pStyle w:val="BodyText"/>
        <w:spacing w:line="360" w:lineRule="auto" w:before="2"/>
        <w:ind w:left="620" w:right="625"/>
        <w:jc w:val="both"/>
      </w:pPr>
      <w:r>
        <w:rPr/>
        <w:t>A partir de las siguientes afirmaciones responde. Recuerda responder con absoluta honestidad, no existen respuestas correctas o incorrectas.</w:t>
      </w:r>
    </w:p>
    <w:p>
      <w:pPr>
        <w:pStyle w:val="BodyText"/>
      </w:pPr>
    </w:p>
    <w:p>
      <w:pPr>
        <w:pStyle w:val="ListParagraph"/>
        <w:numPr>
          <w:ilvl w:val="0"/>
          <w:numId w:val="5"/>
        </w:numPr>
        <w:tabs>
          <w:tab w:pos="1341" w:val="left" w:leader="none"/>
        </w:tabs>
        <w:spacing w:line="360" w:lineRule="auto" w:before="142" w:after="7"/>
        <w:ind w:left="1340" w:right="625" w:hanging="360"/>
        <w:jc w:val="left"/>
        <w:rPr>
          <w:sz w:val="24"/>
        </w:rPr>
      </w:pPr>
      <w:r>
        <w:rPr>
          <w:sz w:val="24"/>
        </w:rPr>
        <w:t>Si mi novia sale de fiesta uso frases como “me abandonas” o “¿prefieres a tus amigos que a</w:t>
      </w:r>
      <w:r>
        <w:rPr>
          <w:spacing w:val="-6"/>
          <w:sz w:val="24"/>
        </w:rPr>
        <w:t> </w:t>
      </w:r>
      <w:r>
        <w:rPr>
          <w:sz w:val="24"/>
        </w:rPr>
        <w:t>mí?</w:t>
      </w:r>
    </w:p>
    <w:tbl>
      <w:tblPr>
        <w:tblW w:w="0" w:type="auto"/>
        <w:jc w:val="left"/>
        <w:tblInd w:w="1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1341" w:val="left" w:leader="none"/>
        </w:tabs>
        <w:spacing w:line="360" w:lineRule="auto" w:before="70" w:after="7"/>
        <w:ind w:left="1340" w:right="624" w:hanging="360"/>
        <w:jc w:val="left"/>
        <w:rPr>
          <w:sz w:val="24"/>
        </w:rPr>
      </w:pPr>
      <w:r>
        <w:rPr>
          <w:sz w:val="24"/>
        </w:rPr>
        <w:t>Le he solicitado las contraseñas de sus redes sociales a mi pareja porque considero que es parte de la confianza en la</w:t>
      </w:r>
      <w:r>
        <w:rPr>
          <w:spacing w:val="-20"/>
          <w:sz w:val="24"/>
        </w:rPr>
        <w:t> </w:t>
      </w:r>
      <w:r>
        <w:rPr>
          <w:sz w:val="24"/>
        </w:rPr>
        <w:t>relación.</w:t>
      </w:r>
    </w:p>
    <w:tbl>
      <w:tblPr>
        <w:tblW w:w="0" w:type="auto"/>
        <w:jc w:val="left"/>
        <w:tblInd w:w="12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spacing w:after="0"/>
        <w:sectPr>
          <w:pgSz w:w="12240" w:h="15840"/>
          <w:pgMar w:header="0" w:footer="1014" w:top="1380" w:bottom="1200" w:left="820" w:right="820"/>
        </w:sectPr>
      </w:pPr>
    </w:p>
    <w:p>
      <w:pPr>
        <w:pStyle w:val="BodyText"/>
        <w:spacing w:before="5"/>
      </w:pPr>
    </w:p>
    <w:p>
      <w:pPr>
        <w:pStyle w:val="ListParagraph"/>
        <w:numPr>
          <w:ilvl w:val="0"/>
          <w:numId w:val="5"/>
        </w:numPr>
        <w:tabs>
          <w:tab w:pos="461" w:val="left" w:leader="none"/>
        </w:tabs>
        <w:spacing w:line="240" w:lineRule="auto" w:before="70" w:after="0"/>
        <w:ind w:left="460" w:right="0" w:hanging="360"/>
        <w:jc w:val="left"/>
        <w:rPr>
          <w:sz w:val="24"/>
        </w:rPr>
      </w:pPr>
      <w:r>
        <w:rPr>
          <w:sz w:val="24"/>
        </w:rPr>
        <w:t>En ocasiones he mentido a mi pareja para obtener algo de</w:t>
      </w:r>
      <w:r>
        <w:rPr>
          <w:spacing w:val="-23"/>
          <w:sz w:val="24"/>
        </w:rPr>
        <w:t> </w:t>
      </w:r>
      <w:r>
        <w:rPr>
          <w:sz w:val="24"/>
        </w:rPr>
        <w:t>ella.</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360" w:lineRule="auto" w:before="70" w:after="7"/>
        <w:ind w:left="460" w:right="626" w:hanging="360"/>
        <w:jc w:val="left"/>
        <w:rPr>
          <w:sz w:val="24"/>
        </w:rPr>
      </w:pPr>
      <w:r>
        <w:rPr>
          <w:sz w:val="24"/>
        </w:rPr>
        <w:t>Cuando no estoy de acuerdo con algo que dice o hace mi pareja he llegado a ignorarle.</w:t>
      </w: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3" w:hRule="exact"/>
        </w:trPr>
        <w:tc>
          <w:tcPr>
            <w:tcW w:w="2132" w:type="dxa"/>
          </w:tcPr>
          <w:p>
            <w:pPr>
              <w:pStyle w:val="TableParagraph"/>
              <w:spacing w:line="275" w:lineRule="exact"/>
              <w:ind w:left="103"/>
              <w:rPr>
                <w:sz w:val="24"/>
              </w:rPr>
            </w:pPr>
            <w:r>
              <w:rPr>
                <w:sz w:val="24"/>
              </w:rPr>
              <w:t>Siempre</w:t>
            </w:r>
          </w:p>
        </w:tc>
        <w:tc>
          <w:tcPr>
            <w:tcW w:w="1963" w:type="dxa"/>
          </w:tcPr>
          <w:p>
            <w:pPr>
              <w:pStyle w:val="TableParagraph"/>
              <w:spacing w:line="275" w:lineRule="exact"/>
              <w:ind w:left="103"/>
              <w:rPr>
                <w:sz w:val="24"/>
              </w:rPr>
            </w:pPr>
            <w:r>
              <w:rPr>
                <w:sz w:val="24"/>
              </w:rPr>
              <w:t>Frecuentemente</w:t>
            </w:r>
          </w:p>
        </w:tc>
        <w:tc>
          <w:tcPr>
            <w:tcW w:w="2016" w:type="dxa"/>
          </w:tcPr>
          <w:p>
            <w:pPr>
              <w:pStyle w:val="TableParagraph"/>
              <w:spacing w:line="275" w:lineRule="exact"/>
              <w:ind w:left="103"/>
              <w:rPr>
                <w:sz w:val="24"/>
              </w:rPr>
            </w:pPr>
            <w:r>
              <w:rPr>
                <w:sz w:val="24"/>
              </w:rPr>
              <w:t>Rara vez</w:t>
            </w:r>
          </w:p>
        </w:tc>
        <w:tc>
          <w:tcPr>
            <w:tcW w:w="3130" w:type="dxa"/>
          </w:tcPr>
          <w:p>
            <w:pPr>
              <w:pStyle w:val="TableParagraph"/>
              <w:spacing w:line="275"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Me molesta que mi pareja salga con personas del sexo</w:t>
      </w:r>
      <w:r>
        <w:rPr>
          <w:spacing w:val="-21"/>
          <w:sz w:val="24"/>
        </w:rPr>
        <w:t> </w:t>
      </w:r>
      <w:r>
        <w:rPr>
          <w:sz w:val="24"/>
        </w:rPr>
        <w:t>opuesto.</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5" w:hRule="exact"/>
        </w:trPr>
        <w:tc>
          <w:tcPr>
            <w:tcW w:w="2132"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016" w:type="dxa"/>
          </w:tcPr>
          <w:p>
            <w:pPr>
              <w:pStyle w:val="TableParagraph"/>
              <w:ind w:left="103"/>
              <w:rPr>
                <w:sz w:val="24"/>
              </w:rPr>
            </w:pPr>
            <w:r>
              <w:rPr>
                <w:sz w:val="24"/>
              </w:rPr>
              <w:t>Rara vez</w:t>
            </w:r>
          </w:p>
        </w:tc>
        <w:tc>
          <w:tcPr>
            <w:tcW w:w="3130" w:type="dxa"/>
          </w:tcPr>
          <w:p>
            <w:pPr>
              <w:pStyle w:val="TableParagraph"/>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360" w:lineRule="auto" w:before="70" w:after="5"/>
        <w:ind w:left="460" w:right="623" w:hanging="360"/>
        <w:jc w:val="left"/>
        <w:rPr>
          <w:sz w:val="24"/>
        </w:rPr>
      </w:pPr>
      <w:r>
        <w:rPr>
          <w:sz w:val="24"/>
        </w:rPr>
        <w:t>Considero que no es grave decirle a mi pareja cosas como: “tonto/a”, “No puedes”, “No sabes”,</w:t>
      </w:r>
      <w:r>
        <w:rPr>
          <w:spacing w:val="-12"/>
          <w:sz w:val="24"/>
        </w:rPr>
        <w:t> </w:t>
      </w:r>
      <w:r>
        <w:rPr>
          <w:sz w:val="24"/>
        </w:rPr>
        <w:t>etc.</w:t>
      </w: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5" w:hRule="exact"/>
        </w:trPr>
        <w:tc>
          <w:tcPr>
            <w:tcW w:w="2132"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016" w:type="dxa"/>
          </w:tcPr>
          <w:p>
            <w:pPr>
              <w:pStyle w:val="TableParagraph"/>
              <w:ind w:left="103"/>
              <w:rPr>
                <w:sz w:val="24"/>
              </w:rPr>
            </w:pPr>
            <w:r>
              <w:rPr>
                <w:sz w:val="24"/>
              </w:rPr>
              <w:t>Rara vez</w:t>
            </w:r>
          </w:p>
        </w:tc>
        <w:tc>
          <w:tcPr>
            <w:tcW w:w="3130" w:type="dxa"/>
          </w:tcPr>
          <w:p>
            <w:pPr>
              <w:pStyle w:val="TableParagraph"/>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ListParagraph"/>
        <w:numPr>
          <w:ilvl w:val="0"/>
          <w:numId w:val="5"/>
        </w:numPr>
        <w:tabs>
          <w:tab w:pos="461" w:val="left" w:leader="none"/>
        </w:tabs>
        <w:spacing w:line="274" w:lineRule="exact" w:before="0" w:after="0"/>
        <w:ind w:left="460" w:right="0" w:hanging="360"/>
        <w:jc w:val="left"/>
        <w:rPr>
          <w:sz w:val="24"/>
        </w:rPr>
      </w:pPr>
      <w:r>
        <w:rPr>
          <w:sz w:val="24"/>
        </w:rPr>
        <w:t>He pedido a mi pareja que cambie su manera de vestir porque no me</w:t>
      </w:r>
      <w:r>
        <w:rPr>
          <w:spacing w:val="-27"/>
          <w:sz w:val="24"/>
        </w:rPr>
        <w:t> </w:t>
      </w:r>
      <w:r>
        <w:rPr>
          <w:sz w:val="24"/>
        </w:rPr>
        <w:t>agrada.</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5" w:hRule="exact"/>
        </w:trPr>
        <w:tc>
          <w:tcPr>
            <w:tcW w:w="2132"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016" w:type="dxa"/>
          </w:tcPr>
          <w:p>
            <w:pPr>
              <w:pStyle w:val="TableParagraph"/>
              <w:ind w:left="103"/>
              <w:rPr>
                <w:sz w:val="24"/>
              </w:rPr>
            </w:pPr>
            <w:r>
              <w:rPr>
                <w:sz w:val="24"/>
              </w:rPr>
              <w:t>Rara vez</w:t>
            </w:r>
          </w:p>
        </w:tc>
        <w:tc>
          <w:tcPr>
            <w:tcW w:w="3130" w:type="dxa"/>
          </w:tcPr>
          <w:p>
            <w:pPr>
              <w:pStyle w:val="TableParagraph"/>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360" w:lineRule="auto" w:before="70" w:after="5"/>
        <w:ind w:left="460" w:right="625" w:hanging="360"/>
        <w:jc w:val="left"/>
        <w:rPr>
          <w:sz w:val="24"/>
        </w:rPr>
      </w:pPr>
      <w:r>
        <w:rPr>
          <w:sz w:val="24"/>
        </w:rPr>
        <w:t>He llegado a decirle a mi pareja cosas como “la relación se termina si no haces…”, “Si no haces… contaré lo que</w:t>
      </w:r>
      <w:r>
        <w:rPr>
          <w:spacing w:val="-14"/>
          <w:sz w:val="24"/>
        </w:rPr>
        <w:t> </w:t>
      </w:r>
      <w:r>
        <w:rPr>
          <w:sz w:val="24"/>
        </w:rPr>
        <w:t>hicimos”.</w:t>
      </w: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5"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240" w:lineRule="auto" w:before="69" w:after="0"/>
        <w:ind w:left="460" w:right="0" w:hanging="360"/>
        <w:jc w:val="left"/>
        <w:rPr>
          <w:sz w:val="24"/>
        </w:rPr>
      </w:pPr>
      <w:r>
        <w:rPr>
          <w:sz w:val="24"/>
        </w:rPr>
        <w:t>He pellizcado, codeado o dado zapes a mi pareja</w:t>
      </w:r>
      <w:r>
        <w:rPr>
          <w:spacing w:val="-23"/>
          <w:sz w:val="24"/>
        </w:rPr>
        <w:t> </w:t>
      </w:r>
      <w:r>
        <w:rPr>
          <w:sz w:val="24"/>
        </w:rPr>
        <w:t>jugando</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3"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bl>
    <w:p>
      <w:pPr>
        <w:spacing w:after="0" w:line="274" w:lineRule="exact"/>
        <w:rPr>
          <w:sz w:val="24"/>
        </w:rPr>
        <w:sectPr>
          <w:pgSz w:w="12240" w:h="15840"/>
          <w:pgMar w:header="0" w:footer="1014" w:top="1500" w:bottom="1200" w:left="1700" w:right="820"/>
        </w:sect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Creo que es normal revisar el celular de mi</w:t>
      </w:r>
      <w:r>
        <w:rPr>
          <w:spacing w:val="-16"/>
          <w:sz w:val="24"/>
        </w:rPr>
        <w:t> </w:t>
      </w:r>
      <w:r>
        <w:rPr>
          <w:sz w:val="24"/>
        </w:rPr>
        <w:t>pareja.</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51"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240" w:lineRule="auto" w:before="69" w:after="0"/>
        <w:ind w:left="460" w:right="0" w:hanging="360"/>
        <w:jc w:val="left"/>
        <w:rPr>
          <w:sz w:val="24"/>
        </w:rPr>
      </w:pPr>
      <w:r>
        <w:rPr>
          <w:sz w:val="24"/>
        </w:rPr>
        <w:t>Si señalo los defectos de mi pareja es porque la</w:t>
      </w:r>
      <w:r>
        <w:rPr>
          <w:spacing w:val="-22"/>
          <w:sz w:val="24"/>
        </w:rPr>
        <w:t> </w:t>
      </w:r>
      <w:r>
        <w:rPr>
          <w:sz w:val="24"/>
        </w:rPr>
        <w:t>quiero.</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3" w:hRule="exact"/>
        </w:trPr>
        <w:tc>
          <w:tcPr>
            <w:tcW w:w="2132" w:type="dxa"/>
          </w:tcPr>
          <w:p>
            <w:pPr>
              <w:pStyle w:val="TableParagraph"/>
              <w:spacing w:line="275" w:lineRule="exact"/>
              <w:ind w:left="103"/>
              <w:rPr>
                <w:sz w:val="24"/>
              </w:rPr>
            </w:pPr>
            <w:r>
              <w:rPr>
                <w:sz w:val="24"/>
              </w:rPr>
              <w:t>Siempre</w:t>
            </w:r>
          </w:p>
        </w:tc>
        <w:tc>
          <w:tcPr>
            <w:tcW w:w="1963" w:type="dxa"/>
          </w:tcPr>
          <w:p>
            <w:pPr>
              <w:pStyle w:val="TableParagraph"/>
              <w:spacing w:line="275" w:lineRule="exact"/>
              <w:ind w:left="103"/>
              <w:rPr>
                <w:sz w:val="24"/>
              </w:rPr>
            </w:pPr>
            <w:r>
              <w:rPr>
                <w:sz w:val="24"/>
              </w:rPr>
              <w:t>Frecuentemente</w:t>
            </w:r>
          </w:p>
        </w:tc>
        <w:tc>
          <w:tcPr>
            <w:tcW w:w="2016" w:type="dxa"/>
          </w:tcPr>
          <w:p>
            <w:pPr>
              <w:pStyle w:val="TableParagraph"/>
              <w:spacing w:line="275" w:lineRule="exact"/>
              <w:ind w:left="103"/>
              <w:rPr>
                <w:sz w:val="24"/>
              </w:rPr>
            </w:pPr>
            <w:r>
              <w:rPr>
                <w:sz w:val="24"/>
              </w:rPr>
              <w:t>Rara vez</w:t>
            </w:r>
          </w:p>
        </w:tc>
        <w:tc>
          <w:tcPr>
            <w:tcW w:w="3130" w:type="dxa"/>
          </w:tcPr>
          <w:p>
            <w:pPr>
              <w:pStyle w:val="TableParagraph"/>
              <w:spacing w:line="275"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Le pregunto a mi pareja en que gasta su</w:t>
      </w:r>
      <w:r>
        <w:rPr>
          <w:spacing w:val="-19"/>
          <w:sz w:val="24"/>
        </w:rPr>
        <w:t> </w:t>
      </w:r>
      <w:r>
        <w:rPr>
          <w:sz w:val="24"/>
        </w:rPr>
        <w:t>dinero.</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51"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He sugerido que deje amistades que no le</w:t>
      </w:r>
      <w:r>
        <w:rPr>
          <w:spacing w:val="-20"/>
          <w:sz w:val="24"/>
        </w:rPr>
        <w:t> </w:t>
      </w:r>
      <w:r>
        <w:rPr>
          <w:sz w:val="24"/>
        </w:rPr>
        <w:t>convienen.</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En alguna pelea he llegado a romper cosas que pertenecían a mi</w:t>
      </w:r>
      <w:r>
        <w:rPr>
          <w:spacing w:val="-22"/>
          <w:sz w:val="24"/>
        </w:rPr>
        <w:t> </w:t>
      </w:r>
      <w:r>
        <w:rPr>
          <w:sz w:val="24"/>
        </w:rPr>
        <w:t>pareja.</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51"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Es normal que “toque” a mi pareja aun cuando ella me diga que</w:t>
      </w:r>
      <w:r>
        <w:rPr>
          <w:spacing w:val="-30"/>
          <w:sz w:val="24"/>
        </w:rPr>
        <w:t> </w:t>
      </w:r>
      <w:r>
        <w:rPr>
          <w:sz w:val="24"/>
        </w:rPr>
        <w:t>no</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Jugando con mi pareja he llegado a darle un</w:t>
      </w:r>
      <w:r>
        <w:rPr>
          <w:spacing w:val="-19"/>
          <w:sz w:val="24"/>
        </w:rPr>
        <w:t> </w:t>
      </w:r>
      <w:r>
        <w:rPr>
          <w:sz w:val="24"/>
        </w:rPr>
        <w:t>golpe/pellizco.</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52" w:hRule="exact"/>
        </w:trPr>
        <w:tc>
          <w:tcPr>
            <w:tcW w:w="2132" w:type="dxa"/>
          </w:tcPr>
          <w:p>
            <w:pPr/>
          </w:p>
        </w:tc>
        <w:tc>
          <w:tcPr>
            <w:tcW w:w="1963" w:type="dxa"/>
          </w:tcPr>
          <w:p>
            <w:pPr/>
          </w:p>
        </w:tc>
        <w:tc>
          <w:tcPr>
            <w:tcW w:w="2016" w:type="dxa"/>
          </w:tcPr>
          <w:p>
            <w:pPr/>
          </w:p>
        </w:tc>
        <w:tc>
          <w:tcPr>
            <w:tcW w:w="3130" w:type="dxa"/>
          </w:tcPr>
          <w:p>
            <w:pPr/>
          </w:p>
        </w:tc>
      </w:tr>
    </w:tbl>
    <w:p>
      <w:pPr>
        <w:spacing w:after="0"/>
        <w:sectPr>
          <w:pgSz w:w="12240" w:h="15840"/>
          <w:pgMar w:header="0" w:footer="1014" w:top="1440" w:bottom="1200" w:left="1700" w:right="820"/>
        </w:sectPr>
      </w:pPr>
    </w:p>
    <w:p>
      <w:pPr>
        <w:pStyle w:val="BodyText"/>
        <w:spacing w:before="5"/>
      </w:pPr>
    </w:p>
    <w:p>
      <w:pPr>
        <w:pStyle w:val="ListParagraph"/>
        <w:numPr>
          <w:ilvl w:val="0"/>
          <w:numId w:val="5"/>
        </w:numPr>
        <w:tabs>
          <w:tab w:pos="461" w:val="left" w:leader="none"/>
        </w:tabs>
        <w:spacing w:line="240" w:lineRule="auto" w:before="70" w:after="0"/>
        <w:ind w:left="460" w:right="0" w:hanging="360"/>
        <w:jc w:val="left"/>
        <w:rPr>
          <w:sz w:val="24"/>
        </w:rPr>
      </w:pPr>
      <w:r>
        <w:rPr>
          <w:sz w:val="24"/>
        </w:rPr>
        <w:t>En alguna discusión he llegado a empujar a mi</w:t>
      </w:r>
      <w:r>
        <w:rPr>
          <w:spacing w:val="-16"/>
          <w:sz w:val="24"/>
        </w:rPr>
        <w:t> </w:t>
      </w:r>
      <w:r>
        <w:rPr>
          <w:sz w:val="24"/>
        </w:rPr>
        <w:t>pareja.</w:t>
      </w:r>
    </w:p>
    <w:p>
      <w:pPr>
        <w:pStyle w:val="BodyText"/>
        <w:spacing w:before="3"/>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2" w:hRule="exact"/>
        </w:trPr>
        <w:tc>
          <w:tcPr>
            <w:tcW w:w="2132"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016" w:type="dxa"/>
          </w:tcPr>
          <w:p>
            <w:pPr>
              <w:pStyle w:val="TableParagraph"/>
              <w:spacing w:line="274" w:lineRule="exact"/>
              <w:ind w:left="103"/>
              <w:rPr>
                <w:sz w:val="24"/>
              </w:rPr>
            </w:pPr>
            <w:r>
              <w:rPr>
                <w:sz w:val="24"/>
              </w:rPr>
              <w:t>Rara vez</w:t>
            </w:r>
          </w:p>
        </w:tc>
        <w:tc>
          <w:tcPr>
            <w:tcW w:w="3130" w:type="dxa"/>
          </w:tcPr>
          <w:p>
            <w:pPr>
              <w:pStyle w:val="TableParagraph"/>
              <w:spacing w:line="274" w:lineRule="exact"/>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10"/>
        <w:rPr>
          <w:sz w:val="29"/>
        </w:rPr>
      </w:pPr>
    </w:p>
    <w:p>
      <w:pPr>
        <w:pStyle w:val="ListParagraph"/>
        <w:numPr>
          <w:ilvl w:val="0"/>
          <w:numId w:val="5"/>
        </w:numPr>
        <w:tabs>
          <w:tab w:pos="461" w:val="left" w:leader="none"/>
        </w:tabs>
        <w:spacing w:line="240" w:lineRule="auto" w:before="70" w:after="0"/>
        <w:ind w:left="460" w:right="0" w:hanging="360"/>
        <w:jc w:val="left"/>
        <w:rPr>
          <w:sz w:val="24"/>
        </w:rPr>
      </w:pPr>
      <w:r>
        <w:rPr>
          <w:sz w:val="24"/>
        </w:rPr>
        <w:t>Los golpes en la relación de pareja están justificados en algunos</w:t>
      </w:r>
      <w:r>
        <w:rPr>
          <w:spacing w:val="-23"/>
          <w:sz w:val="24"/>
        </w:rPr>
        <w:t> </w:t>
      </w:r>
      <w:r>
        <w:rPr>
          <w:sz w:val="24"/>
        </w:rPr>
        <w:t>casos.</w:t>
      </w:r>
    </w:p>
    <w:p>
      <w:pPr>
        <w:pStyle w:val="BodyText"/>
        <w:rPr>
          <w:sz w:val="12"/>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32"/>
        <w:gridCol w:w="1963"/>
        <w:gridCol w:w="2016"/>
        <w:gridCol w:w="3130"/>
      </w:tblGrid>
      <w:tr>
        <w:trPr>
          <w:trHeight w:val="485" w:hRule="exact"/>
        </w:trPr>
        <w:tc>
          <w:tcPr>
            <w:tcW w:w="2132"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016" w:type="dxa"/>
          </w:tcPr>
          <w:p>
            <w:pPr>
              <w:pStyle w:val="TableParagraph"/>
              <w:ind w:left="103"/>
              <w:rPr>
                <w:sz w:val="24"/>
              </w:rPr>
            </w:pPr>
            <w:r>
              <w:rPr>
                <w:sz w:val="24"/>
              </w:rPr>
              <w:t>Rara vez</w:t>
            </w:r>
          </w:p>
        </w:tc>
        <w:tc>
          <w:tcPr>
            <w:tcW w:w="3130" w:type="dxa"/>
          </w:tcPr>
          <w:p>
            <w:pPr>
              <w:pStyle w:val="TableParagraph"/>
              <w:ind w:left="103"/>
              <w:rPr>
                <w:sz w:val="24"/>
              </w:rPr>
            </w:pPr>
            <w:r>
              <w:rPr>
                <w:sz w:val="24"/>
              </w:rPr>
              <w:t>Nunca</w:t>
            </w:r>
          </w:p>
        </w:tc>
      </w:tr>
      <w:tr>
        <w:trPr>
          <w:trHeight w:val="449" w:hRule="exact"/>
        </w:trPr>
        <w:tc>
          <w:tcPr>
            <w:tcW w:w="2132" w:type="dxa"/>
          </w:tcPr>
          <w:p>
            <w:pPr/>
          </w:p>
        </w:tc>
        <w:tc>
          <w:tcPr>
            <w:tcW w:w="1963" w:type="dxa"/>
          </w:tcPr>
          <w:p>
            <w:pPr/>
          </w:p>
        </w:tc>
        <w:tc>
          <w:tcPr>
            <w:tcW w:w="2016" w:type="dxa"/>
          </w:tcPr>
          <w:p>
            <w:pPr/>
          </w:p>
        </w:tc>
        <w:tc>
          <w:tcPr>
            <w:tcW w:w="3130" w:type="dxa"/>
          </w:tcPr>
          <w:p>
            <w:pPr/>
          </w:p>
        </w:tc>
      </w:tr>
    </w:tbl>
    <w:p>
      <w:pPr>
        <w:pStyle w:val="BodyText"/>
        <w:spacing w:before="8"/>
        <w:rPr>
          <w:sz w:val="29"/>
        </w:rPr>
      </w:pPr>
    </w:p>
    <w:p>
      <w:pPr>
        <w:pStyle w:val="ListParagraph"/>
        <w:numPr>
          <w:ilvl w:val="0"/>
          <w:numId w:val="5"/>
        </w:numPr>
        <w:tabs>
          <w:tab w:pos="461" w:val="left" w:leader="none"/>
        </w:tabs>
        <w:spacing w:line="360" w:lineRule="auto" w:before="69" w:after="5"/>
        <w:ind w:left="460" w:right="624" w:hanging="360"/>
        <w:jc w:val="left"/>
        <w:rPr>
          <w:sz w:val="24"/>
        </w:rPr>
      </w:pPr>
      <w:r>
        <w:rPr>
          <w:sz w:val="24"/>
        </w:rPr>
        <w:t>Cuando he presenciado una discusión de pareja considero que es normal que el hombre jale a su pareja, le grite o simplemente guarde silencio y se</w:t>
      </w:r>
      <w:r>
        <w:rPr>
          <w:spacing w:val="-22"/>
          <w:sz w:val="24"/>
        </w:rPr>
        <w:t> </w:t>
      </w:r>
      <w:r>
        <w:rPr>
          <w:sz w:val="24"/>
        </w:rPr>
        <w:t>vaya</w:t>
      </w: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3"/>
        <w:gridCol w:w="1776"/>
        <w:gridCol w:w="2528"/>
        <w:gridCol w:w="2765"/>
      </w:tblGrid>
      <w:tr>
        <w:trPr>
          <w:trHeight w:val="485" w:hRule="exact"/>
        </w:trPr>
        <w:tc>
          <w:tcPr>
            <w:tcW w:w="2173" w:type="dxa"/>
          </w:tcPr>
          <w:p>
            <w:pPr>
              <w:pStyle w:val="TableParagraph"/>
              <w:ind w:left="273"/>
              <w:rPr>
                <w:sz w:val="24"/>
              </w:rPr>
            </w:pPr>
            <w:r>
              <w:rPr>
                <w:sz w:val="24"/>
              </w:rPr>
              <w:t>Con frecuencia</w:t>
            </w:r>
          </w:p>
        </w:tc>
        <w:tc>
          <w:tcPr>
            <w:tcW w:w="1776" w:type="dxa"/>
          </w:tcPr>
          <w:p>
            <w:pPr>
              <w:pStyle w:val="TableParagraph"/>
              <w:ind w:left="455"/>
              <w:rPr>
                <w:sz w:val="24"/>
              </w:rPr>
            </w:pPr>
            <w:r>
              <w:rPr>
                <w:sz w:val="24"/>
              </w:rPr>
              <w:t>A veces</w:t>
            </w:r>
          </w:p>
        </w:tc>
        <w:tc>
          <w:tcPr>
            <w:tcW w:w="2528" w:type="dxa"/>
          </w:tcPr>
          <w:p>
            <w:pPr>
              <w:pStyle w:val="TableParagraph"/>
              <w:ind w:left="780"/>
              <w:rPr>
                <w:sz w:val="24"/>
              </w:rPr>
            </w:pPr>
            <w:r>
              <w:rPr>
                <w:sz w:val="24"/>
              </w:rPr>
              <w:t>Rara vez</w:t>
            </w:r>
          </w:p>
        </w:tc>
        <w:tc>
          <w:tcPr>
            <w:tcW w:w="2765" w:type="dxa"/>
          </w:tcPr>
          <w:p>
            <w:pPr>
              <w:pStyle w:val="TableParagraph"/>
              <w:ind w:left="1010" w:right="1011"/>
              <w:jc w:val="center"/>
              <w:rPr>
                <w:sz w:val="24"/>
              </w:rPr>
            </w:pPr>
            <w:r>
              <w:rPr>
                <w:sz w:val="24"/>
              </w:rPr>
              <w:t>Nunca</w:t>
            </w:r>
          </w:p>
        </w:tc>
      </w:tr>
      <w:tr>
        <w:trPr>
          <w:trHeight w:val="449" w:hRule="exact"/>
        </w:trPr>
        <w:tc>
          <w:tcPr>
            <w:tcW w:w="2173" w:type="dxa"/>
          </w:tcPr>
          <w:p>
            <w:pPr/>
          </w:p>
        </w:tc>
        <w:tc>
          <w:tcPr>
            <w:tcW w:w="1776" w:type="dxa"/>
          </w:tcPr>
          <w:p>
            <w:pPr/>
          </w:p>
        </w:tc>
        <w:tc>
          <w:tcPr>
            <w:tcW w:w="2528" w:type="dxa"/>
          </w:tcPr>
          <w:p>
            <w:pPr/>
          </w:p>
        </w:tc>
        <w:tc>
          <w:tcPr>
            <w:tcW w:w="2765" w:type="dxa"/>
          </w:tcPr>
          <w:p>
            <w:pPr/>
          </w:p>
        </w:tc>
      </w:tr>
    </w:tbl>
    <w:p>
      <w:pPr>
        <w:pStyle w:val="ListParagraph"/>
        <w:numPr>
          <w:ilvl w:val="0"/>
          <w:numId w:val="6"/>
        </w:numPr>
        <w:tabs>
          <w:tab w:pos="461" w:val="left" w:leader="none"/>
        </w:tabs>
        <w:spacing w:line="274" w:lineRule="exact" w:before="0" w:after="0"/>
        <w:ind w:left="460" w:right="0" w:hanging="360"/>
        <w:jc w:val="left"/>
        <w:rPr>
          <w:sz w:val="24"/>
        </w:rPr>
      </w:pPr>
      <w:r>
        <w:rPr>
          <w:sz w:val="24"/>
        </w:rPr>
        <w:t>En el instituto es normal que existan discusiones entre</w:t>
      </w:r>
      <w:r>
        <w:rPr>
          <w:spacing w:val="-21"/>
          <w:sz w:val="24"/>
        </w:rPr>
        <w:t> </w:t>
      </w:r>
      <w:r>
        <w:rPr>
          <w:sz w:val="24"/>
        </w:rPr>
        <w:t>parejas</w:t>
      </w:r>
    </w:p>
    <w:p>
      <w:pPr>
        <w:pStyle w:val="BodyText"/>
        <w:rPr>
          <w:sz w:val="21"/>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3"/>
        <w:gridCol w:w="1776"/>
        <w:gridCol w:w="2528"/>
        <w:gridCol w:w="2765"/>
      </w:tblGrid>
      <w:tr>
        <w:trPr>
          <w:trHeight w:val="485" w:hRule="exact"/>
        </w:trPr>
        <w:tc>
          <w:tcPr>
            <w:tcW w:w="2173" w:type="dxa"/>
          </w:tcPr>
          <w:p>
            <w:pPr>
              <w:pStyle w:val="TableParagraph"/>
              <w:spacing w:before="1"/>
              <w:ind w:left="273"/>
              <w:rPr>
                <w:sz w:val="24"/>
              </w:rPr>
            </w:pPr>
            <w:r>
              <w:rPr>
                <w:sz w:val="24"/>
              </w:rPr>
              <w:t>Con frecuencia</w:t>
            </w:r>
          </w:p>
        </w:tc>
        <w:tc>
          <w:tcPr>
            <w:tcW w:w="1776" w:type="dxa"/>
          </w:tcPr>
          <w:p>
            <w:pPr>
              <w:pStyle w:val="TableParagraph"/>
              <w:spacing w:before="1"/>
              <w:ind w:left="455"/>
              <w:rPr>
                <w:sz w:val="24"/>
              </w:rPr>
            </w:pPr>
            <w:r>
              <w:rPr>
                <w:sz w:val="24"/>
              </w:rPr>
              <w:t>A veces</w:t>
            </w:r>
          </w:p>
        </w:tc>
        <w:tc>
          <w:tcPr>
            <w:tcW w:w="2528" w:type="dxa"/>
          </w:tcPr>
          <w:p>
            <w:pPr>
              <w:pStyle w:val="TableParagraph"/>
              <w:spacing w:before="1"/>
              <w:ind w:left="780"/>
              <w:rPr>
                <w:sz w:val="24"/>
              </w:rPr>
            </w:pPr>
            <w:r>
              <w:rPr>
                <w:sz w:val="24"/>
              </w:rPr>
              <w:t>Rara vez</w:t>
            </w:r>
          </w:p>
        </w:tc>
        <w:tc>
          <w:tcPr>
            <w:tcW w:w="2765" w:type="dxa"/>
          </w:tcPr>
          <w:p>
            <w:pPr>
              <w:pStyle w:val="TableParagraph"/>
              <w:spacing w:before="1"/>
              <w:ind w:left="1010" w:right="1011"/>
              <w:jc w:val="center"/>
              <w:rPr>
                <w:sz w:val="24"/>
              </w:rPr>
            </w:pPr>
            <w:r>
              <w:rPr>
                <w:sz w:val="24"/>
              </w:rPr>
              <w:t>Nunca</w:t>
            </w:r>
          </w:p>
        </w:tc>
      </w:tr>
      <w:tr>
        <w:trPr>
          <w:trHeight w:val="449" w:hRule="exact"/>
        </w:trPr>
        <w:tc>
          <w:tcPr>
            <w:tcW w:w="2173" w:type="dxa"/>
          </w:tcPr>
          <w:p>
            <w:pPr/>
          </w:p>
        </w:tc>
        <w:tc>
          <w:tcPr>
            <w:tcW w:w="1776" w:type="dxa"/>
          </w:tcPr>
          <w:p>
            <w:pPr/>
          </w:p>
        </w:tc>
        <w:tc>
          <w:tcPr>
            <w:tcW w:w="2528" w:type="dxa"/>
          </w:tcPr>
          <w:p>
            <w:pPr/>
          </w:p>
        </w:tc>
        <w:tc>
          <w:tcPr>
            <w:tcW w:w="2765" w:type="dxa"/>
          </w:tcPr>
          <w:p>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6"/>
        </w:numPr>
        <w:tabs>
          <w:tab w:pos="461" w:val="left" w:leader="none"/>
        </w:tabs>
        <w:spacing w:line="240" w:lineRule="auto" w:before="199" w:after="0"/>
        <w:ind w:left="460" w:right="0" w:hanging="360"/>
        <w:jc w:val="left"/>
        <w:rPr>
          <w:sz w:val="24"/>
        </w:rPr>
      </w:pPr>
      <w:r>
        <w:rPr>
          <w:sz w:val="24"/>
        </w:rPr>
        <w:t>Cuando las/os profesores/as observan una discusión de pareja</w:t>
      </w:r>
      <w:r>
        <w:rPr>
          <w:spacing w:val="-24"/>
          <w:sz w:val="24"/>
        </w:rPr>
        <w:t> </w:t>
      </w:r>
      <w:r>
        <w:rPr>
          <w:sz w:val="24"/>
        </w:rPr>
        <w:t>intervienen.</w:t>
      </w:r>
    </w:p>
    <w:p>
      <w:pPr>
        <w:pStyle w:val="BodyText"/>
        <w:spacing w:before="2" w:after="1"/>
        <w:rPr>
          <w:sz w:val="21"/>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9"/>
        <w:gridCol w:w="1963"/>
        <w:gridCol w:w="2458"/>
        <w:gridCol w:w="2691"/>
      </w:tblGrid>
      <w:tr>
        <w:trPr>
          <w:trHeight w:val="483" w:hRule="exact"/>
        </w:trPr>
        <w:tc>
          <w:tcPr>
            <w:tcW w:w="2129"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458" w:type="dxa"/>
          </w:tcPr>
          <w:p>
            <w:pPr>
              <w:pStyle w:val="TableParagraph"/>
              <w:spacing w:line="274" w:lineRule="exact"/>
              <w:ind w:left="103"/>
              <w:rPr>
                <w:sz w:val="24"/>
              </w:rPr>
            </w:pPr>
            <w:r>
              <w:rPr>
                <w:sz w:val="24"/>
              </w:rPr>
              <w:t>Rara vez</w:t>
            </w:r>
          </w:p>
        </w:tc>
        <w:tc>
          <w:tcPr>
            <w:tcW w:w="2691" w:type="dxa"/>
          </w:tcPr>
          <w:p>
            <w:pPr>
              <w:pStyle w:val="TableParagraph"/>
              <w:spacing w:line="274" w:lineRule="exact"/>
              <w:ind w:left="103"/>
              <w:rPr>
                <w:sz w:val="24"/>
              </w:rPr>
            </w:pPr>
            <w:r>
              <w:rPr>
                <w:sz w:val="24"/>
              </w:rPr>
              <w:t>Nunca</w:t>
            </w:r>
          </w:p>
        </w:tc>
      </w:tr>
      <w:tr>
        <w:trPr>
          <w:trHeight w:val="449" w:hRule="exact"/>
        </w:trPr>
        <w:tc>
          <w:tcPr>
            <w:tcW w:w="2129" w:type="dxa"/>
          </w:tcPr>
          <w:p>
            <w:pPr/>
          </w:p>
        </w:tc>
        <w:tc>
          <w:tcPr>
            <w:tcW w:w="1963" w:type="dxa"/>
          </w:tcPr>
          <w:p>
            <w:pPr/>
          </w:p>
        </w:tc>
        <w:tc>
          <w:tcPr>
            <w:tcW w:w="2458" w:type="dxa"/>
          </w:tcPr>
          <w:p>
            <w:pPr/>
          </w:p>
        </w:tc>
        <w:tc>
          <w:tcPr>
            <w:tcW w:w="2691" w:type="dxa"/>
          </w:tcPr>
          <w:p>
            <w:pPr/>
          </w:p>
        </w:tc>
      </w:tr>
    </w:tbl>
    <w:p>
      <w:pPr>
        <w:pStyle w:val="BodyText"/>
        <w:spacing w:before="6"/>
        <w:rPr>
          <w:sz w:val="21"/>
        </w:rPr>
      </w:pPr>
    </w:p>
    <w:p>
      <w:pPr>
        <w:pStyle w:val="ListParagraph"/>
        <w:numPr>
          <w:ilvl w:val="0"/>
          <w:numId w:val="6"/>
        </w:numPr>
        <w:tabs>
          <w:tab w:pos="461" w:val="left" w:leader="none"/>
          <w:tab w:pos="937" w:val="left" w:leader="none"/>
          <w:tab w:pos="2009" w:val="left" w:leader="none"/>
          <w:tab w:pos="2485" w:val="left" w:leader="none"/>
          <w:tab w:pos="3004" w:val="left" w:leader="none"/>
          <w:tab w:pos="4534" w:val="left" w:leader="none"/>
          <w:tab w:pos="5784" w:val="left" w:leader="none"/>
          <w:tab w:pos="6726" w:val="left" w:leader="none"/>
          <w:tab w:pos="7455" w:val="left" w:leader="none"/>
          <w:tab w:pos="8450" w:val="left" w:leader="none"/>
          <w:tab w:pos="8793" w:val="left" w:leader="none"/>
        </w:tabs>
        <w:spacing w:line="276" w:lineRule="auto" w:before="70" w:after="0"/>
        <w:ind w:left="460" w:right="620" w:hanging="360"/>
        <w:jc w:val="left"/>
        <w:rPr>
          <w:sz w:val="24"/>
        </w:rPr>
      </w:pPr>
      <w:r>
        <w:rPr>
          <w:sz w:val="24"/>
        </w:rPr>
        <w:t>La</w:t>
        <w:tab/>
        <w:t>mayoría</w:t>
        <w:tab/>
        <w:t>de</w:t>
        <w:tab/>
        <w:t>los</w:t>
        <w:tab/>
        <w:t>compañeros</w:t>
        <w:tab/>
        <w:t>considera</w:t>
        <w:tab/>
        <w:t>normal</w:t>
        <w:tab/>
        <w:t>decir</w:t>
        <w:tab/>
        <w:t>piropos</w:t>
        <w:tab/>
        <w:t>a</w:t>
        <w:tab/>
      </w:r>
      <w:r>
        <w:rPr>
          <w:spacing w:val="-1"/>
          <w:sz w:val="24"/>
        </w:rPr>
        <w:t>las </w:t>
      </w:r>
      <w:r>
        <w:rPr>
          <w:sz w:val="24"/>
        </w:rPr>
        <w:t>compañeras.</w:t>
      </w:r>
    </w:p>
    <w:p>
      <w:pPr>
        <w:pStyle w:val="BodyText"/>
        <w:spacing w:before="6"/>
        <w:rPr>
          <w:sz w:val="17"/>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9"/>
        <w:gridCol w:w="1963"/>
        <w:gridCol w:w="2458"/>
        <w:gridCol w:w="2691"/>
      </w:tblGrid>
      <w:tr>
        <w:trPr>
          <w:trHeight w:val="485" w:hRule="exact"/>
        </w:trPr>
        <w:tc>
          <w:tcPr>
            <w:tcW w:w="2129"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458" w:type="dxa"/>
          </w:tcPr>
          <w:p>
            <w:pPr>
              <w:pStyle w:val="TableParagraph"/>
              <w:ind w:left="103"/>
              <w:rPr>
                <w:sz w:val="24"/>
              </w:rPr>
            </w:pPr>
            <w:r>
              <w:rPr>
                <w:sz w:val="24"/>
              </w:rPr>
              <w:t>Rara vez</w:t>
            </w:r>
          </w:p>
        </w:tc>
        <w:tc>
          <w:tcPr>
            <w:tcW w:w="2691" w:type="dxa"/>
          </w:tcPr>
          <w:p>
            <w:pPr>
              <w:pStyle w:val="TableParagraph"/>
              <w:ind w:left="103"/>
              <w:rPr>
                <w:sz w:val="24"/>
              </w:rPr>
            </w:pPr>
            <w:r>
              <w:rPr>
                <w:sz w:val="24"/>
              </w:rPr>
              <w:t>Nunca</w:t>
            </w:r>
          </w:p>
        </w:tc>
      </w:tr>
      <w:tr>
        <w:trPr>
          <w:trHeight w:val="449" w:hRule="exact"/>
        </w:trPr>
        <w:tc>
          <w:tcPr>
            <w:tcW w:w="2129" w:type="dxa"/>
          </w:tcPr>
          <w:p>
            <w:pPr/>
          </w:p>
        </w:tc>
        <w:tc>
          <w:tcPr>
            <w:tcW w:w="1963" w:type="dxa"/>
          </w:tcPr>
          <w:p>
            <w:pPr/>
          </w:p>
        </w:tc>
        <w:tc>
          <w:tcPr>
            <w:tcW w:w="2458" w:type="dxa"/>
          </w:tcPr>
          <w:p>
            <w:pPr/>
          </w:p>
        </w:tc>
        <w:tc>
          <w:tcPr>
            <w:tcW w:w="2691" w:type="dxa"/>
          </w:tcPr>
          <w:p>
            <w:pPr/>
          </w:p>
        </w:tc>
      </w:tr>
    </w:tbl>
    <w:p>
      <w:pPr>
        <w:spacing w:after="0"/>
        <w:sectPr>
          <w:pgSz w:w="12240" w:h="15840"/>
          <w:pgMar w:header="0" w:footer="1014" w:top="1500" w:bottom="1200" w:left="1700" w:right="820"/>
        </w:sectPr>
      </w:pPr>
    </w:p>
    <w:p>
      <w:pPr>
        <w:pStyle w:val="ListParagraph"/>
        <w:numPr>
          <w:ilvl w:val="0"/>
          <w:numId w:val="6"/>
        </w:numPr>
        <w:tabs>
          <w:tab w:pos="461" w:val="left" w:leader="none"/>
        </w:tabs>
        <w:spacing w:line="276" w:lineRule="auto" w:before="58" w:after="0"/>
        <w:ind w:left="460" w:right="625" w:hanging="360"/>
        <w:jc w:val="left"/>
        <w:rPr>
          <w:sz w:val="24"/>
        </w:rPr>
      </w:pPr>
      <w:r>
        <w:rPr>
          <w:sz w:val="24"/>
        </w:rPr>
        <w:t>En las discusiones de pareja que he visto se resuelven de forma violenta [gritos, agresiones, empujones,</w:t>
      </w:r>
      <w:r>
        <w:rPr>
          <w:spacing w:val="-10"/>
          <w:sz w:val="24"/>
        </w:rPr>
        <w:t> </w:t>
      </w:r>
      <w:r>
        <w:rPr>
          <w:sz w:val="24"/>
        </w:rPr>
        <w:t>etc.]</w:t>
      </w:r>
    </w:p>
    <w:p>
      <w:pPr>
        <w:pStyle w:val="BodyText"/>
        <w:spacing w:before="8"/>
        <w:rPr>
          <w:sz w:val="17"/>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9"/>
        <w:gridCol w:w="1963"/>
        <w:gridCol w:w="2458"/>
        <w:gridCol w:w="2691"/>
      </w:tblGrid>
      <w:tr>
        <w:trPr>
          <w:trHeight w:val="482" w:hRule="exact"/>
        </w:trPr>
        <w:tc>
          <w:tcPr>
            <w:tcW w:w="2129"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458" w:type="dxa"/>
          </w:tcPr>
          <w:p>
            <w:pPr>
              <w:pStyle w:val="TableParagraph"/>
              <w:spacing w:line="274" w:lineRule="exact"/>
              <w:ind w:left="103"/>
              <w:rPr>
                <w:sz w:val="24"/>
              </w:rPr>
            </w:pPr>
            <w:r>
              <w:rPr>
                <w:sz w:val="24"/>
              </w:rPr>
              <w:t>Rara vez</w:t>
            </w:r>
          </w:p>
        </w:tc>
        <w:tc>
          <w:tcPr>
            <w:tcW w:w="2691" w:type="dxa"/>
          </w:tcPr>
          <w:p>
            <w:pPr>
              <w:pStyle w:val="TableParagraph"/>
              <w:spacing w:line="274" w:lineRule="exact"/>
              <w:ind w:left="103"/>
              <w:rPr>
                <w:sz w:val="24"/>
              </w:rPr>
            </w:pPr>
            <w:r>
              <w:rPr>
                <w:sz w:val="24"/>
              </w:rPr>
              <w:t>Nunca</w:t>
            </w:r>
          </w:p>
        </w:tc>
      </w:tr>
      <w:tr>
        <w:trPr>
          <w:trHeight w:val="449" w:hRule="exact"/>
        </w:trPr>
        <w:tc>
          <w:tcPr>
            <w:tcW w:w="2129" w:type="dxa"/>
          </w:tcPr>
          <w:p>
            <w:pPr/>
          </w:p>
        </w:tc>
        <w:tc>
          <w:tcPr>
            <w:tcW w:w="1963" w:type="dxa"/>
          </w:tcPr>
          <w:p>
            <w:pPr/>
          </w:p>
        </w:tc>
        <w:tc>
          <w:tcPr>
            <w:tcW w:w="2458" w:type="dxa"/>
          </w:tcPr>
          <w:p>
            <w:pPr/>
          </w:p>
        </w:tc>
        <w:tc>
          <w:tcPr>
            <w:tcW w:w="2691" w:type="dxa"/>
          </w:tcPr>
          <w:p>
            <w:pPr/>
          </w:p>
        </w:tc>
      </w:tr>
    </w:tbl>
    <w:p>
      <w:pPr>
        <w:pStyle w:val="BodyText"/>
        <w:rPr>
          <w:sz w:val="20"/>
        </w:rPr>
      </w:pPr>
    </w:p>
    <w:p>
      <w:pPr>
        <w:pStyle w:val="BodyText"/>
        <w:spacing w:before="1"/>
        <w:rPr>
          <w:sz w:val="29"/>
        </w:rPr>
      </w:pPr>
    </w:p>
    <w:p>
      <w:pPr>
        <w:pStyle w:val="ListParagraph"/>
        <w:numPr>
          <w:ilvl w:val="0"/>
          <w:numId w:val="6"/>
        </w:numPr>
        <w:tabs>
          <w:tab w:pos="461" w:val="left" w:leader="none"/>
        </w:tabs>
        <w:spacing w:line="240" w:lineRule="auto" w:before="69" w:after="0"/>
        <w:ind w:left="460" w:right="0" w:hanging="360"/>
        <w:jc w:val="left"/>
        <w:rPr>
          <w:sz w:val="24"/>
        </w:rPr>
      </w:pPr>
      <w:r>
        <w:rPr>
          <w:sz w:val="24"/>
        </w:rPr>
        <w:t>Creo que el trato de las/os profesoras/es hacia los hombres es</w:t>
      </w:r>
      <w:r>
        <w:rPr>
          <w:spacing w:val="-22"/>
          <w:sz w:val="24"/>
        </w:rPr>
        <w:t> </w:t>
      </w:r>
      <w:r>
        <w:rPr>
          <w:sz w:val="24"/>
        </w:rPr>
        <w:t>preferencial.</w:t>
      </w:r>
    </w:p>
    <w:p>
      <w:pPr>
        <w:pStyle w:val="BodyText"/>
        <w:rPr>
          <w:sz w:val="21"/>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9"/>
        <w:gridCol w:w="1963"/>
        <w:gridCol w:w="2458"/>
        <w:gridCol w:w="2691"/>
      </w:tblGrid>
      <w:tr>
        <w:trPr>
          <w:trHeight w:val="485" w:hRule="exact"/>
        </w:trPr>
        <w:tc>
          <w:tcPr>
            <w:tcW w:w="2129" w:type="dxa"/>
          </w:tcPr>
          <w:p>
            <w:pPr>
              <w:pStyle w:val="TableParagraph"/>
              <w:ind w:left="103"/>
              <w:rPr>
                <w:sz w:val="24"/>
              </w:rPr>
            </w:pPr>
            <w:r>
              <w:rPr>
                <w:sz w:val="24"/>
              </w:rPr>
              <w:t>Siempre</w:t>
            </w:r>
          </w:p>
        </w:tc>
        <w:tc>
          <w:tcPr>
            <w:tcW w:w="1963" w:type="dxa"/>
          </w:tcPr>
          <w:p>
            <w:pPr>
              <w:pStyle w:val="TableParagraph"/>
              <w:ind w:left="103"/>
              <w:rPr>
                <w:sz w:val="24"/>
              </w:rPr>
            </w:pPr>
            <w:r>
              <w:rPr>
                <w:sz w:val="24"/>
              </w:rPr>
              <w:t>Frecuentemente</w:t>
            </w:r>
          </w:p>
        </w:tc>
        <w:tc>
          <w:tcPr>
            <w:tcW w:w="2458" w:type="dxa"/>
          </w:tcPr>
          <w:p>
            <w:pPr>
              <w:pStyle w:val="TableParagraph"/>
              <w:ind w:left="103"/>
              <w:rPr>
                <w:sz w:val="24"/>
              </w:rPr>
            </w:pPr>
            <w:r>
              <w:rPr>
                <w:sz w:val="24"/>
              </w:rPr>
              <w:t>Rara vez</w:t>
            </w:r>
          </w:p>
        </w:tc>
        <w:tc>
          <w:tcPr>
            <w:tcW w:w="2691" w:type="dxa"/>
          </w:tcPr>
          <w:p>
            <w:pPr>
              <w:pStyle w:val="TableParagraph"/>
              <w:ind w:left="103"/>
              <w:rPr>
                <w:sz w:val="24"/>
              </w:rPr>
            </w:pPr>
            <w:r>
              <w:rPr>
                <w:sz w:val="24"/>
              </w:rPr>
              <w:t>Nunca</w:t>
            </w:r>
          </w:p>
        </w:tc>
      </w:tr>
      <w:tr>
        <w:trPr>
          <w:trHeight w:val="449" w:hRule="exact"/>
        </w:trPr>
        <w:tc>
          <w:tcPr>
            <w:tcW w:w="2129" w:type="dxa"/>
          </w:tcPr>
          <w:p>
            <w:pPr/>
          </w:p>
        </w:tc>
        <w:tc>
          <w:tcPr>
            <w:tcW w:w="1963" w:type="dxa"/>
          </w:tcPr>
          <w:p>
            <w:pPr/>
          </w:p>
        </w:tc>
        <w:tc>
          <w:tcPr>
            <w:tcW w:w="2458" w:type="dxa"/>
          </w:tcPr>
          <w:p>
            <w:pPr/>
          </w:p>
        </w:tc>
        <w:tc>
          <w:tcPr>
            <w:tcW w:w="2691" w:type="dxa"/>
          </w:tcPr>
          <w:p>
            <w:pPr/>
          </w:p>
        </w:tc>
      </w:tr>
    </w:tbl>
    <w:p>
      <w:pPr>
        <w:pStyle w:val="BodyText"/>
        <w:rPr>
          <w:sz w:val="20"/>
        </w:rPr>
      </w:pPr>
    </w:p>
    <w:p>
      <w:pPr>
        <w:pStyle w:val="BodyText"/>
        <w:spacing w:before="10"/>
        <w:rPr>
          <w:sz w:val="28"/>
        </w:rPr>
      </w:pPr>
    </w:p>
    <w:p>
      <w:pPr>
        <w:pStyle w:val="ListParagraph"/>
        <w:numPr>
          <w:ilvl w:val="0"/>
          <w:numId w:val="6"/>
        </w:numPr>
        <w:tabs>
          <w:tab w:pos="461" w:val="left" w:leader="none"/>
        </w:tabs>
        <w:spacing w:line="278" w:lineRule="auto" w:before="69" w:after="0"/>
        <w:ind w:left="460" w:right="625" w:hanging="360"/>
        <w:jc w:val="left"/>
        <w:rPr>
          <w:sz w:val="24"/>
        </w:rPr>
      </w:pPr>
      <w:r>
        <w:rPr>
          <w:sz w:val="24"/>
        </w:rPr>
        <w:t>En algunas ocasiones he visto que personal de la universidad acosa a las mujeres del</w:t>
      </w:r>
      <w:r>
        <w:rPr>
          <w:spacing w:val="-4"/>
          <w:sz w:val="24"/>
        </w:rPr>
        <w:t> </w:t>
      </w:r>
      <w:r>
        <w:rPr>
          <w:sz w:val="24"/>
        </w:rPr>
        <w:t>instituto.</w:t>
      </w:r>
    </w:p>
    <w:p>
      <w:pPr>
        <w:pStyle w:val="BodyText"/>
        <w:spacing w:before="3"/>
        <w:rPr>
          <w:sz w:val="17"/>
        </w:rPr>
      </w:pPr>
    </w:p>
    <w:tbl>
      <w:tblPr>
        <w:tblW w:w="0" w:type="auto"/>
        <w:jc w:val="left"/>
        <w:tblInd w:w="3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9"/>
        <w:gridCol w:w="1963"/>
        <w:gridCol w:w="2458"/>
        <w:gridCol w:w="2691"/>
      </w:tblGrid>
      <w:tr>
        <w:trPr>
          <w:trHeight w:val="482" w:hRule="exact"/>
        </w:trPr>
        <w:tc>
          <w:tcPr>
            <w:tcW w:w="2129" w:type="dxa"/>
          </w:tcPr>
          <w:p>
            <w:pPr>
              <w:pStyle w:val="TableParagraph"/>
              <w:spacing w:line="274" w:lineRule="exact"/>
              <w:ind w:left="103"/>
              <w:rPr>
                <w:sz w:val="24"/>
              </w:rPr>
            </w:pPr>
            <w:r>
              <w:rPr>
                <w:sz w:val="24"/>
              </w:rPr>
              <w:t>Siempre</w:t>
            </w:r>
          </w:p>
        </w:tc>
        <w:tc>
          <w:tcPr>
            <w:tcW w:w="1963" w:type="dxa"/>
          </w:tcPr>
          <w:p>
            <w:pPr>
              <w:pStyle w:val="TableParagraph"/>
              <w:spacing w:line="274" w:lineRule="exact"/>
              <w:ind w:left="103"/>
              <w:rPr>
                <w:sz w:val="24"/>
              </w:rPr>
            </w:pPr>
            <w:r>
              <w:rPr>
                <w:sz w:val="24"/>
              </w:rPr>
              <w:t>Frecuentemente</w:t>
            </w:r>
          </w:p>
        </w:tc>
        <w:tc>
          <w:tcPr>
            <w:tcW w:w="2458" w:type="dxa"/>
          </w:tcPr>
          <w:p>
            <w:pPr>
              <w:pStyle w:val="TableParagraph"/>
              <w:spacing w:line="274" w:lineRule="exact"/>
              <w:ind w:left="103"/>
              <w:rPr>
                <w:sz w:val="24"/>
              </w:rPr>
            </w:pPr>
            <w:r>
              <w:rPr>
                <w:sz w:val="24"/>
              </w:rPr>
              <w:t>Rara vez</w:t>
            </w:r>
          </w:p>
        </w:tc>
        <w:tc>
          <w:tcPr>
            <w:tcW w:w="2691" w:type="dxa"/>
          </w:tcPr>
          <w:p>
            <w:pPr>
              <w:pStyle w:val="TableParagraph"/>
              <w:spacing w:line="274" w:lineRule="exact"/>
              <w:ind w:left="103"/>
              <w:rPr>
                <w:sz w:val="24"/>
              </w:rPr>
            </w:pPr>
            <w:r>
              <w:rPr>
                <w:sz w:val="24"/>
              </w:rPr>
              <w:t>Nunca</w:t>
            </w:r>
          </w:p>
        </w:tc>
      </w:tr>
      <w:tr>
        <w:trPr>
          <w:trHeight w:val="451" w:hRule="exact"/>
        </w:trPr>
        <w:tc>
          <w:tcPr>
            <w:tcW w:w="2129" w:type="dxa"/>
          </w:tcPr>
          <w:p>
            <w:pPr/>
          </w:p>
        </w:tc>
        <w:tc>
          <w:tcPr>
            <w:tcW w:w="1963" w:type="dxa"/>
          </w:tcPr>
          <w:p>
            <w:pPr/>
          </w:p>
        </w:tc>
        <w:tc>
          <w:tcPr>
            <w:tcW w:w="2458" w:type="dxa"/>
          </w:tcPr>
          <w:p>
            <w:pPr/>
          </w:p>
        </w:tc>
        <w:tc>
          <w:tcPr>
            <w:tcW w:w="2691" w:type="dxa"/>
          </w:tcPr>
          <w:p>
            <w:pPr/>
          </w:p>
        </w:tc>
      </w:tr>
    </w:tbl>
    <w:p>
      <w:pPr>
        <w:pStyle w:val="BodyText"/>
        <w:spacing w:before="4"/>
        <w:rPr>
          <w:sz w:val="21"/>
        </w:rPr>
      </w:pPr>
    </w:p>
    <w:p>
      <w:pPr>
        <w:pStyle w:val="ListParagraph"/>
        <w:numPr>
          <w:ilvl w:val="1"/>
          <w:numId w:val="5"/>
        </w:numPr>
        <w:tabs>
          <w:tab w:pos="888" w:val="left" w:leader="none"/>
        </w:tabs>
        <w:spacing w:line="276" w:lineRule="auto" w:before="70" w:after="0"/>
        <w:ind w:left="820" w:right="625" w:hanging="360"/>
        <w:jc w:val="left"/>
        <w:rPr>
          <w:sz w:val="24"/>
        </w:rPr>
      </w:pPr>
      <w:r>
        <w:rPr>
          <w:sz w:val="24"/>
        </w:rPr>
        <w:t>En caso de ser víctima de violencia en la relación de pareja sé a dónde acudir.</w:t>
      </w:r>
    </w:p>
    <w:p>
      <w:pPr>
        <w:pStyle w:val="BodyText"/>
        <w:spacing w:before="9"/>
        <w:rPr>
          <w:sz w:val="27"/>
        </w:rPr>
      </w:pPr>
    </w:p>
    <w:p>
      <w:pPr>
        <w:pStyle w:val="ListParagraph"/>
        <w:numPr>
          <w:ilvl w:val="2"/>
          <w:numId w:val="5"/>
        </w:numPr>
        <w:tabs>
          <w:tab w:pos="1181" w:val="left" w:leader="none"/>
          <w:tab w:pos="8313" w:val="left" w:leader="none"/>
        </w:tabs>
        <w:spacing w:line="240" w:lineRule="auto" w:before="0" w:after="0"/>
        <w:ind w:left="1180" w:right="0" w:hanging="360"/>
        <w:jc w:val="left"/>
        <w:rPr>
          <w:sz w:val="24"/>
        </w:rPr>
      </w:pPr>
      <w:r>
        <w:rPr>
          <w:sz w:val="24"/>
        </w:rPr>
        <w:t>Me</w:t>
        <w:tab/>
        <w:t>dirigiría</w:t>
      </w:r>
    </w:p>
    <w:p>
      <w:pPr>
        <w:pStyle w:val="BodyText"/>
        <w:tabs>
          <w:tab w:pos="8907" w:val="left" w:leader="none"/>
        </w:tabs>
        <w:spacing w:before="41"/>
        <w:ind w:left="1180"/>
      </w:pPr>
      <w:r>
        <w:rPr/>
        <w:t>a:</w:t>
      </w:r>
      <w:r>
        <w:rPr>
          <w:u w:val="single"/>
        </w:rPr>
        <w:t> </w:t>
        <w:tab/>
      </w:r>
    </w:p>
    <w:p>
      <w:pPr>
        <w:spacing w:after="0"/>
        <w:sectPr>
          <w:pgSz w:w="12240" w:h="15840"/>
          <w:pgMar w:header="0" w:footer="1014" w:top="1380" w:bottom="1200" w:left="1700" w:right="820"/>
        </w:sectPr>
      </w:pPr>
    </w:p>
    <w:p>
      <w:pPr>
        <w:pStyle w:val="Heading1"/>
        <w:spacing w:before="56"/>
        <w:ind w:left="220"/>
        <w:jc w:val="left"/>
      </w:pPr>
      <w:r>
        <w:rPr/>
        <w:pict>
          <v:shape style="position:absolute;margin-left:67.080002pt;margin-top:693.455994pt;width:526.450pt;height:69.05pt;mso-position-horizontal-relative:page;mso-position-vertical-relative:page;z-index:-109168" type="#_x0000_t202" filled="false" stroked="false">
            <v:textbox inset="0,0,0,0">
              <w:txbxContent>
                <w:p>
                  <w:pPr>
                    <w:pStyle w:val="BodyText"/>
                    <w:rPr>
                      <w:b/>
                      <w:sz w:val="22"/>
                    </w:rPr>
                  </w:pPr>
                </w:p>
                <w:p>
                  <w:pPr>
                    <w:pStyle w:val="BodyText"/>
                    <w:rPr>
                      <w:b/>
                      <w:sz w:val="22"/>
                    </w:rPr>
                  </w:pPr>
                </w:p>
                <w:p>
                  <w:pPr>
                    <w:pStyle w:val="BodyText"/>
                    <w:spacing w:before="11"/>
                    <w:rPr>
                      <w:b/>
                      <w:sz w:val="17"/>
                    </w:rPr>
                  </w:pPr>
                </w:p>
                <w:p>
                  <w:pPr>
                    <w:spacing w:before="0"/>
                    <w:ind w:left="0" w:right="1063" w:firstLine="0"/>
                    <w:jc w:val="right"/>
                    <w:rPr>
                      <w:rFonts w:ascii="Calibri"/>
                      <w:sz w:val="22"/>
                    </w:rPr>
                  </w:pPr>
                  <w:r>
                    <w:rPr>
                      <w:rFonts w:ascii="Calibri"/>
                      <w:sz w:val="22"/>
                    </w:rPr>
                    <w:t>47</w:t>
                  </w:r>
                </w:p>
              </w:txbxContent>
            </v:textbox>
            <w10:wrap type="none"/>
          </v:shape>
        </w:pict>
      </w:r>
      <w:bookmarkStart w:name="_bookmark29" w:id="33"/>
      <w:bookmarkEnd w:id="33"/>
      <w:r>
        <w:rPr>
          <w:b w:val="0"/>
        </w:rPr>
      </w:r>
      <w:r>
        <w:rPr>
          <w:color w:val="365F91"/>
        </w:rPr>
        <w:t>Anexo 2. Cartas descriptivas de las sesiones-taller.</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10"/>
        </w:r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6"/>
        <w:gridCol w:w="2776"/>
      </w:tblGrid>
      <w:tr>
        <w:trPr>
          <w:trHeight w:val="490" w:hRule="exact"/>
        </w:trPr>
        <w:tc>
          <w:tcPr>
            <w:tcW w:w="2655" w:type="dxa"/>
            <w:shd w:val="clear" w:color="auto" w:fill="DFD7E8"/>
          </w:tcPr>
          <w:p>
            <w:pPr>
              <w:pStyle w:val="TableParagraph"/>
              <w:spacing w:line="260" w:lineRule="exact"/>
              <w:ind w:left="98"/>
              <w:rPr>
                <w:i/>
                <w:sz w:val="24"/>
              </w:rPr>
            </w:pPr>
            <w:r>
              <w:rPr>
                <w:b/>
                <w:i/>
                <w:sz w:val="24"/>
              </w:rPr>
              <w:t>Número de sesión: </w:t>
            </w:r>
            <w:r>
              <w:rPr>
                <w:i/>
                <w:sz w:val="24"/>
              </w:rPr>
              <w:t>1</w:t>
            </w:r>
          </w:p>
        </w:tc>
        <w:tc>
          <w:tcPr>
            <w:tcW w:w="3061" w:type="dxa"/>
            <w:tcBorders>
              <w:top w:val="nil"/>
              <w:right w:val="nil"/>
            </w:tcBorders>
          </w:tcPr>
          <w:p>
            <w:pPr/>
          </w:p>
        </w:tc>
        <w:tc>
          <w:tcPr>
            <w:tcW w:w="2056" w:type="dxa"/>
            <w:tcBorders>
              <w:top w:val="nil"/>
              <w:left w:val="nil"/>
              <w:right w:val="single" w:sz="9" w:space="0" w:color="FFFFFF"/>
            </w:tcBorders>
          </w:tcPr>
          <w:p>
            <w:pPr/>
          </w:p>
        </w:tc>
        <w:tc>
          <w:tcPr>
            <w:tcW w:w="2776" w:type="dxa"/>
            <w:tcBorders>
              <w:top w:val="nil"/>
              <w:left w:val="single" w:sz="9" w:space="0" w:color="FFFFFF"/>
              <w:right w:val="nil"/>
            </w:tcBorders>
          </w:tcPr>
          <w:p>
            <w:pPr/>
          </w:p>
        </w:tc>
      </w:tr>
      <w:tr>
        <w:trPr>
          <w:trHeight w:val="572" w:hRule="exact"/>
        </w:trPr>
        <w:tc>
          <w:tcPr>
            <w:tcW w:w="2655" w:type="dxa"/>
            <w:shd w:val="clear" w:color="auto" w:fill="DFD7E8"/>
          </w:tcPr>
          <w:p>
            <w:pPr>
              <w:pStyle w:val="TableParagraph"/>
              <w:spacing w:line="272" w:lineRule="exact"/>
              <w:ind w:left="98"/>
              <w:rPr>
                <w:sz w:val="24"/>
              </w:rPr>
            </w:pPr>
            <w:r>
              <w:rPr>
                <w:b/>
                <w:i/>
                <w:sz w:val="24"/>
              </w:rPr>
              <w:t>Nombre: </w:t>
            </w:r>
            <w:r>
              <w:rPr>
                <w:sz w:val="24"/>
              </w:rPr>
              <w:t>Telaraña</w:t>
            </w:r>
          </w:p>
        </w:tc>
        <w:tc>
          <w:tcPr>
            <w:tcW w:w="3061" w:type="dxa"/>
          </w:tcPr>
          <w:p>
            <w:pPr>
              <w:pStyle w:val="TableParagraph"/>
              <w:spacing w:line="272" w:lineRule="exact"/>
              <w:ind w:left="98"/>
              <w:rPr>
                <w:sz w:val="24"/>
              </w:rPr>
            </w:pPr>
            <w:r>
              <w:rPr>
                <w:b/>
                <w:i/>
                <w:sz w:val="24"/>
              </w:rPr>
              <w:t>Tiempo: </w:t>
            </w:r>
            <w:r>
              <w:rPr>
                <w:sz w:val="24"/>
              </w:rPr>
              <w:t>25 a 30 minutos</w:t>
            </w:r>
          </w:p>
        </w:tc>
        <w:tc>
          <w:tcPr>
            <w:tcW w:w="4832" w:type="dxa"/>
            <w:gridSpan w:val="2"/>
            <w:shd w:val="clear" w:color="auto" w:fill="DFD7E8"/>
          </w:tcPr>
          <w:p>
            <w:pPr>
              <w:pStyle w:val="TableParagraph"/>
              <w:ind w:left="98" w:right="118"/>
              <w:rPr>
                <w:sz w:val="24"/>
              </w:rPr>
            </w:pPr>
            <w:r>
              <w:rPr>
                <w:b/>
                <w:i/>
                <w:sz w:val="24"/>
              </w:rPr>
              <w:t>Materiales: </w:t>
            </w:r>
            <w:r>
              <w:rPr>
                <w:sz w:val="24"/>
              </w:rPr>
              <w:t>Una bola de estambre, un aslón amplio y bien iluminado</w:t>
            </w:r>
          </w:p>
        </w:tc>
      </w:tr>
      <w:tr>
        <w:trPr>
          <w:trHeight w:val="710" w:hRule="exact"/>
        </w:trPr>
        <w:tc>
          <w:tcPr>
            <w:tcW w:w="7771" w:type="dxa"/>
            <w:gridSpan w:val="3"/>
            <w:shd w:val="clear" w:color="auto" w:fill="DFD7E8"/>
          </w:tcPr>
          <w:p>
            <w:pPr>
              <w:pStyle w:val="TableParagraph"/>
              <w:ind w:left="98" w:right="230"/>
              <w:rPr>
                <w:sz w:val="24"/>
              </w:rPr>
            </w:pPr>
            <w:r>
              <w:rPr>
                <w:b/>
                <w:i/>
                <w:sz w:val="24"/>
              </w:rPr>
              <w:t>Objetivo: </w:t>
            </w:r>
            <w:r>
              <w:rPr>
                <w:sz w:val="24"/>
              </w:rPr>
              <w:t>Presentar al grupo y facilitar su integración</w:t>
            </w:r>
          </w:p>
        </w:tc>
        <w:tc>
          <w:tcPr>
            <w:tcW w:w="2776" w:type="dxa"/>
            <w:shd w:val="clear" w:color="auto" w:fill="DFD7E8"/>
          </w:tcPr>
          <w:p>
            <w:pPr>
              <w:pStyle w:val="TableParagraph"/>
              <w:ind w:left="99" w:right="250"/>
              <w:rPr>
                <w:sz w:val="24"/>
              </w:rPr>
            </w:pPr>
            <w:r>
              <w:rPr>
                <w:b/>
                <w:i/>
                <w:sz w:val="24"/>
              </w:rPr>
              <w:t>No. De personas: </w:t>
            </w:r>
            <w:r>
              <w:rPr>
                <w:sz w:val="24"/>
              </w:rPr>
              <w:t>20- 25</w:t>
            </w:r>
          </w:p>
        </w:tc>
      </w:tr>
      <w:tr>
        <w:trPr>
          <w:trHeight w:val="3327" w:hRule="exact"/>
        </w:trPr>
        <w:tc>
          <w:tcPr>
            <w:tcW w:w="10548" w:type="dxa"/>
            <w:gridSpan w:val="4"/>
            <w:tcBorders>
              <w:bottom w:val="single" w:sz="4" w:space="0" w:color="000000"/>
            </w:tcBorders>
            <w:shd w:val="clear" w:color="auto" w:fill="DFD7E8"/>
          </w:tcPr>
          <w:p>
            <w:pPr>
              <w:pStyle w:val="TableParagraph"/>
              <w:spacing w:line="360" w:lineRule="auto"/>
              <w:ind w:left="98" w:right="143"/>
              <w:rPr>
                <w:sz w:val="24"/>
              </w:rPr>
            </w:pPr>
            <w:r>
              <w:rPr>
                <w:sz w:val="24"/>
              </w:rPr>
              <w:t>Se conforma al grupo en forma circular, a continuación se le anuda al dedo de uno de los participantes la punta del estambre y se le pide que diga su nombre, qué ingeniería estudia y qué espera del taller, aunado a ello se le pide que digan un gusto particular con el que se les puede identificar fácilmente. Se le pide que lance la bola de estambre a la siguiente persona, la que él decida, esta tiene que realizar las mismas acciones. Una vez que se agote la extensión de la bola de estambre la última persona tiene que comenzar a enrollar la bola de estambre caminando hacia donde se encuentra la persona que tiene la siguiente “estación” del estambre</w:t>
            </w:r>
            <w:r>
              <w:rPr>
                <w:spacing w:val="-31"/>
                <w:sz w:val="24"/>
              </w:rPr>
              <w:t> </w:t>
            </w:r>
            <w:r>
              <w:rPr>
                <w:sz w:val="24"/>
              </w:rPr>
              <w:t>y dirá la información de esta</w:t>
            </w:r>
            <w:r>
              <w:rPr>
                <w:spacing w:val="-13"/>
                <w:sz w:val="24"/>
              </w:rPr>
              <w:t> </w:t>
            </w:r>
            <w:r>
              <w:rPr>
                <w:sz w:val="24"/>
              </w:rPr>
              <w:t>persona.</w:t>
            </w:r>
          </w:p>
        </w:tc>
      </w:tr>
      <w:tr>
        <w:trPr>
          <w:trHeight w:val="1396"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1125" w:hRule="exact"/>
        </w:trPr>
        <w:tc>
          <w:tcPr>
            <w:tcW w:w="2655" w:type="dxa"/>
            <w:shd w:val="clear" w:color="auto" w:fill="DFD7E8"/>
          </w:tcPr>
          <w:p>
            <w:pPr>
              <w:pStyle w:val="TableParagraph"/>
              <w:spacing w:line="273" w:lineRule="exact"/>
              <w:ind w:left="98"/>
              <w:rPr>
                <w:sz w:val="24"/>
              </w:rPr>
            </w:pPr>
            <w:r>
              <w:rPr>
                <w:b/>
                <w:i/>
                <w:sz w:val="24"/>
              </w:rPr>
              <w:t>Nombre: </w:t>
            </w:r>
            <w:r>
              <w:rPr>
                <w:sz w:val="24"/>
              </w:rPr>
              <w:t>¿Quién soy?</w:t>
            </w:r>
          </w:p>
          <w:p>
            <w:pPr>
              <w:pStyle w:val="TableParagraph"/>
              <w:ind w:left="98" w:right="369"/>
              <w:rPr>
                <w:sz w:val="24"/>
              </w:rPr>
            </w:pPr>
            <w:r>
              <w:rPr>
                <w:sz w:val="24"/>
              </w:rPr>
              <w:t>¿Por qué soy lo que soy?</w:t>
            </w:r>
          </w:p>
        </w:tc>
        <w:tc>
          <w:tcPr>
            <w:tcW w:w="3061" w:type="dxa"/>
          </w:tcPr>
          <w:p>
            <w:pPr>
              <w:pStyle w:val="TableParagraph"/>
              <w:spacing w:line="273" w:lineRule="exact"/>
              <w:ind w:left="98"/>
              <w:rPr>
                <w:sz w:val="24"/>
              </w:rPr>
            </w:pPr>
            <w:r>
              <w:rPr>
                <w:b/>
                <w:i/>
                <w:sz w:val="24"/>
              </w:rPr>
              <w:t>Tiempo: </w:t>
            </w:r>
            <w:r>
              <w:rPr>
                <w:sz w:val="24"/>
              </w:rPr>
              <w:t>30 minutos</w:t>
            </w:r>
          </w:p>
        </w:tc>
        <w:tc>
          <w:tcPr>
            <w:tcW w:w="4832" w:type="dxa"/>
            <w:gridSpan w:val="2"/>
            <w:shd w:val="clear" w:color="auto" w:fill="DFD7E8"/>
          </w:tcPr>
          <w:p>
            <w:pPr>
              <w:pStyle w:val="TableParagraph"/>
              <w:ind w:left="98" w:right="118"/>
              <w:rPr>
                <w:sz w:val="24"/>
              </w:rPr>
            </w:pPr>
            <w:r>
              <w:rPr>
                <w:b/>
                <w:i/>
                <w:sz w:val="24"/>
              </w:rPr>
              <w:t>Materiales: </w:t>
            </w:r>
            <w:r>
              <w:rPr>
                <w:sz w:val="24"/>
              </w:rPr>
              <w:t>Un aula amplia y bien iluminada, una hoja por cada participante y u lápiz por participante, rotafolio y plumones</w:t>
            </w:r>
          </w:p>
        </w:tc>
      </w:tr>
      <w:tr>
        <w:trPr>
          <w:trHeight w:val="847" w:hRule="exact"/>
        </w:trPr>
        <w:tc>
          <w:tcPr>
            <w:tcW w:w="7771" w:type="dxa"/>
            <w:gridSpan w:val="3"/>
            <w:shd w:val="clear" w:color="auto" w:fill="DFD7E8"/>
          </w:tcPr>
          <w:p>
            <w:pPr>
              <w:pStyle w:val="TableParagraph"/>
              <w:spacing w:line="360" w:lineRule="auto"/>
              <w:ind w:left="98" w:right="230"/>
              <w:rPr>
                <w:sz w:val="24"/>
              </w:rPr>
            </w:pPr>
            <w:r>
              <w:rPr>
                <w:b/>
                <w:i/>
                <w:sz w:val="24"/>
              </w:rPr>
              <w:t>Objetivo: </w:t>
            </w:r>
            <w:r>
              <w:rPr>
                <w:sz w:val="24"/>
              </w:rPr>
              <w:t>Definir la percepción de los participantes respecto a su sexo y sus prácticas genéricas</w:t>
            </w:r>
          </w:p>
        </w:tc>
        <w:tc>
          <w:tcPr>
            <w:tcW w:w="2776" w:type="dxa"/>
            <w:shd w:val="clear" w:color="auto" w:fill="DFD7E8"/>
          </w:tcPr>
          <w:p>
            <w:pPr>
              <w:pStyle w:val="TableParagraph"/>
              <w:ind w:left="99" w:right="250"/>
              <w:rPr>
                <w:sz w:val="24"/>
              </w:rPr>
            </w:pPr>
            <w:r>
              <w:rPr>
                <w:b/>
                <w:i/>
                <w:sz w:val="24"/>
              </w:rPr>
              <w:t>No. De personas: </w:t>
            </w:r>
            <w:r>
              <w:rPr>
                <w:sz w:val="24"/>
              </w:rPr>
              <w:t>20- 25</w:t>
            </w:r>
          </w:p>
        </w:tc>
      </w:tr>
      <w:tr>
        <w:trPr>
          <w:trHeight w:val="1946" w:hRule="exact"/>
        </w:trPr>
        <w:tc>
          <w:tcPr>
            <w:tcW w:w="10548" w:type="dxa"/>
            <w:gridSpan w:val="4"/>
            <w:tcBorders>
              <w:bottom w:val="single" w:sz="4" w:space="0" w:color="000000"/>
            </w:tcBorders>
            <w:shd w:val="clear" w:color="auto" w:fill="DFD7E8"/>
          </w:tcPr>
          <w:p>
            <w:pPr>
              <w:pStyle w:val="TableParagraph"/>
              <w:ind w:left="98" w:right="284"/>
              <w:rPr>
                <w:sz w:val="24"/>
              </w:rPr>
            </w:pPr>
            <w:r>
              <w:rPr>
                <w:sz w:val="24"/>
              </w:rPr>
              <w:t>Se les pide a los participantes que en una hoja de papel escriban yo seguido de su nombre, en seguida la frase soy hombre porque… y que escriban de diez a quince rasgos que los ellos perciban que les definan. A continuación se les pide que compartan su “definición” propia y se anotan en un rotafolio las palabras claves después se realizan preguntas a los participantes sobre si realmente esas palabras definen por completo su personalidad, se elaboran preguntas sobre rasgos no mencionados y que pudieran ser considerados como “femeninos” ¿ningún hombre puede tener rasgos femeninos? Se buscan ejemplos al respecto.</w:t>
            </w:r>
          </w:p>
        </w:tc>
      </w:tr>
      <w:tr>
        <w:trPr>
          <w:trHeight w:val="1396"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572" w:hRule="exact"/>
        </w:trPr>
        <w:tc>
          <w:tcPr>
            <w:tcW w:w="2655" w:type="dxa"/>
            <w:shd w:val="clear" w:color="auto" w:fill="DFD7E8"/>
          </w:tcPr>
          <w:p>
            <w:pPr>
              <w:pStyle w:val="TableParagraph"/>
              <w:ind w:left="98" w:right="783"/>
              <w:rPr>
                <w:sz w:val="24"/>
              </w:rPr>
            </w:pPr>
            <w:r>
              <w:rPr>
                <w:b/>
                <w:i/>
                <w:sz w:val="24"/>
              </w:rPr>
              <w:t>Nombre: </w:t>
            </w:r>
            <w:r>
              <w:rPr>
                <w:sz w:val="24"/>
              </w:rPr>
              <w:t>Figura Humana</w:t>
            </w:r>
          </w:p>
        </w:tc>
        <w:tc>
          <w:tcPr>
            <w:tcW w:w="3061" w:type="dxa"/>
          </w:tcPr>
          <w:p>
            <w:pPr>
              <w:pStyle w:val="TableParagraph"/>
              <w:spacing w:line="273" w:lineRule="exact"/>
              <w:ind w:left="98"/>
              <w:rPr>
                <w:sz w:val="24"/>
              </w:rPr>
            </w:pPr>
            <w:r>
              <w:rPr>
                <w:b/>
                <w:i/>
                <w:sz w:val="24"/>
              </w:rPr>
              <w:t>Tiempo: </w:t>
            </w:r>
            <w:r>
              <w:rPr>
                <w:sz w:val="24"/>
              </w:rPr>
              <w:t>45-60 minutos.</w:t>
            </w:r>
          </w:p>
        </w:tc>
        <w:tc>
          <w:tcPr>
            <w:tcW w:w="4832" w:type="dxa"/>
            <w:gridSpan w:val="2"/>
            <w:shd w:val="clear" w:color="auto" w:fill="DFD7E8"/>
          </w:tcPr>
          <w:p>
            <w:pPr>
              <w:pStyle w:val="TableParagraph"/>
              <w:ind w:left="98" w:right="185"/>
              <w:rPr>
                <w:sz w:val="24"/>
              </w:rPr>
            </w:pPr>
            <w:r>
              <w:rPr>
                <w:b/>
                <w:i/>
                <w:sz w:val="24"/>
              </w:rPr>
              <w:t>Materiales: </w:t>
            </w:r>
            <w:r>
              <w:rPr>
                <w:sz w:val="24"/>
              </w:rPr>
              <w:t>Dos pliegos de papel mural por cada cuatro personas, gises, crayolas,</w:t>
            </w:r>
          </w:p>
        </w:tc>
      </w:tr>
    </w:tbl>
    <w:p>
      <w:pPr>
        <w:spacing w:after="0"/>
        <w:rPr>
          <w:sz w:val="24"/>
        </w:rPr>
        <w:sectPr>
          <w:footerReference w:type="default" r:id="rId37"/>
          <w:pgSz w:w="12240" w:h="15840"/>
          <w:pgMar w:footer="0" w:header="0" w:top="1380" w:bottom="0" w:left="1220" w:right="240"/>
        </w:sect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7"/>
        <w:gridCol w:w="2775"/>
      </w:tblGrid>
      <w:tr>
        <w:trPr>
          <w:trHeight w:val="456" w:hRule="exact"/>
        </w:trPr>
        <w:tc>
          <w:tcPr>
            <w:tcW w:w="2655" w:type="dxa"/>
            <w:shd w:val="clear" w:color="auto" w:fill="DFD7E8"/>
          </w:tcPr>
          <w:p>
            <w:pPr/>
          </w:p>
        </w:tc>
        <w:tc>
          <w:tcPr>
            <w:tcW w:w="3061" w:type="dxa"/>
          </w:tcPr>
          <w:p>
            <w:pPr/>
          </w:p>
        </w:tc>
        <w:tc>
          <w:tcPr>
            <w:tcW w:w="4832" w:type="dxa"/>
            <w:gridSpan w:val="2"/>
            <w:shd w:val="clear" w:color="auto" w:fill="DFD7E8"/>
          </w:tcPr>
          <w:p>
            <w:pPr>
              <w:pStyle w:val="TableParagraph"/>
              <w:spacing w:line="272" w:lineRule="exact"/>
              <w:ind w:left="98" w:right="118"/>
              <w:rPr>
                <w:sz w:val="24"/>
              </w:rPr>
            </w:pPr>
            <w:r>
              <w:rPr>
                <w:sz w:val="24"/>
              </w:rPr>
              <w:t>plumones.</w:t>
            </w:r>
          </w:p>
        </w:tc>
      </w:tr>
      <w:tr>
        <w:trPr>
          <w:trHeight w:val="1261" w:hRule="exact"/>
        </w:trPr>
        <w:tc>
          <w:tcPr>
            <w:tcW w:w="7773" w:type="dxa"/>
            <w:gridSpan w:val="3"/>
            <w:shd w:val="clear" w:color="auto" w:fill="DFD7E8"/>
          </w:tcPr>
          <w:p>
            <w:pPr>
              <w:pStyle w:val="TableParagraph"/>
              <w:spacing w:line="360" w:lineRule="auto"/>
              <w:ind w:left="98" w:right="125"/>
              <w:rPr>
                <w:sz w:val="24"/>
              </w:rPr>
            </w:pPr>
            <w:r>
              <w:rPr>
                <w:b/>
                <w:i/>
                <w:sz w:val="24"/>
              </w:rPr>
              <w:t>Objetivo: </w:t>
            </w:r>
            <w:r>
              <w:rPr>
                <w:sz w:val="24"/>
              </w:rPr>
              <w:t>Visualizar la diferencia de las personas en base a su sexo y la atribución de cualidades, comportamientos, vestimentas, etcétera. [género] en base al mismo.</w:t>
            </w:r>
          </w:p>
        </w:tc>
        <w:tc>
          <w:tcPr>
            <w:tcW w:w="2775" w:type="dxa"/>
            <w:shd w:val="clear" w:color="auto" w:fill="DFD7E8"/>
          </w:tcPr>
          <w:p>
            <w:pPr>
              <w:pStyle w:val="TableParagraph"/>
              <w:ind w:left="98" w:right="250"/>
              <w:rPr>
                <w:sz w:val="24"/>
              </w:rPr>
            </w:pPr>
            <w:r>
              <w:rPr>
                <w:b/>
                <w:i/>
                <w:sz w:val="24"/>
              </w:rPr>
              <w:t>No. De personas: </w:t>
            </w:r>
            <w:r>
              <w:rPr>
                <w:sz w:val="24"/>
              </w:rPr>
              <w:t>20- 25</w:t>
            </w:r>
          </w:p>
        </w:tc>
      </w:tr>
      <w:tr>
        <w:trPr>
          <w:trHeight w:val="4017" w:hRule="exact"/>
        </w:trPr>
        <w:tc>
          <w:tcPr>
            <w:tcW w:w="10548" w:type="dxa"/>
            <w:gridSpan w:val="4"/>
            <w:tcBorders>
              <w:bottom w:val="single" w:sz="4" w:space="0" w:color="000000"/>
            </w:tcBorders>
            <w:shd w:val="clear" w:color="auto" w:fill="DFD7E8"/>
          </w:tcPr>
          <w:p>
            <w:pPr>
              <w:pStyle w:val="TableParagraph"/>
              <w:spacing w:line="360" w:lineRule="auto"/>
              <w:ind w:left="98" w:right="109"/>
              <w:rPr>
                <w:sz w:val="24"/>
              </w:rPr>
            </w:pPr>
            <w:r>
              <w:rPr>
                <w:sz w:val="24"/>
              </w:rPr>
              <w:t>Se divide al grupo en subgrupos de 3 a 4 personas. Se les pide a cada subgrupo que dibujen dos siluetas humanas, una vez que las hayan realizado se les dice que cada silueta representa</w:t>
            </w:r>
            <w:r>
              <w:rPr>
                <w:spacing w:val="-35"/>
                <w:sz w:val="24"/>
              </w:rPr>
              <w:t> </w:t>
            </w:r>
            <w:r>
              <w:rPr>
                <w:sz w:val="24"/>
              </w:rPr>
              <w:t>a un hombre y a una mujer. Se les solicita que “decoren” a la figura humana de acuerdo a sus características de mujer o de hombre así como que coloquen frases, rasgos afectivos y de personalidad. Una vez que todos los equipos hayan concluido se les pide que expongan su silueta, los adornos y los atributos que les asignaron. Se pregunta el motivo del porqué esos rasgos y no</w:t>
            </w:r>
            <w:r>
              <w:rPr>
                <w:spacing w:val="-3"/>
                <w:sz w:val="24"/>
              </w:rPr>
              <w:t> </w:t>
            </w:r>
            <w:r>
              <w:rPr>
                <w:sz w:val="24"/>
              </w:rPr>
              <w:t>otros.</w:t>
            </w:r>
          </w:p>
          <w:p>
            <w:pPr>
              <w:pStyle w:val="TableParagraph"/>
              <w:ind w:left="98" w:right="310"/>
              <w:rPr>
                <w:sz w:val="24"/>
              </w:rPr>
            </w:pPr>
            <w:r>
              <w:rPr>
                <w:sz w:val="24"/>
              </w:rPr>
              <w:t>¿Qué tan exclusivas son las prendas, los accesorios? ¿Qué tan femeninos o masculinos son algunos rasgos? Se propicia un espacio para discusión. Se realiza una pequeña introducción a los conceptos de sexo y de género y se empieza a abordar el impacto que tiene en las relaciones sociales.</w:t>
            </w:r>
          </w:p>
        </w:tc>
      </w:tr>
      <w:tr>
        <w:trPr>
          <w:trHeight w:val="1992" w:hRule="exact"/>
        </w:trPr>
        <w:tc>
          <w:tcPr>
            <w:tcW w:w="10548" w:type="dxa"/>
            <w:gridSpan w:val="4"/>
            <w:tcBorders>
              <w:top w:val="single" w:sz="4" w:space="0" w:color="000000"/>
            </w:tcBorders>
            <w:shd w:val="clear" w:color="auto" w:fill="DFD7E8"/>
          </w:tcPr>
          <w:p>
            <w:pPr>
              <w:pStyle w:val="TableParagraph"/>
              <w:spacing w:line="274" w:lineRule="exact"/>
              <w:ind w:left="98" w:right="284"/>
              <w:rPr>
                <w:b/>
                <w:i/>
                <w:sz w:val="24"/>
              </w:rPr>
            </w:pPr>
            <w:r>
              <w:rPr>
                <w:b/>
                <w:i/>
                <w:sz w:val="24"/>
              </w:rPr>
              <w:t>Observaciones:</w:t>
            </w:r>
          </w:p>
        </w:tc>
      </w:tr>
    </w:tbl>
    <w:p>
      <w:pPr>
        <w:pStyle w:val="BodyText"/>
        <w:rPr>
          <w:b/>
          <w:sz w:val="20"/>
        </w:rPr>
      </w:pPr>
    </w:p>
    <w:p>
      <w:pPr>
        <w:pStyle w:val="BodyText"/>
        <w:spacing w:before="10"/>
        <w:rPr>
          <w:b/>
          <w:sz w:val="25"/>
        </w:r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6"/>
        <w:gridCol w:w="2776"/>
      </w:tblGrid>
      <w:tr>
        <w:trPr>
          <w:trHeight w:val="491" w:hRule="exact"/>
        </w:trPr>
        <w:tc>
          <w:tcPr>
            <w:tcW w:w="2655" w:type="dxa"/>
            <w:shd w:val="clear" w:color="auto" w:fill="DFD7E8"/>
          </w:tcPr>
          <w:p>
            <w:pPr>
              <w:pStyle w:val="TableParagraph"/>
              <w:spacing w:line="260" w:lineRule="exact"/>
              <w:ind w:left="98"/>
              <w:rPr>
                <w:i/>
                <w:sz w:val="24"/>
              </w:rPr>
            </w:pPr>
            <w:r>
              <w:rPr>
                <w:b/>
                <w:i/>
                <w:sz w:val="24"/>
              </w:rPr>
              <w:t>Número de sesión: </w:t>
            </w:r>
            <w:r>
              <w:rPr>
                <w:i/>
                <w:sz w:val="24"/>
              </w:rPr>
              <w:t>2</w:t>
            </w:r>
          </w:p>
        </w:tc>
        <w:tc>
          <w:tcPr>
            <w:tcW w:w="3061" w:type="dxa"/>
            <w:tcBorders>
              <w:top w:val="nil"/>
              <w:right w:val="nil"/>
            </w:tcBorders>
          </w:tcPr>
          <w:p>
            <w:pPr/>
          </w:p>
        </w:tc>
        <w:tc>
          <w:tcPr>
            <w:tcW w:w="2056" w:type="dxa"/>
            <w:tcBorders>
              <w:top w:val="nil"/>
              <w:left w:val="nil"/>
              <w:right w:val="single" w:sz="9" w:space="0" w:color="FFFFFF"/>
            </w:tcBorders>
          </w:tcPr>
          <w:p>
            <w:pPr/>
          </w:p>
        </w:tc>
        <w:tc>
          <w:tcPr>
            <w:tcW w:w="2776" w:type="dxa"/>
            <w:tcBorders>
              <w:top w:val="nil"/>
              <w:left w:val="single" w:sz="9" w:space="0" w:color="FFFFFF"/>
              <w:right w:val="nil"/>
            </w:tcBorders>
          </w:tcPr>
          <w:p>
            <w:pPr/>
          </w:p>
        </w:tc>
      </w:tr>
      <w:tr>
        <w:trPr>
          <w:trHeight w:val="572" w:hRule="exact"/>
        </w:trPr>
        <w:tc>
          <w:tcPr>
            <w:tcW w:w="2655" w:type="dxa"/>
            <w:shd w:val="clear" w:color="auto" w:fill="DFD7E8"/>
          </w:tcPr>
          <w:p>
            <w:pPr>
              <w:pStyle w:val="TableParagraph"/>
              <w:ind w:left="98" w:right="169"/>
              <w:rPr>
                <w:sz w:val="24"/>
              </w:rPr>
            </w:pPr>
            <w:r>
              <w:rPr>
                <w:b/>
                <w:i/>
                <w:sz w:val="24"/>
              </w:rPr>
              <w:t>Nombre: </w:t>
            </w:r>
            <w:r>
              <w:rPr>
                <w:sz w:val="24"/>
              </w:rPr>
              <w:t>Cuando era niño me dijeron que…</w:t>
            </w:r>
          </w:p>
        </w:tc>
        <w:tc>
          <w:tcPr>
            <w:tcW w:w="3061" w:type="dxa"/>
          </w:tcPr>
          <w:p>
            <w:pPr>
              <w:pStyle w:val="TableParagraph"/>
              <w:spacing w:line="273" w:lineRule="exact"/>
              <w:ind w:left="98"/>
              <w:rPr>
                <w:sz w:val="24"/>
              </w:rPr>
            </w:pPr>
            <w:r>
              <w:rPr>
                <w:b/>
                <w:i/>
                <w:sz w:val="24"/>
              </w:rPr>
              <w:t>Tiempo: </w:t>
            </w:r>
            <w:r>
              <w:rPr>
                <w:sz w:val="24"/>
              </w:rPr>
              <w:t>45-60 minutos</w:t>
            </w:r>
          </w:p>
        </w:tc>
        <w:tc>
          <w:tcPr>
            <w:tcW w:w="4832" w:type="dxa"/>
            <w:gridSpan w:val="2"/>
            <w:shd w:val="clear" w:color="auto" w:fill="DFD7E8"/>
          </w:tcPr>
          <w:p>
            <w:pPr>
              <w:pStyle w:val="TableParagraph"/>
              <w:ind w:left="98" w:right="905"/>
              <w:rPr>
                <w:sz w:val="24"/>
              </w:rPr>
            </w:pPr>
            <w:r>
              <w:rPr>
                <w:b/>
                <w:i/>
                <w:sz w:val="24"/>
              </w:rPr>
              <w:t>Materiales: </w:t>
            </w:r>
            <w:r>
              <w:rPr>
                <w:sz w:val="24"/>
              </w:rPr>
              <w:t>Una hoja de papel y un lapicero por cada participante.</w:t>
            </w:r>
          </w:p>
        </w:tc>
      </w:tr>
      <w:tr>
        <w:trPr>
          <w:trHeight w:val="1124" w:hRule="exact"/>
        </w:trPr>
        <w:tc>
          <w:tcPr>
            <w:tcW w:w="7771" w:type="dxa"/>
            <w:gridSpan w:val="3"/>
            <w:shd w:val="clear" w:color="auto" w:fill="DFD7E8"/>
          </w:tcPr>
          <w:p>
            <w:pPr>
              <w:pStyle w:val="TableParagraph"/>
              <w:spacing w:line="360" w:lineRule="auto"/>
              <w:ind w:left="98" w:right="1177"/>
              <w:rPr>
                <w:sz w:val="24"/>
              </w:rPr>
            </w:pPr>
            <w:r>
              <w:rPr>
                <w:b/>
                <w:i/>
                <w:sz w:val="24"/>
              </w:rPr>
              <w:t>Objetivo: </w:t>
            </w:r>
            <w:r>
              <w:rPr>
                <w:sz w:val="24"/>
              </w:rPr>
              <w:t>Visualizar el papel de la socialización dentro de la construcción y la preservación de los estereotipos de género</w:t>
            </w:r>
          </w:p>
        </w:tc>
        <w:tc>
          <w:tcPr>
            <w:tcW w:w="2776" w:type="dxa"/>
            <w:shd w:val="clear" w:color="auto" w:fill="DFD7E8"/>
          </w:tcPr>
          <w:p>
            <w:pPr>
              <w:pStyle w:val="TableParagraph"/>
              <w:ind w:left="99" w:right="250"/>
              <w:rPr>
                <w:sz w:val="24"/>
              </w:rPr>
            </w:pPr>
            <w:r>
              <w:rPr>
                <w:b/>
                <w:i/>
                <w:sz w:val="24"/>
              </w:rPr>
              <w:t>No. De personas: </w:t>
            </w:r>
            <w:r>
              <w:rPr>
                <w:sz w:val="24"/>
              </w:rPr>
              <w:t>20- 25</w:t>
            </w:r>
          </w:p>
        </w:tc>
      </w:tr>
    </w:tbl>
    <w:p>
      <w:pPr>
        <w:spacing w:after="0"/>
        <w:rPr>
          <w:sz w:val="24"/>
        </w:rPr>
        <w:sectPr>
          <w:footerReference w:type="default" r:id="rId38"/>
          <w:pgSz w:w="12240" w:h="15840"/>
          <w:pgMar w:footer="954" w:header="0" w:top="1440" w:bottom="1140" w:left="1220" w:right="240"/>
          <w:pgNumType w:start="48"/>
        </w:sect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7"/>
        <w:gridCol w:w="2775"/>
      </w:tblGrid>
      <w:tr>
        <w:trPr>
          <w:trHeight w:val="4155" w:hRule="exact"/>
        </w:trPr>
        <w:tc>
          <w:tcPr>
            <w:tcW w:w="10548" w:type="dxa"/>
            <w:gridSpan w:val="4"/>
            <w:tcBorders>
              <w:bottom w:val="single" w:sz="4" w:space="0" w:color="000000"/>
            </w:tcBorders>
            <w:shd w:val="clear" w:color="auto" w:fill="DFD7E8"/>
          </w:tcPr>
          <w:p>
            <w:pPr>
              <w:pStyle w:val="TableParagraph"/>
              <w:spacing w:line="360" w:lineRule="auto"/>
              <w:ind w:left="98" w:right="97"/>
              <w:rPr>
                <w:sz w:val="24"/>
              </w:rPr>
            </w:pPr>
            <w:r>
              <w:rPr>
                <w:sz w:val="24"/>
              </w:rPr>
              <w:t>Se les pide a los participantes que en la hoja escriban la frase “cuando era niño me dijeron que los niños…” y completen la frase, así mismo se les pide que completen la frase “cuando era niño me dijeron que los niñas…”. Se les pide a los participantes que expongan las frases que plasmaron y si consideran que son ciertas y ¿por qué? Se hace énfasis en el papel que juega la educación y los reforzamientos que se realizan por otros medios [escuela, medios masivos de comunicación, amigos, etcétera] respecto a estos estereotipos. Se les pide a los participantes que comenten ¿creen que la educación determina sus relaciones sociales? ¿De qué forma puede modificarse esta forma de pensamiento? ¿En qué parte han podido identificar situaciones similares? ¿ellos se han visto en una situación en la que reproduzcan estos discursos? ¿Cómo reaccionaron? ¿Qué hicieron? ¿Cómo podrían evitar estas acciones?</w:t>
            </w:r>
          </w:p>
        </w:tc>
      </w:tr>
      <w:tr>
        <w:trPr>
          <w:trHeight w:val="1394"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850" w:hRule="exact"/>
        </w:trPr>
        <w:tc>
          <w:tcPr>
            <w:tcW w:w="2655" w:type="dxa"/>
            <w:shd w:val="clear" w:color="auto" w:fill="DFD7E8"/>
          </w:tcPr>
          <w:p>
            <w:pPr>
              <w:pStyle w:val="TableParagraph"/>
              <w:ind w:left="98" w:right="396"/>
              <w:rPr>
                <w:sz w:val="24"/>
              </w:rPr>
            </w:pPr>
            <w:r>
              <w:rPr>
                <w:b/>
                <w:i/>
                <w:sz w:val="24"/>
              </w:rPr>
              <w:t>Nombre: </w:t>
            </w:r>
            <w:r>
              <w:rPr>
                <w:sz w:val="24"/>
              </w:rPr>
              <w:t>La pecera del género</w:t>
            </w:r>
          </w:p>
        </w:tc>
        <w:tc>
          <w:tcPr>
            <w:tcW w:w="3061" w:type="dxa"/>
          </w:tcPr>
          <w:p>
            <w:pPr>
              <w:pStyle w:val="TableParagraph"/>
              <w:spacing w:line="274" w:lineRule="exact"/>
              <w:ind w:left="98"/>
              <w:rPr>
                <w:sz w:val="24"/>
              </w:rPr>
            </w:pPr>
            <w:r>
              <w:rPr>
                <w:b/>
                <w:i/>
                <w:sz w:val="24"/>
              </w:rPr>
              <w:t>Tiempo: </w:t>
            </w:r>
            <w:r>
              <w:rPr>
                <w:sz w:val="24"/>
              </w:rPr>
              <w:t>60 minutos</w:t>
            </w:r>
          </w:p>
        </w:tc>
        <w:tc>
          <w:tcPr>
            <w:tcW w:w="4832" w:type="dxa"/>
            <w:gridSpan w:val="2"/>
            <w:shd w:val="clear" w:color="auto" w:fill="DFD7E8"/>
          </w:tcPr>
          <w:p>
            <w:pPr>
              <w:pStyle w:val="TableParagraph"/>
              <w:ind w:left="98" w:right="358"/>
              <w:rPr>
                <w:sz w:val="24"/>
              </w:rPr>
            </w:pPr>
            <w:r>
              <w:rPr>
                <w:b/>
                <w:i/>
                <w:sz w:val="24"/>
              </w:rPr>
              <w:t>Materiales: </w:t>
            </w:r>
            <w:r>
              <w:rPr>
                <w:sz w:val="24"/>
              </w:rPr>
              <w:t>Un salón amplio, un tapete amplio o cobijas en las que se recuesten los participantes.</w:t>
            </w:r>
          </w:p>
        </w:tc>
      </w:tr>
      <w:tr>
        <w:trPr>
          <w:trHeight w:val="1261" w:hRule="exact"/>
        </w:trPr>
        <w:tc>
          <w:tcPr>
            <w:tcW w:w="7773" w:type="dxa"/>
            <w:gridSpan w:val="3"/>
            <w:shd w:val="clear" w:color="auto" w:fill="DFD7E8"/>
          </w:tcPr>
          <w:p>
            <w:pPr>
              <w:pStyle w:val="TableParagraph"/>
              <w:spacing w:line="360" w:lineRule="auto"/>
              <w:ind w:left="98" w:right="164"/>
              <w:rPr>
                <w:sz w:val="24"/>
              </w:rPr>
            </w:pPr>
            <w:r>
              <w:rPr>
                <w:b/>
                <w:i/>
                <w:sz w:val="24"/>
              </w:rPr>
              <w:t>Objetivo: </w:t>
            </w:r>
            <w:r>
              <w:rPr>
                <w:sz w:val="24"/>
              </w:rPr>
              <w:t>Dar a los participantes la oportunidad de hablar ser escuchados respecto a la socialización del género, así como fomentar la sensibilidad, la empatía y el entendimiento pro el género opuesto.</w:t>
            </w:r>
          </w:p>
        </w:tc>
        <w:tc>
          <w:tcPr>
            <w:tcW w:w="2775" w:type="dxa"/>
            <w:shd w:val="clear" w:color="auto" w:fill="DFD7E8"/>
          </w:tcPr>
          <w:p>
            <w:pPr>
              <w:pStyle w:val="TableParagraph"/>
              <w:ind w:left="98" w:right="250"/>
              <w:rPr>
                <w:sz w:val="24"/>
              </w:rPr>
            </w:pPr>
            <w:r>
              <w:rPr>
                <w:b/>
                <w:i/>
                <w:sz w:val="24"/>
              </w:rPr>
              <w:t>No. De personas: </w:t>
            </w:r>
            <w:r>
              <w:rPr>
                <w:sz w:val="24"/>
              </w:rPr>
              <w:t>20- 25</w:t>
            </w:r>
          </w:p>
        </w:tc>
      </w:tr>
      <w:tr>
        <w:trPr>
          <w:trHeight w:val="4156" w:hRule="exact"/>
        </w:trPr>
        <w:tc>
          <w:tcPr>
            <w:tcW w:w="10548" w:type="dxa"/>
            <w:gridSpan w:val="4"/>
            <w:tcBorders>
              <w:bottom w:val="single" w:sz="4" w:space="0" w:color="000000"/>
            </w:tcBorders>
            <w:shd w:val="clear" w:color="auto" w:fill="DFD7E8"/>
          </w:tcPr>
          <w:p>
            <w:pPr>
              <w:pStyle w:val="TableParagraph"/>
              <w:spacing w:line="360" w:lineRule="auto"/>
              <w:ind w:left="98" w:right="108"/>
              <w:rPr>
                <w:sz w:val="24"/>
              </w:rPr>
            </w:pPr>
            <w:r>
              <w:rPr>
                <w:sz w:val="24"/>
              </w:rPr>
              <w:t>Se pide a los participantes que conformen subgrupos de 5 personas. Se les pide que discutan las siguientes preguntas: “¿Qué piensan ustedes que es lo más difícil de ser hombres? ¿Cómo viven la sexualidad los hombres? ¿Qué es lo que menos les gusta de la sexualidad de los hombres? ¿Qué es lo que más les gusta de la sexualidad de los hombres?” una vez que se</w:t>
            </w:r>
            <w:r>
              <w:rPr>
                <w:spacing w:val="-35"/>
                <w:sz w:val="24"/>
              </w:rPr>
              <w:t> </w:t>
            </w:r>
            <w:r>
              <w:rPr>
                <w:sz w:val="24"/>
              </w:rPr>
              <w:t>haya realizado el foro se les pide que lleguen a conclusiones y posteriormente se les pide que discutan las siguientes preguntas: “¿Qué piensan ustedes que es lo más difícil de ser</w:t>
            </w:r>
            <w:r>
              <w:rPr>
                <w:spacing w:val="-24"/>
                <w:sz w:val="24"/>
              </w:rPr>
              <w:t> </w:t>
            </w:r>
            <w:r>
              <w:rPr>
                <w:sz w:val="24"/>
              </w:rPr>
              <w:t>mujeres?</w:t>
            </w:r>
          </w:p>
          <w:p>
            <w:pPr>
              <w:pStyle w:val="TableParagraph"/>
              <w:spacing w:line="360" w:lineRule="auto" w:before="5"/>
              <w:ind w:left="98" w:right="391"/>
              <w:rPr>
                <w:sz w:val="24"/>
              </w:rPr>
            </w:pPr>
            <w:r>
              <w:rPr>
                <w:sz w:val="24"/>
              </w:rPr>
              <w:t>¿Cómo viven la sexualidad las mujeres? ¿Qué es lo que menos les gusta de la sexualidad de las mujeres? ¿Qué es lo que más les gusta de la sexualidad de los hombres?” se les pide que realicen conclusiones. Por último se aborda el papel de la socialización en la construcción diferenciada de las sexualidades y las formas de manifestarse.</w:t>
            </w:r>
          </w:p>
        </w:tc>
      </w:tr>
      <w:tr>
        <w:trPr>
          <w:trHeight w:val="1119"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bl>
    <w:p>
      <w:pPr>
        <w:spacing w:after="0" w:line="272" w:lineRule="exact"/>
        <w:rPr>
          <w:sz w:val="24"/>
        </w:rPr>
        <w:sectPr>
          <w:pgSz w:w="12240" w:h="15840"/>
          <w:pgMar w:header="0" w:footer="954" w:top="1440" w:bottom="1140" w:left="1220" w:right="240"/>
        </w:sectPr>
      </w:pPr>
    </w:p>
    <w:p>
      <w:pPr>
        <w:pStyle w:val="BodyText"/>
        <w:ind w:left="117"/>
        <w:rPr>
          <w:sz w:val="20"/>
        </w:rPr>
      </w:pPr>
      <w:r>
        <w:rPr>
          <w:sz w:val="20"/>
        </w:rPr>
        <w:pict>
          <v:group style="width:528.85pt;height:22.3pt;mso-position-horizontal-relative:char;mso-position-vertical-relative:line" coordorigin="0,0" coordsize="10577,446">
            <v:rect style="position:absolute;left:24;top:10;width:10528;height:406" filled="true" fillcolor="#dfd7e8" stroked="false">
              <v:fill type="solid"/>
            </v:rect>
            <v:rect style="position:absolute;left:123;top:10;width:10331;height:276" filled="true" fillcolor="#dfd7e8" stroked="false">
              <v:fill type="solid"/>
            </v:rect>
            <v:line style="position:absolute" from="5,5" to="10553,5" stroked="true" strokeweight=".48pt" strokecolor="#000000"/>
            <v:line style="position:absolute" from="10553,5" to="10572,5" stroked="true" strokeweight=".48pt" strokecolor="#000000"/>
            <v:line style="position:absolute" from="15,10" to="15,435" stroked="true" strokeweight=".96pt" strokecolor="#8063a1"/>
            <v:rect style="position:absolute;left:24;top:416;width:10528;height:19" filled="true" fillcolor="#8063a1" stroked="false">
              <v:fill type="solid"/>
            </v:rect>
            <v:line style="position:absolute" from="10562,10" to="10562,435" stroked="true" strokeweight=".95996pt" strokecolor="#8063a1"/>
          </v:group>
        </w:pict>
      </w:r>
      <w:r>
        <w:rPr>
          <w:sz w:val="20"/>
        </w:rPr>
      </w:r>
    </w:p>
    <w:p>
      <w:pPr>
        <w:pStyle w:val="BodyText"/>
        <w:rPr>
          <w:b/>
          <w:sz w:val="20"/>
        </w:rPr>
      </w:pPr>
    </w:p>
    <w:p>
      <w:pPr>
        <w:pStyle w:val="BodyText"/>
        <w:spacing w:before="2"/>
        <w:rPr>
          <w:b/>
          <w:sz w:val="23"/>
        </w:rPr>
      </w:pPr>
    </w:p>
    <w:tbl>
      <w:tblPr>
        <w:tblW w:w="0" w:type="auto"/>
        <w:jc w:val="left"/>
        <w:tblInd w:w="12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6"/>
        <w:gridCol w:w="2776"/>
      </w:tblGrid>
      <w:tr>
        <w:trPr>
          <w:trHeight w:val="490" w:hRule="exact"/>
        </w:trPr>
        <w:tc>
          <w:tcPr>
            <w:tcW w:w="2655" w:type="dxa"/>
            <w:shd w:val="clear" w:color="auto" w:fill="DFD7E8"/>
          </w:tcPr>
          <w:p>
            <w:pPr>
              <w:pStyle w:val="TableParagraph"/>
              <w:spacing w:line="260" w:lineRule="exact"/>
              <w:ind w:left="98"/>
              <w:rPr>
                <w:i/>
                <w:sz w:val="24"/>
              </w:rPr>
            </w:pPr>
            <w:r>
              <w:rPr>
                <w:b/>
                <w:i/>
                <w:sz w:val="24"/>
              </w:rPr>
              <w:t>Número de sesión: </w:t>
            </w:r>
            <w:r>
              <w:rPr>
                <w:i/>
                <w:sz w:val="24"/>
              </w:rPr>
              <w:t>3</w:t>
            </w:r>
          </w:p>
        </w:tc>
        <w:tc>
          <w:tcPr>
            <w:tcW w:w="3061" w:type="dxa"/>
            <w:tcBorders>
              <w:top w:val="nil"/>
              <w:right w:val="nil"/>
            </w:tcBorders>
          </w:tcPr>
          <w:p>
            <w:pPr/>
          </w:p>
        </w:tc>
        <w:tc>
          <w:tcPr>
            <w:tcW w:w="2056" w:type="dxa"/>
            <w:tcBorders>
              <w:top w:val="nil"/>
              <w:left w:val="nil"/>
              <w:right w:val="single" w:sz="9" w:space="0" w:color="FFFFFF"/>
            </w:tcBorders>
          </w:tcPr>
          <w:p>
            <w:pPr/>
          </w:p>
        </w:tc>
        <w:tc>
          <w:tcPr>
            <w:tcW w:w="2776" w:type="dxa"/>
            <w:tcBorders>
              <w:top w:val="nil"/>
              <w:left w:val="single" w:sz="9" w:space="0" w:color="FFFFFF"/>
              <w:right w:val="nil"/>
            </w:tcBorders>
          </w:tcPr>
          <w:p>
            <w:pPr/>
          </w:p>
        </w:tc>
      </w:tr>
      <w:tr>
        <w:trPr>
          <w:trHeight w:val="848" w:hRule="exact"/>
        </w:trPr>
        <w:tc>
          <w:tcPr>
            <w:tcW w:w="2655" w:type="dxa"/>
            <w:shd w:val="clear" w:color="auto" w:fill="DFD7E8"/>
          </w:tcPr>
          <w:p>
            <w:pPr>
              <w:pStyle w:val="TableParagraph"/>
              <w:spacing w:line="272" w:lineRule="exact"/>
              <w:ind w:left="98"/>
              <w:rPr>
                <w:b/>
                <w:i/>
                <w:sz w:val="24"/>
              </w:rPr>
            </w:pPr>
            <w:r>
              <w:rPr>
                <w:b/>
                <w:i/>
                <w:sz w:val="24"/>
              </w:rPr>
              <w:t>Nombre:</w:t>
            </w:r>
          </w:p>
        </w:tc>
        <w:tc>
          <w:tcPr>
            <w:tcW w:w="3061" w:type="dxa"/>
          </w:tcPr>
          <w:p>
            <w:pPr>
              <w:pStyle w:val="TableParagraph"/>
              <w:spacing w:line="272" w:lineRule="exact"/>
              <w:ind w:left="98"/>
              <w:rPr>
                <w:sz w:val="24"/>
              </w:rPr>
            </w:pPr>
            <w:r>
              <w:rPr>
                <w:b/>
                <w:i/>
                <w:sz w:val="24"/>
              </w:rPr>
              <w:t>Tiempo: </w:t>
            </w:r>
            <w:r>
              <w:rPr>
                <w:sz w:val="24"/>
              </w:rPr>
              <w:t>90 minutos.</w:t>
            </w:r>
          </w:p>
        </w:tc>
        <w:tc>
          <w:tcPr>
            <w:tcW w:w="4832" w:type="dxa"/>
            <w:gridSpan w:val="2"/>
            <w:shd w:val="clear" w:color="auto" w:fill="DFD7E8"/>
          </w:tcPr>
          <w:p>
            <w:pPr>
              <w:pStyle w:val="TableParagraph"/>
              <w:ind w:left="98" w:right="158"/>
              <w:rPr>
                <w:sz w:val="24"/>
              </w:rPr>
            </w:pPr>
            <w:r>
              <w:rPr>
                <w:b/>
                <w:i/>
                <w:sz w:val="24"/>
              </w:rPr>
              <w:t>Materiales: </w:t>
            </w:r>
            <w:r>
              <w:rPr>
                <w:sz w:val="24"/>
              </w:rPr>
              <w:t>Grabadora o dispositivo para la reproducción de material auditivo. Hojas con refranes. Pizarrón y plumones</w:t>
            </w:r>
          </w:p>
        </w:tc>
      </w:tr>
      <w:tr>
        <w:trPr>
          <w:trHeight w:val="848" w:hRule="exact"/>
        </w:trPr>
        <w:tc>
          <w:tcPr>
            <w:tcW w:w="7771" w:type="dxa"/>
            <w:gridSpan w:val="3"/>
            <w:shd w:val="clear" w:color="auto" w:fill="DFD7E8"/>
          </w:tcPr>
          <w:p>
            <w:pPr>
              <w:pStyle w:val="TableParagraph"/>
              <w:ind w:left="98" w:right="230"/>
              <w:rPr>
                <w:sz w:val="24"/>
              </w:rPr>
            </w:pPr>
            <w:r>
              <w:rPr>
                <w:b/>
                <w:i/>
                <w:sz w:val="24"/>
              </w:rPr>
              <w:t>Objetivo: </w:t>
            </w:r>
            <w:r>
              <w:rPr>
                <w:sz w:val="24"/>
              </w:rPr>
              <w:t>Visualizar el papel que juega la cultura popular en la preservación y reforzamiento de estereotipos y violencia de género hacia las mujeres.</w:t>
            </w:r>
          </w:p>
        </w:tc>
        <w:tc>
          <w:tcPr>
            <w:tcW w:w="2776" w:type="dxa"/>
            <w:shd w:val="clear" w:color="auto" w:fill="DFD7E8"/>
          </w:tcPr>
          <w:p>
            <w:pPr>
              <w:pStyle w:val="TableParagraph"/>
              <w:ind w:left="99" w:right="250"/>
              <w:rPr>
                <w:sz w:val="24"/>
              </w:rPr>
            </w:pPr>
            <w:r>
              <w:rPr>
                <w:b/>
                <w:i/>
                <w:sz w:val="24"/>
              </w:rPr>
              <w:t>No. De personas: </w:t>
            </w:r>
            <w:r>
              <w:rPr>
                <w:sz w:val="24"/>
              </w:rPr>
              <w:t>20- 25</w:t>
            </w:r>
          </w:p>
        </w:tc>
      </w:tr>
      <w:tr>
        <w:trPr>
          <w:trHeight w:val="4983" w:hRule="exact"/>
        </w:trPr>
        <w:tc>
          <w:tcPr>
            <w:tcW w:w="10548" w:type="dxa"/>
            <w:gridSpan w:val="4"/>
            <w:tcBorders>
              <w:bottom w:val="single" w:sz="4" w:space="0" w:color="000000"/>
            </w:tcBorders>
            <w:shd w:val="clear" w:color="auto" w:fill="DFD7E8"/>
          </w:tcPr>
          <w:p>
            <w:pPr>
              <w:pStyle w:val="TableParagraph"/>
              <w:spacing w:line="360" w:lineRule="auto"/>
              <w:ind w:left="98" w:right="142"/>
              <w:rPr>
                <w:sz w:val="24"/>
              </w:rPr>
            </w:pPr>
            <w:r>
              <w:rPr>
                <w:sz w:val="24"/>
              </w:rPr>
              <w:t>Se les pide a los participantes que conformen subgrupos de cinco personas, se les dan un conjunto de papeles que contienen algunos refranes, se les pide que discutan el contenido de los mismos. Una vez que hayan concluido se les pide que compartan con el resto de sus compañeros sus refranes y el mensaje que transmite. Se anotan las características de los refranes. Todos los subgrupos pasan a compartir sus refranes. Una vez concluido se les pide que escuchen atentamente la letra de algunas canciones [de preferencia norteña, banda, reggaetón] y que mencionen si consideran si transmite un mensaje de violencia hacia la mujer y por qué. ¿Qué opinan de los mensajes transmitidos por medios tan comunes como la música y los refranes? ¿Qué se puede hacer al respecto? ¿En qué otras circunstancias pueden identificar elementos de violencia de género? A partir de lo que escucharon, ¿podrían identificar otro tipo de canciones que fomente la violencia hacia las mujeres? ¿En qué otros géneros musicales pueden identificarlo?</w:t>
            </w:r>
          </w:p>
        </w:tc>
      </w:tr>
      <w:tr>
        <w:trPr>
          <w:trHeight w:val="1395"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bl>
    <w:p>
      <w:pPr>
        <w:pStyle w:val="BodyText"/>
        <w:rPr>
          <w:b/>
          <w:sz w:val="20"/>
        </w:rPr>
      </w:pPr>
    </w:p>
    <w:p>
      <w:pPr>
        <w:pStyle w:val="BodyText"/>
        <w:spacing w:before="10"/>
        <w:rPr>
          <w:b/>
          <w:sz w:val="25"/>
        </w:rPr>
      </w:pPr>
    </w:p>
    <w:tbl>
      <w:tblPr>
        <w:tblW w:w="0" w:type="auto"/>
        <w:jc w:val="left"/>
        <w:tblInd w:w="12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404"/>
        <w:gridCol w:w="2428"/>
      </w:tblGrid>
      <w:tr>
        <w:trPr>
          <w:trHeight w:val="491" w:hRule="exact"/>
        </w:trPr>
        <w:tc>
          <w:tcPr>
            <w:tcW w:w="2655" w:type="dxa"/>
            <w:shd w:val="clear" w:color="auto" w:fill="DFD7E8"/>
          </w:tcPr>
          <w:p>
            <w:pPr>
              <w:pStyle w:val="TableParagraph"/>
              <w:spacing w:line="262" w:lineRule="exact"/>
              <w:ind w:left="98"/>
              <w:rPr>
                <w:b/>
                <w:i/>
                <w:sz w:val="24"/>
              </w:rPr>
            </w:pPr>
            <w:r>
              <w:rPr>
                <w:b/>
                <w:i/>
                <w:sz w:val="24"/>
              </w:rPr>
              <w:t>Número de sesión: 4</w:t>
            </w:r>
          </w:p>
        </w:tc>
        <w:tc>
          <w:tcPr>
            <w:tcW w:w="3061" w:type="dxa"/>
            <w:tcBorders>
              <w:top w:val="nil"/>
              <w:right w:val="nil"/>
            </w:tcBorders>
          </w:tcPr>
          <w:p>
            <w:pPr/>
          </w:p>
        </w:tc>
        <w:tc>
          <w:tcPr>
            <w:tcW w:w="2404" w:type="dxa"/>
            <w:tcBorders>
              <w:top w:val="nil"/>
              <w:left w:val="nil"/>
              <w:right w:val="single" w:sz="9" w:space="0" w:color="FFFFFF"/>
            </w:tcBorders>
          </w:tcPr>
          <w:p>
            <w:pPr/>
          </w:p>
        </w:tc>
        <w:tc>
          <w:tcPr>
            <w:tcW w:w="2428" w:type="dxa"/>
            <w:tcBorders>
              <w:top w:val="nil"/>
              <w:left w:val="single" w:sz="9" w:space="0" w:color="FFFFFF"/>
              <w:right w:val="nil"/>
            </w:tcBorders>
          </w:tcPr>
          <w:p>
            <w:pPr/>
          </w:p>
        </w:tc>
      </w:tr>
      <w:tr>
        <w:trPr>
          <w:trHeight w:val="572" w:hRule="exact"/>
        </w:trPr>
        <w:tc>
          <w:tcPr>
            <w:tcW w:w="2655" w:type="dxa"/>
            <w:shd w:val="clear" w:color="auto" w:fill="DFD7E8"/>
          </w:tcPr>
          <w:p>
            <w:pPr>
              <w:pStyle w:val="TableParagraph"/>
              <w:ind w:left="98" w:right="236"/>
              <w:rPr>
                <w:sz w:val="24"/>
              </w:rPr>
            </w:pPr>
            <w:r>
              <w:rPr>
                <w:b/>
                <w:i/>
                <w:sz w:val="24"/>
              </w:rPr>
              <w:t>Nombre: </w:t>
            </w:r>
            <w:r>
              <w:rPr>
                <w:sz w:val="24"/>
              </w:rPr>
              <w:t>Un poco de historia</w:t>
            </w:r>
          </w:p>
        </w:tc>
        <w:tc>
          <w:tcPr>
            <w:tcW w:w="3061" w:type="dxa"/>
          </w:tcPr>
          <w:p>
            <w:pPr>
              <w:pStyle w:val="TableParagraph"/>
              <w:spacing w:line="273" w:lineRule="exact"/>
              <w:ind w:left="98"/>
              <w:rPr>
                <w:sz w:val="24"/>
              </w:rPr>
            </w:pPr>
            <w:r>
              <w:rPr>
                <w:b/>
                <w:i/>
                <w:sz w:val="24"/>
              </w:rPr>
              <w:t>Tiempo: </w:t>
            </w:r>
            <w:r>
              <w:rPr>
                <w:sz w:val="24"/>
              </w:rPr>
              <w:t>45-60 minutos</w:t>
            </w:r>
          </w:p>
        </w:tc>
        <w:tc>
          <w:tcPr>
            <w:tcW w:w="4832" w:type="dxa"/>
            <w:gridSpan w:val="2"/>
            <w:shd w:val="clear" w:color="auto" w:fill="DFD7E8"/>
          </w:tcPr>
          <w:p>
            <w:pPr>
              <w:pStyle w:val="TableParagraph"/>
              <w:ind w:left="98" w:right="425"/>
              <w:rPr>
                <w:sz w:val="24"/>
              </w:rPr>
            </w:pPr>
            <w:r>
              <w:rPr>
                <w:b/>
                <w:i/>
                <w:sz w:val="24"/>
              </w:rPr>
              <w:t>Materiales: </w:t>
            </w:r>
            <w:r>
              <w:rPr>
                <w:sz w:val="24"/>
              </w:rPr>
              <w:t>Lap top, cañón, plumones y pizarrón.</w:t>
            </w:r>
          </w:p>
        </w:tc>
      </w:tr>
      <w:tr>
        <w:trPr>
          <w:trHeight w:val="1676" w:hRule="exact"/>
        </w:trPr>
        <w:tc>
          <w:tcPr>
            <w:tcW w:w="8119" w:type="dxa"/>
            <w:gridSpan w:val="3"/>
            <w:shd w:val="clear" w:color="auto" w:fill="DFD7E8"/>
          </w:tcPr>
          <w:p>
            <w:pPr>
              <w:pStyle w:val="TableParagraph"/>
              <w:spacing w:line="360" w:lineRule="auto"/>
              <w:ind w:left="98" w:right="244"/>
              <w:rPr>
                <w:sz w:val="24"/>
              </w:rPr>
            </w:pPr>
            <w:r>
              <w:rPr>
                <w:b/>
                <w:i/>
                <w:sz w:val="24"/>
              </w:rPr>
              <w:t>Objetivo: </w:t>
            </w:r>
            <w:r>
              <w:rPr>
                <w:sz w:val="24"/>
              </w:rPr>
              <w:t>Permitir que los participantes visualicen la forma en cómo se construyen las concepciones de las personas a partir de atribuciones del sistema sexo/género y la forma en cómo éstas impactan en las atribuciones de rasgos “positivos/negativos, buenos/malos”  a partir del</w:t>
            </w:r>
          </w:p>
        </w:tc>
        <w:tc>
          <w:tcPr>
            <w:tcW w:w="2428" w:type="dxa"/>
            <w:shd w:val="clear" w:color="auto" w:fill="DFD7E8"/>
          </w:tcPr>
          <w:p>
            <w:pPr>
              <w:pStyle w:val="TableParagraph"/>
              <w:spacing w:line="272" w:lineRule="exact"/>
              <w:ind w:left="97"/>
              <w:rPr>
                <w:b/>
                <w:i/>
                <w:sz w:val="24"/>
              </w:rPr>
            </w:pPr>
            <w:r>
              <w:rPr>
                <w:b/>
                <w:i/>
                <w:sz w:val="24"/>
              </w:rPr>
              <w:t>No. De personas:</w:t>
            </w:r>
          </w:p>
          <w:p>
            <w:pPr>
              <w:pStyle w:val="TableParagraph"/>
              <w:ind w:left="97"/>
              <w:rPr>
                <w:sz w:val="24"/>
              </w:rPr>
            </w:pPr>
            <w:r>
              <w:rPr>
                <w:sz w:val="24"/>
              </w:rPr>
              <w:t>20-25</w:t>
            </w:r>
          </w:p>
        </w:tc>
      </w:tr>
    </w:tbl>
    <w:p>
      <w:pPr>
        <w:spacing w:after="0"/>
        <w:rPr>
          <w:sz w:val="24"/>
        </w:rPr>
        <w:sectPr>
          <w:footerReference w:type="default" r:id="rId39"/>
          <w:pgSz w:w="12240" w:h="15840"/>
          <w:pgMar w:footer="954" w:header="0" w:top="1440" w:bottom="1140" w:left="1200" w:right="240"/>
        </w:sect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7"/>
        <w:gridCol w:w="348"/>
        <w:gridCol w:w="2427"/>
      </w:tblGrid>
      <w:tr>
        <w:trPr>
          <w:trHeight w:val="711" w:hRule="exact"/>
        </w:trPr>
        <w:tc>
          <w:tcPr>
            <w:tcW w:w="8121" w:type="dxa"/>
            <w:gridSpan w:val="4"/>
            <w:shd w:val="clear" w:color="auto" w:fill="DFD7E8"/>
          </w:tcPr>
          <w:p>
            <w:pPr>
              <w:pStyle w:val="TableParagraph"/>
              <w:spacing w:line="274" w:lineRule="exact"/>
              <w:ind w:left="98"/>
              <w:rPr>
                <w:sz w:val="24"/>
              </w:rPr>
            </w:pPr>
            <w:r>
              <w:rPr>
                <w:sz w:val="24"/>
              </w:rPr>
              <w:t>sexo/género de las personas.</w:t>
            </w:r>
          </w:p>
        </w:tc>
        <w:tc>
          <w:tcPr>
            <w:tcW w:w="2427" w:type="dxa"/>
            <w:shd w:val="clear" w:color="auto" w:fill="DFD7E8"/>
          </w:tcPr>
          <w:p>
            <w:pPr/>
          </w:p>
        </w:tc>
      </w:tr>
      <w:tr>
        <w:trPr>
          <w:trHeight w:val="2914" w:hRule="exact"/>
        </w:trPr>
        <w:tc>
          <w:tcPr>
            <w:tcW w:w="10548" w:type="dxa"/>
            <w:gridSpan w:val="5"/>
            <w:tcBorders>
              <w:bottom w:val="single" w:sz="4" w:space="0" w:color="000000"/>
            </w:tcBorders>
            <w:shd w:val="clear" w:color="auto" w:fill="DFD7E8"/>
          </w:tcPr>
          <w:p>
            <w:pPr>
              <w:pStyle w:val="TableParagraph"/>
              <w:spacing w:line="360" w:lineRule="auto"/>
              <w:ind w:left="98" w:right="284"/>
              <w:rPr>
                <w:sz w:val="24"/>
              </w:rPr>
            </w:pPr>
            <w:r>
              <w:rPr>
                <w:sz w:val="24"/>
              </w:rPr>
              <w:t>Se les transmiten una serie de imágenes de personajes históricos [primero hombres] a los participantes y se les pide que mencionen algunos atributos que les describan, se anotan las características mencionadas, posteriormente se les transmiten una segunda ronda personajes históricos [mujeres] y se les pide que mencionen algunos atributos que les caractericen. ¿De qué se percatan? ¿Qué pasaría si cambiáramos los atributos de un sexo con el otro? ¿Estos atributos afectan la forma en cómo vemos a las personas? ¿Por qué? ¿Por qué son diferentes los atributos de uno y otro sexo?</w:t>
            </w:r>
          </w:p>
        </w:tc>
      </w:tr>
      <w:tr>
        <w:trPr>
          <w:trHeight w:val="1394" w:hRule="exact"/>
        </w:trPr>
        <w:tc>
          <w:tcPr>
            <w:tcW w:w="10548" w:type="dxa"/>
            <w:gridSpan w:val="5"/>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571" w:hRule="exact"/>
        </w:trPr>
        <w:tc>
          <w:tcPr>
            <w:tcW w:w="2655" w:type="dxa"/>
            <w:shd w:val="clear" w:color="auto" w:fill="DFD7E8"/>
          </w:tcPr>
          <w:p>
            <w:pPr>
              <w:pStyle w:val="TableParagraph"/>
              <w:ind w:left="98" w:right="223"/>
              <w:rPr>
                <w:sz w:val="24"/>
              </w:rPr>
            </w:pPr>
            <w:r>
              <w:rPr>
                <w:b/>
                <w:i/>
                <w:sz w:val="24"/>
              </w:rPr>
              <w:t>Nombre: </w:t>
            </w:r>
            <w:r>
              <w:rPr>
                <w:sz w:val="24"/>
              </w:rPr>
              <w:t>Deber ser y querer ser</w:t>
            </w:r>
          </w:p>
        </w:tc>
        <w:tc>
          <w:tcPr>
            <w:tcW w:w="3061" w:type="dxa"/>
          </w:tcPr>
          <w:p>
            <w:pPr>
              <w:pStyle w:val="TableParagraph"/>
              <w:spacing w:line="272" w:lineRule="exact"/>
              <w:ind w:left="98"/>
              <w:rPr>
                <w:sz w:val="24"/>
              </w:rPr>
            </w:pPr>
            <w:r>
              <w:rPr>
                <w:b/>
                <w:i/>
                <w:sz w:val="24"/>
              </w:rPr>
              <w:t>Tiempo: </w:t>
            </w:r>
            <w:r>
              <w:rPr>
                <w:sz w:val="24"/>
              </w:rPr>
              <w:t>45-60 minutos</w:t>
            </w:r>
          </w:p>
        </w:tc>
        <w:tc>
          <w:tcPr>
            <w:tcW w:w="4832" w:type="dxa"/>
            <w:gridSpan w:val="3"/>
            <w:shd w:val="clear" w:color="auto" w:fill="DFD7E8"/>
          </w:tcPr>
          <w:p>
            <w:pPr>
              <w:pStyle w:val="TableParagraph"/>
              <w:ind w:left="98" w:right="1066"/>
              <w:rPr>
                <w:sz w:val="24"/>
              </w:rPr>
            </w:pPr>
            <w:r>
              <w:rPr>
                <w:b/>
                <w:i/>
                <w:sz w:val="24"/>
              </w:rPr>
              <w:t>Materiales: </w:t>
            </w:r>
            <w:r>
              <w:rPr>
                <w:sz w:val="24"/>
              </w:rPr>
              <w:t>Un aula amplia y bien iluminada</w:t>
            </w:r>
          </w:p>
        </w:tc>
      </w:tr>
      <w:tr>
        <w:trPr>
          <w:trHeight w:val="849" w:hRule="exact"/>
        </w:trPr>
        <w:tc>
          <w:tcPr>
            <w:tcW w:w="7773" w:type="dxa"/>
            <w:gridSpan w:val="3"/>
            <w:shd w:val="clear" w:color="auto" w:fill="DFD7E8"/>
          </w:tcPr>
          <w:p>
            <w:pPr>
              <w:pStyle w:val="TableParagraph"/>
              <w:spacing w:line="360" w:lineRule="auto"/>
              <w:ind w:left="98" w:right="125"/>
              <w:rPr>
                <w:sz w:val="24"/>
              </w:rPr>
            </w:pPr>
            <w:r>
              <w:rPr>
                <w:b/>
                <w:i/>
                <w:sz w:val="24"/>
              </w:rPr>
              <w:t>Objetivo: </w:t>
            </w:r>
            <w:r>
              <w:rPr>
                <w:sz w:val="24"/>
              </w:rPr>
              <w:t>Reflexionar sobre las imposiciones de la sociedad respecto a las atribuciones de los hombres en relaciones de pareja</w:t>
            </w:r>
          </w:p>
        </w:tc>
        <w:tc>
          <w:tcPr>
            <w:tcW w:w="2775" w:type="dxa"/>
            <w:gridSpan w:val="2"/>
            <w:shd w:val="clear" w:color="auto" w:fill="DFD7E8"/>
          </w:tcPr>
          <w:p>
            <w:pPr>
              <w:pStyle w:val="TableParagraph"/>
              <w:ind w:left="98" w:right="250"/>
              <w:rPr>
                <w:sz w:val="24"/>
              </w:rPr>
            </w:pPr>
            <w:r>
              <w:rPr>
                <w:b/>
                <w:i/>
                <w:sz w:val="24"/>
              </w:rPr>
              <w:t>No. De personas: </w:t>
            </w:r>
            <w:r>
              <w:rPr>
                <w:sz w:val="24"/>
              </w:rPr>
              <w:t>20- 25</w:t>
            </w:r>
          </w:p>
        </w:tc>
      </w:tr>
      <w:tr>
        <w:trPr>
          <w:trHeight w:val="1724" w:hRule="exact"/>
        </w:trPr>
        <w:tc>
          <w:tcPr>
            <w:tcW w:w="10548" w:type="dxa"/>
            <w:gridSpan w:val="5"/>
            <w:tcBorders>
              <w:bottom w:val="single" w:sz="4" w:space="0" w:color="000000"/>
            </w:tcBorders>
            <w:shd w:val="clear" w:color="auto" w:fill="DFD7E8"/>
          </w:tcPr>
          <w:p>
            <w:pPr>
              <w:pStyle w:val="TableParagraph"/>
              <w:ind w:left="98" w:right="70"/>
              <w:rPr>
                <w:sz w:val="24"/>
              </w:rPr>
            </w:pPr>
            <w:r>
              <w:rPr>
                <w:sz w:val="24"/>
              </w:rPr>
              <w:t>Se divide al grupo en equipos de cinco personas, se les pide a los equipos que complementen la siguiente oración </w:t>
            </w:r>
            <w:r>
              <w:rPr>
                <w:i/>
                <w:sz w:val="24"/>
              </w:rPr>
              <w:t>“me han dicho que un verdadero hombre debe de…” </w:t>
            </w:r>
            <w:r>
              <w:rPr>
                <w:sz w:val="24"/>
              </w:rPr>
              <w:t>o </w:t>
            </w:r>
            <w:r>
              <w:rPr>
                <w:i/>
                <w:sz w:val="24"/>
              </w:rPr>
              <w:t>“un verdadero hombre </w:t>
            </w:r>
            <w:r>
              <w:rPr>
                <w:i/>
                <w:sz w:val="24"/>
              </w:rPr>
              <w:t>tiene que…”</w:t>
            </w:r>
            <w:r>
              <w:rPr>
                <w:sz w:val="24"/>
              </w:rPr>
              <w:t>a continuación se les pide que expliquen si comparten esa postura o no, y como es que ellos afrontan dicha situación ante el entorno.</w:t>
            </w:r>
          </w:p>
        </w:tc>
      </w:tr>
      <w:tr>
        <w:trPr>
          <w:trHeight w:val="1396" w:hRule="exact"/>
        </w:trPr>
        <w:tc>
          <w:tcPr>
            <w:tcW w:w="10548" w:type="dxa"/>
            <w:gridSpan w:val="5"/>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bl>
    <w:p>
      <w:pPr>
        <w:pStyle w:val="BodyText"/>
        <w:rPr>
          <w:b/>
          <w:sz w:val="20"/>
        </w:rPr>
      </w:pPr>
    </w:p>
    <w:p>
      <w:pPr>
        <w:pStyle w:val="BodyText"/>
        <w:spacing w:before="9"/>
        <w:rPr>
          <w:b/>
          <w:sz w:val="25"/>
        </w:r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404"/>
        <w:gridCol w:w="2428"/>
      </w:tblGrid>
      <w:tr>
        <w:trPr>
          <w:trHeight w:val="491" w:hRule="exact"/>
        </w:trPr>
        <w:tc>
          <w:tcPr>
            <w:tcW w:w="2655" w:type="dxa"/>
            <w:shd w:val="clear" w:color="auto" w:fill="DFD7E8"/>
          </w:tcPr>
          <w:p>
            <w:pPr>
              <w:pStyle w:val="TableParagraph"/>
              <w:spacing w:line="260" w:lineRule="exact"/>
              <w:ind w:left="98"/>
              <w:rPr>
                <w:i/>
                <w:sz w:val="24"/>
              </w:rPr>
            </w:pPr>
            <w:r>
              <w:rPr>
                <w:b/>
                <w:i/>
                <w:sz w:val="24"/>
              </w:rPr>
              <w:t>Número de sesión: </w:t>
            </w:r>
            <w:r>
              <w:rPr>
                <w:i/>
                <w:sz w:val="24"/>
              </w:rPr>
              <w:t>5</w:t>
            </w:r>
          </w:p>
        </w:tc>
        <w:tc>
          <w:tcPr>
            <w:tcW w:w="3061" w:type="dxa"/>
            <w:tcBorders>
              <w:top w:val="nil"/>
              <w:right w:val="nil"/>
            </w:tcBorders>
          </w:tcPr>
          <w:p>
            <w:pPr/>
          </w:p>
        </w:tc>
        <w:tc>
          <w:tcPr>
            <w:tcW w:w="2404" w:type="dxa"/>
            <w:tcBorders>
              <w:top w:val="nil"/>
              <w:left w:val="nil"/>
              <w:right w:val="single" w:sz="9" w:space="0" w:color="FFFFFF"/>
            </w:tcBorders>
          </w:tcPr>
          <w:p>
            <w:pPr/>
          </w:p>
        </w:tc>
        <w:tc>
          <w:tcPr>
            <w:tcW w:w="2428" w:type="dxa"/>
            <w:tcBorders>
              <w:top w:val="nil"/>
              <w:left w:val="single" w:sz="9" w:space="0" w:color="FFFFFF"/>
              <w:right w:val="nil"/>
            </w:tcBorders>
          </w:tcPr>
          <w:p>
            <w:pPr/>
          </w:p>
        </w:tc>
      </w:tr>
      <w:tr>
        <w:trPr>
          <w:trHeight w:val="1400" w:hRule="exact"/>
        </w:trPr>
        <w:tc>
          <w:tcPr>
            <w:tcW w:w="2655" w:type="dxa"/>
            <w:shd w:val="clear" w:color="auto" w:fill="DFD7E8"/>
          </w:tcPr>
          <w:p>
            <w:pPr>
              <w:pStyle w:val="TableParagraph"/>
              <w:ind w:left="98" w:right="263"/>
              <w:rPr>
                <w:sz w:val="24"/>
              </w:rPr>
            </w:pPr>
            <w:r>
              <w:rPr>
                <w:b/>
                <w:i/>
                <w:sz w:val="24"/>
              </w:rPr>
              <w:t>Nombre: </w:t>
            </w:r>
            <w:r>
              <w:rPr>
                <w:b/>
                <w:sz w:val="24"/>
              </w:rPr>
              <w:t>n </w:t>
            </w:r>
            <w:r>
              <w:rPr>
                <w:sz w:val="24"/>
              </w:rPr>
              <w:t>Fiesta de prejuicios.</w:t>
            </w:r>
          </w:p>
        </w:tc>
        <w:tc>
          <w:tcPr>
            <w:tcW w:w="3061" w:type="dxa"/>
          </w:tcPr>
          <w:p>
            <w:pPr>
              <w:pStyle w:val="TableParagraph"/>
              <w:spacing w:line="273" w:lineRule="exact"/>
              <w:ind w:left="98"/>
              <w:rPr>
                <w:sz w:val="24"/>
              </w:rPr>
            </w:pPr>
            <w:r>
              <w:rPr>
                <w:b/>
                <w:i/>
                <w:sz w:val="24"/>
              </w:rPr>
              <w:t>Tiempo: </w:t>
            </w:r>
            <w:r>
              <w:rPr>
                <w:sz w:val="24"/>
              </w:rPr>
              <w:t>60 minutos</w:t>
            </w:r>
          </w:p>
        </w:tc>
        <w:tc>
          <w:tcPr>
            <w:tcW w:w="4832" w:type="dxa"/>
            <w:gridSpan w:val="2"/>
            <w:shd w:val="clear" w:color="auto" w:fill="DFD7E8"/>
          </w:tcPr>
          <w:p>
            <w:pPr>
              <w:pStyle w:val="TableParagraph"/>
              <w:ind w:left="98" w:right="265"/>
              <w:rPr>
                <w:sz w:val="24"/>
              </w:rPr>
            </w:pPr>
            <w:r>
              <w:rPr>
                <w:b/>
                <w:i/>
                <w:sz w:val="24"/>
              </w:rPr>
              <w:t>Materiales: </w:t>
            </w:r>
            <w:r>
              <w:rPr>
                <w:sz w:val="24"/>
              </w:rPr>
              <w:t>Etiquetas con palabras [puta, puto, zorro, zorra, borracho, borracha, cabrón, cabrona, chingón, sidoso, sidosa, perro, perra, etcétera.], un reproductor de música, vasos con jugo y mesas.</w:t>
            </w:r>
          </w:p>
        </w:tc>
      </w:tr>
      <w:tr>
        <w:trPr>
          <w:trHeight w:val="848" w:hRule="exact"/>
        </w:trPr>
        <w:tc>
          <w:tcPr>
            <w:tcW w:w="8119" w:type="dxa"/>
            <w:gridSpan w:val="3"/>
            <w:shd w:val="clear" w:color="auto" w:fill="DFD7E8"/>
          </w:tcPr>
          <w:p>
            <w:pPr>
              <w:pStyle w:val="TableParagraph"/>
              <w:spacing w:line="362" w:lineRule="auto"/>
              <w:ind w:left="98" w:right="1033"/>
              <w:rPr>
                <w:sz w:val="24"/>
              </w:rPr>
            </w:pPr>
            <w:r>
              <w:rPr>
                <w:b/>
                <w:i/>
                <w:sz w:val="24"/>
              </w:rPr>
              <w:t>Objetivo: </w:t>
            </w:r>
            <w:r>
              <w:rPr>
                <w:sz w:val="24"/>
              </w:rPr>
              <w:t>Demostrar a los participantes la forma en los prejuicios constituye una forma de violencia que impacta en las relaciones</w:t>
            </w:r>
          </w:p>
        </w:tc>
        <w:tc>
          <w:tcPr>
            <w:tcW w:w="2428" w:type="dxa"/>
            <w:shd w:val="clear" w:color="auto" w:fill="DFD7E8"/>
          </w:tcPr>
          <w:p>
            <w:pPr>
              <w:pStyle w:val="TableParagraph"/>
              <w:spacing w:line="272" w:lineRule="exact"/>
              <w:ind w:left="97"/>
              <w:rPr>
                <w:b/>
                <w:i/>
                <w:sz w:val="24"/>
              </w:rPr>
            </w:pPr>
            <w:r>
              <w:rPr>
                <w:b/>
                <w:i/>
                <w:sz w:val="24"/>
              </w:rPr>
              <w:t>No. De personas:</w:t>
            </w:r>
          </w:p>
          <w:p>
            <w:pPr>
              <w:pStyle w:val="TableParagraph"/>
              <w:ind w:left="97"/>
              <w:rPr>
                <w:sz w:val="24"/>
              </w:rPr>
            </w:pPr>
            <w:r>
              <w:rPr>
                <w:sz w:val="24"/>
              </w:rPr>
              <w:t>20-25</w:t>
            </w:r>
          </w:p>
        </w:tc>
      </w:tr>
    </w:tbl>
    <w:p>
      <w:pPr>
        <w:spacing w:after="0"/>
        <w:rPr>
          <w:sz w:val="24"/>
        </w:rPr>
        <w:sectPr>
          <w:footerReference w:type="default" r:id="rId40"/>
          <w:pgSz w:w="12240" w:h="15840"/>
          <w:pgMar w:footer="954" w:header="0" w:top="1440" w:bottom="1140" w:left="1220" w:right="240"/>
          <w:pgNumType w:start="51"/>
        </w:sect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7"/>
        <w:gridCol w:w="348"/>
        <w:gridCol w:w="2427"/>
      </w:tblGrid>
      <w:tr>
        <w:trPr>
          <w:trHeight w:val="1539" w:hRule="exact"/>
        </w:trPr>
        <w:tc>
          <w:tcPr>
            <w:tcW w:w="8121" w:type="dxa"/>
            <w:gridSpan w:val="4"/>
            <w:shd w:val="clear" w:color="auto" w:fill="DFD7E8"/>
          </w:tcPr>
          <w:p>
            <w:pPr>
              <w:pStyle w:val="TableParagraph"/>
              <w:spacing w:line="360" w:lineRule="auto"/>
              <w:ind w:left="98" w:right="225"/>
              <w:jc w:val="both"/>
              <w:rPr>
                <w:sz w:val="24"/>
              </w:rPr>
            </w:pPr>
            <w:r>
              <w:rPr>
                <w:sz w:val="24"/>
              </w:rPr>
              <w:t>personales. Sensibilizar sobre las prácticas no discriminatorias, así como que los participantes puedan .identificar la violencia de género a partir de las palabras.</w:t>
            </w:r>
          </w:p>
        </w:tc>
        <w:tc>
          <w:tcPr>
            <w:tcW w:w="2427" w:type="dxa"/>
            <w:shd w:val="clear" w:color="auto" w:fill="DFD7E8"/>
          </w:tcPr>
          <w:p>
            <w:pPr/>
          </w:p>
        </w:tc>
      </w:tr>
      <w:tr>
        <w:trPr>
          <w:trHeight w:val="7467" w:hRule="exact"/>
        </w:trPr>
        <w:tc>
          <w:tcPr>
            <w:tcW w:w="10548" w:type="dxa"/>
            <w:gridSpan w:val="5"/>
            <w:tcBorders>
              <w:bottom w:val="single" w:sz="4" w:space="0" w:color="000000"/>
            </w:tcBorders>
            <w:shd w:val="clear" w:color="auto" w:fill="DFD7E8"/>
          </w:tcPr>
          <w:p>
            <w:pPr>
              <w:pStyle w:val="TableParagraph"/>
              <w:spacing w:line="360" w:lineRule="auto"/>
              <w:ind w:left="98" w:right="137"/>
              <w:rPr>
                <w:sz w:val="24"/>
              </w:rPr>
            </w:pPr>
            <w:r>
              <w:rPr>
                <w:sz w:val="24"/>
              </w:rPr>
              <w:t>Se les informa a los participantes que participarán en una celebración, pero para ello deberán contar con un papel que se les adherirá en la frente su “carta de presentación”, por ningún motivo pueden ver su propio papel o decirle a la persona con la que interactúen el contenido del propio. Se les invita a los participantes a integrarse a esta “fiesta” en la cual deberán interactuar con las personas alrededor suyo a partir de las palabra que tengan en la frente. ¿Cómo han visto que interactúan las personas cuando se sabe que otra tiene esa “etiqueta?” Se deja a los participantes interactuar por un espacios de 20 a 25 minutos, se realizan observaciones, cuando concluye la interacción se les pide que expresen cómo se sintieron, ¿qué pensaban de las personas que se les acercaban? ¿Por qué creen que se comportaban de esa forma? Se les</w:t>
            </w:r>
            <w:r>
              <w:rPr>
                <w:spacing w:val="-36"/>
                <w:sz w:val="24"/>
              </w:rPr>
              <w:t> </w:t>
            </w:r>
            <w:r>
              <w:rPr>
                <w:sz w:val="24"/>
              </w:rPr>
              <w:t>pide que se quiten su “etiqueta” y la lean, ahora se les cuestiona sobre el papel del género en las palabras ¿era el mismo trato para una palabra cuando era masculina a cuando era</w:t>
            </w:r>
            <w:r>
              <w:rPr>
                <w:spacing w:val="-37"/>
                <w:sz w:val="24"/>
              </w:rPr>
              <w:t> </w:t>
            </w:r>
            <w:r>
              <w:rPr>
                <w:sz w:val="24"/>
              </w:rPr>
              <w:t>femenina?</w:t>
            </w:r>
          </w:p>
          <w:p>
            <w:pPr>
              <w:pStyle w:val="TableParagraph"/>
              <w:spacing w:line="360" w:lineRule="auto" w:before="2"/>
              <w:ind w:left="98" w:right="547"/>
              <w:jc w:val="both"/>
              <w:rPr>
                <w:sz w:val="24"/>
              </w:rPr>
            </w:pPr>
            <w:r>
              <w:rPr>
                <w:sz w:val="24"/>
              </w:rPr>
              <w:t>¿Por qué sucede esto? Se les invita a reflexionar sobre el papel que tienen los prejuicios y</w:t>
            </w:r>
            <w:r>
              <w:rPr>
                <w:spacing w:val="-34"/>
                <w:sz w:val="24"/>
              </w:rPr>
              <w:t> </w:t>
            </w:r>
            <w:r>
              <w:rPr>
                <w:sz w:val="24"/>
              </w:rPr>
              <w:t>la carga simbólica [violenta] que ellos conllevan y se les invita a realizar la reflexión ¿Quién era quien veía la etiqueta? ¿La persona a quien se la pusieron o la persona que la veía en</w:t>
            </w:r>
            <w:r>
              <w:rPr>
                <w:spacing w:val="-26"/>
                <w:sz w:val="24"/>
              </w:rPr>
              <w:t> </w:t>
            </w:r>
            <w:r>
              <w:rPr>
                <w:sz w:val="24"/>
              </w:rPr>
              <w:t>ella?</w:t>
            </w:r>
          </w:p>
          <w:p>
            <w:pPr>
              <w:pStyle w:val="TableParagraph"/>
              <w:spacing w:line="360" w:lineRule="auto" w:before="5"/>
              <w:ind w:left="98" w:right="97"/>
              <w:rPr>
                <w:sz w:val="24"/>
              </w:rPr>
            </w:pPr>
            <w:r>
              <w:rPr>
                <w:sz w:val="24"/>
              </w:rPr>
              <w:t>¿Quién tendría que trabajar en estas situaciones? ¿Cuántas veces se han visto inmersos en una situación en la que ejercen prácticas violentas de este tipo? ¿Qué podrían hacer de forma individual cuando se presente de nuevo esta situación? ¿Cómo podrían mejorar las prácticas de convivencia en ambientes de socialización?</w:t>
            </w:r>
          </w:p>
        </w:tc>
      </w:tr>
      <w:tr>
        <w:trPr>
          <w:trHeight w:val="1395" w:hRule="exact"/>
        </w:trPr>
        <w:tc>
          <w:tcPr>
            <w:tcW w:w="10548" w:type="dxa"/>
            <w:gridSpan w:val="5"/>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571" w:hRule="exact"/>
        </w:trPr>
        <w:tc>
          <w:tcPr>
            <w:tcW w:w="2655" w:type="dxa"/>
            <w:shd w:val="clear" w:color="auto" w:fill="DFD7E8"/>
          </w:tcPr>
          <w:p>
            <w:pPr>
              <w:pStyle w:val="TableParagraph"/>
              <w:ind w:left="98" w:right="130"/>
              <w:rPr>
                <w:sz w:val="24"/>
              </w:rPr>
            </w:pPr>
            <w:r>
              <w:rPr>
                <w:b/>
                <w:i/>
                <w:sz w:val="24"/>
              </w:rPr>
              <w:t>Nombre: </w:t>
            </w:r>
            <w:r>
              <w:rPr>
                <w:sz w:val="24"/>
              </w:rPr>
              <w:t>El poder y el castigo</w:t>
            </w:r>
          </w:p>
        </w:tc>
        <w:tc>
          <w:tcPr>
            <w:tcW w:w="3061" w:type="dxa"/>
          </w:tcPr>
          <w:p>
            <w:pPr>
              <w:pStyle w:val="TableParagraph"/>
              <w:spacing w:line="272" w:lineRule="exact"/>
              <w:ind w:left="98"/>
              <w:rPr>
                <w:sz w:val="24"/>
              </w:rPr>
            </w:pPr>
            <w:r>
              <w:rPr>
                <w:b/>
                <w:i/>
                <w:sz w:val="24"/>
              </w:rPr>
              <w:t>Tiempo: </w:t>
            </w:r>
            <w:r>
              <w:rPr>
                <w:sz w:val="24"/>
              </w:rPr>
              <w:t>60 minutos</w:t>
            </w:r>
          </w:p>
        </w:tc>
        <w:tc>
          <w:tcPr>
            <w:tcW w:w="4832" w:type="dxa"/>
            <w:gridSpan w:val="3"/>
            <w:shd w:val="clear" w:color="auto" w:fill="DFD7E8"/>
          </w:tcPr>
          <w:p>
            <w:pPr>
              <w:pStyle w:val="TableParagraph"/>
              <w:ind w:left="98" w:right="118"/>
              <w:rPr>
                <w:sz w:val="24"/>
              </w:rPr>
            </w:pPr>
            <w:r>
              <w:rPr>
                <w:b/>
                <w:i/>
                <w:sz w:val="24"/>
              </w:rPr>
              <w:t>Materiales: </w:t>
            </w:r>
            <w:r>
              <w:rPr>
                <w:sz w:val="24"/>
              </w:rPr>
              <w:t>Un aula amplia y bien iluminada</w:t>
            </w:r>
          </w:p>
        </w:tc>
      </w:tr>
      <w:tr>
        <w:trPr>
          <w:trHeight w:val="850" w:hRule="exact"/>
        </w:trPr>
        <w:tc>
          <w:tcPr>
            <w:tcW w:w="7773" w:type="dxa"/>
            <w:gridSpan w:val="3"/>
            <w:shd w:val="clear" w:color="auto" w:fill="DFD7E8"/>
          </w:tcPr>
          <w:p>
            <w:pPr>
              <w:pStyle w:val="TableParagraph"/>
              <w:spacing w:line="360" w:lineRule="auto"/>
              <w:ind w:left="98" w:right="98"/>
              <w:rPr>
                <w:sz w:val="24"/>
              </w:rPr>
            </w:pPr>
            <w:r>
              <w:rPr>
                <w:b/>
                <w:i/>
                <w:sz w:val="24"/>
              </w:rPr>
              <w:t>Objetivo: </w:t>
            </w:r>
            <w:r>
              <w:rPr>
                <w:sz w:val="24"/>
              </w:rPr>
              <w:t>Que los asistentes reflexionen sobre las relaciones de poder en la sociedad y las formas de castigo.</w:t>
            </w:r>
          </w:p>
        </w:tc>
        <w:tc>
          <w:tcPr>
            <w:tcW w:w="2775" w:type="dxa"/>
            <w:gridSpan w:val="2"/>
            <w:shd w:val="clear" w:color="auto" w:fill="DFD7E8"/>
          </w:tcPr>
          <w:p>
            <w:pPr>
              <w:pStyle w:val="TableParagraph"/>
              <w:ind w:left="98" w:right="250"/>
              <w:rPr>
                <w:sz w:val="24"/>
              </w:rPr>
            </w:pPr>
            <w:r>
              <w:rPr>
                <w:b/>
                <w:i/>
                <w:sz w:val="24"/>
              </w:rPr>
              <w:t>No. De personas: </w:t>
            </w:r>
            <w:r>
              <w:rPr>
                <w:sz w:val="24"/>
              </w:rPr>
              <w:t>20- 25</w:t>
            </w:r>
          </w:p>
        </w:tc>
      </w:tr>
    </w:tbl>
    <w:p>
      <w:pPr>
        <w:spacing w:after="0"/>
        <w:rPr>
          <w:sz w:val="24"/>
        </w:rPr>
        <w:sectPr>
          <w:pgSz w:w="12240" w:h="15840"/>
          <w:pgMar w:header="0" w:footer="954" w:top="1440" w:bottom="1140" w:left="1220" w:right="2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48"/>
      </w:tblGrid>
      <w:tr>
        <w:trPr>
          <w:trHeight w:val="12436" w:hRule="exact"/>
        </w:trPr>
        <w:tc>
          <w:tcPr>
            <w:tcW w:w="10548" w:type="dxa"/>
            <w:tcBorders>
              <w:top w:val="single" w:sz="8" w:space="0" w:color="8063A1"/>
              <w:left w:val="single" w:sz="8" w:space="0" w:color="8063A1"/>
              <w:right w:val="single" w:sz="8" w:space="0" w:color="8063A1"/>
            </w:tcBorders>
            <w:shd w:val="clear" w:color="auto" w:fill="DFD7E8"/>
          </w:tcPr>
          <w:p>
            <w:pPr>
              <w:pStyle w:val="TableParagraph"/>
              <w:spacing w:line="360" w:lineRule="auto"/>
              <w:ind w:left="98" w:right="116"/>
              <w:rPr>
                <w:sz w:val="24"/>
              </w:rPr>
            </w:pPr>
            <w:r>
              <w:rPr>
                <w:sz w:val="24"/>
              </w:rPr>
              <w:t>Se solicitan voluntarios para dos grupos; el primero se formará con 6 personas y será mixto. Se les pide que salgan del salón y se les acompaña ubicándolos en un lugar alejado. Se regresa con el primer grupo y se le dice que ellos organizarán una actividad, la que sea pero que dure un rato. Por ejemplo, un juego, una representación de teatro, un baile, etcétera. Se regresa y se solicita otro grupo de 5 personas mixto, y se le saca del salón llevándolo a otro espacio alejado y del grupo primero, es importante que no se vean estos dos grupos. Se va con el segundo grupo, y se les indica que su instrucción es intervenir las actividades del primer grupo. A la pregunta de “¿Cómo?” Se les indica que como lo tengan que hacer, pero que intervengan sus actividades cuando el instructor lo indique. Finalmente se va con el tercer grupo y se les indica que ello “observen y háganlo que tengan que hacer”. Se deja que el primer grupo se organice, y que ejercite su actividad. Después de un rato pasa al salón –donde está el tercer grupo– y se deja que organicen sus actividades durante un rato. Mientras realizan su actividad, se pide al grupo número dos que se acerque a la puerta para que entre. Una vez que el otro grupo se encuentra “encarrilado” haciendo su actividad, se le permite entrar al segundo grupo. Se hace un caos porque empieza el bloqueo de actividades. Se observan formas de violencia y resistencia.</w:t>
            </w:r>
          </w:p>
          <w:p>
            <w:pPr>
              <w:pStyle w:val="TableParagraph"/>
              <w:spacing w:line="360" w:lineRule="auto" w:before="5"/>
              <w:ind w:left="98" w:right="164"/>
              <w:rPr>
                <w:sz w:val="24"/>
              </w:rPr>
            </w:pPr>
            <w:r>
              <w:rPr>
                <w:sz w:val="24"/>
              </w:rPr>
              <w:t>Formas de maltrato. La gente mira a la facilitador/a esperando que haga algo, pero no hace nada. Se • deja que suba el nivel del conflicto y de resistencia, hay gente del primer grupo que se resiste y se reagrupa, y otra que “manda todo al diablo”. Una vez que se ha subido mucho el nivel de conflicto se detiene todo y se invita a plenaria. En plenaria se le pregunta al primer grupo cómo se sintió. Se le pide que indique cuál era su mandato, qué hizo, y cómo se sintió.</w:t>
            </w:r>
          </w:p>
          <w:p>
            <w:pPr>
              <w:pStyle w:val="TableParagraph"/>
              <w:spacing w:line="360" w:lineRule="auto" w:before="2"/>
              <w:ind w:left="98" w:right="70"/>
              <w:rPr>
                <w:sz w:val="24"/>
              </w:rPr>
            </w:pPr>
            <w:r>
              <w:rPr>
                <w:sz w:val="24"/>
              </w:rPr>
              <w:t>Uno por uno se le va preguntando al grupo del primer grupo. Se hace énfasis en lo que hizo, si ejercicio o no violencia, si se resistió y cómo, y si alcanzó su objetivo que era realizar una actividad frente al resto del grupo. Lo mismo se hace con el segundo y tercer grupo. “¿Si sentían tan mal porqué continuaron haciendo el ejercicio?” Se abre el debate, y no se da ninguna respuesta del facilitador. Se aborda al segundo grupo: cuál era su mandato, qué hizo, y cómo se sintió. Se escucha y se hace énfasis entre lo que se siente y lo que se hace. Al final se pregunta lo mismo “¿Si sentían tan mal por qué continuaron haciendo el ejercicio?” Se vuelve a abrir el debate en el sentido de que era su mandato y que tenían que hacerlo. Se pregunta quién les dio esa orden, y se señala que el facilitador/a. Éste pregunta “¿Qué tengo yo que no tengan ustedes?” y se señala que “Tú sabes más…” y se dice “Entonces el saber da poder”</w:t>
            </w:r>
          </w:p>
        </w:tc>
      </w:tr>
      <w:tr>
        <w:trPr>
          <w:trHeight w:val="420" w:hRule="exact"/>
        </w:trPr>
        <w:tc>
          <w:tcPr>
            <w:tcW w:w="10548" w:type="dxa"/>
            <w:tcBorders>
              <w:left w:val="single" w:sz="8" w:space="0" w:color="8063A1"/>
              <w:bottom w:val="single" w:sz="8" w:space="0" w:color="8063A1"/>
              <w:right w:val="single" w:sz="8" w:space="0" w:color="8063A1"/>
            </w:tcBorders>
            <w:shd w:val="clear" w:color="auto" w:fill="DFD7E8"/>
          </w:tcPr>
          <w:p>
            <w:pPr>
              <w:pStyle w:val="TableParagraph"/>
              <w:spacing w:line="272" w:lineRule="exact"/>
              <w:ind w:left="98" w:right="284"/>
              <w:rPr>
                <w:sz w:val="24"/>
              </w:rPr>
            </w:pPr>
            <w:r>
              <w:rPr>
                <w:b/>
                <w:i/>
                <w:sz w:val="24"/>
              </w:rPr>
              <w:t>Observaciones: </w:t>
            </w:r>
            <w:r>
              <w:rPr>
                <w:sz w:val="24"/>
              </w:rPr>
              <w:t>esta técnica es retomada integramente de Garda Salas, Roberto [2006].</w:t>
            </w:r>
          </w:p>
        </w:tc>
      </w:tr>
    </w:tbl>
    <w:p>
      <w:pPr>
        <w:spacing w:after="0" w:line="272" w:lineRule="exact"/>
        <w:rPr>
          <w:sz w:val="24"/>
        </w:rPr>
        <w:sectPr>
          <w:pgSz w:w="12240" w:h="15840"/>
          <w:pgMar w:header="0" w:footer="954" w:top="1440" w:bottom="1140" w:left="1220" w:right="240"/>
        </w:sectPr>
      </w:pPr>
    </w:p>
    <w:p>
      <w:pPr>
        <w:pStyle w:val="BodyText"/>
        <w:ind w:left="117"/>
        <w:rPr>
          <w:sz w:val="20"/>
        </w:rPr>
      </w:pPr>
      <w:r>
        <w:rPr>
          <w:sz w:val="20"/>
        </w:rPr>
        <w:pict>
          <v:group style="width:528.85pt;height:22.3pt;mso-position-horizontal-relative:char;mso-position-vertical-relative:line" coordorigin="0,0" coordsize="10577,446">
            <v:rect style="position:absolute;left:24;top:10;width:10528;height:406" filled="true" fillcolor="#dfd7e8" stroked="false">
              <v:fill type="solid"/>
            </v:rect>
            <v:rect style="position:absolute;left:123;top:10;width:10331;height:276" filled="true" fillcolor="#dfd7e8" stroked="false">
              <v:fill type="solid"/>
            </v:rect>
            <v:line style="position:absolute" from="5,5" to="10553,5" stroked="true" strokeweight=".48pt" strokecolor="#000000"/>
            <v:line style="position:absolute" from="10553,5" to="10572,5" stroked="true" strokeweight=".48pt" strokecolor="#000000"/>
            <v:line style="position:absolute" from="15,10" to="15,435" stroked="true" strokeweight=".96pt" strokecolor="#8063a1"/>
            <v:rect style="position:absolute;left:24;top:416;width:10528;height:19" filled="true" fillcolor="#8063a1" stroked="false">
              <v:fill type="solid"/>
            </v:rect>
            <v:line style="position:absolute" from="10562,10" to="10562,435" stroked="true" strokeweight=".95996pt" strokecolor="#8063a1"/>
          </v:group>
        </w:pict>
      </w:r>
      <w:r>
        <w:rPr>
          <w:sz w:val="20"/>
        </w:rPr>
      </w:r>
    </w:p>
    <w:p>
      <w:pPr>
        <w:pStyle w:val="BodyText"/>
        <w:rPr>
          <w:b/>
          <w:sz w:val="20"/>
        </w:rPr>
      </w:pPr>
    </w:p>
    <w:p>
      <w:pPr>
        <w:pStyle w:val="BodyText"/>
        <w:spacing w:before="2"/>
        <w:rPr>
          <w:b/>
          <w:sz w:val="23"/>
        </w:rPr>
      </w:pPr>
    </w:p>
    <w:tbl>
      <w:tblPr>
        <w:tblW w:w="0" w:type="auto"/>
        <w:jc w:val="left"/>
        <w:tblInd w:w="12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2494"/>
        <w:gridCol w:w="3060"/>
        <w:gridCol w:w="2338"/>
      </w:tblGrid>
      <w:tr>
        <w:trPr>
          <w:trHeight w:val="490" w:hRule="exact"/>
        </w:trPr>
        <w:tc>
          <w:tcPr>
            <w:tcW w:w="2655" w:type="dxa"/>
            <w:shd w:val="clear" w:color="auto" w:fill="DFD7E8"/>
          </w:tcPr>
          <w:p>
            <w:pPr>
              <w:pStyle w:val="TableParagraph"/>
              <w:spacing w:line="260" w:lineRule="exact"/>
              <w:ind w:left="98"/>
              <w:rPr>
                <w:i/>
                <w:sz w:val="24"/>
              </w:rPr>
            </w:pPr>
            <w:r>
              <w:rPr>
                <w:b/>
                <w:i/>
                <w:sz w:val="24"/>
              </w:rPr>
              <w:t>Número de sesión:</w:t>
            </w:r>
            <w:r>
              <w:rPr>
                <w:i/>
                <w:sz w:val="24"/>
              </w:rPr>
              <w:t>6</w:t>
            </w:r>
          </w:p>
        </w:tc>
        <w:tc>
          <w:tcPr>
            <w:tcW w:w="2494" w:type="dxa"/>
            <w:tcBorders>
              <w:top w:val="nil"/>
              <w:right w:val="nil"/>
            </w:tcBorders>
          </w:tcPr>
          <w:p>
            <w:pPr/>
          </w:p>
        </w:tc>
        <w:tc>
          <w:tcPr>
            <w:tcW w:w="3060" w:type="dxa"/>
            <w:tcBorders>
              <w:top w:val="nil"/>
              <w:left w:val="nil"/>
              <w:right w:val="single" w:sz="8" w:space="0" w:color="FFFFFF"/>
            </w:tcBorders>
          </w:tcPr>
          <w:p>
            <w:pPr/>
          </w:p>
        </w:tc>
        <w:tc>
          <w:tcPr>
            <w:tcW w:w="2338" w:type="dxa"/>
            <w:tcBorders>
              <w:top w:val="nil"/>
              <w:left w:val="single" w:sz="8" w:space="0" w:color="FFFFFF"/>
              <w:right w:val="nil"/>
            </w:tcBorders>
          </w:tcPr>
          <w:p>
            <w:pPr/>
          </w:p>
        </w:tc>
      </w:tr>
      <w:tr>
        <w:trPr>
          <w:trHeight w:val="1676" w:hRule="exact"/>
        </w:trPr>
        <w:tc>
          <w:tcPr>
            <w:tcW w:w="2655" w:type="dxa"/>
            <w:shd w:val="clear" w:color="auto" w:fill="DFD7E8"/>
          </w:tcPr>
          <w:p>
            <w:pPr>
              <w:pStyle w:val="TableParagraph"/>
              <w:spacing w:line="272" w:lineRule="exact"/>
              <w:ind w:left="98"/>
              <w:rPr>
                <w:b/>
                <w:i/>
                <w:sz w:val="24"/>
              </w:rPr>
            </w:pPr>
            <w:r>
              <w:rPr>
                <w:b/>
                <w:i/>
                <w:sz w:val="24"/>
              </w:rPr>
              <w:t>Nombre:</w:t>
            </w:r>
          </w:p>
          <w:p>
            <w:pPr>
              <w:pStyle w:val="TableParagraph"/>
              <w:ind w:left="98"/>
              <w:rPr>
                <w:sz w:val="24"/>
              </w:rPr>
            </w:pPr>
            <w:r>
              <w:rPr>
                <w:sz w:val="24"/>
              </w:rPr>
              <w:t>Recolectando firmas</w:t>
            </w:r>
          </w:p>
        </w:tc>
        <w:tc>
          <w:tcPr>
            <w:tcW w:w="2494" w:type="dxa"/>
          </w:tcPr>
          <w:p>
            <w:pPr>
              <w:pStyle w:val="TableParagraph"/>
              <w:tabs>
                <w:tab w:pos="2377" w:val="right" w:leader="none"/>
              </w:tabs>
              <w:spacing w:line="272" w:lineRule="exact"/>
              <w:ind w:left="98"/>
              <w:rPr>
                <w:sz w:val="24"/>
              </w:rPr>
            </w:pPr>
            <w:r>
              <w:rPr>
                <w:b/>
                <w:i/>
                <w:sz w:val="24"/>
              </w:rPr>
              <w:t>Tiempo:</w:t>
            </w:r>
            <w:r>
              <w:rPr>
                <w:sz w:val="24"/>
              </w:rPr>
              <w:tab/>
              <w:t>45-60</w:t>
            </w:r>
          </w:p>
          <w:p>
            <w:pPr>
              <w:pStyle w:val="TableParagraph"/>
              <w:ind w:left="98"/>
              <w:rPr>
                <w:sz w:val="24"/>
              </w:rPr>
            </w:pPr>
            <w:r>
              <w:rPr>
                <w:sz w:val="24"/>
              </w:rPr>
              <w:t>minutos</w:t>
            </w:r>
          </w:p>
        </w:tc>
        <w:tc>
          <w:tcPr>
            <w:tcW w:w="5399" w:type="dxa"/>
            <w:gridSpan w:val="2"/>
            <w:shd w:val="clear" w:color="auto" w:fill="DFD7E8"/>
          </w:tcPr>
          <w:p>
            <w:pPr>
              <w:pStyle w:val="TableParagraph"/>
              <w:ind w:left="98" w:right="257"/>
              <w:rPr>
                <w:sz w:val="24"/>
              </w:rPr>
            </w:pPr>
            <w:r>
              <w:rPr>
                <w:b/>
                <w:i/>
                <w:sz w:val="24"/>
              </w:rPr>
              <w:t>Materiales: </w:t>
            </w:r>
            <w:r>
              <w:rPr>
                <w:sz w:val="24"/>
              </w:rPr>
              <w:t>Un salón amplio y bien iluminado, una hoja por participante, plumas de diversos colores, una por cada participante, pedazos de papel que contengan el nombre de alguna ITS, y tres papeles que contengan la palabra condón.</w:t>
            </w:r>
          </w:p>
        </w:tc>
      </w:tr>
      <w:tr>
        <w:trPr>
          <w:trHeight w:val="1539" w:hRule="exact"/>
        </w:trPr>
        <w:tc>
          <w:tcPr>
            <w:tcW w:w="8209" w:type="dxa"/>
            <w:gridSpan w:val="3"/>
            <w:shd w:val="clear" w:color="auto" w:fill="DFD7E8"/>
          </w:tcPr>
          <w:p>
            <w:pPr>
              <w:pStyle w:val="TableParagraph"/>
              <w:spacing w:line="360" w:lineRule="auto"/>
              <w:ind w:left="98" w:right="228"/>
              <w:rPr>
                <w:sz w:val="24"/>
              </w:rPr>
            </w:pPr>
            <w:r>
              <w:rPr>
                <w:b/>
                <w:i/>
                <w:sz w:val="24"/>
              </w:rPr>
              <w:t>Objetivo: </w:t>
            </w:r>
            <w:r>
              <w:rPr>
                <w:sz w:val="24"/>
              </w:rPr>
              <w:t>Sensibilizar a los participantes sobre la responsabilidad del uso del condón y así como que visualicen el no uso del mismo como una práctica de alto riesgo que violenta su integridad y la de la pareja</w:t>
            </w:r>
          </w:p>
        </w:tc>
        <w:tc>
          <w:tcPr>
            <w:tcW w:w="2338" w:type="dxa"/>
            <w:shd w:val="clear" w:color="auto" w:fill="DFD7E8"/>
          </w:tcPr>
          <w:p>
            <w:pPr>
              <w:pStyle w:val="TableParagraph"/>
              <w:spacing w:line="273" w:lineRule="exact"/>
              <w:ind w:left="98"/>
              <w:rPr>
                <w:b/>
                <w:i/>
                <w:sz w:val="24"/>
              </w:rPr>
            </w:pPr>
            <w:r>
              <w:rPr>
                <w:b/>
                <w:i/>
                <w:sz w:val="24"/>
              </w:rPr>
              <w:t>No. De personas:</w:t>
            </w:r>
          </w:p>
          <w:p>
            <w:pPr>
              <w:pStyle w:val="TableParagraph"/>
              <w:ind w:left="98"/>
              <w:rPr>
                <w:sz w:val="24"/>
              </w:rPr>
            </w:pPr>
            <w:r>
              <w:rPr>
                <w:sz w:val="24"/>
              </w:rPr>
              <w:t>20-25</w:t>
            </w:r>
          </w:p>
        </w:tc>
      </w:tr>
      <w:tr>
        <w:trPr>
          <w:trHeight w:val="7881" w:hRule="exact"/>
        </w:trPr>
        <w:tc>
          <w:tcPr>
            <w:tcW w:w="10548" w:type="dxa"/>
            <w:gridSpan w:val="4"/>
            <w:tcBorders>
              <w:bottom w:val="single" w:sz="4" w:space="0" w:color="000000"/>
            </w:tcBorders>
            <w:shd w:val="clear" w:color="auto" w:fill="DFD7E8"/>
          </w:tcPr>
          <w:p>
            <w:pPr>
              <w:pStyle w:val="TableParagraph"/>
              <w:spacing w:line="360" w:lineRule="auto"/>
              <w:ind w:left="98" w:right="109"/>
              <w:rPr>
                <w:sz w:val="24"/>
              </w:rPr>
            </w:pPr>
            <w:r>
              <w:rPr>
                <w:sz w:val="24"/>
              </w:rPr>
              <w:t>Se les entrega a cada participante un papel, doblado a tal forma que no se pueda identificar el contenido del mismo, se les pide que por ningún motivo se vea el contenido. Se elige a un participante al azar y no se le entrega papelito alguno, se le invita a que salga de la sal y permanezca ahí por unos minutos. Se les informa a los participantes que a continuación se realizará un concurso y que el objetivo es identificar quien es más popular y tiene mayor cantidad de firmas. Tendrán 15 minutos para realizar la mayor cantidad de firmas, quien cuenten con un mayor número ganarán un premio. Cabe mencionar que pueden repetir las firmas las veces que quieran, y que deben identificar la primer firma que les otorguen, encerrándola en un círculo y poniendo el nombre de la persona arriba de la misma. Una vez dadas las indicaciones se les pide que comience, mientras tanto se le indica al participante que se encontraba fuera</w:t>
            </w:r>
            <w:r>
              <w:rPr>
                <w:spacing w:val="-37"/>
                <w:sz w:val="24"/>
              </w:rPr>
              <w:t> </w:t>
            </w:r>
            <w:r>
              <w:rPr>
                <w:sz w:val="24"/>
              </w:rPr>
              <w:t>que ingrese, se le explica que le solicitarán la su firma, y que, por ningún motivo debe firmar ningún papel, y aunado a lo anterior no debe dar una explicación del porqué no desea firmar. Se deja transcurrir la actividad con normalidad, una vez concluido el tiempo se les invita a que formen un círculo, y cuenten sus firmas, a continuación se les pide que identifiquen quien les firmó primero, se elige a un voluntario, menciona quien es la persona que le firmó primero. Esta persona pasa al frente, se le pide que destape su papelito, lo leerá en voz alta, y a continuación se les informa a las personas que, a quienes les haya firmado primero estarán infectados de </w:t>
            </w:r>
            <w:r>
              <w:rPr>
                <w:spacing w:val="2"/>
                <w:sz w:val="24"/>
              </w:rPr>
              <w:t>esa </w:t>
            </w:r>
            <w:r>
              <w:rPr>
                <w:sz w:val="24"/>
              </w:rPr>
              <w:t>ITS, se pasa todos los participantes. A continuación se les informa que quienes hayan contado con el papel de condón tuvieron un menor riesgo, pero qué sin embargo no se encuentran exentos</w:t>
            </w:r>
            <w:r>
              <w:rPr>
                <w:spacing w:val="-30"/>
                <w:sz w:val="24"/>
              </w:rPr>
              <w:t> </w:t>
            </w:r>
            <w:r>
              <w:rPr>
                <w:sz w:val="24"/>
              </w:rPr>
              <w:t>y</w:t>
            </w:r>
          </w:p>
        </w:tc>
      </w:tr>
    </w:tbl>
    <w:p>
      <w:pPr>
        <w:spacing w:after="0" w:line="360" w:lineRule="auto"/>
        <w:rPr>
          <w:sz w:val="24"/>
        </w:rPr>
        <w:sectPr>
          <w:pgSz w:w="12240" w:h="15840"/>
          <w:pgMar w:header="0" w:footer="954" w:top="1440" w:bottom="1140" w:left="1200" w:right="240"/>
        </w:sectPr>
      </w:pPr>
    </w:p>
    <w:tbl>
      <w:tblPr>
        <w:tblW w:w="0" w:type="auto"/>
        <w:jc w:val="left"/>
        <w:tblInd w:w="10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057"/>
        <w:gridCol w:w="2775"/>
      </w:tblGrid>
      <w:tr>
        <w:trPr>
          <w:trHeight w:val="4155" w:hRule="exact"/>
        </w:trPr>
        <w:tc>
          <w:tcPr>
            <w:tcW w:w="10548" w:type="dxa"/>
            <w:gridSpan w:val="4"/>
            <w:tcBorders>
              <w:bottom w:val="single" w:sz="4" w:space="0" w:color="000000"/>
            </w:tcBorders>
            <w:shd w:val="clear" w:color="auto" w:fill="DFD7E8"/>
          </w:tcPr>
          <w:p>
            <w:pPr>
              <w:pStyle w:val="TableParagraph"/>
              <w:spacing w:line="360" w:lineRule="auto"/>
              <w:ind w:left="98" w:right="125"/>
              <w:rPr>
                <w:sz w:val="24"/>
              </w:rPr>
            </w:pPr>
            <w:r>
              <w:rPr>
                <w:sz w:val="24"/>
              </w:rPr>
              <w:t>necesitarán realizarse estudios para corroborar. A continuación se les invita a que realicen una reflexión ¿Cómo creen que estás firmas corresponden a un modelo de masculinidad tradicional en el que tener relaciones sexuales sin condón y con múltiples parejas constituye un riesgo para la salud propia y de la pareja? ¿Creen que en la vida real se de este tipo de “competencia por firmas”? ¿Cómo se comportaron con aquel participante que  se negaba a firmar? ¿Cómo sería en la vida real el trato hacia una persona que no quiere “firmar”? ¿Qué atribuciones negativas ven a partir del juego? ¿Qué pudieron hacer para evitar esto? Se les invita a que reflexionen sobre las ITS y su baja posibilidad de ser identificadas a simple vista y a que consideren que el número de personas que tenían el papelito con la palabra condón corresponden a una representación del número de jóvenes que utilizan el condón en México según cifras oficiales.</w:t>
            </w:r>
          </w:p>
        </w:tc>
      </w:tr>
      <w:tr>
        <w:trPr>
          <w:trHeight w:val="1394"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r>
        <w:trPr>
          <w:trHeight w:val="850" w:hRule="exact"/>
        </w:trPr>
        <w:tc>
          <w:tcPr>
            <w:tcW w:w="2655" w:type="dxa"/>
            <w:shd w:val="clear" w:color="auto" w:fill="DFD7E8"/>
          </w:tcPr>
          <w:p>
            <w:pPr>
              <w:pStyle w:val="TableParagraph"/>
              <w:spacing w:line="274" w:lineRule="exact"/>
              <w:ind w:left="98"/>
              <w:rPr>
                <w:sz w:val="24"/>
              </w:rPr>
            </w:pPr>
            <w:r>
              <w:rPr>
                <w:b/>
                <w:i/>
                <w:sz w:val="24"/>
              </w:rPr>
              <w:t>Nombre: </w:t>
            </w:r>
            <w:r>
              <w:rPr>
                <w:sz w:val="24"/>
              </w:rPr>
              <w:t>Mi carta</w:t>
            </w:r>
          </w:p>
        </w:tc>
        <w:tc>
          <w:tcPr>
            <w:tcW w:w="3061" w:type="dxa"/>
          </w:tcPr>
          <w:p>
            <w:pPr>
              <w:pStyle w:val="TableParagraph"/>
              <w:spacing w:line="274" w:lineRule="exact"/>
              <w:ind w:left="98"/>
              <w:rPr>
                <w:sz w:val="24"/>
              </w:rPr>
            </w:pPr>
            <w:r>
              <w:rPr>
                <w:b/>
                <w:i/>
                <w:sz w:val="24"/>
              </w:rPr>
              <w:t>Tiempo: </w:t>
            </w:r>
            <w:r>
              <w:rPr>
                <w:sz w:val="24"/>
              </w:rPr>
              <w:t>60-90 minutos</w:t>
            </w:r>
          </w:p>
        </w:tc>
        <w:tc>
          <w:tcPr>
            <w:tcW w:w="4832" w:type="dxa"/>
            <w:gridSpan w:val="2"/>
            <w:shd w:val="clear" w:color="auto" w:fill="DFD7E8"/>
          </w:tcPr>
          <w:p>
            <w:pPr>
              <w:pStyle w:val="TableParagraph"/>
              <w:ind w:left="98" w:right="118"/>
              <w:rPr>
                <w:sz w:val="24"/>
              </w:rPr>
            </w:pPr>
            <w:r>
              <w:rPr>
                <w:b/>
                <w:i/>
                <w:sz w:val="24"/>
              </w:rPr>
              <w:t>Materiales: </w:t>
            </w:r>
            <w:r>
              <w:rPr>
                <w:sz w:val="24"/>
              </w:rPr>
              <w:t>Una hoja de papel y un bolígrafo por cada participante, un tapete por cada participante.</w:t>
            </w:r>
          </w:p>
        </w:tc>
      </w:tr>
      <w:tr>
        <w:trPr>
          <w:trHeight w:val="1261" w:hRule="exact"/>
        </w:trPr>
        <w:tc>
          <w:tcPr>
            <w:tcW w:w="7773" w:type="dxa"/>
            <w:gridSpan w:val="3"/>
            <w:shd w:val="clear" w:color="auto" w:fill="DFD7E8"/>
          </w:tcPr>
          <w:p>
            <w:pPr>
              <w:pStyle w:val="TableParagraph"/>
              <w:spacing w:line="360" w:lineRule="auto"/>
              <w:ind w:left="98" w:right="98"/>
              <w:rPr>
                <w:sz w:val="24"/>
              </w:rPr>
            </w:pPr>
            <w:r>
              <w:rPr>
                <w:b/>
                <w:i/>
                <w:sz w:val="24"/>
              </w:rPr>
              <w:t>Objetivo: </w:t>
            </w:r>
            <w:r>
              <w:rPr>
                <w:sz w:val="24"/>
              </w:rPr>
              <w:t>Mostrar a los participantes la implicación de tener conductas sexuales de alto riesgo y el impacto en sus relaciones familiares, de noviazgo, escolares, etcétera.</w:t>
            </w:r>
          </w:p>
        </w:tc>
        <w:tc>
          <w:tcPr>
            <w:tcW w:w="2775" w:type="dxa"/>
            <w:shd w:val="clear" w:color="auto" w:fill="DFD7E8"/>
          </w:tcPr>
          <w:p>
            <w:pPr>
              <w:pStyle w:val="TableParagraph"/>
              <w:ind w:left="98" w:right="250"/>
              <w:rPr>
                <w:sz w:val="24"/>
              </w:rPr>
            </w:pPr>
            <w:r>
              <w:rPr>
                <w:b/>
                <w:i/>
                <w:sz w:val="24"/>
              </w:rPr>
              <w:t>No. De personas: </w:t>
            </w:r>
            <w:r>
              <w:rPr>
                <w:sz w:val="24"/>
              </w:rPr>
              <w:t>20- 25</w:t>
            </w:r>
          </w:p>
        </w:tc>
      </w:tr>
      <w:tr>
        <w:trPr>
          <w:trHeight w:val="4156" w:hRule="exact"/>
        </w:trPr>
        <w:tc>
          <w:tcPr>
            <w:tcW w:w="10548" w:type="dxa"/>
            <w:gridSpan w:val="4"/>
            <w:tcBorders>
              <w:bottom w:val="single" w:sz="4" w:space="0" w:color="000000"/>
            </w:tcBorders>
            <w:shd w:val="clear" w:color="auto" w:fill="DFD7E8"/>
          </w:tcPr>
          <w:p>
            <w:pPr>
              <w:pStyle w:val="TableParagraph"/>
              <w:ind w:left="98" w:right="70"/>
              <w:rPr>
                <w:sz w:val="24"/>
              </w:rPr>
            </w:pPr>
            <w:r>
              <w:rPr>
                <w:sz w:val="24"/>
              </w:rPr>
              <w:t>Se les pide a los participantes que se recuesten en el tapete y cierren los ojos, a continuación se les invita a realizar un ejercicio breve de respiración guiada. Una vez que se sientan relajados se les invita a que se imaginen en una situación como la anterior, fueron a una fiesta en la cual realizaron conductas sexuales de alto riesgo. A algunas personas se les ha otorgado su diagnóstico, sin embargo, a aquellas que decidieron utilizar condón tienen una situación relativa de seguridad, pero sus estudios están pendientes y no obtendrán resultados hasta dentro de unos días. ¿Cómo se sienten? A continuación se les indica que imaginen que se encuentran frente a sus parejas sentimentales. ¿Qué les dirían al respecto? ¿Cómo se lo dirían? ¿De qué forma reaccionarían las personas que le rodean? ¿Se modificarían sus planes de vida? ¿En qué forma? A continuación se les pide que abran los ojos. Se les entrega la hora y se les informa que tendrán que escribir una carta a sus parejas, en caso de no tener pareja a sus padres o madres, a sus hermanos/as. Una vez que hayan concluido se les pide que se lean las actividades en plenaria.</w:t>
            </w:r>
          </w:p>
          <w:p>
            <w:pPr>
              <w:pStyle w:val="TableParagraph"/>
              <w:ind w:left="98" w:right="284"/>
              <w:rPr>
                <w:sz w:val="24"/>
              </w:rPr>
            </w:pPr>
            <w:r>
              <w:rPr>
                <w:sz w:val="24"/>
              </w:rPr>
              <w:t>Se les invita a los participantes a retroalimentar la lectura de sus compañeros. Al final se les invita a que se elaboren conclusiones  generales respecto a lo acontecido.</w:t>
            </w:r>
          </w:p>
        </w:tc>
      </w:tr>
      <w:tr>
        <w:trPr>
          <w:trHeight w:val="1119" w:hRule="exact"/>
        </w:trPr>
        <w:tc>
          <w:tcPr>
            <w:tcW w:w="10548" w:type="dxa"/>
            <w:gridSpan w:val="4"/>
            <w:tcBorders>
              <w:top w:val="single" w:sz="4" w:space="0" w:color="000000"/>
            </w:tcBorders>
            <w:shd w:val="clear" w:color="auto" w:fill="DFD7E8"/>
          </w:tcPr>
          <w:p>
            <w:pPr>
              <w:pStyle w:val="TableParagraph"/>
              <w:spacing w:line="272" w:lineRule="exact"/>
              <w:ind w:left="98" w:right="284"/>
              <w:rPr>
                <w:b/>
                <w:i/>
                <w:sz w:val="24"/>
              </w:rPr>
            </w:pPr>
            <w:r>
              <w:rPr>
                <w:b/>
                <w:i/>
                <w:sz w:val="24"/>
              </w:rPr>
              <w:t>Observaciones:</w:t>
            </w:r>
          </w:p>
        </w:tc>
      </w:tr>
    </w:tbl>
    <w:p>
      <w:pPr>
        <w:spacing w:after="0" w:line="272" w:lineRule="exact"/>
        <w:rPr>
          <w:sz w:val="24"/>
        </w:rPr>
        <w:sectPr>
          <w:pgSz w:w="12240" w:h="15840"/>
          <w:pgMar w:header="0" w:footer="954" w:top="1440" w:bottom="1140" w:left="1220" w:right="240"/>
        </w:sectPr>
      </w:pPr>
    </w:p>
    <w:p>
      <w:pPr>
        <w:pStyle w:val="BodyText"/>
        <w:ind w:left="117"/>
        <w:rPr>
          <w:sz w:val="20"/>
        </w:rPr>
      </w:pPr>
      <w:r>
        <w:rPr>
          <w:sz w:val="20"/>
        </w:rPr>
        <w:pict>
          <v:group style="width:528.85pt;height:22.3pt;mso-position-horizontal-relative:char;mso-position-vertical-relative:line" coordorigin="0,0" coordsize="10577,446">
            <v:rect style="position:absolute;left:24;top:10;width:10528;height:406" filled="true" fillcolor="#dfd7e8" stroked="false">
              <v:fill type="solid"/>
            </v:rect>
            <v:rect style="position:absolute;left:123;top:10;width:10331;height:276" filled="true" fillcolor="#dfd7e8" stroked="false">
              <v:fill type="solid"/>
            </v:rect>
            <v:line style="position:absolute" from="5,5" to="10553,5" stroked="true" strokeweight=".48pt" strokecolor="#000000"/>
            <v:line style="position:absolute" from="10553,5" to="10572,5" stroked="true" strokeweight=".48pt" strokecolor="#000000"/>
            <v:line style="position:absolute" from="15,10" to="15,435" stroked="true" strokeweight=".96pt" strokecolor="#8063a1"/>
            <v:rect style="position:absolute;left:24;top:416;width:10528;height:19" filled="true" fillcolor="#8063a1" stroked="false">
              <v:fill type="solid"/>
            </v:rect>
            <v:line style="position:absolute" from="10562,10" to="10562,435" stroked="true" strokeweight=".95996pt" strokecolor="#8063a1"/>
          </v:group>
        </w:pict>
      </w:r>
      <w:r>
        <w:rPr>
          <w:sz w:val="20"/>
        </w:rPr>
      </w:r>
    </w:p>
    <w:p>
      <w:pPr>
        <w:pStyle w:val="BodyText"/>
        <w:rPr>
          <w:b/>
          <w:sz w:val="20"/>
        </w:rPr>
      </w:pPr>
    </w:p>
    <w:p>
      <w:pPr>
        <w:pStyle w:val="BodyText"/>
        <w:spacing w:before="2"/>
        <w:rPr>
          <w:b/>
          <w:sz w:val="23"/>
        </w:rPr>
      </w:pPr>
    </w:p>
    <w:tbl>
      <w:tblPr>
        <w:tblW w:w="0" w:type="auto"/>
        <w:jc w:val="left"/>
        <w:tblInd w:w="122"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CellMar>
          <w:top w:w="0" w:type="dxa"/>
          <w:left w:w="0" w:type="dxa"/>
          <w:bottom w:w="0" w:type="dxa"/>
          <w:right w:w="0" w:type="dxa"/>
        </w:tblCellMar>
        <w:tblLook w:val="01E0"/>
      </w:tblPr>
      <w:tblGrid>
        <w:gridCol w:w="2655"/>
        <w:gridCol w:w="3061"/>
        <w:gridCol w:w="2404"/>
        <w:gridCol w:w="2428"/>
      </w:tblGrid>
      <w:tr>
        <w:trPr>
          <w:trHeight w:val="490" w:hRule="exact"/>
        </w:trPr>
        <w:tc>
          <w:tcPr>
            <w:tcW w:w="2655" w:type="dxa"/>
            <w:shd w:val="clear" w:color="auto" w:fill="DFD7E8"/>
          </w:tcPr>
          <w:p>
            <w:pPr>
              <w:pStyle w:val="TableParagraph"/>
              <w:spacing w:line="260" w:lineRule="exact"/>
              <w:ind w:left="98"/>
              <w:rPr>
                <w:i/>
                <w:sz w:val="24"/>
              </w:rPr>
            </w:pPr>
            <w:r>
              <w:rPr>
                <w:b/>
                <w:i/>
                <w:sz w:val="24"/>
              </w:rPr>
              <w:t>Número de sesión: </w:t>
            </w:r>
            <w:r>
              <w:rPr>
                <w:i/>
                <w:sz w:val="24"/>
              </w:rPr>
              <w:t>7</w:t>
            </w:r>
          </w:p>
        </w:tc>
        <w:tc>
          <w:tcPr>
            <w:tcW w:w="3061" w:type="dxa"/>
            <w:tcBorders>
              <w:top w:val="nil"/>
              <w:right w:val="nil"/>
            </w:tcBorders>
          </w:tcPr>
          <w:p>
            <w:pPr/>
          </w:p>
        </w:tc>
        <w:tc>
          <w:tcPr>
            <w:tcW w:w="2404" w:type="dxa"/>
            <w:tcBorders>
              <w:top w:val="nil"/>
              <w:left w:val="nil"/>
              <w:right w:val="single" w:sz="9" w:space="0" w:color="FFFFFF"/>
            </w:tcBorders>
          </w:tcPr>
          <w:p>
            <w:pPr/>
          </w:p>
        </w:tc>
        <w:tc>
          <w:tcPr>
            <w:tcW w:w="2428" w:type="dxa"/>
            <w:tcBorders>
              <w:top w:val="nil"/>
              <w:left w:val="single" w:sz="9" w:space="0" w:color="FFFFFF"/>
              <w:right w:val="nil"/>
            </w:tcBorders>
          </w:tcPr>
          <w:p>
            <w:pPr/>
          </w:p>
        </w:tc>
      </w:tr>
      <w:tr>
        <w:trPr>
          <w:trHeight w:val="1400" w:hRule="exact"/>
        </w:trPr>
        <w:tc>
          <w:tcPr>
            <w:tcW w:w="2655" w:type="dxa"/>
            <w:shd w:val="clear" w:color="auto" w:fill="DFD7E8"/>
          </w:tcPr>
          <w:p>
            <w:pPr>
              <w:pStyle w:val="TableParagraph"/>
              <w:ind w:left="98" w:right="382"/>
              <w:rPr>
                <w:sz w:val="24"/>
              </w:rPr>
            </w:pPr>
            <w:r>
              <w:rPr>
                <w:b/>
                <w:i/>
                <w:sz w:val="24"/>
              </w:rPr>
              <w:t>Nombre: </w:t>
            </w:r>
            <w:r>
              <w:rPr>
                <w:sz w:val="24"/>
              </w:rPr>
              <w:t>Mi sexualidad no es un pene</w:t>
            </w:r>
          </w:p>
        </w:tc>
        <w:tc>
          <w:tcPr>
            <w:tcW w:w="3061" w:type="dxa"/>
          </w:tcPr>
          <w:p>
            <w:pPr>
              <w:pStyle w:val="TableParagraph"/>
              <w:spacing w:line="272" w:lineRule="exact"/>
              <w:ind w:left="98"/>
              <w:rPr>
                <w:sz w:val="24"/>
              </w:rPr>
            </w:pPr>
            <w:r>
              <w:rPr>
                <w:b/>
                <w:i/>
                <w:sz w:val="24"/>
              </w:rPr>
              <w:t>Tiempo:</w:t>
            </w:r>
            <w:r>
              <w:rPr>
                <w:sz w:val="24"/>
              </w:rPr>
              <w:t>100 minutos</w:t>
            </w:r>
          </w:p>
        </w:tc>
        <w:tc>
          <w:tcPr>
            <w:tcW w:w="4832" w:type="dxa"/>
            <w:gridSpan w:val="2"/>
            <w:shd w:val="clear" w:color="auto" w:fill="DFD7E8"/>
          </w:tcPr>
          <w:p>
            <w:pPr>
              <w:pStyle w:val="TableParagraph"/>
              <w:ind w:left="98" w:right="199"/>
              <w:rPr>
                <w:sz w:val="24"/>
              </w:rPr>
            </w:pPr>
            <w:r>
              <w:rPr>
                <w:b/>
                <w:i/>
                <w:sz w:val="24"/>
              </w:rPr>
              <w:t>Materiales: </w:t>
            </w:r>
            <w:r>
              <w:rPr>
                <w:sz w:val="24"/>
              </w:rPr>
              <w:t>Una manta, velas aromáticas, cascaras de naranjas, plumas, inciensos, grabadora y música relajante, un trozo de tela para cubrir sus ojos, una pieza de chocolate, una esponja y una lija.</w:t>
            </w:r>
          </w:p>
        </w:tc>
      </w:tr>
      <w:tr>
        <w:trPr>
          <w:trHeight w:val="2367" w:hRule="exact"/>
        </w:trPr>
        <w:tc>
          <w:tcPr>
            <w:tcW w:w="8119" w:type="dxa"/>
            <w:gridSpan w:val="3"/>
            <w:shd w:val="clear" w:color="auto" w:fill="DFD7E8"/>
          </w:tcPr>
          <w:p>
            <w:pPr>
              <w:pStyle w:val="TableParagraph"/>
              <w:spacing w:line="360" w:lineRule="auto"/>
              <w:ind w:left="98" w:right="725"/>
              <w:rPr>
                <w:sz w:val="24"/>
              </w:rPr>
            </w:pPr>
            <w:r>
              <w:rPr>
                <w:b/>
                <w:i/>
                <w:sz w:val="24"/>
              </w:rPr>
              <w:t>Objetivo: </w:t>
            </w:r>
            <w:r>
              <w:rPr>
                <w:sz w:val="24"/>
              </w:rPr>
              <w:t>Promover una sexualidad no centrada en la genitalidad masculina, permitir explorar alternativas de la sexualidad masculina. Sensibilizar a los participantes sobre el impacto de los medios [pornografía] en sus relaciones sexuales y el riesgo que implican la misma para ellos y sus parejas.</w:t>
            </w:r>
          </w:p>
        </w:tc>
        <w:tc>
          <w:tcPr>
            <w:tcW w:w="2428" w:type="dxa"/>
            <w:shd w:val="clear" w:color="auto" w:fill="DFD7E8"/>
          </w:tcPr>
          <w:p>
            <w:pPr>
              <w:pStyle w:val="TableParagraph"/>
              <w:spacing w:line="273" w:lineRule="exact"/>
              <w:ind w:left="97"/>
              <w:rPr>
                <w:b/>
                <w:i/>
                <w:sz w:val="24"/>
              </w:rPr>
            </w:pPr>
            <w:r>
              <w:rPr>
                <w:b/>
                <w:i/>
                <w:sz w:val="24"/>
              </w:rPr>
              <w:t>No. De personas:</w:t>
            </w:r>
          </w:p>
          <w:p>
            <w:pPr>
              <w:pStyle w:val="TableParagraph"/>
              <w:ind w:left="97"/>
              <w:rPr>
                <w:sz w:val="24"/>
              </w:rPr>
            </w:pPr>
            <w:r>
              <w:rPr>
                <w:sz w:val="24"/>
              </w:rPr>
              <w:t>20-25</w:t>
            </w:r>
          </w:p>
        </w:tc>
      </w:tr>
      <w:tr>
        <w:trPr>
          <w:trHeight w:val="7467" w:hRule="exact"/>
        </w:trPr>
        <w:tc>
          <w:tcPr>
            <w:tcW w:w="10548" w:type="dxa"/>
            <w:gridSpan w:val="4"/>
            <w:tcBorders>
              <w:bottom w:val="single" w:sz="4" w:space="0" w:color="000000"/>
            </w:tcBorders>
            <w:shd w:val="clear" w:color="auto" w:fill="DFD7E8"/>
          </w:tcPr>
          <w:p>
            <w:pPr>
              <w:pStyle w:val="TableParagraph"/>
              <w:spacing w:line="360" w:lineRule="auto"/>
              <w:ind w:left="98" w:right="124"/>
              <w:rPr>
                <w:sz w:val="24"/>
              </w:rPr>
            </w:pPr>
            <w:r>
              <w:rPr>
                <w:sz w:val="24"/>
              </w:rPr>
              <w:t>Se les pide a los participantes que se recuesten, se les explica que la práctica que realizarán a continuación se basa en la búsqueda de explorar nuevas formas de ejercer la sexualidad. Se les pide que traten de recordar las fuentes a partir de las cuales comenzaron a conocer la sexualidad masculina, </w:t>
            </w:r>
            <w:r>
              <w:rPr>
                <w:i/>
                <w:sz w:val="24"/>
              </w:rPr>
              <w:t>su sexualidad. </w:t>
            </w:r>
            <w:r>
              <w:rPr>
                <w:sz w:val="24"/>
              </w:rPr>
              <w:t>¿Qué características tiene esta sexualidad? Se encienden las velas y los inciensos, apagando las luces artificiales. Se reflexiona un momento sobre las consecuencias de esta conformación de una sexualidad. Se les invita a reflexionar si existe la posibilidad de una sexualidad no centrada en la fuerza, el poder y la </w:t>
            </w:r>
            <w:r>
              <w:rPr>
                <w:i/>
                <w:sz w:val="24"/>
              </w:rPr>
              <w:t>genitalización </w:t>
            </w:r>
            <w:r>
              <w:rPr>
                <w:sz w:val="24"/>
              </w:rPr>
              <w:t>de la misma. A continuación se les pide que cierren los ojos; se realiza un ejercicio breve de respiración en 10 ciclos de inhalación-exhalación, se les pide que se concentren en su respiración, ¿Identifican alguna sensación en el cuerpo? ¿Dónde? ¿Qué sienten? Seles solicita que vayan poco a poco dejando de pensar en cualquier situación. Se da inicio a encender la grabadora, la cual debe contener música de ambientes “naturales”. Con antelación se les informa a los participantes que deben tener disposición de participar, no  manifestando reacciones agresivas.  Se les pide que se les vendaran los ojos. Se les pide que se concentren en la música y en su respiración.</w:t>
            </w:r>
          </w:p>
          <w:p>
            <w:pPr>
              <w:pStyle w:val="TableParagraph"/>
              <w:spacing w:line="360" w:lineRule="auto" w:before="2"/>
              <w:ind w:left="98" w:right="124"/>
              <w:rPr>
                <w:sz w:val="24"/>
              </w:rPr>
            </w:pPr>
            <w:r>
              <w:rPr>
                <w:sz w:val="24"/>
              </w:rPr>
              <w:t>¿Dónde se encuentran? ¿Quién les acompaña? A continuación se les coloca frente a la nariz la cáscara de naranja, se exprime, delicadamente se da pie a que un co-tallerista roce suavemente con una pluma las orejas, el cuello, la frente. Una vez realizada esta acción se les rosan los labios con el chocolate, no dejando que lo muerdan hasta pasadas algunas ocasiones en que lo</w:t>
            </w:r>
          </w:p>
        </w:tc>
      </w:tr>
    </w:tbl>
    <w:p>
      <w:pPr>
        <w:spacing w:after="0" w:line="360" w:lineRule="auto"/>
        <w:rPr>
          <w:sz w:val="24"/>
        </w:rPr>
        <w:sectPr>
          <w:pgSz w:w="12240" w:h="15840"/>
          <w:pgMar w:header="0" w:footer="954" w:top="1440" w:bottom="1140" w:left="1200" w:right="240"/>
        </w:sect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48"/>
      </w:tblGrid>
      <w:tr>
        <w:trPr>
          <w:trHeight w:val="3743" w:hRule="exact"/>
        </w:trPr>
        <w:tc>
          <w:tcPr>
            <w:tcW w:w="10548" w:type="dxa"/>
            <w:tcBorders>
              <w:top w:val="single" w:sz="8" w:space="0" w:color="8063A1"/>
              <w:left w:val="single" w:sz="8" w:space="0" w:color="8063A1"/>
              <w:right w:val="single" w:sz="8" w:space="0" w:color="8063A1"/>
            </w:tcBorders>
            <w:shd w:val="clear" w:color="auto" w:fill="DFD7E8"/>
          </w:tcPr>
          <w:p>
            <w:pPr>
              <w:pStyle w:val="TableParagraph"/>
              <w:spacing w:line="360" w:lineRule="auto"/>
              <w:ind w:left="98" w:right="163"/>
              <w:rPr>
                <w:sz w:val="24"/>
              </w:rPr>
            </w:pPr>
            <w:r>
              <w:rPr>
                <w:sz w:val="24"/>
              </w:rPr>
              <w:t>intente. Una vez que se ha completado este ciclo se les pide que lentamente vayan abriendo los ojos, no pierdan de vista la respiración. Una vez que hayan concluido en abrir los ojos se les pide que den una larga inhalación, exhalen. Una vez que todos los participantes se hayan incorporado se les pide que expresen su sentir, ¿Modifica esto en alguna medida la forma en cómo concebimos las sensaciones del cuerpo? ¿Qué sintieron? ¿Qué piensan ahora respecto a su cuerpo? Se les informa que a continuación ellos serán los encargados de ejecutar este sensorama con sus compañeros. Una vez que ambos subgrupos hayan participado en el sensorama se les pide a los participantes que expresen lo vivido y su relación con la sexualidad “masculina”.</w:t>
            </w:r>
          </w:p>
        </w:tc>
      </w:tr>
      <w:tr>
        <w:trPr>
          <w:trHeight w:val="2498" w:hRule="exact"/>
        </w:trPr>
        <w:tc>
          <w:tcPr>
            <w:tcW w:w="10548" w:type="dxa"/>
            <w:tcBorders>
              <w:left w:val="single" w:sz="8" w:space="0" w:color="8063A1"/>
              <w:bottom w:val="single" w:sz="8" w:space="0" w:color="8063A1"/>
              <w:right w:val="single" w:sz="8" w:space="0" w:color="8063A1"/>
            </w:tcBorders>
            <w:shd w:val="clear" w:color="auto" w:fill="DFD7E8"/>
          </w:tcPr>
          <w:p>
            <w:pPr>
              <w:pStyle w:val="TableParagraph"/>
              <w:spacing w:line="272" w:lineRule="exact"/>
              <w:ind w:left="98" w:right="284"/>
              <w:rPr>
                <w:b/>
                <w:i/>
                <w:sz w:val="24"/>
              </w:rPr>
            </w:pPr>
            <w:r>
              <w:rPr>
                <w:b/>
                <w:i/>
                <w:sz w:val="24"/>
              </w:rPr>
              <w:t>Observaciones:</w:t>
            </w:r>
          </w:p>
          <w:p>
            <w:pPr>
              <w:pStyle w:val="TableParagraph"/>
              <w:ind w:left="98" w:right="284"/>
              <w:rPr>
                <w:b/>
                <w:i/>
                <w:sz w:val="24"/>
              </w:rPr>
            </w:pPr>
            <w:r>
              <w:rPr>
                <w:b/>
                <w:i/>
                <w:sz w:val="24"/>
              </w:rPr>
              <w:t>Se debe procurar que el aroma del incienso no sea demasiado penetrante.</w:t>
            </w:r>
          </w:p>
          <w:p>
            <w:pPr>
              <w:pStyle w:val="TableParagraph"/>
              <w:ind w:left="98" w:right="408"/>
              <w:rPr>
                <w:b/>
                <w:i/>
                <w:sz w:val="24"/>
              </w:rPr>
            </w:pPr>
            <w:r>
              <w:rPr>
                <w:b/>
                <w:i/>
                <w:sz w:val="24"/>
              </w:rPr>
              <w:t>Se les pide a los participantes que asistan sin prendas de cuello alto o mangas largas. </w:t>
            </w:r>
            <w:r>
              <w:rPr>
                <w:b/>
                <w:i/>
                <w:sz w:val="24"/>
              </w:rPr>
              <w:t>Los grupos estarán conformados en dos subgrupos, un primero quien pasará y serán a quienes los facilitadores impartirán el taller, posteriormente este primer subgrupo será quien facilite el sensorama de sus compañeros. Se pide a los participantes que asistan con una pañoleta o paliacate para facilitar el desarrollo.</w:t>
            </w:r>
          </w:p>
        </w:tc>
      </w:tr>
    </w:tbl>
    <w:p>
      <w:pPr>
        <w:pStyle w:val="BodyText"/>
        <w:rPr>
          <w:b/>
          <w:sz w:val="20"/>
        </w:rPr>
      </w:pPr>
    </w:p>
    <w:p>
      <w:pPr>
        <w:pStyle w:val="BodyText"/>
        <w:rPr>
          <w:b/>
          <w:sz w:val="20"/>
        </w:rPr>
      </w:pPr>
    </w:p>
    <w:p>
      <w:pPr>
        <w:pStyle w:val="BodyText"/>
        <w:rPr>
          <w:b/>
          <w:sz w:val="20"/>
        </w:rPr>
      </w:pPr>
    </w:p>
    <w:p>
      <w:pPr>
        <w:pStyle w:val="Heading1"/>
        <w:spacing w:before="201"/>
        <w:ind w:left="220"/>
        <w:jc w:val="left"/>
      </w:pPr>
      <w:r>
        <w:rPr>
          <w:color w:val="365F91"/>
        </w:rPr>
        <w:t>Anexo 3. Fichas técnicas de las cintas sugeridas</w:t>
      </w:r>
    </w:p>
    <w:p>
      <w:pPr>
        <w:pStyle w:val="BodyText"/>
        <w:rPr>
          <w:b/>
          <w:sz w:val="20"/>
        </w:rPr>
      </w:pPr>
    </w:p>
    <w:p>
      <w:pPr>
        <w:pStyle w:val="BodyText"/>
        <w:spacing w:before="2"/>
        <w:rPr>
          <w:b/>
          <w:sz w:val="28"/>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6"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Te doy mis ojos.</w:t>
            </w:r>
          </w:p>
        </w:tc>
      </w:tr>
      <w:tr>
        <w:trPr>
          <w:trHeight w:val="446" w:hRule="exact"/>
        </w:trPr>
        <w:tc>
          <w:tcPr>
            <w:tcW w:w="2088" w:type="dxa"/>
            <w:tcBorders>
              <w:top w:val="single" w:sz="17" w:space="0" w:color="4AACC5"/>
            </w:tcBorders>
            <w:shd w:val="clear" w:color="auto" w:fill="D2EAF0"/>
          </w:tcPr>
          <w:p>
            <w:pPr>
              <w:pStyle w:val="TableParagraph"/>
              <w:spacing w:line="274"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4" w:lineRule="exact"/>
              <w:ind w:left="98"/>
              <w:rPr>
                <w:sz w:val="24"/>
              </w:rPr>
            </w:pPr>
            <w:r>
              <w:rPr>
                <w:sz w:val="24"/>
              </w:rPr>
              <w:t>Icíar Bollaín</w:t>
            </w:r>
          </w:p>
        </w:tc>
      </w:tr>
      <w:tr>
        <w:trPr>
          <w:trHeight w:val="849"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spacing w:line="362" w:lineRule="auto"/>
              <w:ind w:left="98"/>
              <w:rPr>
                <w:sz w:val="24"/>
              </w:rPr>
            </w:pPr>
            <w:r>
              <w:rPr>
                <w:sz w:val="24"/>
              </w:rPr>
              <w:t>Santiago García de Leániz [Producciones la Iguana] y Enrique González Macho [Alta PC]</w:t>
            </w:r>
          </w:p>
        </w:tc>
      </w:tr>
      <w:tr>
        <w:trPr>
          <w:trHeight w:val="433" w:hRule="exact"/>
        </w:trPr>
        <w:tc>
          <w:tcPr>
            <w:tcW w:w="2088" w:type="dxa"/>
            <w:shd w:val="clear" w:color="auto" w:fill="D2EAF0"/>
          </w:tcPr>
          <w:p>
            <w:pPr>
              <w:pStyle w:val="TableParagraph"/>
              <w:spacing w:line="275" w:lineRule="exact"/>
              <w:ind w:left="98"/>
              <w:rPr>
                <w:b/>
                <w:sz w:val="24"/>
              </w:rPr>
            </w:pPr>
            <w:r>
              <w:rPr>
                <w:b/>
                <w:sz w:val="24"/>
              </w:rPr>
              <w:t>País</w:t>
            </w:r>
          </w:p>
        </w:tc>
        <w:tc>
          <w:tcPr>
            <w:tcW w:w="7490" w:type="dxa"/>
            <w:shd w:val="clear" w:color="auto" w:fill="D2EAF0"/>
          </w:tcPr>
          <w:p>
            <w:pPr>
              <w:pStyle w:val="TableParagraph"/>
              <w:spacing w:line="275" w:lineRule="exact"/>
              <w:ind w:left="98"/>
              <w:rPr>
                <w:sz w:val="24"/>
              </w:rPr>
            </w:pPr>
            <w:r>
              <w:rPr>
                <w:sz w:val="24"/>
              </w:rPr>
              <w:t>España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2003</w:t>
            </w:r>
          </w:p>
        </w:tc>
      </w:tr>
    </w:tbl>
    <w:p>
      <w:pPr>
        <w:pStyle w:val="BodyText"/>
        <w:rPr>
          <w:b/>
          <w:sz w:val="20"/>
        </w:rPr>
      </w:pPr>
    </w:p>
    <w:p>
      <w:pPr>
        <w:pStyle w:val="BodyText"/>
        <w:spacing w:before="2" w:after="1"/>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8" w:hRule="exact"/>
        </w:trPr>
        <w:tc>
          <w:tcPr>
            <w:tcW w:w="2088" w:type="dxa"/>
            <w:tcBorders>
              <w:bottom w:val="single" w:sz="17" w:space="0" w:color="4AACC5"/>
            </w:tcBorders>
          </w:tcPr>
          <w:p>
            <w:pPr>
              <w:pStyle w:val="TableParagraph"/>
              <w:ind w:left="98"/>
              <w:rPr>
                <w:b/>
                <w:sz w:val="24"/>
              </w:rPr>
            </w:pPr>
            <w:r>
              <w:rPr>
                <w:b/>
                <w:sz w:val="24"/>
              </w:rPr>
              <w:t>Nombre</w:t>
            </w:r>
          </w:p>
        </w:tc>
        <w:tc>
          <w:tcPr>
            <w:tcW w:w="7490" w:type="dxa"/>
            <w:tcBorders>
              <w:bottom w:val="single" w:sz="17" w:space="0" w:color="4AACC5"/>
            </w:tcBorders>
          </w:tcPr>
          <w:p>
            <w:pPr>
              <w:pStyle w:val="TableParagraph"/>
              <w:ind w:left="98"/>
              <w:rPr>
                <w:sz w:val="24"/>
              </w:rPr>
            </w:pPr>
            <w:r>
              <w:rPr>
                <w:sz w:val="24"/>
              </w:rPr>
              <w:t>Tierra Fría</w:t>
            </w:r>
          </w:p>
        </w:tc>
      </w:tr>
      <w:tr>
        <w:trPr>
          <w:trHeight w:val="445" w:hRule="exact"/>
        </w:trPr>
        <w:tc>
          <w:tcPr>
            <w:tcW w:w="2088" w:type="dxa"/>
            <w:tcBorders>
              <w:top w:val="single" w:sz="17" w:space="0" w:color="4AACC5"/>
            </w:tcBorders>
            <w:shd w:val="clear" w:color="auto" w:fill="D2EAF0"/>
          </w:tcPr>
          <w:p>
            <w:pPr>
              <w:pStyle w:val="TableParagraph"/>
              <w:spacing w:line="275"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5" w:lineRule="exact"/>
              <w:ind w:left="98"/>
              <w:rPr>
                <w:sz w:val="24"/>
              </w:rPr>
            </w:pPr>
            <w:r>
              <w:rPr>
                <w:sz w:val="24"/>
              </w:rPr>
              <w:t>Niki Caro</w:t>
            </w:r>
          </w:p>
        </w:tc>
      </w:tr>
      <w:tr>
        <w:trPr>
          <w:trHeight w:val="434" w:hRule="exact"/>
        </w:trPr>
        <w:tc>
          <w:tcPr>
            <w:tcW w:w="2088" w:type="dxa"/>
          </w:tcPr>
          <w:p>
            <w:pPr>
              <w:pStyle w:val="TableParagraph"/>
              <w:ind w:left="98"/>
              <w:rPr>
                <w:b/>
                <w:sz w:val="24"/>
              </w:rPr>
            </w:pPr>
            <w:r>
              <w:rPr>
                <w:b/>
                <w:sz w:val="24"/>
              </w:rPr>
              <w:t>Producción</w:t>
            </w:r>
          </w:p>
        </w:tc>
        <w:tc>
          <w:tcPr>
            <w:tcW w:w="7490" w:type="dxa"/>
          </w:tcPr>
          <w:p>
            <w:pPr>
              <w:pStyle w:val="TableParagraph"/>
              <w:ind w:left="98"/>
              <w:rPr>
                <w:sz w:val="24"/>
              </w:rPr>
            </w:pPr>
            <w:r>
              <w:rPr>
                <w:sz w:val="24"/>
              </w:rPr>
              <w:t>Nick Wechsler</w:t>
            </w:r>
          </w:p>
        </w:tc>
      </w:tr>
      <w:tr>
        <w:trPr>
          <w:trHeight w:val="435" w:hRule="exact"/>
        </w:trPr>
        <w:tc>
          <w:tcPr>
            <w:tcW w:w="2088" w:type="dxa"/>
            <w:shd w:val="clear" w:color="auto" w:fill="D2EAF0"/>
          </w:tcPr>
          <w:p>
            <w:pPr>
              <w:pStyle w:val="TableParagraph"/>
              <w:spacing w:line="275" w:lineRule="exact"/>
              <w:ind w:left="98"/>
              <w:rPr>
                <w:b/>
                <w:sz w:val="24"/>
              </w:rPr>
            </w:pPr>
            <w:r>
              <w:rPr>
                <w:b/>
                <w:sz w:val="24"/>
              </w:rPr>
              <w:t>País</w:t>
            </w:r>
          </w:p>
        </w:tc>
        <w:tc>
          <w:tcPr>
            <w:tcW w:w="7490" w:type="dxa"/>
            <w:shd w:val="clear" w:color="auto" w:fill="D2EAF0"/>
          </w:tcPr>
          <w:p>
            <w:pPr>
              <w:pStyle w:val="TableParagraph"/>
              <w:spacing w:line="275" w:lineRule="exact"/>
              <w:ind w:left="98"/>
              <w:rPr>
                <w:sz w:val="24"/>
              </w:rPr>
            </w:pPr>
            <w:r>
              <w:rPr>
                <w:sz w:val="24"/>
              </w:rPr>
              <w:t>Estados Unidos de Norteamérica</w:t>
            </w:r>
          </w:p>
        </w:tc>
      </w:tr>
    </w:tbl>
    <w:p>
      <w:pPr>
        <w:spacing w:after="0" w:line="275" w:lineRule="exact"/>
        <w:rPr>
          <w:sz w:val="24"/>
        </w:rPr>
        <w:sectPr>
          <w:pgSz w:w="12240" w:h="15840"/>
          <w:pgMar w:header="0" w:footer="954" w:top="1440" w:bottom="1140" w:left="1220" w:right="240"/>
        </w:sect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35"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2005</w:t>
            </w:r>
          </w:p>
        </w:tc>
      </w:tr>
    </w:tbl>
    <w:p>
      <w:pPr>
        <w:pStyle w:val="BodyText"/>
        <w:rPr>
          <w:b/>
          <w:sz w:val="20"/>
        </w:rPr>
      </w:pPr>
    </w:p>
    <w:p>
      <w:pPr>
        <w:pStyle w:val="BodyText"/>
        <w:spacing w:before="2" w:after="1"/>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8" w:hRule="exact"/>
        </w:trPr>
        <w:tc>
          <w:tcPr>
            <w:tcW w:w="2088" w:type="dxa"/>
            <w:tcBorders>
              <w:bottom w:val="single" w:sz="17" w:space="0" w:color="4AACC5"/>
            </w:tcBorders>
          </w:tcPr>
          <w:p>
            <w:pPr>
              <w:pStyle w:val="TableParagraph"/>
              <w:ind w:left="98"/>
              <w:rPr>
                <w:b/>
                <w:sz w:val="24"/>
              </w:rPr>
            </w:pPr>
            <w:r>
              <w:rPr>
                <w:b/>
                <w:sz w:val="24"/>
              </w:rPr>
              <w:t>Nombre</w:t>
            </w:r>
          </w:p>
        </w:tc>
        <w:tc>
          <w:tcPr>
            <w:tcW w:w="7490" w:type="dxa"/>
            <w:tcBorders>
              <w:bottom w:val="single" w:sz="17" w:space="0" w:color="4AACC5"/>
            </w:tcBorders>
          </w:tcPr>
          <w:p>
            <w:pPr>
              <w:pStyle w:val="TableParagraph"/>
              <w:ind w:left="98"/>
              <w:rPr>
                <w:sz w:val="24"/>
              </w:rPr>
            </w:pPr>
            <w:r>
              <w:rPr>
                <w:sz w:val="24"/>
              </w:rPr>
              <w:t>Las hermanas de la Magdalena</w:t>
            </w:r>
          </w:p>
        </w:tc>
      </w:tr>
      <w:tr>
        <w:trPr>
          <w:trHeight w:val="445" w:hRule="exact"/>
        </w:trPr>
        <w:tc>
          <w:tcPr>
            <w:tcW w:w="2088" w:type="dxa"/>
            <w:tcBorders>
              <w:top w:val="single" w:sz="17" w:space="0" w:color="4AACC5"/>
            </w:tcBorders>
            <w:shd w:val="clear" w:color="auto" w:fill="D2EAF0"/>
          </w:tcPr>
          <w:p>
            <w:pPr>
              <w:pStyle w:val="TableParagraph"/>
              <w:spacing w:line="275"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5" w:lineRule="exact"/>
              <w:ind w:left="98"/>
              <w:rPr>
                <w:sz w:val="24"/>
              </w:rPr>
            </w:pPr>
            <w:r>
              <w:rPr>
                <w:sz w:val="24"/>
              </w:rPr>
              <w:t>Peter Mullan</w:t>
            </w:r>
          </w:p>
        </w:tc>
      </w:tr>
      <w:tr>
        <w:trPr>
          <w:trHeight w:val="434" w:hRule="exact"/>
        </w:trPr>
        <w:tc>
          <w:tcPr>
            <w:tcW w:w="2088" w:type="dxa"/>
          </w:tcPr>
          <w:p>
            <w:pPr>
              <w:pStyle w:val="TableParagraph"/>
              <w:ind w:left="98"/>
              <w:rPr>
                <w:b/>
                <w:sz w:val="24"/>
              </w:rPr>
            </w:pPr>
            <w:r>
              <w:rPr>
                <w:b/>
                <w:sz w:val="24"/>
              </w:rPr>
              <w:t>Producción</w:t>
            </w:r>
          </w:p>
        </w:tc>
        <w:tc>
          <w:tcPr>
            <w:tcW w:w="7490" w:type="dxa"/>
          </w:tcPr>
          <w:p>
            <w:pPr>
              <w:pStyle w:val="TableParagraph"/>
              <w:ind w:left="98"/>
              <w:rPr>
                <w:sz w:val="24"/>
              </w:rPr>
            </w:pPr>
            <w:r>
              <w:rPr>
                <w:sz w:val="24"/>
              </w:rPr>
              <w:t>Frances Higson</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Irlanda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2002</w:t>
            </w:r>
          </w:p>
        </w:tc>
      </w:tr>
    </w:tbl>
    <w:p>
      <w:pPr>
        <w:pStyle w:val="BodyText"/>
        <w:rPr>
          <w:b/>
          <w:sz w:val="20"/>
        </w:rPr>
      </w:pPr>
    </w:p>
    <w:p>
      <w:pPr>
        <w:pStyle w:val="BodyText"/>
        <w:spacing w:before="3"/>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8"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La teta asustada</w:t>
            </w:r>
          </w:p>
        </w:tc>
      </w:tr>
      <w:tr>
        <w:trPr>
          <w:trHeight w:val="445" w:hRule="exact"/>
        </w:trPr>
        <w:tc>
          <w:tcPr>
            <w:tcW w:w="2088" w:type="dxa"/>
            <w:tcBorders>
              <w:top w:val="single" w:sz="17" w:space="0" w:color="4AACC5"/>
            </w:tcBorders>
            <w:shd w:val="clear" w:color="auto" w:fill="D2EAF0"/>
          </w:tcPr>
          <w:p>
            <w:pPr>
              <w:pStyle w:val="TableParagraph"/>
              <w:spacing w:line="275"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5" w:lineRule="exact"/>
              <w:ind w:left="98"/>
              <w:rPr>
                <w:sz w:val="24"/>
              </w:rPr>
            </w:pPr>
            <w:r>
              <w:rPr>
                <w:sz w:val="24"/>
              </w:rPr>
              <w:t>Claudia Llosa</w:t>
            </w:r>
          </w:p>
        </w:tc>
      </w:tr>
      <w:tr>
        <w:trPr>
          <w:trHeight w:val="434"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spacing w:line="274" w:lineRule="exact"/>
              <w:ind w:left="98"/>
              <w:rPr>
                <w:sz w:val="24"/>
              </w:rPr>
            </w:pPr>
            <w:r>
              <w:rPr>
                <w:sz w:val="24"/>
              </w:rPr>
              <w:t>Antonio Chavarrías, Claudia Llosa, José María Morales</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Perú-España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2009</w:t>
            </w:r>
          </w:p>
        </w:tc>
      </w:tr>
    </w:tbl>
    <w:p>
      <w:pPr>
        <w:pStyle w:val="BodyText"/>
        <w:rPr>
          <w:b/>
          <w:sz w:val="20"/>
        </w:rPr>
      </w:pPr>
    </w:p>
    <w:p>
      <w:pPr>
        <w:pStyle w:val="BodyText"/>
        <w:spacing w:before="3"/>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6"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La Venus negra</w:t>
            </w:r>
          </w:p>
        </w:tc>
      </w:tr>
      <w:tr>
        <w:trPr>
          <w:trHeight w:val="446" w:hRule="exact"/>
        </w:trPr>
        <w:tc>
          <w:tcPr>
            <w:tcW w:w="2088" w:type="dxa"/>
            <w:tcBorders>
              <w:top w:val="single" w:sz="17" w:space="0" w:color="4AACC5"/>
            </w:tcBorders>
            <w:shd w:val="clear" w:color="auto" w:fill="D2EAF0"/>
          </w:tcPr>
          <w:p>
            <w:pPr>
              <w:pStyle w:val="TableParagraph"/>
              <w:spacing w:line="274"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4" w:lineRule="exact"/>
              <w:ind w:left="98"/>
              <w:rPr>
                <w:sz w:val="24"/>
              </w:rPr>
            </w:pPr>
            <w:r>
              <w:rPr>
                <w:sz w:val="24"/>
              </w:rPr>
              <w:t>Abdellatif Kechiche</w:t>
            </w:r>
          </w:p>
        </w:tc>
      </w:tr>
      <w:tr>
        <w:trPr>
          <w:trHeight w:val="434"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spacing w:line="274" w:lineRule="exact"/>
              <w:ind w:left="98"/>
              <w:rPr>
                <w:sz w:val="24"/>
              </w:rPr>
            </w:pPr>
            <w:r>
              <w:rPr>
                <w:sz w:val="24"/>
              </w:rPr>
              <w:t>MK2, France 2 Cinéma</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Bélgica-Francia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2009</w:t>
            </w:r>
          </w:p>
        </w:tc>
      </w:tr>
    </w:tbl>
    <w:p>
      <w:pPr>
        <w:pStyle w:val="BodyText"/>
        <w:rPr>
          <w:b/>
          <w:sz w:val="20"/>
        </w:rPr>
      </w:pPr>
    </w:p>
    <w:p>
      <w:pPr>
        <w:pStyle w:val="BodyText"/>
        <w:spacing w:before="2" w:after="1"/>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7"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El color púrpura</w:t>
            </w:r>
          </w:p>
        </w:tc>
      </w:tr>
      <w:tr>
        <w:trPr>
          <w:trHeight w:val="446" w:hRule="exact"/>
        </w:trPr>
        <w:tc>
          <w:tcPr>
            <w:tcW w:w="2088" w:type="dxa"/>
            <w:tcBorders>
              <w:top w:val="single" w:sz="17" w:space="0" w:color="4AACC5"/>
            </w:tcBorders>
            <w:shd w:val="clear" w:color="auto" w:fill="D2EAF0"/>
          </w:tcPr>
          <w:p>
            <w:pPr>
              <w:pStyle w:val="TableParagraph"/>
              <w:spacing w:line="274"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4" w:lineRule="exact"/>
              <w:ind w:left="98"/>
              <w:rPr>
                <w:sz w:val="24"/>
              </w:rPr>
            </w:pPr>
            <w:r>
              <w:rPr>
                <w:sz w:val="24"/>
              </w:rPr>
              <w:t>Steven Spielberg</w:t>
            </w:r>
          </w:p>
        </w:tc>
      </w:tr>
      <w:tr>
        <w:trPr>
          <w:trHeight w:val="847"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tabs>
                <w:tab w:pos="1098" w:val="left" w:leader="none"/>
                <w:tab w:pos="2060" w:val="left" w:leader="none"/>
                <w:tab w:pos="3259" w:val="left" w:leader="none"/>
                <w:tab w:pos="4527" w:val="left" w:leader="none"/>
                <w:tab w:pos="5393" w:val="left" w:leader="none"/>
                <w:tab w:pos="6625" w:val="left" w:leader="none"/>
              </w:tabs>
              <w:spacing w:line="360" w:lineRule="auto"/>
              <w:ind w:left="98" w:right="97"/>
              <w:rPr>
                <w:sz w:val="24"/>
              </w:rPr>
            </w:pPr>
            <w:r>
              <w:rPr>
                <w:sz w:val="24"/>
              </w:rPr>
              <w:t>Quincy</w:t>
              <w:tab/>
              <w:t>Jones,</w:t>
              <w:tab/>
              <w:t>Kathleen</w:t>
              <w:tab/>
              <w:t>Kennedy,</w:t>
              <w:tab/>
              <w:t>Frank</w:t>
              <w:tab/>
              <w:t>Marshall,</w:t>
              <w:tab/>
            </w:r>
            <w:r>
              <w:rPr>
                <w:spacing w:val="-1"/>
                <w:sz w:val="24"/>
              </w:rPr>
              <w:t>Steven </w:t>
            </w:r>
            <w:r>
              <w:rPr>
                <w:sz w:val="24"/>
              </w:rPr>
              <w:t>Spielberg.</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Estados Unidos de Norteamérica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1983</w:t>
            </w:r>
          </w:p>
        </w:tc>
      </w:tr>
    </w:tbl>
    <w:p>
      <w:pPr>
        <w:spacing w:after="0" w:line="274" w:lineRule="exact"/>
        <w:rPr>
          <w:sz w:val="24"/>
        </w:rPr>
        <w:sectPr>
          <w:pgSz w:w="12240" w:h="15840"/>
          <w:pgMar w:header="0" w:footer="954" w:top="1440" w:bottom="1140" w:left="1220" w:right="1200"/>
        </w:sect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8"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Celos</w:t>
            </w:r>
          </w:p>
        </w:tc>
      </w:tr>
      <w:tr>
        <w:trPr>
          <w:trHeight w:val="445" w:hRule="exact"/>
        </w:trPr>
        <w:tc>
          <w:tcPr>
            <w:tcW w:w="2088" w:type="dxa"/>
            <w:tcBorders>
              <w:top w:val="single" w:sz="17" w:space="0" w:color="4AACC5"/>
            </w:tcBorders>
            <w:shd w:val="clear" w:color="auto" w:fill="D2EAF0"/>
          </w:tcPr>
          <w:p>
            <w:pPr>
              <w:pStyle w:val="TableParagraph"/>
              <w:spacing w:line="275"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5" w:lineRule="exact"/>
              <w:ind w:left="98"/>
              <w:rPr>
                <w:sz w:val="24"/>
              </w:rPr>
            </w:pPr>
            <w:r>
              <w:rPr>
                <w:sz w:val="24"/>
              </w:rPr>
              <w:t>Vicente Aranda</w:t>
            </w:r>
          </w:p>
        </w:tc>
      </w:tr>
      <w:tr>
        <w:trPr>
          <w:trHeight w:val="434"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spacing w:line="274" w:lineRule="exact"/>
              <w:ind w:left="98"/>
              <w:rPr>
                <w:sz w:val="24"/>
              </w:rPr>
            </w:pPr>
            <w:r>
              <w:rPr>
                <w:sz w:val="24"/>
              </w:rPr>
              <w:t>Álvaro del Amo, Vicente Aranda</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España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1999</w:t>
            </w:r>
          </w:p>
        </w:tc>
      </w:tr>
    </w:tbl>
    <w:p>
      <w:pPr>
        <w:pStyle w:val="BodyText"/>
        <w:rPr>
          <w:b/>
          <w:sz w:val="20"/>
        </w:rPr>
      </w:pPr>
    </w:p>
    <w:p>
      <w:pPr>
        <w:pStyle w:val="BodyText"/>
        <w:spacing w:before="2" w:after="1"/>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6"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Sólo Mía</w:t>
            </w:r>
          </w:p>
        </w:tc>
      </w:tr>
      <w:tr>
        <w:trPr>
          <w:trHeight w:val="447" w:hRule="exact"/>
        </w:trPr>
        <w:tc>
          <w:tcPr>
            <w:tcW w:w="2088" w:type="dxa"/>
            <w:tcBorders>
              <w:top w:val="single" w:sz="17" w:space="0" w:color="4AACC5"/>
            </w:tcBorders>
            <w:shd w:val="clear" w:color="auto" w:fill="D2EAF0"/>
          </w:tcPr>
          <w:p>
            <w:pPr>
              <w:pStyle w:val="TableParagraph"/>
              <w:spacing w:line="275" w:lineRule="exact"/>
              <w:ind w:left="98"/>
              <w:rPr>
                <w:b/>
                <w:sz w:val="24"/>
              </w:rPr>
            </w:pPr>
            <w:r>
              <w:rPr>
                <w:b/>
                <w:sz w:val="24"/>
              </w:rPr>
              <w:t>Dirección</w:t>
            </w:r>
          </w:p>
        </w:tc>
        <w:tc>
          <w:tcPr>
            <w:tcW w:w="7490" w:type="dxa"/>
            <w:tcBorders>
              <w:top w:val="single" w:sz="17" w:space="0" w:color="4AACC5"/>
            </w:tcBorders>
            <w:shd w:val="clear" w:color="auto" w:fill="D2EAF0"/>
          </w:tcPr>
          <w:p>
            <w:pPr>
              <w:pStyle w:val="TableParagraph"/>
              <w:spacing w:line="275" w:lineRule="exact"/>
              <w:ind w:left="98"/>
              <w:rPr>
                <w:sz w:val="24"/>
              </w:rPr>
            </w:pPr>
            <w:r>
              <w:rPr>
                <w:sz w:val="24"/>
              </w:rPr>
              <w:t>Javier Balaguer</w:t>
            </w:r>
          </w:p>
        </w:tc>
      </w:tr>
      <w:tr>
        <w:trPr>
          <w:trHeight w:val="434" w:hRule="exact"/>
        </w:trPr>
        <w:tc>
          <w:tcPr>
            <w:tcW w:w="2088" w:type="dxa"/>
          </w:tcPr>
          <w:p>
            <w:pPr>
              <w:pStyle w:val="TableParagraph"/>
              <w:spacing w:line="274" w:lineRule="exact"/>
              <w:ind w:left="98"/>
              <w:rPr>
                <w:b/>
                <w:sz w:val="24"/>
              </w:rPr>
            </w:pPr>
            <w:r>
              <w:rPr>
                <w:b/>
                <w:sz w:val="24"/>
              </w:rPr>
              <w:t>Producción</w:t>
            </w:r>
          </w:p>
        </w:tc>
        <w:tc>
          <w:tcPr>
            <w:tcW w:w="7490" w:type="dxa"/>
          </w:tcPr>
          <w:p>
            <w:pPr>
              <w:pStyle w:val="TableParagraph"/>
              <w:spacing w:line="274" w:lineRule="exact"/>
              <w:ind w:left="98"/>
              <w:rPr>
                <w:sz w:val="24"/>
              </w:rPr>
            </w:pPr>
            <w:r>
              <w:rPr>
                <w:sz w:val="24"/>
              </w:rPr>
              <w:t>Álvaro García Mohedano, Javier Balaguer</w:t>
            </w:r>
          </w:p>
        </w:tc>
      </w:tr>
      <w:tr>
        <w:trPr>
          <w:trHeight w:val="434"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España</w:t>
            </w:r>
          </w:p>
        </w:tc>
      </w:tr>
      <w:tr>
        <w:trPr>
          <w:trHeight w:val="434" w:hRule="exact"/>
        </w:trPr>
        <w:tc>
          <w:tcPr>
            <w:tcW w:w="2088" w:type="dxa"/>
          </w:tcPr>
          <w:p>
            <w:pPr>
              <w:pStyle w:val="TableParagraph"/>
              <w:spacing w:line="274" w:lineRule="exact"/>
              <w:ind w:left="98"/>
              <w:rPr>
                <w:b/>
                <w:sz w:val="24"/>
              </w:rPr>
            </w:pPr>
            <w:r>
              <w:rPr>
                <w:b/>
                <w:sz w:val="24"/>
              </w:rPr>
              <w:t>Año</w:t>
            </w:r>
          </w:p>
        </w:tc>
        <w:tc>
          <w:tcPr>
            <w:tcW w:w="7490" w:type="dxa"/>
          </w:tcPr>
          <w:p>
            <w:pPr>
              <w:pStyle w:val="TableParagraph"/>
              <w:spacing w:line="274" w:lineRule="exact"/>
              <w:ind w:left="98"/>
              <w:rPr>
                <w:sz w:val="24"/>
              </w:rPr>
            </w:pPr>
            <w:r>
              <w:rPr>
                <w:sz w:val="24"/>
              </w:rPr>
              <w:t>2001</w:t>
            </w:r>
          </w:p>
        </w:tc>
      </w:tr>
    </w:tbl>
    <w:p>
      <w:pPr>
        <w:pStyle w:val="BodyText"/>
        <w:rPr>
          <w:b/>
          <w:sz w:val="20"/>
        </w:rPr>
      </w:pPr>
    </w:p>
    <w:p>
      <w:pPr>
        <w:pStyle w:val="BodyText"/>
        <w:spacing w:before="2" w:after="1"/>
        <w:rPr>
          <w:b/>
        </w:rPr>
      </w:pPr>
    </w:p>
    <w:tbl>
      <w:tblPr>
        <w:tblW w:w="0" w:type="auto"/>
        <w:jc w:val="left"/>
        <w:tblInd w:w="102" w:type="dxa"/>
        <w:tblBorders>
          <w:top w:val="single" w:sz="8" w:space="0" w:color="4AACC5"/>
          <w:left w:val="single" w:sz="8" w:space="0" w:color="4AACC5"/>
          <w:bottom w:val="single" w:sz="8" w:space="0" w:color="4AACC5"/>
          <w:right w:val="single" w:sz="8" w:space="0" w:color="4AACC5"/>
          <w:insideH w:val="single" w:sz="8" w:space="0" w:color="4AACC5"/>
          <w:insideV w:val="single" w:sz="8" w:space="0" w:color="4AACC5"/>
        </w:tblBorders>
        <w:tblLayout w:type="fixed"/>
        <w:tblCellMar>
          <w:top w:w="0" w:type="dxa"/>
          <w:left w:w="0" w:type="dxa"/>
          <w:bottom w:w="0" w:type="dxa"/>
          <w:right w:w="0" w:type="dxa"/>
        </w:tblCellMar>
        <w:tblLook w:val="01E0"/>
      </w:tblPr>
      <w:tblGrid>
        <w:gridCol w:w="2088"/>
        <w:gridCol w:w="7490"/>
      </w:tblGrid>
      <w:tr>
        <w:trPr>
          <w:trHeight w:val="446" w:hRule="exact"/>
        </w:trPr>
        <w:tc>
          <w:tcPr>
            <w:tcW w:w="2088" w:type="dxa"/>
            <w:tcBorders>
              <w:bottom w:val="single" w:sz="17" w:space="0" w:color="4AACC5"/>
            </w:tcBorders>
          </w:tcPr>
          <w:p>
            <w:pPr>
              <w:pStyle w:val="TableParagraph"/>
              <w:spacing w:line="274" w:lineRule="exact"/>
              <w:ind w:left="98"/>
              <w:rPr>
                <w:b/>
                <w:sz w:val="24"/>
              </w:rPr>
            </w:pPr>
            <w:r>
              <w:rPr>
                <w:b/>
                <w:sz w:val="24"/>
              </w:rPr>
              <w:t>Nombre</w:t>
            </w:r>
          </w:p>
        </w:tc>
        <w:tc>
          <w:tcPr>
            <w:tcW w:w="7490" w:type="dxa"/>
            <w:tcBorders>
              <w:bottom w:val="single" w:sz="17" w:space="0" w:color="4AACC5"/>
            </w:tcBorders>
          </w:tcPr>
          <w:p>
            <w:pPr>
              <w:pStyle w:val="TableParagraph"/>
              <w:spacing w:line="274" w:lineRule="exact"/>
              <w:ind w:left="98"/>
              <w:rPr>
                <w:sz w:val="24"/>
              </w:rPr>
            </w:pPr>
            <w:r>
              <w:rPr>
                <w:sz w:val="24"/>
              </w:rPr>
              <w:t>La verdad de Soraya M.</w:t>
            </w:r>
          </w:p>
        </w:tc>
      </w:tr>
      <w:tr>
        <w:trPr>
          <w:trHeight w:val="447" w:hRule="exact"/>
        </w:trPr>
        <w:tc>
          <w:tcPr>
            <w:tcW w:w="2088" w:type="dxa"/>
            <w:tcBorders>
              <w:top w:val="single" w:sz="17" w:space="0" w:color="4AACC5"/>
              <w:bottom w:val="single" w:sz="8" w:space="0" w:color="4AACC5"/>
            </w:tcBorders>
            <w:shd w:val="clear" w:color="auto" w:fill="D2EAF0"/>
          </w:tcPr>
          <w:p>
            <w:pPr>
              <w:pStyle w:val="TableParagraph"/>
              <w:spacing w:line="274" w:lineRule="exact"/>
              <w:ind w:left="98"/>
              <w:rPr>
                <w:b/>
                <w:sz w:val="24"/>
              </w:rPr>
            </w:pPr>
            <w:r>
              <w:rPr>
                <w:b/>
                <w:sz w:val="24"/>
              </w:rPr>
              <w:t>Dirección</w:t>
            </w:r>
          </w:p>
        </w:tc>
        <w:tc>
          <w:tcPr>
            <w:tcW w:w="7490" w:type="dxa"/>
            <w:tcBorders>
              <w:top w:val="single" w:sz="17" w:space="0" w:color="4AACC5"/>
              <w:bottom w:val="single" w:sz="8" w:space="0" w:color="4AACC5"/>
            </w:tcBorders>
            <w:shd w:val="clear" w:color="auto" w:fill="D2EAF0"/>
          </w:tcPr>
          <w:p>
            <w:pPr>
              <w:pStyle w:val="TableParagraph"/>
              <w:spacing w:line="274" w:lineRule="exact"/>
              <w:ind w:left="98"/>
              <w:rPr>
                <w:sz w:val="24"/>
              </w:rPr>
            </w:pPr>
            <w:r>
              <w:rPr>
                <w:sz w:val="24"/>
              </w:rPr>
              <w:t>Cyrus Nowrasteh</w:t>
            </w:r>
          </w:p>
        </w:tc>
      </w:tr>
      <w:tr>
        <w:trPr>
          <w:trHeight w:val="435" w:hRule="exact"/>
        </w:trPr>
        <w:tc>
          <w:tcPr>
            <w:tcW w:w="2088" w:type="dxa"/>
            <w:tcBorders>
              <w:top w:val="single" w:sz="8" w:space="0" w:color="4AACC5"/>
            </w:tcBorders>
          </w:tcPr>
          <w:p>
            <w:pPr>
              <w:pStyle w:val="TableParagraph"/>
              <w:spacing w:line="274" w:lineRule="exact"/>
              <w:ind w:left="98"/>
              <w:rPr>
                <w:b/>
                <w:sz w:val="24"/>
              </w:rPr>
            </w:pPr>
            <w:r>
              <w:rPr>
                <w:b/>
                <w:sz w:val="24"/>
              </w:rPr>
              <w:t>Producción</w:t>
            </w:r>
          </w:p>
        </w:tc>
        <w:tc>
          <w:tcPr>
            <w:tcW w:w="7490" w:type="dxa"/>
            <w:tcBorders>
              <w:top w:val="single" w:sz="8" w:space="0" w:color="4AACC5"/>
            </w:tcBorders>
          </w:tcPr>
          <w:p>
            <w:pPr>
              <w:pStyle w:val="TableParagraph"/>
              <w:spacing w:line="274" w:lineRule="exact"/>
              <w:ind w:left="98"/>
              <w:rPr>
                <w:sz w:val="24"/>
              </w:rPr>
            </w:pPr>
            <w:r>
              <w:rPr>
                <w:sz w:val="24"/>
              </w:rPr>
              <w:t>Steven McEveety, John Shepherd, Todd Burns</w:t>
            </w:r>
          </w:p>
        </w:tc>
      </w:tr>
      <w:tr>
        <w:trPr>
          <w:trHeight w:val="432" w:hRule="exact"/>
        </w:trPr>
        <w:tc>
          <w:tcPr>
            <w:tcW w:w="2088" w:type="dxa"/>
            <w:shd w:val="clear" w:color="auto" w:fill="D2EAF0"/>
          </w:tcPr>
          <w:p>
            <w:pPr>
              <w:pStyle w:val="TableParagraph"/>
              <w:spacing w:line="274" w:lineRule="exact"/>
              <w:ind w:left="98"/>
              <w:rPr>
                <w:b/>
                <w:sz w:val="24"/>
              </w:rPr>
            </w:pPr>
            <w:r>
              <w:rPr>
                <w:b/>
                <w:sz w:val="24"/>
              </w:rPr>
              <w:t>País</w:t>
            </w:r>
          </w:p>
        </w:tc>
        <w:tc>
          <w:tcPr>
            <w:tcW w:w="7490" w:type="dxa"/>
            <w:shd w:val="clear" w:color="auto" w:fill="D2EAF0"/>
          </w:tcPr>
          <w:p>
            <w:pPr>
              <w:pStyle w:val="TableParagraph"/>
              <w:spacing w:line="274" w:lineRule="exact"/>
              <w:ind w:left="98"/>
              <w:rPr>
                <w:sz w:val="24"/>
              </w:rPr>
            </w:pPr>
            <w:r>
              <w:rPr>
                <w:sz w:val="24"/>
              </w:rPr>
              <w:t>Estados Unidos de Norteamérica</w:t>
            </w:r>
          </w:p>
        </w:tc>
      </w:tr>
      <w:tr>
        <w:trPr>
          <w:trHeight w:val="437" w:hRule="exact"/>
        </w:trPr>
        <w:tc>
          <w:tcPr>
            <w:tcW w:w="2088" w:type="dxa"/>
          </w:tcPr>
          <w:p>
            <w:pPr>
              <w:pStyle w:val="TableParagraph"/>
              <w:ind w:left="98"/>
              <w:rPr>
                <w:b/>
                <w:sz w:val="24"/>
              </w:rPr>
            </w:pPr>
            <w:r>
              <w:rPr>
                <w:b/>
                <w:sz w:val="24"/>
              </w:rPr>
              <w:t>Año</w:t>
            </w:r>
          </w:p>
        </w:tc>
        <w:tc>
          <w:tcPr>
            <w:tcW w:w="7490" w:type="dxa"/>
          </w:tcPr>
          <w:p>
            <w:pPr>
              <w:pStyle w:val="TableParagraph"/>
              <w:ind w:left="98"/>
              <w:rPr>
                <w:sz w:val="24"/>
              </w:rPr>
            </w:pPr>
            <w:r>
              <w:rPr>
                <w:sz w:val="24"/>
              </w:rPr>
              <w:t>2008</w:t>
            </w:r>
          </w:p>
        </w:tc>
      </w:tr>
    </w:tbl>
    <w:sectPr>
      <w:pgSz w:w="12240" w:h="15840"/>
      <w:pgMar w:header="0" w:footer="954" w:top="1440" w:bottom="1140" w:left="1220" w:right="12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Cambria">
    <w:altName w:val="Cambria"/>
    <w:charset w:val="0"/>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32.580017pt;margin-top:730.280029pt;width:9.6pt;height:13.05pt;mso-position-horizontal-relative:page;mso-position-vertical-relative:page;z-index:-109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48</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864"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816"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792" type="#_x0000_t202" filled="false" stroked="false">
          <v:textbox inset="0,0,0,0">
            <w:txbxContent>
              <w:p>
                <w:pPr>
                  <w:spacing w:line="245" w:lineRule="exact" w:before="0"/>
                  <w:ind w:left="20" w:right="0" w:firstLine="0"/>
                  <w:jc w:val="left"/>
                  <w:rPr>
                    <w:rFonts w:ascii="Calibri"/>
                    <w:sz w:val="22"/>
                  </w:rPr>
                </w:pPr>
                <w:r>
                  <w:rPr>
                    <w:rFonts w:ascii="Calibri"/>
                    <w:sz w:val="22"/>
                  </w:rPr>
                  <w:t>21</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74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6.940002pt;margin-top:730.280029pt;width:15.3pt;height:13.05pt;mso-position-horizontal-relative:page;mso-position-vertical-relative:page;z-index:-109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7.940002pt;margin-top:730.280029pt;width:13.3pt;height:13.05pt;mso-position-horizontal-relative:page;mso-position-vertical-relative:page;z-index:-10969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1540" w:hanging="360"/>
      </w:pPr>
      <w:rPr>
        <w:rFonts w:hint="default" w:ascii="Wingdings" w:hAnsi="Wingdings" w:eastAsia="Wingdings" w:cs="Wingdings"/>
        <w:w w:val="100"/>
        <w:sz w:val="24"/>
        <w:szCs w:val="24"/>
      </w:rPr>
    </w:lvl>
    <w:lvl w:ilvl="1">
      <w:start w:val="1"/>
      <w:numFmt w:val="bullet"/>
      <w:lvlText w:val="•"/>
      <w:lvlJc w:val="left"/>
      <w:pPr>
        <w:ind w:left="2344" w:hanging="360"/>
      </w:pPr>
      <w:rPr>
        <w:rFonts w:hint="default"/>
      </w:rPr>
    </w:lvl>
    <w:lvl w:ilvl="2">
      <w:start w:val="1"/>
      <w:numFmt w:val="bullet"/>
      <w:lvlText w:val="•"/>
      <w:lvlJc w:val="left"/>
      <w:pPr>
        <w:ind w:left="3148" w:hanging="360"/>
      </w:pPr>
      <w:rPr>
        <w:rFonts w:hint="default"/>
      </w:rPr>
    </w:lvl>
    <w:lvl w:ilvl="3">
      <w:start w:val="1"/>
      <w:numFmt w:val="bullet"/>
      <w:lvlText w:val="•"/>
      <w:lvlJc w:val="left"/>
      <w:pPr>
        <w:ind w:left="3952" w:hanging="360"/>
      </w:pPr>
      <w:rPr>
        <w:rFonts w:hint="default"/>
      </w:rPr>
    </w:lvl>
    <w:lvl w:ilvl="4">
      <w:start w:val="1"/>
      <w:numFmt w:val="bullet"/>
      <w:lvlText w:val="•"/>
      <w:lvlJc w:val="left"/>
      <w:pPr>
        <w:ind w:left="4756" w:hanging="360"/>
      </w:pPr>
      <w:rPr>
        <w:rFonts w:hint="default"/>
      </w:rPr>
    </w:lvl>
    <w:lvl w:ilvl="5">
      <w:start w:val="1"/>
      <w:numFmt w:val="bullet"/>
      <w:lvlText w:val="•"/>
      <w:lvlJc w:val="left"/>
      <w:pPr>
        <w:ind w:left="5560" w:hanging="360"/>
      </w:pPr>
      <w:rPr>
        <w:rFonts w:hint="default"/>
      </w:rPr>
    </w:lvl>
    <w:lvl w:ilvl="6">
      <w:start w:val="1"/>
      <w:numFmt w:val="bullet"/>
      <w:lvlText w:val="•"/>
      <w:lvlJc w:val="left"/>
      <w:pPr>
        <w:ind w:left="6364" w:hanging="360"/>
      </w:pPr>
      <w:rPr>
        <w:rFonts w:hint="default"/>
      </w:rPr>
    </w:lvl>
    <w:lvl w:ilvl="7">
      <w:start w:val="1"/>
      <w:numFmt w:val="bullet"/>
      <w:lvlText w:val="•"/>
      <w:lvlJc w:val="left"/>
      <w:pPr>
        <w:ind w:left="7168" w:hanging="360"/>
      </w:pPr>
      <w:rPr>
        <w:rFonts w:hint="default"/>
      </w:rPr>
    </w:lvl>
    <w:lvl w:ilvl="8">
      <w:start w:val="1"/>
      <w:numFmt w:val="bullet"/>
      <w:lvlText w:val="•"/>
      <w:lvlJc w:val="left"/>
      <w:pPr>
        <w:ind w:left="7972" w:hanging="360"/>
      </w:pPr>
      <w:rPr>
        <w:rFonts w:hint="default"/>
      </w:rPr>
    </w:lvl>
  </w:abstractNum>
  <w:abstractNum w:abstractNumId="5">
    <w:multiLevelType w:val="hybridMultilevel"/>
    <w:lvl w:ilvl="0">
      <w:start w:val="20"/>
      <w:numFmt w:val="decimal"/>
      <w:lvlText w:val="%1"/>
      <w:lvlJc w:val="left"/>
      <w:pPr>
        <w:ind w:left="460" w:hanging="360"/>
        <w:jc w:val="left"/>
      </w:pPr>
      <w:rPr>
        <w:rFonts w:hint="default" w:ascii="Arial" w:hAnsi="Arial" w:eastAsia="Arial" w:cs="Arial"/>
        <w:w w:val="99"/>
        <w:sz w:val="24"/>
        <w:szCs w:val="24"/>
      </w:rPr>
    </w:lvl>
    <w:lvl w:ilvl="1">
      <w:start w:val="1"/>
      <w:numFmt w:val="bullet"/>
      <w:lvlText w:val="•"/>
      <w:lvlJc w:val="left"/>
      <w:pPr>
        <w:ind w:left="1386" w:hanging="360"/>
      </w:pPr>
      <w:rPr>
        <w:rFonts w:hint="default"/>
      </w:rPr>
    </w:lvl>
    <w:lvl w:ilvl="2">
      <w:start w:val="1"/>
      <w:numFmt w:val="bullet"/>
      <w:lvlText w:val="•"/>
      <w:lvlJc w:val="left"/>
      <w:pPr>
        <w:ind w:left="2312" w:hanging="360"/>
      </w:pPr>
      <w:rPr>
        <w:rFonts w:hint="default"/>
      </w:rPr>
    </w:lvl>
    <w:lvl w:ilvl="3">
      <w:start w:val="1"/>
      <w:numFmt w:val="bullet"/>
      <w:lvlText w:val="•"/>
      <w:lvlJc w:val="left"/>
      <w:pPr>
        <w:ind w:left="323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5090" w:hanging="360"/>
      </w:pPr>
      <w:rPr>
        <w:rFonts w:hint="default"/>
      </w:rPr>
    </w:lvl>
    <w:lvl w:ilvl="6">
      <w:start w:val="1"/>
      <w:numFmt w:val="bullet"/>
      <w:lvlText w:val="•"/>
      <w:lvlJc w:val="left"/>
      <w:pPr>
        <w:ind w:left="6016" w:hanging="360"/>
      </w:pPr>
      <w:rPr>
        <w:rFonts w:hint="default"/>
      </w:rPr>
    </w:lvl>
    <w:lvl w:ilvl="7">
      <w:start w:val="1"/>
      <w:numFmt w:val="bullet"/>
      <w:lvlText w:val="•"/>
      <w:lvlJc w:val="left"/>
      <w:pPr>
        <w:ind w:left="6942" w:hanging="360"/>
      </w:pPr>
      <w:rPr>
        <w:rFonts w:hint="default"/>
      </w:rPr>
    </w:lvl>
    <w:lvl w:ilvl="8">
      <w:start w:val="1"/>
      <w:numFmt w:val="bullet"/>
      <w:lvlText w:val="•"/>
      <w:lvlJc w:val="left"/>
      <w:pPr>
        <w:ind w:left="7868" w:hanging="360"/>
      </w:pPr>
      <w:rPr>
        <w:rFonts w:hint="default"/>
      </w:rPr>
    </w:lvl>
  </w:abstractNum>
  <w:abstractNum w:abstractNumId="4">
    <w:multiLevelType w:val="hybridMultilevel"/>
    <w:lvl w:ilvl="0">
      <w:start w:val="1"/>
      <w:numFmt w:val="decimal"/>
      <w:lvlText w:val="%1."/>
      <w:lvlJc w:val="left"/>
      <w:pPr>
        <w:ind w:left="1340" w:hanging="360"/>
        <w:jc w:val="right"/>
      </w:pPr>
      <w:rPr>
        <w:rFonts w:hint="default" w:ascii="Arial" w:hAnsi="Arial" w:eastAsia="Arial" w:cs="Arial"/>
        <w:spacing w:val="-4"/>
        <w:w w:val="99"/>
        <w:sz w:val="24"/>
        <w:szCs w:val="24"/>
      </w:rPr>
    </w:lvl>
    <w:lvl w:ilvl="1">
      <w:start w:val="26"/>
      <w:numFmt w:val="decimal"/>
      <w:lvlText w:val="%2."/>
      <w:lvlJc w:val="left"/>
      <w:pPr>
        <w:ind w:left="820" w:hanging="428"/>
        <w:jc w:val="left"/>
      </w:pPr>
      <w:rPr>
        <w:rFonts w:hint="default" w:ascii="Arial" w:hAnsi="Arial" w:eastAsia="Arial" w:cs="Arial"/>
        <w:w w:val="99"/>
        <w:sz w:val="24"/>
        <w:szCs w:val="24"/>
      </w:rPr>
    </w:lvl>
    <w:lvl w:ilvl="2">
      <w:start w:val="1"/>
      <w:numFmt w:val="lowerLetter"/>
      <w:lvlText w:val="%3."/>
      <w:lvlJc w:val="left"/>
      <w:pPr>
        <w:ind w:left="1180" w:hanging="360"/>
        <w:jc w:val="left"/>
      </w:pPr>
      <w:rPr>
        <w:rFonts w:hint="default" w:ascii="Arial" w:hAnsi="Arial" w:eastAsia="Arial" w:cs="Arial"/>
        <w:spacing w:val="-1"/>
        <w:w w:val="99"/>
        <w:sz w:val="24"/>
        <w:szCs w:val="24"/>
      </w:rPr>
    </w:lvl>
    <w:lvl w:ilvl="3">
      <w:start w:val="1"/>
      <w:numFmt w:val="bullet"/>
      <w:lvlText w:val="•"/>
      <w:lvlJc w:val="left"/>
      <w:pPr>
        <w:ind w:left="2387" w:hanging="360"/>
      </w:pPr>
      <w:rPr>
        <w:rFonts w:hint="default"/>
      </w:rPr>
    </w:lvl>
    <w:lvl w:ilvl="4">
      <w:start w:val="1"/>
      <w:numFmt w:val="bullet"/>
      <w:lvlText w:val="•"/>
      <w:lvlJc w:val="left"/>
      <w:pPr>
        <w:ind w:left="3435"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530" w:hanging="360"/>
      </w:pPr>
      <w:rPr>
        <w:rFonts w:hint="default"/>
      </w:rPr>
    </w:lvl>
    <w:lvl w:ilvl="7">
      <w:start w:val="1"/>
      <w:numFmt w:val="bullet"/>
      <w:lvlText w:val="•"/>
      <w:lvlJc w:val="left"/>
      <w:pPr>
        <w:ind w:left="6577" w:hanging="360"/>
      </w:pPr>
      <w:rPr>
        <w:rFonts w:hint="default"/>
      </w:rPr>
    </w:lvl>
    <w:lvl w:ilvl="8">
      <w:start w:val="1"/>
      <w:numFmt w:val="bullet"/>
      <w:lvlText w:val="•"/>
      <w:lvlJc w:val="left"/>
      <w:pPr>
        <w:ind w:left="7625" w:hanging="360"/>
      </w:pPr>
      <w:rPr>
        <w:rFonts w:hint="default"/>
      </w:rPr>
    </w:lvl>
  </w:abstractNum>
  <w:abstractNum w:abstractNumId="3">
    <w:multiLevelType w:val="hybridMultilevel"/>
    <w:lvl w:ilvl="0">
      <w:start w:val="1"/>
      <w:numFmt w:val="bullet"/>
      <w:lvlText w:val=""/>
      <w:lvlJc w:val="left"/>
      <w:pPr>
        <w:ind w:left="820" w:hanging="360"/>
      </w:pPr>
      <w:rPr>
        <w:rFonts w:hint="default" w:ascii="Symbol" w:hAnsi="Symbol" w:eastAsia="Symbol" w:cs="Symbol"/>
        <w:w w:val="100"/>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1">
    <w:multiLevelType w:val="hybridMultilevel"/>
    <w:lvl w:ilvl="0">
      <w:start w:val="1"/>
      <w:numFmt w:val="upperLetter"/>
      <w:lvlText w:val="%1)"/>
      <w:lvlJc w:val="left"/>
      <w:pPr>
        <w:ind w:left="820" w:hanging="360"/>
        <w:jc w:val="left"/>
      </w:pPr>
      <w:rPr>
        <w:rFonts w:hint="default" w:ascii="Arial" w:hAnsi="Arial" w:eastAsia="Arial" w:cs="Arial"/>
        <w:b/>
        <w:bCs/>
        <w:color w:val="4F81BC"/>
        <w:spacing w:val="-3"/>
        <w:w w:val="99"/>
        <w:sz w:val="24"/>
        <w:szCs w:val="24"/>
      </w:rPr>
    </w:lvl>
    <w:lvl w:ilvl="1">
      <w:start w:val="1"/>
      <w:numFmt w:val="bullet"/>
      <w:lvlText w:val="•"/>
      <w:lvlJc w:val="left"/>
      <w:pPr>
        <w:ind w:left="169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448" w:hanging="360"/>
      </w:pPr>
      <w:rPr>
        <w:rFonts w:hint="default"/>
      </w:rPr>
    </w:lvl>
    <w:lvl w:ilvl="4">
      <w:start w:val="1"/>
      <w:numFmt w:val="bullet"/>
      <w:lvlText w:val="•"/>
      <w:lvlJc w:val="left"/>
      <w:pPr>
        <w:ind w:left="4324"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76" w:hanging="360"/>
      </w:pPr>
      <w:rPr>
        <w:rFonts w:hint="default"/>
      </w:rPr>
    </w:lvl>
    <w:lvl w:ilvl="7">
      <w:start w:val="1"/>
      <w:numFmt w:val="bullet"/>
      <w:lvlText w:val="•"/>
      <w:lvlJc w:val="left"/>
      <w:pPr>
        <w:ind w:left="6952" w:hanging="360"/>
      </w:pPr>
      <w:rPr>
        <w:rFonts w:hint="default"/>
      </w:rPr>
    </w:lvl>
    <w:lvl w:ilvl="8">
      <w:start w:val="1"/>
      <w:numFmt w:val="bullet"/>
      <w:lvlText w:val="•"/>
      <w:lvlJc w:val="left"/>
      <w:pPr>
        <w:ind w:left="7828" w:hanging="360"/>
      </w:pPr>
      <w:rPr>
        <w:rFonts w:hint="default"/>
      </w:rPr>
    </w:lvl>
  </w:abstractNum>
  <w:abstractNum w:abstractNumId="0">
    <w:multiLevelType w:val="hybridMultilevel"/>
    <w:lvl w:ilvl="0">
      <w:start w:val="1"/>
      <w:numFmt w:val="bullet"/>
      <w:lvlText w:val=""/>
      <w:lvlJc w:val="left"/>
      <w:pPr>
        <w:ind w:left="840" w:hanging="360"/>
      </w:pPr>
      <w:rPr>
        <w:rFonts w:hint="default" w:ascii="Symbol" w:hAnsi="Symbol" w:eastAsia="Symbol" w:cs="Symbol"/>
        <w:w w:val="100"/>
        <w:sz w:val="24"/>
        <w:szCs w:val="24"/>
      </w:rPr>
    </w:lvl>
    <w:lvl w:ilvl="1">
      <w:start w:val="1"/>
      <w:numFmt w:val="bullet"/>
      <w:lvlText w:val="•"/>
      <w:lvlJc w:val="left"/>
      <w:pPr>
        <w:ind w:left="1716" w:hanging="360"/>
      </w:pPr>
      <w:rPr>
        <w:rFonts w:hint="default"/>
      </w:rPr>
    </w:lvl>
    <w:lvl w:ilvl="2">
      <w:start w:val="1"/>
      <w:numFmt w:val="bullet"/>
      <w:lvlText w:val="•"/>
      <w:lvlJc w:val="left"/>
      <w:pPr>
        <w:ind w:left="2592" w:hanging="360"/>
      </w:pPr>
      <w:rPr>
        <w:rFonts w:hint="default"/>
      </w:rPr>
    </w:lvl>
    <w:lvl w:ilvl="3">
      <w:start w:val="1"/>
      <w:numFmt w:val="bullet"/>
      <w:lvlText w:val="•"/>
      <w:lvlJc w:val="left"/>
      <w:pPr>
        <w:ind w:left="3468" w:hanging="360"/>
      </w:pPr>
      <w:rPr>
        <w:rFonts w:hint="default"/>
      </w:rPr>
    </w:lvl>
    <w:lvl w:ilvl="4">
      <w:start w:val="1"/>
      <w:numFmt w:val="bullet"/>
      <w:lvlText w:val="•"/>
      <w:lvlJc w:val="left"/>
      <w:pPr>
        <w:ind w:left="4344" w:hanging="360"/>
      </w:pPr>
      <w:rPr>
        <w:rFonts w:hint="default"/>
      </w:rPr>
    </w:lvl>
    <w:lvl w:ilvl="5">
      <w:start w:val="1"/>
      <w:numFmt w:val="bullet"/>
      <w:lvlText w:val="•"/>
      <w:lvlJc w:val="left"/>
      <w:pPr>
        <w:ind w:left="5220" w:hanging="360"/>
      </w:pPr>
      <w:rPr>
        <w:rFonts w:hint="default"/>
      </w:rPr>
    </w:lvl>
    <w:lvl w:ilvl="6">
      <w:start w:val="1"/>
      <w:numFmt w:val="bullet"/>
      <w:lvlText w:val="•"/>
      <w:lvlJc w:val="left"/>
      <w:pPr>
        <w:ind w:left="6096" w:hanging="360"/>
      </w:pPr>
      <w:rPr>
        <w:rFonts w:hint="default"/>
      </w:rPr>
    </w:lvl>
    <w:lvl w:ilvl="7">
      <w:start w:val="1"/>
      <w:numFmt w:val="bullet"/>
      <w:lvlText w:val="•"/>
      <w:lvlJc w:val="left"/>
      <w:pPr>
        <w:ind w:left="6972" w:hanging="360"/>
      </w:pPr>
      <w:rPr>
        <w:rFonts w:hint="default"/>
      </w:rPr>
    </w:lvl>
    <w:lvl w:ilvl="8">
      <w:start w:val="1"/>
      <w:numFmt w:val="bullet"/>
      <w:lvlText w:val="•"/>
      <w:lvlJc w:val="left"/>
      <w:pPr>
        <w:ind w:left="7848" w:hanging="360"/>
      </w:pPr>
      <w:rPr>
        <w:rFonts w:hint="default"/>
      </w:rPr>
    </w:lvl>
  </w:abstractNum>
  <w:num w:numId="3">
    <w:abstractNumId w:val="2"/>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00"/>
    </w:pPr>
    <w:rPr>
      <w:rFonts w:ascii="Arial" w:hAnsi="Arial" w:eastAsia="Arial" w:cs="Arial"/>
      <w:sz w:val="22"/>
      <w:szCs w:val="22"/>
    </w:rPr>
  </w:style>
  <w:style w:styleId="TOC2" w:type="paragraph">
    <w:name w:val="TOC 2"/>
    <w:basedOn w:val="Normal"/>
    <w:uiPriority w:val="1"/>
    <w:qFormat/>
    <w:pPr>
      <w:spacing w:before="139"/>
      <w:ind w:left="321"/>
    </w:pPr>
    <w:rPr>
      <w:rFonts w:ascii="Arial" w:hAnsi="Arial" w:eastAsia="Arial" w:cs="Arial"/>
      <w:sz w:val="22"/>
      <w:szCs w:val="22"/>
    </w:rPr>
  </w:style>
  <w:style w:styleId="TOC3" w:type="paragraph">
    <w:name w:val="TOC 3"/>
    <w:basedOn w:val="Normal"/>
    <w:uiPriority w:val="1"/>
    <w:qFormat/>
    <w:pPr>
      <w:spacing w:before="139"/>
      <w:ind w:left="539"/>
    </w:pPr>
    <w:rPr>
      <w:rFonts w:ascii="Arial" w:hAnsi="Arial" w:eastAsia="Arial" w:cs="Arial"/>
      <w:sz w:val="22"/>
      <w:szCs w:val="22"/>
    </w:rPr>
  </w:style>
  <w:style w:styleId="TOC4" w:type="paragraph">
    <w:name w:val="TOC 4"/>
    <w:basedOn w:val="Normal"/>
    <w:uiPriority w:val="1"/>
    <w:qFormat/>
    <w:pPr>
      <w:spacing w:before="96"/>
      <w:ind w:left="539"/>
    </w:pPr>
    <w:rPr>
      <w:rFonts w:ascii="Calibri" w:hAnsi="Calibri" w:eastAsia="Calibri" w:cs="Calibri"/>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06"/>
      <w:ind w:left="100"/>
      <w:jc w:val="both"/>
      <w:outlineLvl w:val="1"/>
    </w:pPr>
    <w:rPr>
      <w:rFonts w:ascii="Arial" w:hAnsi="Arial" w:eastAsia="Arial" w:cs="Arial"/>
      <w:b/>
      <w:bCs/>
      <w:sz w:val="24"/>
      <w:szCs w:val="24"/>
    </w:rPr>
  </w:style>
  <w:style w:styleId="Heading2" w:type="paragraph">
    <w:name w:val="Heading 2"/>
    <w:basedOn w:val="Normal"/>
    <w:uiPriority w:val="1"/>
    <w:qFormat/>
    <w:pPr>
      <w:ind w:left="2593"/>
      <w:outlineLvl w:val="2"/>
    </w:pPr>
    <w:rPr>
      <w:rFonts w:ascii="Arial" w:hAnsi="Arial" w:eastAsia="Arial" w:cs="Arial"/>
      <w:b/>
      <w:bCs/>
      <w:i/>
      <w:sz w:val="24"/>
      <w:szCs w:val="24"/>
    </w:rPr>
  </w:style>
  <w:style w:styleId="ListParagraph" w:type="paragraph">
    <w:name w:val="List Paragraph"/>
    <w:basedOn w:val="Normal"/>
    <w:uiPriority w:val="1"/>
    <w:qFormat/>
    <w:pPr>
      <w:spacing w:before="70"/>
      <w:ind w:left="460"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yperlink" Target="http://sistemas.uaeh.edu.mx/defensor_universitario/compromiosmeg2003.htm" TargetMode="External"/><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image" Target="media/image3.png"/><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hyperlink" Target="http://www.michaelkaufman.com/" TargetMode="External"/><Relationship Id="rId29" Type="http://schemas.openxmlformats.org/officeDocument/2006/relationships/hyperlink" Target="http://laciutatinvisible.coop/wp-" TargetMode="External"/><Relationship Id="rId30" Type="http://schemas.openxmlformats.org/officeDocument/2006/relationships/hyperlink" Target="http://web.ua.es/es/cem/documentos/publicaciones/cuadernos-de-trabajos-de-investigacion/1-produccion-del-espacio.pdf%20%5b30" TargetMode="External"/><Relationship Id="rId31" Type="http://schemas.openxmlformats.org/officeDocument/2006/relationships/hyperlink" Target="http://www.genero.ipn.mx/Materiales_Didacticos/Documents/violentometro_FINAL.swf%20%5b10" TargetMode="External"/><Relationship Id="rId32" Type="http://schemas.openxmlformats.org/officeDocument/2006/relationships/hyperlink" Target="http://www.caladona.org/grups/uploads/2008/01/homofobia-temor-verguenza-y-silencio-en-la-identidad-masculina-michael-s-kimmel.pdf%20%5b25" TargetMode="External"/><Relationship Id="rId33" Type="http://schemas.openxmlformats.org/officeDocument/2006/relationships/footer" Target="footer9.xml"/><Relationship Id="rId34" Type="http://schemas.openxmlformats.org/officeDocument/2006/relationships/hyperlink" Target="http://sgc.uaeh.edu.mx/transparencia/images/PDF/Defensor2011/graficas%202006-2011.pdf" TargetMode="External"/><Relationship Id="rId35" Type="http://schemas.openxmlformats.org/officeDocument/2006/relationships/footer" Target="footer10.xml"/><Relationship Id="rId36" Type="http://schemas.openxmlformats.org/officeDocument/2006/relationships/image" Target="media/image15.jpeg"/><Relationship Id="rId37" Type="http://schemas.openxmlformats.org/officeDocument/2006/relationships/footer" Target="footer11.xml"/><Relationship Id="rId38" Type="http://schemas.openxmlformats.org/officeDocument/2006/relationships/footer" Target="footer12.xml"/><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chuchu</dc:creator>
  <dcterms:created xsi:type="dcterms:W3CDTF">2017-05-22T22:01:14Z</dcterms:created>
  <dcterms:modified xsi:type="dcterms:W3CDTF">2017-05-22T22:01:14Z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2015-01-08T00:00:00Z</vt:filetime>
  </property>
  <property fmtid="{D5CDD505-2E9C-101B-9397-08002B2CF9AE}" pid="3" name="Creator">
    <vt:lpwstr>Microsoft® Word 2010</vt:lpwstr>
  </property>
  <property fmtid="{D5CDD505-2E9C-101B-9397-08002B2CF9AE}" pid="4" name="LastSaved">
    <vt:filetime>2017-05-22T00:00:00Z</vt:filetime>
  </property>
</Properties>
</file>